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25EF5">
      <w:pPr>
        <w:jc w:val="center"/>
        <w:rPr>
          <w:rFonts w:hint="eastAsia" w:ascii="宋体" w:hAnsi="宋体" w:eastAsia="宋体" w:cs="宋体"/>
          <w:color w:val="auto"/>
          <w:sz w:val="36"/>
          <w:szCs w:val="36"/>
          <w:highlight w:val="none"/>
        </w:rPr>
      </w:pPr>
    </w:p>
    <w:p w14:paraId="536A2B19">
      <w:pPr>
        <w:jc w:val="center"/>
        <w:rPr>
          <w:rFonts w:hint="eastAsia" w:ascii="宋体" w:hAnsi="宋体" w:eastAsia="宋体" w:cs="宋体"/>
          <w:b/>
          <w:color w:val="auto"/>
          <w:sz w:val="48"/>
          <w:szCs w:val="48"/>
          <w:highlight w:val="none"/>
        </w:rPr>
      </w:pPr>
    </w:p>
    <w:p w14:paraId="0FC15126">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84"/>
          <w:szCs w:val="84"/>
          <w:highlight w:val="none"/>
        </w:rPr>
        <w:t>竞争性磋商文件</w:t>
      </w:r>
    </w:p>
    <w:p w14:paraId="47F24E4E">
      <w:pPr>
        <w:pStyle w:val="13"/>
        <w:spacing w:before="120" w:after="120"/>
        <w:ind w:firstLine="880"/>
        <w:jc w:val="center"/>
        <w:rPr>
          <w:rFonts w:hint="eastAsia" w:ascii="宋体" w:hAnsi="宋体" w:eastAsia="宋体" w:cs="宋体"/>
          <w:bCs/>
          <w:color w:val="auto"/>
          <w:sz w:val="44"/>
          <w:highlight w:val="none"/>
        </w:rPr>
      </w:pPr>
    </w:p>
    <w:p w14:paraId="6CC53A52">
      <w:pPr>
        <w:tabs>
          <w:tab w:val="left" w:pos="2700"/>
          <w:tab w:val="left" w:pos="3584"/>
        </w:tabs>
        <w:spacing w:line="360" w:lineRule="auto"/>
        <w:rPr>
          <w:rFonts w:hint="eastAsia" w:ascii="宋体" w:hAnsi="宋体" w:eastAsia="宋体" w:cs="宋体"/>
          <w:b/>
          <w:bCs/>
          <w:color w:val="auto"/>
          <w:sz w:val="44"/>
          <w:highlight w:val="none"/>
        </w:rPr>
      </w:pPr>
    </w:p>
    <w:p w14:paraId="3B0D7378">
      <w:pPr>
        <w:spacing w:line="360" w:lineRule="auto"/>
        <w:jc w:val="center"/>
        <w:rPr>
          <w:rFonts w:hint="eastAsia" w:ascii="宋体" w:hAnsi="宋体" w:eastAsia="宋体" w:cs="宋体"/>
          <w:b/>
          <w:color w:val="auto"/>
          <w:sz w:val="72"/>
          <w:highlight w:val="none"/>
        </w:rPr>
      </w:pPr>
      <w:r>
        <w:rPr>
          <w:rFonts w:hint="eastAsia" w:ascii="宋体" w:hAnsi="宋体" w:eastAsia="宋体" w:cs="宋体"/>
          <w:bCs/>
          <w:color w:val="auto"/>
          <w:sz w:val="44"/>
          <w:highlight w:val="none"/>
          <w:lang w:eastAsia="zh-CN"/>
        </w:rPr>
        <w:drawing>
          <wp:inline distT="0" distB="0" distL="114300" distR="114300">
            <wp:extent cx="2843530" cy="2416810"/>
            <wp:effectExtent l="0" t="0" r="1270" b="8890"/>
            <wp:docPr id="1" name="图片 5"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公司logo1"/>
                    <pic:cNvPicPr>
                      <a:picLocks noChangeAspect="1"/>
                    </pic:cNvPicPr>
                  </pic:nvPicPr>
                  <pic:blipFill>
                    <a:blip r:embed="rId18"/>
                    <a:stretch>
                      <a:fillRect/>
                    </a:stretch>
                  </pic:blipFill>
                  <pic:spPr>
                    <a:xfrm>
                      <a:off x="0" y="0"/>
                      <a:ext cx="2843530" cy="2416810"/>
                    </a:xfrm>
                    <a:prstGeom prst="rect">
                      <a:avLst/>
                    </a:prstGeom>
                    <a:noFill/>
                    <a:ln>
                      <a:noFill/>
                    </a:ln>
                  </pic:spPr>
                </pic:pic>
              </a:graphicData>
            </a:graphic>
          </wp:inline>
        </w:drawing>
      </w:r>
    </w:p>
    <w:p w14:paraId="133A2D02">
      <w:pPr>
        <w:spacing w:line="360" w:lineRule="auto"/>
        <w:jc w:val="center"/>
        <w:rPr>
          <w:rFonts w:hint="eastAsia" w:ascii="宋体" w:hAnsi="宋体" w:eastAsia="宋体" w:cs="宋体"/>
          <w:b/>
          <w:color w:val="auto"/>
          <w:sz w:val="44"/>
          <w:szCs w:val="13"/>
          <w:highlight w:val="none"/>
        </w:rPr>
      </w:pPr>
    </w:p>
    <w:p w14:paraId="5CF57070">
      <w:pPr>
        <w:tabs>
          <w:tab w:val="left" w:pos="3240"/>
          <w:tab w:val="left" w:pos="3420"/>
        </w:tabs>
        <w:spacing w:line="360" w:lineRule="auto"/>
        <w:ind w:left="2229" w:hanging="2229" w:hangingChars="419"/>
        <w:jc w:val="left"/>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2"/>
        </w:rPr>
        <w:t>项目名</w:t>
      </w:r>
      <w:r>
        <w:rPr>
          <w:rFonts w:hint="eastAsia" w:ascii="宋体" w:hAnsi="宋体" w:eastAsia="宋体" w:cs="宋体"/>
          <w:bCs/>
          <w:color w:val="auto"/>
          <w:spacing w:val="2"/>
          <w:kern w:val="0"/>
          <w:sz w:val="32"/>
          <w:szCs w:val="30"/>
          <w:highlight w:val="none"/>
          <w:fitText w:val="1920" w:id="-2026047232"/>
        </w:rPr>
        <w:t>称</w:t>
      </w:r>
      <w:r>
        <w:rPr>
          <w:rFonts w:hint="eastAsia" w:ascii="宋体" w:hAnsi="宋体" w:eastAsia="宋体" w:cs="宋体"/>
          <w:bCs/>
          <w:color w:val="auto"/>
          <w:sz w:val="32"/>
          <w:szCs w:val="30"/>
          <w:highlight w:val="none"/>
        </w:rPr>
        <w:t>：</w:t>
      </w:r>
      <w:r>
        <w:rPr>
          <w:rFonts w:hint="eastAsia" w:ascii="宋体" w:hAnsi="宋体" w:cs="宋体"/>
          <w:bCs/>
          <w:color w:val="auto"/>
          <w:sz w:val="32"/>
          <w:szCs w:val="30"/>
          <w:highlight w:val="none"/>
          <w:u w:val="single"/>
          <w:lang w:val="en-US" w:eastAsia="zh-CN"/>
        </w:rPr>
        <w:t>乌鲁木齐高新区（新市区）2017年美丽乡村建设ppp项目（B包）、乌鲁木齐高新区（新市区）城北新区路灯及农村路灯建设ppp复核项目审计</w:t>
      </w:r>
    </w:p>
    <w:p w14:paraId="06A92390">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1"/>
        </w:rPr>
        <w:t>采购编</w:t>
      </w:r>
      <w:r>
        <w:rPr>
          <w:rFonts w:hint="eastAsia" w:ascii="宋体" w:hAnsi="宋体" w:eastAsia="宋体" w:cs="宋体"/>
          <w:bCs/>
          <w:color w:val="auto"/>
          <w:spacing w:val="2"/>
          <w:kern w:val="0"/>
          <w:sz w:val="32"/>
          <w:szCs w:val="30"/>
          <w:highlight w:val="none"/>
          <w:fitText w:val="1920" w:id="-2026047231"/>
        </w:rPr>
        <w:t>号</w:t>
      </w:r>
      <w:r>
        <w:rPr>
          <w:rFonts w:hint="eastAsia" w:ascii="宋体" w:hAnsi="宋体" w:eastAsia="宋体" w:cs="宋体"/>
          <w:bCs/>
          <w:color w:val="auto"/>
          <w:sz w:val="32"/>
          <w:szCs w:val="30"/>
          <w:highlight w:val="none"/>
        </w:rPr>
        <w:t>：</w:t>
      </w:r>
      <w:r>
        <w:rPr>
          <w:rFonts w:hint="eastAsia" w:ascii="宋体" w:hAnsi="宋体" w:cs="宋体"/>
          <w:bCs/>
          <w:color w:val="auto"/>
          <w:sz w:val="32"/>
          <w:szCs w:val="30"/>
          <w:highlight w:val="none"/>
          <w:u w:val="single"/>
          <w:lang w:eastAsia="zh-CN"/>
        </w:rPr>
        <w:t>GXXG-2025-ZFCG038</w:t>
      </w:r>
    </w:p>
    <w:p w14:paraId="35CEA929">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240"/>
          <w:kern w:val="0"/>
          <w:sz w:val="32"/>
          <w:szCs w:val="30"/>
          <w:highlight w:val="none"/>
          <w:fitText w:val="1920" w:id="-2026047230"/>
        </w:rPr>
        <w:t>采购</w:t>
      </w:r>
      <w:r>
        <w:rPr>
          <w:rFonts w:hint="eastAsia" w:ascii="宋体" w:hAnsi="宋体" w:eastAsia="宋体" w:cs="宋体"/>
          <w:bCs/>
          <w:color w:val="auto"/>
          <w:spacing w:val="0"/>
          <w:kern w:val="0"/>
          <w:sz w:val="32"/>
          <w:szCs w:val="30"/>
          <w:highlight w:val="none"/>
          <w:fitText w:val="1920" w:id="-2026047230"/>
        </w:rPr>
        <w:t>人</w:t>
      </w:r>
      <w:r>
        <w:rPr>
          <w:rFonts w:hint="eastAsia" w:ascii="宋体" w:hAnsi="宋体" w:eastAsia="宋体" w:cs="宋体"/>
          <w:bCs/>
          <w:color w:val="auto"/>
          <w:sz w:val="32"/>
          <w:szCs w:val="30"/>
          <w:highlight w:val="none"/>
        </w:rPr>
        <w:t>：</w:t>
      </w:r>
      <w:r>
        <w:rPr>
          <w:rFonts w:hint="eastAsia" w:ascii="宋体" w:hAnsi="宋体" w:eastAsia="宋体" w:cs="宋体"/>
          <w:bCs/>
          <w:color w:val="auto"/>
          <w:sz w:val="32"/>
          <w:szCs w:val="30"/>
          <w:highlight w:val="none"/>
          <w:u w:val="single"/>
          <w:lang w:eastAsia="zh-CN"/>
        </w:rPr>
        <w:t>乌鲁木齐高新技术产业开发区（乌鲁木齐市新市区）建设局</w:t>
      </w:r>
    </w:p>
    <w:p w14:paraId="0C758716">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z w:val="32"/>
          <w:szCs w:val="30"/>
          <w:highlight w:val="none"/>
        </w:rPr>
        <w:t>采购代理机构：</w:t>
      </w:r>
      <w:r>
        <w:rPr>
          <w:rFonts w:hint="eastAsia" w:ascii="宋体" w:hAnsi="宋体" w:eastAsia="宋体" w:cs="宋体"/>
          <w:bCs/>
          <w:color w:val="auto"/>
          <w:sz w:val="32"/>
          <w:szCs w:val="30"/>
          <w:highlight w:val="none"/>
          <w:u w:val="single"/>
          <w:lang w:eastAsia="zh-CN"/>
        </w:rPr>
        <w:t>乌鲁木齐高新建设工程项目管理咨询有限公司</w:t>
      </w:r>
    </w:p>
    <w:p w14:paraId="69F1873B">
      <w:pPr>
        <w:tabs>
          <w:tab w:val="left" w:pos="3240"/>
          <w:tab w:val="left" w:pos="3420"/>
        </w:tabs>
        <w:spacing w:line="360" w:lineRule="auto"/>
        <w:rPr>
          <w:rFonts w:hint="eastAsia" w:ascii="宋体" w:hAnsi="宋体" w:eastAsia="宋体" w:cs="宋体"/>
          <w:bCs/>
          <w:color w:val="auto"/>
          <w:sz w:val="32"/>
          <w:szCs w:val="36"/>
          <w:highlight w:val="none"/>
          <w:u w:val="single"/>
        </w:rPr>
        <w:sectPr>
          <w:headerReference r:id="rId4" w:type="first"/>
          <w:footerReference r:id="rId6" w:type="first"/>
          <w:headerReference r:id="rId3" w:type="default"/>
          <w:footerReference r:id="rId5" w:type="default"/>
          <w:pgSz w:w="11907" w:h="16840"/>
          <w:pgMar w:top="1418" w:right="1418" w:bottom="1247" w:left="1418" w:header="964" w:footer="850" w:gutter="0"/>
          <w:pgNumType w:fmt="decimal"/>
          <w:cols w:space="720" w:num="1"/>
          <w:titlePg/>
          <w:docGrid w:linePitch="286" w:charSpace="0"/>
        </w:sectPr>
      </w:pPr>
      <w:r>
        <w:rPr>
          <w:rFonts w:hint="eastAsia" w:ascii="宋体" w:hAnsi="宋体" w:eastAsia="宋体" w:cs="宋体"/>
          <w:bCs/>
          <w:color w:val="auto"/>
          <w:spacing w:val="640"/>
          <w:kern w:val="0"/>
          <w:sz w:val="32"/>
          <w:szCs w:val="36"/>
          <w:highlight w:val="none"/>
          <w:fitText w:val="1920" w:id="-2026047229"/>
        </w:rPr>
        <w:t>日</w:t>
      </w:r>
      <w:r>
        <w:rPr>
          <w:rFonts w:hint="eastAsia" w:ascii="宋体" w:hAnsi="宋体" w:eastAsia="宋体" w:cs="宋体"/>
          <w:bCs/>
          <w:color w:val="auto"/>
          <w:spacing w:val="0"/>
          <w:kern w:val="0"/>
          <w:sz w:val="32"/>
          <w:szCs w:val="36"/>
          <w:highlight w:val="none"/>
          <w:fitText w:val="1920" w:id="-2026047229"/>
        </w:rPr>
        <w:t>期</w:t>
      </w:r>
      <w:r>
        <w:rPr>
          <w:rFonts w:hint="eastAsia" w:ascii="宋体" w:hAnsi="宋体" w:eastAsia="宋体" w:cs="宋体"/>
          <w:bCs/>
          <w:color w:val="auto"/>
          <w:sz w:val="32"/>
          <w:szCs w:val="36"/>
          <w:highlight w:val="none"/>
        </w:rPr>
        <w:t>：</w:t>
      </w:r>
      <w:r>
        <w:rPr>
          <w:rFonts w:hint="eastAsia" w:ascii="宋体" w:hAnsi="宋体" w:eastAsia="宋体" w:cs="宋体"/>
          <w:bCs/>
          <w:color w:val="auto"/>
          <w:sz w:val="32"/>
          <w:szCs w:val="36"/>
          <w:highlight w:val="none"/>
          <w:u w:val="single"/>
        </w:rPr>
        <w:t>202</w:t>
      </w:r>
      <w:r>
        <w:rPr>
          <w:rFonts w:hint="eastAsia" w:ascii="宋体" w:hAnsi="宋体" w:eastAsia="宋体" w:cs="宋体"/>
          <w:bCs/>
          <w:color w:val="auto"/>
          <w:sz w:val="32"/>
          <w:szCs w:val="36"/>
          <w:highlight w:val="none"/>
          <w:u w:val="single"/>
          <w:lang w:val="en-US" w:eastAsia="zh-CN"/>
        </w:rPr>
        <w:t>5</w:t>
      </w:r>
      <w:r>
        <w:rPr>
          <w:rFonts w:hint="eastAsia" w:ascii="宋体" w:hAnsi="宋体" w:eastAsia="宋体" w:cs="宋体"/>
          <w:bCs/>
          <w:color w:val="auto"/>
          <w:sz w:val="32"/>
          <w:szCs w:val="36"/>
          <w:highlight w:val="none"/>
          <w:u w:val="single"/>
        </w:rPr>
        <w:t>年</w:t>
      </w:r>
      <w:r>
        <w:rPr>
          <w:rFonts w:hint="eastAsia" w:ascii="宋体" w:hAnsi="宋体" w:eastAsia="宋体" w:cs="宋体"/>
          <w:bCs/>
          <w:color w:val="auto"/>
          <w:sz w:val="32"/>
          <w:szCs w:val="36"/>
          <w:highlight w:val="none"/>
          <w:u w:val="single"/>
          <w:lang w:val="en-US" w:eastAsia="zh-CN"/>
        </w:rPr>
        <w:t>7</w:t>
      </w:r>
      <w:r>
        <w:rPr>
          <w:rFonts w:hint="eastAsia" w:ascii="宋体" w:hAnsi="宋体" w:eastAsia="宋体" w:cs="宋体"/>
          <w:bCs/>
          <w:color w:val="auto"/>
          <w:sz w:val="32"/>
          <w:szCs w:val="36"/>
          <w:highlight w:val="none"/>
          <w:u w:val="single"/>
        </w:rPr>
        <w:t>月</w:t>
      </w:r>
    </w:p>
    <w:p w14:paraId="338A6550">
      <w:pPr>
        <w:pStyle w:val="190"/>
        <w:spacing w:before="0" w:line="360" w:lineRule="auto"/>
        <w:jc w:val="center"/>
        <w:rPr>
          <w:rFonts w:hint="eastAsia" w:ascii="宋体" w:hAnsi="宋体" w:eastAsia="宋体" w:cs="宋体"/>
          <w:color w:val="auto"/>
          <w:sz w:val="36"/>
          <w:highlight w:val="none"/>
        </w:rPr>
      </w:pPr>
      <w:bookmarkStart w:id="0" w:name="_Toc6211"/>
      <w:bookmarkStart w:id="1" w:name="_Toc16584"/>
      <w:r>
        <w:rPr>
          <w:rFonts w:hint="eastAsia" w:ascii="宋体" w:hAnsi="宋体" w:eastAsia="宋体" w:cs="宋体"/>
          <w:color w:val="auto"/>
          <w:sz w:val="36"/>
          <w:highlight w:val="none"/>
          <w:lang w:val="zh-CN"/>
        </w:rPr>
        <w:t>目录</w:t>
      </w:r>
      <w:bookmarkEnd w:id="0"/>
      <w:bookmarkEnd w:id="1"/>
    </w:p>
    <w:p w14:paraId="5C01A681">
      <w:pPr>
        <w:pStyle w:val="35"/>
        <w:tabs>
          <w:tab w:val="right" w:leader="dot" w:pos="9071"/>
        </w:tabs>
        <w:rPr>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_Toc22334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44"/>
          <w:highlight w:val="none"/>
        </w:rPr>
        <w:t>第一章竞争性磋商邀请</w:t>
      </w:r>
      <w:r>
        <w:rPr>
          <w:color w:val="auto"/>
          <w:highlight w:val="none"/>
        </w:rPr>
        <w:tab/>
      </w:r>
      <w:r>
        <w:rPr>
          <w:color w:val="auto"/>
          <w:highlight w:val="none"/>
        </w:rPr>
        <w:fldChar w:fldCharType="begin"/>
      </w:r>
      <w:r>
        <w:rPr>
          <w:color w:val="auto"/>
          <w:highlight w:val="none"/>
        </w:rPr>
        <w:instrText xml:space="preserve"> PAGEREF _Toc22334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32"/>
          <w:highlight w:val="none"/>
        </w:rPr>
        <w:fldChar w:fldCharType="end"/>
      </w:r>
    </w:p>
    <w:p w14:paraId="601552EF">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第二章供应商须知前附表及供应商须知</w:t>
      </w:r>
      <w:r>
        <w:rPr>
          <w:color w:val="auto"/>
          <w:highlight w:val="none"/>
        </w:rPr>
        <w:tab/>
      </w:r>
      <w:r>
        <w:rPr>
          <w:color w:val="auto"/>
          <w:highlight w:val="none"/>
        </w:rPr>
        <w:fldChar w:fldCharType="begin"/>
      </w:r>
      <w:r>
        <w:rPr>
          <w:color w:val="auto"/>
          <w:highlight w:val="none"/>
        </w:rPr>
        <w:instrText xml:space="preserve"> PAGEREF _Toc13116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5DC44C">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_Toc20847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_Toc20847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984A82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_Toc28285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二、供应商须知</w:t>
      </w:r>
      <w:r>
        <w:rPr>
          <w:color w:val="auto"/>
          <w:highlight w:val="none"/>
        </w:rPr>
        <w:tab/>
      </w:r>
      <w:r>
        <w:rPr>
          <w:color w:val="auto"/>
          <w:highlight w:val="none"/>
        </w:rPr>
        <w:fldChar w:fldCharType="begin"/>
      </w:r>
      <w:r>
        <w:rPr>
          <w:color w:val="auto"/>
          <w:highlight w:val="none"/>
        </w:rPr>
        <w:instrText xml:space="preserve"> PAGEREF _Toc28285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22D24">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_Toc17873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第三章评审办法</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C75055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_Toc13327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第一部分符合性资格评审</w:t>
      </w:r>
      <w:r>
        <w:rPr>
          <w:color w:val="auto"/>
          <w:highlight w:val="none"/>
        </w:rPr>
        <w:tab/>
      </w:r>
      <w:r>
        <w:rPr>
          <w:color w:val="auto"/>
          <w:highlight w:val="none"/>
        </w:rPr>
        <w:fldChar w:fldCharType="begin"/>
      </w:r>
      <w:r>
        <w:rPr>
          <w:color w:val="auto"/>
          <w:highlight w:val="none"/>
        </w:rPr>
        <w:instrText xml:space="preserve"> PAGEREF _Toc13327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E79CB3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_Toc19859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第二部分评审方法</w:t>
      </w:r>
      <w:r>
        <w:rPr>
          <w:color w:val="auto"/>
          <w:highlight w:val="none"/>
        </w:rPr>
        <w:tab/>
      </w:r>
      <w:r>
        <w:rPr>
          <w:color w:val="auto"/>
          <w:highlight w:val="none"/>
        </w:rPr>
        <w:fldChar w:fldCharType="begin"/>
      </w:r>
      <w:r>
        <w:rPr>
          <w:color w:val="auto"/>
          <w:highlight w:val="none"/>
        </w:rPr>
        <w:instrText xml:space="preserve"> PAGEREF _Toc19859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84C1E87">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_Toc20863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第四章 政府采购合同</w:t>
      </w:r>
      <w:r>
        <w:rPr>
          <w:color w:val="auto"/>
          <w:highlight w:val="none"/>
        </w:rPr>
        <w:tab/>
      </w:r>
      <w:r>
        <w:rPr>
          <w:color w:val="auto"/>
          <w:highlight w:val="none"/>
        </w:rPr>
        <w:fldChar w:fldCharType="begin"/>
      </w:r>
      <w:r>
        <w:rPr>
          <w:color w:val="auto"/>
          <w:highlight w:val="none"/>
        </w:rPr>
        <w:instrText xml:space="preserve"> PAGEREF _Toc20863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64366">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_Toc7364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五</w:t>
      </w:r>
      <w:r>
        <w:rPr>
          <w:rFonts w:hint="eastAsia" w:ascii="宋体" w:hAnsi="宋体" w:eastAsia="宋体" w:cs="宋体"/>
          <w:color w:val="auto"/>
          <w:szCs w:val="44"/>
          <w:highlight w:val="none"/>
        </w:rPr>
        <w:t>章</w:t>
      </w:r>
      <w:r>
        <w:rPr>
          <w:rFonts w:hint="eastAsia" w:ascii="宋体" w:hAnsi="宋体" w:eastAsia="宋体" w:cs="宋体"/>
          <w:color w:val="auto"/>
          <w:szCs w:val="44"/>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_Toc7364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1B69530">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_Toc7305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第六章响应文件格式</w:t>
      </w:r>
      <w:r>
        <w:rPr>
          <w:color w:val="auto"/>
          <w:highlight w:val="none"/>
        </w:rPr>
        <w:tab/>
      </w:r>
      <w:r>
        <w:rPr>
          <w:color w:val="auto"/>
          <w:highlight w:val="none"/>
        </w:rPr>
        <w:fldChar w:fldCharType="begin"/>
      </w:r>
      <w:r>
        <w:rPr>
          <w:color w:val="auto"/>
          <w:highlight w:val="none"/>
        </w:rPr>
        <w:instrText xml:space="preserve"> PAGEREF _Toc7305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983F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_Toc1139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1、响应函格式</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7D3157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2、报价一览表格式</w:t>
      </w:r>
      <w:r>
        <w:rPr>
          <w:color w:val="auto"/>
          <w:highlight w:val="none"/>
        </w:rPr>
        <w:tab/>
      </w:r>
      <w:r>
        <w:rPr>
          <w:color w:val="auto"/>
          <w:highlight w:val="none"/>
        </w:rPr>
        <w:fldChar w:fldCharType="begin"/>
      </w:r>
      <w:r>
        <w:rPr>
          <w:color w:val="auto"/>
          <w:highlight w:val="none"/>
        </w:rPr>
        <w:instrText xml:space="preserve"> PAGEREF _Toc13112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CC2642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_Toc24268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bCs/>
          <w:smallCaps w:val="0"/>
          <w:color w:val="auto"/>
          <w:spacing w:val="0"/>
          <w:szCs w:val="30"/>
          <w:highlight w:val="none"/>
          <w:lang w:val="en-US" w:eastAsia="zh-CN"/>
        </w:rPr>
        <w:t>3</w:t>
      </w:r>
      <w:r>
        <w:rPr>
          <w:rFonts w:hint="eastAsia" w:ascii="宋体" w:hAnsi="宋体" w:eastAsia="宋体" w:cs="宋体"/>
          <w:bCs/>
          <w:smallCaps w:val="0"/>
          <w:color w:val="auto"/>
          <w:spacing w:val="0"/>
          <w:szCs w:val="30"/>
          <w:highlight w:val="none"/>
        </w:rPr>
        <w:t>、企业基本情况表</w:t>
      </w:r>
      <w:r>
        <w:rPr>
          <w:color w:val="auto"/>
          <w:highlight w:val="none"/>
        </w:rPr>
        <w:tab/>
      </w:r>
      <w:r>
        <w:rPr>
          <w:color w:val="auto"/>
          <w:highlight w:val="none"/>
        </w:rPr>
        <w:fldChar w:fldCharType="begin"/>
      </w:r>
      <w:r>
        <w:rPr>
          <w:color w:val="auto"/>
          <w:highlight w:val="none"/>
        </w:rPr>
        <w:instrText xml:space="preserve"> PAGEREF _Toc24268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2747A5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_Toc12822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4、法定代表人资格证明格式</w:t>
      </w:r>
      <w:r>
        <w:rPr>
          <w:color w:val="auto"/>
          <w:highlight w:val="none"/>
        </w:rPr>
        <w:tab/>
      </w:r>
      <w:r>
        <w:rPr>
          <w:color w:val="auto"/>
          <w:highlight w:val="none"/>
        </w:rPr>
        <w:fldChar w:fldCharType="begin"/>
      </w:r>
      <w:r>
        <w:rPr>
          <w:color w:val="auto"/>
          <w:highlight w:val="none"/>
        </w:rPr>
        <w:instrText xml:space="preserve"> PAGEREF _Toc12822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96A5B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_Toc32023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5、法定代表人授权委托书格式</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3D904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_Toc14498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6、技术条款偏离表格式</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9C29B4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_Toc11979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7、商务条款偏离表格式</w:t>
      </w:r>
      <w:r>
        <w:rPr>
          <w:color w:val="auto"/>
          <w:highlight w:val="none"/>
        </w:rPr>
        <w:tab/>
      </w:r>
      <w:r>
        <w:rPr>
          <w:color w:val="auto"/>
          <w:highlight w:val="none"/>
        </w:rPr>
        <w:fldChar w:fldCharType="begin"/>
      </w:r>
      <w:r>
        <w:rPr>
          <w:color w:val="auto"/>
          <w:highlight w:val="none"/>
        </w:rPr>
        <w:instrText xml:space="preserve"> PAGEREF _Toc11979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010226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_Toc5796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8、资格及部分证明文件格式</w:t>
      </w:r>
      <w:r>
        <w:rPr>
          <w:color w:val="auto"/>
          <w:highlight w:val="none"/>
        </w:rPr>
        <w:tab/>
      </w:r>
      <w:r>
        <w:rPr>
          <w:color w:val="auto"/>
          <w:highlight w:val="none"/>
        </w:rPr>
        <w:fldChar w:fldCharType="begin"/>
      </w:r>
      <w:r>
        <w:rPr>
          <w:color w:val="auto"/>
          <w:highlight w:val="none"/>
        </w:rPr>
        <w:instrText xml:space="preserve"> PAGEREF _Toc5796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C2229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_Toc29196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★8.1具有独立承担民事责任的能力</w:t>
      </w:r>
      <w:r>
        <w:rPr>
          <w:color w:val="auto"/>
          <w:highlight w:val="none"/>
        </w:rPr>
        <w:tab/>
      </w:r>
      <w:r>
        <w:rPr>
          <w:color w:val="auto"/>
          <w:highlight w:val="none"/>
        </w:rPr>
        <w:fldChar w:fldCharType="begin"/>
      </w:r>
      <w:r>
        <w:rPr>
          <w:color w:val="auto"/>
          <w:highlight w:val="none"/>
        </w:rPr>
        <w:instrText xml:space="preserve"> PAGEREF _Toc29196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2811CC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_Toc4391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★8.2具有良好的商业信誉和健全的财务会计制度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C29E9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_Toc8529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★8.3具有履行合同所必需的设备和专业技术能力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_Toc8529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3D3BDF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_Toc25617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★8.4有依法缴纳税收和社会保障资金的良好记录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_Toc25617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BE28C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_Toc20231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★8.5参加政府采购活动前三年内，在经营活动中没有重大违法记录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_Toc20231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6B921A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_Toc3510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★8.6符合磋商文件第二章“供应商须知前附表”4.1中第2条的证明材料；</w:t>
      </w:r>
      <w:r>
        <w:rPr>
          <w:color w:val="auto"/>
          <w:highlight w:val="none"/>
        </w:rPr>
        <w:tab/>
      </w:r>
      <w:r>
        <w:rPr>
          <w:color w:val="auto"/>
          <w:highlight w:val="none"/>
        </w:rPr>
        <w:fldChar w:fldCharType="begin"/>
      </w:r>
      <w:r>
        <w:rPr>
          <w:color w:val="auto"/>
          <w:highlight w:val="none"/>
        </w:rPr>
        <w:instrText xml:space="preserve"> PAGEREF _Toc3510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AAABA0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_Toc18275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★8.7符合磋商文件第二章“供应商须知前附表”4.1中第</w:t>
      </w:r>
      <w:r>
        <w:rPr>
          <w:rFonts w:hint="eastAsia" w:ascii="宋体" w:hAnsi="宋体" w:eastAsia="宋体" w:cs="宋体"/>
          <w:color w:val="auto"/>
          <w:kern w:val="0"/>
          <w:szCs w:val="21"/>
          <w:highlight w:val="none"/>
        </w:rPr>
        <w:t>3条的证明材料；（如适用）</w:t>
      </w:r>
      <w:r>
        <w:rPr>
          <w:color w:val="auto"/>
          <w:highlight w:val="none"/>
        </w:rPr>
        <w:tab/>
      </w:r>
      <w:r>
        <w:rPr>
          <w:color w:val="auto"/>
          <w:highlight w:val="none"/>
        </w:rPr>
        <w:fldChar w:fldCharType="begin"/>
      </w:r>
      <w:r>
        <w:rPr>
          <w:color w:val="auto"/>
          <w:highlight w:val="none"/>
        </w:rPr>
        <w:instrText xml:space="preserve"> PAGEREF _Toc18275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6034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_Toc7135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★8.8响应承诺书</w:t>
      </w:r>
      <w:r>
        <w:rPr>
          <w:color w:val="auto"/>
          <w:highlight w:val="none"/>
        </w:rPr>
        <w:tab/>
      </w:r>
      <w:r>
        <w:rPr>
          <w:color w:val="auto"/>
          <w:highlight w:val="none"/>
        </w:rPr>
        <w:fldChar w:fldCharType="begin"/>
      </w:r>
      <w:r>
        <w:rPr>
          <w:color w:val="auto"/>
          <w:highlight w:val="none"/>
        </w:rPr>
        <w:instrText xml:space="preserve"> PAGEREF _Toc7135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A894AB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_Toc12748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★8.9磋商保证金凭证（如适用）</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3F0A52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_Toc11797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8.10供应商基本情况表</w:t>
      </w:r>
      <w:r>
        <w:rPr>
          <w:color w:val="auto"/>
          <w:highlight w:val="none"/>
        </w:rPr>
        <w:tab/>
      </w:r>
      <w:r>
        <w:rPr>
          <w:color w:val="auto"/>
          <w:highlight w:val="none"/>
        </w:rPr>
        <w:fldChar w:fldCharType="begin"/>
      </w:r>
      <w:r>
        <w:rPr>
          <w:color w:val="auto"/>
          <w:highlight w:val="none"/>
        </w:rPr>
        <w:instrText xml:space="preserve"> PAGEREF _Toc11797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28CFE4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_Toc22140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8.11近三年内类似项目情况表及用户证明</w:t>
      </w:r>
      <w:r>
        <w:rPr>
          <w:color w:val="auto"/>
          <w:highlight w:val="none"/>
        </w:rPr>
        <w:tab/>
      </w:r>
      <w:r>
        <w:rPr>
          <w:color w:val="auto"/>
          <w:highlight w:val="none"/>
        </w:rPr>
        <w:fldChar w:fldCharType="begin"/>
      </w:r>
      <w:r>
        <w:rPr>
          <w:color w:val="auto"/>
          <w:highlight w:val="none"/>
        </w:rPr>
        <w:instrText xml:space="preserve"> PAGEREF _Toc22140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EC16BC7">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_Toc16175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8.12技术方案</w:t>
      </w:r>
      <w:r>
        <w:rPr>
          <w:color w:val="auto"/>
          <w:highlight w:val="none"/>
        </w:rPr>
        <w:tab/>
      </w:r>
      <w:r>
        <w:rPr>
          <w:color w:val="auto"/>
          <w:highlight w:val="none"/>
        </w:rPr>
        <w:fldChar w:fldCharType="begin"/>
      </w:r>
      <w:r>
        <w:rPr>
          <w:color w:val="auto"/>
          <w:highlight w:val="none"/>
        </w:rPr>
        <w:instrText xml:space="preserve"> PAGEREF _Toc16175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90EC08">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_Toc29262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★8.13中小企业声明函</w:t>
      </w:r>
      <w:r>
        <w:rPr>
          <w:color w:val="auto"/>
          <w:highlight w:val="none"/>
        </w:rPr>
        <w:tab/>
      </w:r>
      <w:r>
        <w:rPr>
          <w:color w:val="auto"/>
          <w:highlight w:val="none"/>
        </w:rPr>
        <w:fldChar w:fldCharType="begin"/>
      </w:r>
      <w:r>
        <w:rPr>
          <w:color w:val="auto"/>
          <w:highlight w:val="none"/>
        </w:rPr>
        <w:instrText xml:space="preserve"> PAGEREF _Toc29262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064F1A">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_Toc6265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8.14残疾人福利性单位声明函（格式，不符合条件无须提交）</w:t>
      </w:r>
      <w:r>
        <w:rPr>
          <w:color w:val="auto"/>
          <w:highlight w:val="none"/>
        </w:rPr>
        <w:tab/>
      </w:r>
      <w:r>
        <w:rPr>
          <w:color w:val="auto"/>
          <w:highlight w:val="none"/>
        </w:rPr>
        <w:fldChar w:fldCharType="begin"/>
      </w:r>
      <w:r>
        <w:rPr>
          <w:color w:val="auto"/>
          <w:highlight w:val="none"/>
        </w:rPr>
        <w:instrText xml:space="preserve"> PAGEREF _Toc6265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62EE88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_Toc4562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8.15监狱企业证明文件（如适用）</w:t>
      </w:r>
      <w:r>
        <w:rPr>
          <w:color w:val="auto"/>
          <w:highlight w:val="none"/>
        </w:rPr>
        <w:tab/>
      </w:r>
      <w:r>
        <w:rPr>
          <w:color w:val="auto"/>
          <w:highlight w:val="none"/>
        </w:rPr>
        <w:fldChar w:fldCharType="begin"/>
      </w:r>
      <w:r>
        <w:rPr>
          <w:color w:val="auto"/>
          <w:highlight w:val="none"/>
        </w:rPr>
        <w:instrText xml:space="preserve"> PAGEREF _Toc4562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954148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_Toc8941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8.16节能产品、环境标志产品、信息安全产品证明材料（如适用）</w:t>
      </w:r>
      <w:r>
        <w:rPr>
          <w:color w:val="auto"/>
          <w:highlight w:val="none"/>
        </w:rPr>
        <w:tab/>
      </w:r>
      <w:r>
        <w:rPr>
          <w:color w:val="auto"/>
          <w:highlight w:val="none"/>
        </w:rPr>
        <w:fldChar w:fldCharType="begin"/>
      </w:r>
      <w:r>
        <w:rPr>
          <w:color w:val="auto"/>
          <w:highlight w:val="none"/>
        </w:rPr>
        <w:instrText xml:space="preserve"> PAGEREF _Toc8941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8DAC4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_Toc30232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8.17磋商文件要求的其它文件及供应商认为有必要提供的其它文件</w:t>
      </w:r>
      <w:r>
        <w:rPr>
          <w:color w:val="auto"/>
          <w:highlight w:val="none"/>
        </w:rPr>
        <w:tab/>
      </w:r>
      <w:r>
        <w:rPr>
          <w:color w:val="auto"/>
          <w:highlight w:val="none"/>
        </w:rPr>
        <w:fldChar w:fldCharType="begin"/>
      </w:r>
      <w:r>
        <w:rPr>
          <w:color w:val="auto"/>
          <w:highlight w:val="none"/>
        </w:rPr>
        <w:instrText xml:space="preserve"> PAGEREF _Toc30232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BCF91F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8.18关于中小企业、监狱企业、残疾人福利性单位的相关规定</w:t>
      </w:r>
      <w:r>
        <w:rPr>
          <w:color w:val="auto"/>
          <w:highlight w:val="none"/>
        </w:rPr>
        <w:tab/>
      </w:r>
      <w:r>
        <w:rPr>
          <w:color w:val="auto"/>
          <w:highlight w:val="none"/>
        </w:rPr>
        <w:fldChar w:fldCharType="begin"/>
      </w:r>
      <w:r>
        <w:rPr>
          <w:color w:val="auto"/>
          <w:highlight w:val="none"/>
        </w:rPr>
        <w:instrText xml:space="preserve"> PAGEREF _Toc12116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5909C8C">
      <w:pPr>
        <w:spacing w:line="1000" w:lineRule="exact"/>
        <w:rPr>
          <w:rFonts w:hint="eastAsia" w:ascii="宋体" w:hAnsi="宋体" w:eastAsia="宋体" w:cs="宋体"/>
          <w:color w:val="auto"/>
          <w:highlight w:val="none"/>
        </w:rPr>
      </w:pPr>
      <w:r>
        <w:rPr>
          <w:rFonts w:hint="eastAsia" w:ascii="宋体" w:hAnsi="宋体" w:eastAsia="宋体" w:cs="宋体"/>
          <w:bCs/>
          <w:color w:val="auto"/>
          <w:szCs w:val="32"/>
          <w:highlight w:val="none"/>
          <w:lang w:val="zh-CN"/>
        </w:rPr>
        <w:fldChar w:fldCharType="end"/>
      </w:r>
    </w:p>
    <w:p w14:paraId="75D73A4A">
      <w:pPr>
        <w:spacing w:line="360" w:lineRule="auto"/>
        <w:rPr>
          <w:rFonts w:hint="eastAsia" w:ascii="宋体" w:hAnsi="宋体" w:eastAsia="宋体" w:cs="宋体"/>
          <w:color w:val="auto"/>
          <w:highlight w:val="none"/>
        </w:rPr>
      </w:pPr>
    </w:p>
    <w:p w14:paraId="749E8A7B">
      <w:pPr>
        <w:spacing w:line="360" w:lineRule="auto"/>
        <w:rPr>
          <w:rFonts w:hint="eastAsia" w:ascii="宋体" w:hAnsi="宋体" w:eastAsia="宋体" w:cs="宋体"/>
          <w:color w:val="auto"/>
          <w:highlight w:val="none"/>
        </w:rPr>
      </w:pPr>
    </w:p>
    <w:p w14:paraId="32BBE7D1">
      <w:pPr>
        <w:spacing w:line="360" w:lineRule="auto"/>
        <w:rPr>
          <w:rFonts w:hint="eastAsia" w:ascii="宋体" w:hAnsi="宋体" w:eastAsia="宋体" w:cs="宋体"/>
          <w:color w:val="auto"/>
          <w:highlight w:val="none"/>
        </w:rPr>
      </w:pPr>
    </w:p>
    <w:p w14:paraId="7EDCCB92">
      <w:pPr>
        <w:spacing w:line="360" w:lineRule="auto"/>
        <w:rPr>
          <w:rFonts w:hint="eastAsia" w:ascii="宋体" w:hAnsi="宋体" w:eastAsia="宋体" w:cs="宋体"/>
          <w:color w:val="auto"/>
          <w:highlight w:val="none"/>
        </w:rPr>
      </w:pPr>
    </w:p>
    <w:p w14:paraId="5597E3B8">
      <w:pPr>
        <w:spacing w:line="360" w:lineRule="auto"/>
        <w:rPr>
          <w:rFonts w:hint="eastAsia" w:ascii="宋体" w:hAnsi="宋体" w:eastAsia="宋体" w:cs="宋体"/>
          <w:color w:val="auto"/>
          <w:highlight w:val="none"/>
        </w:rPr>
      </w:pPr>
    </w:p>
    <w:p w14:paraId="6D3067D5">
      <w:pPr>
        <w:spacing w:line="360" w:lineRule="auto"/>
        <w:rPr>
          <w:rFonts w:hint="eastAsia" w:ascii="宋体" w:hAnsi="宋体" w:eastAsia="宋体" w:cs="宋体"/>
          <w:color w:val="auto"/>
          <w:highlight w:val="none"/>
        </w:rPr>
      </w:pPr>
    </w:p>
    <w:p w14:paraId="5EF786F7">
      <w:pPr>
        <w:spacing w:line="360" w:lineRule="auto"/>
        <w:rPr>
          <w:rFonts w:hint="eastAsia" w:ascii="宋体" w:hAnsi="宋体" w:eastAsia="宋体" w:cs="宋体"/>
          <w:color w:val="auto"/>
          <w:highlight w:val="none"/>
        </w:rPr>
      </w:pPr>
    </w:p>
    <w:p w14:paraId="050FA338">
      <w:pPr>
        <w:pStyle w:val="20"/>
        <w:rPr>
          <w:rFonts w:hint="eastAsia" w:ascii="宋体" w:hAnsi="宋体" w:eastAsia="宋体" w:cs="宋体"/>
          <w:color w:val="auto"/>
          <w:highlight w:val="none"/>
        </w:rPr>
      </w:pPr>
    </w:p>
    <w:p w14:paraId="452FEB2C">
      <w:pPr>
        <w:pStyle w:val="20"/>
        <w:rPr>
          <w:rFonts w:hint="eastAsia" w:ascii="宋体" w:hAnsi="宋体" w:eastAsia="宋体" w:cs="宋体"/>
          <w:color w:val="auto"/>
          <w:highlight w:val="none"/>
        </w:rPr>
      </w:pPr>
    </w:p>
    <w:p w14:paraId="73EEBD37">
      <w:pPr>
        <w:pStyle w:val="20"/>
        <w:rPr>
          <w:rFonts w:hint="eastAsia" w:ascii="宋体" w:hAnsi="宋体" w:eastAsia="宋体" w:cs="宋体"/>
          <w:color w:val="auto"/>
          <w:highlight w:val="none"/>
        </w:rPr>
      </w:pPr>
    </w:p>
    <w:p w14:paraId="0C8520BA">
      <w:pPr>
        <w:pStyle w:val="20"/>
        <w:rPr>
          <w:rFonts w:hint="eastAsia" w:ascii="宋体" w:hAnsi="宋体" w:eastAsia="宋体" w:cs="宋体"/>
          <w:color w:val="auto"/>
          <w:highlight w:val="none"/>
        </w:rPr>
      </w:pPr>
    </w:p>
    <w:p w14:paraId="04F9E335">
      <w:pPr>
        <w:pStyle w:val="20"/>
        <w:rPr>
          <w:rFonts w:hint="eastAsia" w:ascii="宋体" w:hAnsi="宋体" w:eastAsia="宋体" w:cs="宋体"/>
          <w:color w:val="auto"/>
          <w:highlight w:val="none"/>
        </w:rPr>
      </w:pPr>
    </w:p>
    <w:p w14:paraId="463CB0E6">
      <w:pPr>
        <w:pStyle w:val="21"/>
        <w:rPr>
          <w:rFonts w:hint="eastAsia" w:ascii="宋体" w:hAnsi="宋体" w:eastAsia="宋体" w:cs="宋体"/>
          <w:color w:val="auto"/>
          <w:highlight w:val="none"/>
        </w:rPr>
      </w:pPr>
    </w:p>
    <w:p w14:paraId="47F29F0B">
      <w:pPr>
        <w:rPr>
          <w:rFonts w:hint="eastAsia" w:ascii="宋体" w:hAnsi="宋体" w:eastAsia="宋体" w:cs="宋体"/>
          <w:color w:val="auto"/>
          <w:highlight w:val="none"/>
        </w:rPr>
      </w:pPr>
    </w:p>
    <w:p w14:paraId="25A1FBE5">
      <w:pPr>
        <w:rPr>
          <w:rFonts w:hint="eastAsia" w:ascii="宋体" w:hAnsi="宋体" w:eastAsia="宋体" w:cs="宋体"/>
          <w:color w:val="auto"/>
          <w:highlight w:val="none"/>
        </w:rPr>
      </w:pPr>
    </w:p>
    <w:p w14:paraId="50F85A48">
      <w:pPr>
        <w:rPr>
          <w:rFonts w:hint="eastAsia" w:ascii="宋体" w:hAnsi="宋体" w:eastAsia="宋体" w:cs="宋体"/>
          <w:color w:val="auto"/>
          <w:highlight w:val="none"/>
        </w:rPr>
      </w:pPr>
    </w:p>
    <w:p w14:paraId="747D444C">
      <w:pPr>
        <w:rPr>
          <w:rFonts w:hint="eastAsia" w:ascii="宋体" w:hAnsi="宋体" w:eastAsia="宋体" w:cs="宋体"/>
          <w:color w:val="auto"/>
          <w:highlight w:val="none"/>
        </w:rPr>
      </w:pPr>
    </w:p>
    <w:p w14:paraId="38A68BE2">
      <w:pPr>
        <w:rPr>
          <w:rFonts w:hint="eastAsia" w:ascii="宋体" w:hAnsi="宋体" w:eastAsia="宋体" w:cs="宋体"/>
          <w:color w:val="auto"/>
          <w:highlight w:val="none"/>
        </w:rPr>
      </w:pPr>
    </w:p>
    <w:p w14:paraId="3C5FBCDA">
      <w:pPr>
        <w:pStyle w:val="20"/>
        <w:rPr>
          <w:rFonts w:hint="eastAsia" w:ascii="宋体" w:hAnsi="宋体" w:eastAsia="宋体" w:cs="宋体"/>
          <w:color w:val="auto"/>
          <w:highlight w:val="none"/>
        </w:rPr>
      </w:pPr>
    </w:p>
    <w:p w14:paraId="00A07875">
      <w:pPr>
        <w:pStyle w:val="20"/>
        <w:rPr>
          <w:rFonts w:hint="eastAsia" w:ascii="宋体" w:hAnsi="宋体" w:eastAsia="宋体" w:cs="宋体"/>
          <w:color w:val="auto"/>
          <w:highlight w:val="none"/>
        </w:rPr>
      </w:pPr>
    </w:p>
    <w:p w14:paraId="04071235">
      <w:pPr>
        <w:spacing w:line="360" w:lineRule="auto"/>
        <w:rPr>
          <w:rFonts w:hint="eastAsia" w:ascii="宋体" w:hAnsi="宋体" w:eastAsia="宋体" w:cs="宋体"/>
          <w:color w:val="auto"/>
          <w:highlight w:val="none"/>
        </w:rPr>
      </w:pPr>
    </w:p>
    <w:p w14:paraId="4706646A">
      <w:pPr>
        <w:pStyle w:val="2"/>
        <w:spacing w:line="360" w:lineRule="auto"/>
        <w:ind w:left="0" w:firstLine="0"/>
        <w:rPr>
          <w:rFonts w:hint="eastAsia" w:ascii="宋体" w:hAnsi="宋体" w:eastAsia="宋体" w:cs="宋体"/>
          <w:color w:val="auto"/>
          <w:sz w:val="44"/>
          <w:szCs w:val="44"/>
          <w:highlight w:val="none"/>
        </w:rPr>
      </w:pPr>
      <w:bookmarkStart w:id="2" w:name="_Toc525983991"/>
      <w:bookmarkStart w:id="3" w:name="_Toc436256496"/>
      <w:bookmarkStart w:id="4" w:name="_Toc22334"/>
      <w:r>
        <w:rPr>
          <w:rFonts w:hint="eastAsia" w:ascii="宋体" w:hAnsi="宋体" w:eastAsia="宋体" w:cs="宋体"/>
          <w:color w:val="auto"/>
          <w:sz w:val="44"/>
          <w:szCs w:val="44"/>
          <w:highlight w:val="none"/>
        </w:rPr>
        <w:t>第一章竞争性磋商邀请</w:t>
      </w:r>
      <w:bookmarkEnd w:id="2"/>
      <w:bookmarkEnd w:id="3"/>
      <w:bookmarkEnd w:id="4"/>
    </w:p>
    <w:p w14:paraId="55E9FB61">
      <w:pPr>
        <w:spacing w:line="360" w:lineRule="auto"/>
        <w:rPr>
          <w:rFonts w:hint="eastAsia" w:ascii="宋体" w:hAnsi="宋体" w:eastAsia="宋体" w:cs="宋体"/>
          <w:color w:val="auto"/>
          <w:sz w:val="10"/>
          <w:szCs w:val="10"/>
          <w:highlight w:val="none"/>
        </w:rPr>
      </w:pPr>
    </w:p>
    <w:p w14:paraId="3990A73F">
      <w:pPr>
        <w:jc w:val="center"/>
        <w:rPr>
          <w:rFonts w:hint="eastAsia" w:ascii="宋体" w:hAnsi="宋体" w:eastAsia="宋体" w:cs="宋体"/>
          <w:b/>
          <w:color w:val="auto"/>
          <w:sz w:val="32"/>
          <w:highlight w:val="none"/>
        </w:rPr>
      </w:pPr>
      <w:bookmarkStart w:id="5" w:name="_Toc28359011"/>
      <w:bookmarkStart w:id="6" w:name="_Toc35393797"/>
      <w:r>
        <w:rPr>
          <w:rFonts w:hint="eastAsia" w:ascii="宋体" w:hAnsi="宋体" w:eastAsia="宋体" w:cs="宋体"/>
          <w:b/>
          <w:color w:val="auto"/>
          <w:sz w:val="32"/>
          <w:highlight w:val="none"/>
        </w:rPr>
        <w:br w:type="page"/>
      </w:r>
      <w:bookmarkEnd w:id="5"/>
      <w:bookmarkEnd w:id="6"/>
      <w:r>
        <w:rPr>
          <w:rFonts w:hint="eastAsia" w:ascii="宋体" w:hAnsi="宋体" w:eastAsia="宋体" w:cs="宋体"/>
          <w:b/>
          <w:color w:val="auto"/>
          <w:sz w:val="32"/>
          <w:highlight w:val="none"/>
        </w:rPr>
        <w:t>竞争性磋商公告</w:t>
      </w:r>
    </w:p>
    <w:p w14:paraId="5764F0DF">
      <w:pPr>
        <w:rPr>
          <w:rFonts w:hint="eastAsia" w:ascii="宋体" w:hAnsi="宋体" w:eastAsia="宋体" w:cs="宋体"/>
          <w:color w:val="auto"/>
          <w:highlight w:val="none"/>
        </w:rPr>
      </w:pPr>
    </w:p>
    <w:p w14:paraId="46AE17F2">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D224D57">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乌鲁木齐高新区（新市区）2017年美丽乡村建设ppp项目（B包）、乌鲁木齐高新区（新市区）城北新区路灯及农村路灯建设ppp复核项目审计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u w:val="single"/>
          <w:lang w:val="en-US" w:eastAsia="zh-CN"/>
        </w:rPr>
        <w:t>获取采购文件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lang w:eastAsia="zh-CN"/>
        </w:rPr>
        <w:t>2025年7月14日11点00分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53CFDE35">
      <w:pPr>
        <w:spacing w:line="300" w:lineRule="exact"/>
        <w:ind w:firstLine="200"/>
        <w:rPr>
          <w:rFonts w:hint="eastAsia" w:ascii="宋体" w:hAnsi="宋体" w:eastAsia="宋体" w:cs="宋体"/>
          <w:color w:val="auto"/>
          <w:sz w:val="24"/>
          <w:szCs w:val="24"/>
          <w:highlight w:val="none"/>
        </w:rPr>
      </w:pPr>
    </w:p>
    <w:p w14:paraId="1AD4E943">
      <w:pPr>
        <w:spacing w:line="300" w:lineRule="exact"/>
        <w:ind w:firstLine="200"/>
        <w:rPr>
          <w:rFonts w:hint="eastAsia" w:ascii="宋体" w:hAnsi="宋体" w:eastAsia="宋体" w:cs="宋体"/>
          <w:b/>
          <w:color w:val="auto"/>
          <w:sz w:val="24"/>
          <w:szCs w:val="24"/>
          <w:highlight w:val="none"/>
        </w:rPr>
      </w:pPr>
      <w:bookmarkStart w:id="7" w:name="_Toc28359089"/>
      <w:bookmarkStart w:id="8" w:name="_Toc35393629"/>
      <w:bookmarkStart w:id="9" w:name="_Toc35393798"/>
      <w:bookmarkStart w:id="10" w:name="_Toc28359012"/>
      <w:r>
        <w:rPr>
          <w:rFonts w:hint="eastAsia" w:ascii="宋体" w:hAnsi="宋体" w:eastAsia="宋体" w:cs="宋体"/>
          <w:b/>
          <w:color w:val="auto"/>
          <w:sz w:val="24"/>
          <w:szCs w:val="24"/>
          <w:highlight w:val="none"/>
        </w:rPr>
        <w:t>一、项目基本情况</w:t>
      </w:r>
      <w:bookmarkEnd w:id="7"/>
      <w:bookmarkEnd w:id="8"/>
      <w:bookmarkEnd w:id="9"/>
      <w:bookmarkEnd w:id="10"/>
    </w:p>
    <w:p w14:paraId="555B9C59">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GXXG-2025-ZFCG038</w:t>
      </w:r>
    </w:p>
    <w:p w14:paraId="5217D684">
      <w:pPr>
        <w:spacing w:line="60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乌鲁木齐高新区（新市区）2017年美丽乡村建设ppp项目（B包）、乌鲁木齐高新区（新市区）城北新区路灯及农村路灯建设ppp复核项目审计</w:t>
      </w:r>
    </w:p>
    <w:p w14:paraId="09254EF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333ECD5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265100.00</w:t>
      </w:r>
      <w:r>
        <w:rPr>
          <w:rFonts w:hint="eastAsia" w:ascii="宋体" w:hAnsi="宋体" w:eastAsia="宋体" w:cs="宋体"/>
          <w:color w:val="auto"/>
          <w:sz w:val="24"/>
          <w:szCs w:val="24"/>
          <w:highlight w:val="none"/>
          <w:lang w:val="en-US" w:eastAsia="zh-CN"/>
        </w:rPr>
        <w:t>元</w:t>
      </w:r>
    </w:p>
    <w:p w14:paraId="448FAFC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265100.00</w:t>
      </w:r>
      <w:r>
        <w:rPr>
          <w:rFonts w:hint="eastAsia" w:ascii="宋体" w:hAnsi="宋体" w:eastAsia="宋体" w:cs="宋体"/>
          <w:color w:val="auto"/>
          <w:sz w:val="24"/>
          <w:szCs w:val="24"/>
          <w:highlight w:val="none"/>
          <w:lang w:val="en-US" w:eastAsia="zh-CN"/>
        </w:rPr>
        <w:t>元</w:t>
      </w:r>
    </w:p>
    <w:p w14:paraId="4659820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选</w:t>
      </w:r>
      <w:r>
        <w:rPr>
          <w:rFonts w:hint="eastAsia" w:ascii="宋体" w:hAnsi="宋体" w:cs="宋体"/>
          <w:color w:val="auto"/>
          <w:sz w:val="24"/>
          <w:szCs w:val="24"/>
          <w:highlight w:val="none"/>
          <w:lang w:val="en-US"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rPr>
        <w:t>。</w:t>
      </w:r>
    </w:p>
    <w:p w14:paraId="36771994">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243055D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rPr>
        <w:t>否</w:t>
      </w:r>
      <w:r>
        <w:rPr>
          <w:rFonts w:hint="eastAsia" w:ascii="宋体" w:hAnsi="宋体" w:eastAsia="宋体" w:cs="宋体"/>
          <w:color w:val="auto"/>
          <w:sz w:val="24"/>
          <w:szCs w:val="24"/>
          <w:highlight w:val="none"/>
        </w:rPr>
        <w:t>）接受联合体。</w:t>
      </w:r>
    </w:p>
    <w:p w14:paraId="17F9E97E">
      <w:pPr>
        <w:spacing w:line="600" w:lineRule="exact"/>
        <w:ind w:firstLine="200"/>
        <w:rPr>
          <w:rFonts w:hint="eastAsia" w:ascii="宋体" w:hAnsi="宋体" w:eastAsia="宋体" w:cs="宋体"/>
          <w:b/>
          <w:color w:val="auto"/>
          <w:sz w:val="24"/>
          <w:szCs w:val="24"/>
          <w:highlight w:val="none"/>
        </w:rPr>
      </w:pPr>
      <w:bookmarkStart w:id="11" w:name="_Toc28359090"/>
      <w:bookmarkStart w:id="12" w:name="_Toc35393799"/>
      <w:bookmarkStart w:id="13" w:name="_Toc28359013"/>
      <w:bookmarkStart w:id="14" w:name="_Toc35393630"/>
      <w:r>
        <w:rPr>
          <w:rFonts w:hint="eastAsia" w:ascii="宋体" w:hAnsi="宋体" w:eastAsia="宋体" w:cs="宋体"/>
          <w:b/>
          <w:color w:val="auto"/>
          <w:sz w:val="24"/>
          <w:szCs w:val="24"/>
          <w:highlight w:val="none"/>
        </w:rPr>
        <w:t>二、申请人的资格要求：</w:t>
      </w:r>
      <w:bookmarkEnd w:id="11"/>
      <w:bookmarkEnd w:id="12"/>
      <w:bookmarkEnd w:id="13"/>
      <w:bookmarkEnd w:id="14"/>
    </w:p>
    <w:p w14:paraId="613D4D3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CD14D6B">
      <w:pPr>
        <w:spacing w:line="600" w:lineRule="exact"/>
        <w:ind w:firstLine="480" w:firstLineChars="200"/>
        <w:rPr>
          <w:rFonts w:hint="eastAsia" w:ascii="宋体" w:hAnsi="宋体" w:eastAsia="宋体" w:cs="宋体"/>
          <w:color w:val="auto"/>
          <w:sz w:val="24"/>
          <w:szCs w:val="24"/>
          <w:highlight w:val="none"/>
        </w:rPr>
      </w:pPr>
      <w:bookmarkStart w:id="15" w:name="_Toc28359014"/>
      <w:bookmarkStart w:id="16" w:name="_Toc28359091"/>
      <w:r>
        <w:rPr>
          <w:rFonts w:hint="eastAsia" w:ascii="宋体" w:hAnsi="宋体" w:eastAsia="宋体" w:cs="宋体"/>
          <w:color w:val="auto"/>
          <w:sz w:val="24"/>
          <w:szCs w:val="24"/>
          <w:highlight w:val="none"/>
        </w:rPr>
        <w:t>2.落实政府采购政策需满足的资格要求：</w:t>
      </w:r>
      <w:bookmarkStart w:id="426" w:name="_GoBack"/>
      <w:bookmarkEnd w:id="426"/>
    </w:p>
    <w:p w14:paraId="6E1E5EC0">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单位负责人为同一人或者存在直接控股、管理关系的不同供应商，不得同时参加本项目同一包的投标；</w:t>
      </w:r>
    </w:p>
    <w:p w14:paraId="08DF44E2">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为本项目某包提供整体设计、规范编制或者项目管理、监理、检测等服务的供应商，不得参加该包的投标；</w:t>
      </w:r>
    </w:p>
    <w:p w14:paraId="15231D58">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未被“信用中国”网站（www.creditchina.gov.cn）、“中国政府采购网”（www.ccgp.gov.cn）列入失信被执行人、重大税收违法案件当事人名单、政府采购严重失信行为记录名单；</w:t>
      </w:r>
    </w:p>
    <w:p w14:paraId="1CF95ED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lang w:eastAsia="zh-CN"/>
        </w:rPr>
        <w:t>本项目专门面向中小企业采购</w:t>
      </w:r>
      <w:r>
        <w:rPr>
          <w:rFonts w:hint="eastAsia" w:ascii="宋体" w:hAnsi="宋体" w:eastAsia="宋体" w:cs="宋体"/>
          <w:color w:val="auto"/>
          <w:sz w:val="24"/>
          <w:szCs w:val="24"/>
          <w:highlight w:val="none"/>
          <w:u w:val="single"/>
        </w:rPr>
        <w:t>。</w:t>
      </w:r>
    </w:p>
    <w:p w14:paraId="340559AD">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bookmarkStart w:id="17" w:name="_Toc35393631"/>
      <w:bookmarkStart w:id="18" w:name="_Toc35393800"/>
    </w:p>
    <w:p w14:paraId="2576C8E8">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1）投标人具有会计师事务所执业证书，并在人员、设备、资金等方面具有承担本项目的能力。</w:t>
      </w:r>
    </w:p>
    <w:p w14:paraId="13DFE4AB">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（2）项目负责人必须具有注册会计师证书，且在有效期内。</w:t>
      </w:r>
    </w:p>
    <w:p w14:paraId="34B55ED8">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15"/>
      <w:bookmarkEnd w:id="16"/>
      <w:bookmarkEnd w:id="17"/>
      <w:bookmarkEnd w:id="18"/>
    </w:p>
    <w:p w14:paraId="775902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，天上午00:00至1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:00至23:59（北京时间，法定节假日除外）</w:t>
      </w:r>
    </w:p>
    <w:p w14:paraId="59CCE8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地点：政采云平台https://www.zcygov.cn/</w:t>
      </w:r>
    </w:p>
    <w:p w14:paraId="6608E539">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120C351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元/份</w:t>
      </w:r>
    </w:p>
    <w:p w14:paraId="6E55B598">
      <w:pPr>
        <w:spacing w:line="600" w:lineRule="exact"/>
        <w:ind w:firstLine="200"/>
        <w:rPr>
          <w:rFonts w:hint="eastAsia" w:ascii="宋体" w:hAnsi="宋体" w:eastAsia="宋体" w:cs="宋体"/>
          <w:b/>
          <w:color w:val="auto"/>
          <w:sz w:val="24"/>
          <w:szCs w:val="24"/>
          <w:highlight w:val="none"/>
        </w:rPr>
      </w:pPr>
      <w:bookmarkStart w:id="19" w:name="_Toc35393801"/>
      <w:bookmarkStart w:id="20" w:name="_Toc28359015"/>
      <w:bookmarkStart w:id="21" w:name="_Toc28359092"/>
      <w:bookmarkStart w:id="22" w:name="_Toc35393632"/>
      <w:r>
        <w:rPr>
          <w:rFonts w:hint="eastAsia" w:ascii="宋体" w:hAnsi="宋体" w:eastAsia="宋体" w:cs="宋体"/>
          <w:b/>
          <w:color w:val="auto"/>
          <w:sz w:val="24"/>
          <w:szCs w:val="24"/>
          <w:highlight w:val="none"/>
        </w:rPr>
        <w:t>四、响应文件提交</w:t>
      </w:r>
      <w:bookmarkEnd w:id="19"/>
      <w:bookmarkEnd w:id="20"/>
      <w:bookmarkEnd w:id="21"/>
      <w:bookmarkEnd w:id="22"/>
    </w:p>
    <w:p w14:paraId="44B15A8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2025年7月14日11点00分</w:t>
      </w:r>
      <w:r>
        <w:rPr>
          <w:rFonts w:hint="eastAsia" w:ascii="宋体" w:hAnsi="宋体" w:eastAsia="宋体" w:cs="宋体"/>
          <w:color w:val="auto"/>
          <w:sz w:val="24"/>
          <w:szCs w:val="24"/>
          <w:highlight w:val="none"/>
        </w:rPr>
        <w:t>（北京时间）</w:t>
      </w:r>
    </w:p>
    <w:p w14:paraId="14A207A6">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54976301">
      <w:pPr>
        <w:spacing w:line="600" w:lineRule="exact"/>
        <w:ind w:firstLine="200"/>
        <w:rPr>
          <w:rFonts w:hint="eastAsia" w:ascii="宋体" w:hAnsi="宋体" w:eastAsia="宋体" w:cs="宋体"/>
          <w:b/>
          <w:color w:val="auto"/>
          <w:sz w:val="24"/>
          <w:szCs w:val="24"/>
          <w:highlight w:val="none"/>
        </w:rPr>
      </w:pPr>
      <w:bookmarkStart w:id="23" w:name="_Toc35393802"/>
      <w:bookmarkStart w:id="24" w:name="_Toc28359016"/>
      <w:bookmarkStart w:id="25" w:name="_Toc28359093"/>
      <w:bookmarkStart w:id="26" w:name="_Toc35393633"/>
      <w:r>
        <w:rPr>
          <w:rFonts w:hint="eastAsia" w:ascii="宋体" w:hAnsi="宋体" w:eastAsia="宋体" w:cs="宋体"/>
          <w:b/>
          <w:color w:val="auto"/>
          <w:sz w:val="24"/>
          <w:szCs w:val="24"/>
          <w:highlight w:val="none"/>
        </w:rPr>
        <w:t>五、开启</w:t>
      </w:r>
      <w:bookmarkEnd w:id="23"/>
      <w:bookmarkEnd w:id="24"/>
      <w:bookmarkEnd w:id="25"/>
      <w:bookmarkEnd w:id="26"/>
    </w:p>
    <w:p w14:paraId="0A6EF600">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2025年7月14日11点00分</w:t>
      </w:r>
      <w:r>
        <w:rPr>
          <w:rFonts w:hint="eastAsia" w:ascii="宋体" w:hAnsi="宋体" w:eastAsia="宋体" w:cs="宋体"/>
          <w:color w:val="auto"/>
          <w:sz w:val="24"/>
          <w:szCs w:val="24"/>
          <w:highlight w:val="none"/>
        </w:rPr>
        <w:t>（北京时间）</w:t>
      </w:r>
    </w:p>
    <w:p w14:paraId="7218CFB9">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10C1E0FB">
      <w:pPr>
        <w:spacing w:line="600" w:lineRule="exact"/>
        <w:ind w:firstLine="200"/>
        <w:rPr>
          <w:rFonts w:hint="eastAsia" w:ascii="宋体" w:hAnsi="宋体" w:eastAsia="宋体" w:cs="宋体"/>
          <w:b/>
          <w:color w:val="auto"/>
          <w:sz w:val="24"/>
          <w:szCs w:val="24"/>
          <w:highlight w:val="none"/>
        </w:rPr>
      </w:pPr>
      <w:bookmarkStart w:id="27" w:name="_Toc28359017"/>
      <w:bookmarkStart w:id="28" w:name="_Toc35393803"/>
      <w:bookmarkStart w:id="29" w:name="_Toc35393634"/>
      <w:bookmarkStart w:id="30" w:name="_Toc28359094"/>
      <w:r>
        <w:rPr>
          <w:rFonts w:hint="eastAsia" w:ascii="宋体" w:hAnsi="宋体" w:eastAsia="宋体" w:cs="宋体"/>
          <w:b/>
          <w:color w:val="auto"/>
          <w:sz w:val="24"/>
          <w:szCs w:val="24"/>
          <w:highlight w:val="none"/>
        </w:rPr>
        <w:t>六、公告期限</w:t>
      </w:r>
      <w:bookmarkEnd w:id="27"/>
      <w:bookmarkEnd w:id="28"/>
      <w:bookmarkEnd w:id="29"/>
      <w:bookmarkEnd w:id="30"/>
    </w:p>
    <w:p w14:paraId="53DDBC7F">
      <w:pPr>
        <w:spacing w:line="6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C494716">
      <w:pPr>
        <w:spacing w:line="600" w:lineRule="exact"/>
        <w:ind w:firstLine="200"/>
        <w:rPr>
          <w:rFonts w:hint="eastAsia" w:ascii="宋体" w:hAnsi="宋体" w:eastAsia="宋体" w:cs="宋体"/>
          <w:b/>
          <w:color w:val="auto"/>
          <w:sz w:val="24"/>
          <w:szCs w:val="24"/>
          <w:highlight w:val="none"/>
        </w:rPr>
      </w:pPr>
      <w:bookmarkStart w:id="31" w:name="_Toc35393635"/>
      <w:bookmarkStart w:id="32" w:name="_Toc35393804"/>
      <w:r>
        <w:rPr>
          <w:rFonts w:hint="eastAsia" w:ascii="宋体" w:hAnsi="宋体" w:eastAsia="宋体" w:cs="宋体"/>
          <w:b/>
          <w:color w:val="auto"/>
          <w:sz w:val="24"/>
          <w:szCs w:val="24"/>
          <w:highlight w:val="none"/>
        </w:rPr>
        <w:t>七、其他补充事宜</w:t>
      </w:r>
      <w:bookmarkEnd w:id="31"/>
      <w:bookmarkEnd w:id="32"/>
    </w:p>
    <w:p w14:paraId="76DE15D0">
      <w:pPr>
        <w:pStyle w:val="20"/>
        <w:numPr>
          <w:ilvl w:val="0"/>
          <w:numId w:val="2"/>
        </w:numPr>
        <w:spacing w:line="360" w:lineRule="auto"/>
        <w:rPr>
          <w:rFonts w:hint="eastAsia" w:ascii="宋体" w:hAnsi="宋体" w:eastAsia="宋体" w:cs="宋体"/>
          <w:color w:val="auto"/>
          <w:sz w:val="24"/>
          <w:szCs w:val="24"/>
          <w:highlight w:val="none"/>
        </w:rPr>
      </w:pPr>
      <w:bookmarkStart w:id="33" w:name="_Toc35393636"/>
      <w:bookmarkStart w:id="34" w:name="_Toc28359018"/>
      <w:bookmarkStart w:id="35" w:name="_Toc28359095"/>
      <w:bookmarkStart w:id="36" w:name="_Toc35393805"/>
      <w:r>
        <w:rPr>
          <w:rFonts w:hint="eastAsia" w:ascii="宋体" w:hAnsi="宋体" w:eastAsia="宋体" w:cs="宋体"/>
          <w:color w:val="auto"/>
          <w:sz w:val="24"/>
          <w:szCs w:val="24"/>
          <w:highlight w:val="none"/>
        </w:rPr>
        <w:t>本次公告在新疆政府采购网；</w:t>
      </w:r>
    </w:p>
    <w:p w14:paraId="2718D2A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请投标单位随时关注本项目的变更、答疑、澄清文件；</w:t>
      </w:r>
    </w:p>
    <w:p w14:paraId="1941BF4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本项目实行电子招投标，供应商须登录政采云平台申请获取采购文件，并通过政采云电子投标客户端制作投标文件，同时自行承担与投标有关的一切费用；</w:t>
      </w:r>
    </w:p>
    <w:p w14:paraId="300367CA">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3EBEE5F">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59DBBFC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color w:val="auto"/>
          <w:sz w:val="24"/>
          <w:szCs w:val="24"/>
          <w:highlight w:val="none"/>
        </w:rPr>
        <w:fldChar w:fldCharType="separate"/>
      </w:r>
      <w:r>
        <w:rPr>
          <w:rStyle w:val="60"/>
          <w:rFonts w:hint="eastAsia" w:ascii="宋体" w:hAnsi="宋体" w:eastAsia="宋体" w:cs="宋体"/>
          <w:color w:val="auto"/>
          <w:sz w:val="24"/>
          <w:szCs w:val="24"/>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color w:val="auto"/>
          <w:sz w:val="24"/>
          <w:szCs w:val="24"/>
          <w:highlight w:val="none"/>
        </w:rPr>
        <w:fldChar w:fldCharType="end"/>
      </w:r>
    </w:p>
    <w:p w14:paraId="7099ED87">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p>
    <w:p w14:paraId="4EAF317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采购项目需要落实的政府采购政策：</w:t>
      </w:r>
      <w:r>
        <w:rPr>
          <w:rFonts w:hint="eastAsia" w:ascii="宋体" w:hAnsi="宋体" w:eastAsia="宋体" w:cs="宋体"/>
          <w:color w:val="auto"/>
          <w:sz w:val="24"/>
          <w:szCs w:val="24"/>
          <w:highlight w:val="none"/>
        </w:rPr>
        <w:t>节约能源、保护环境、扶持不发达地区和少数民族地区、促进中小企业发展、促进残疾人就业、政府采购信用担保等</w:t>
      </w:r>
    </w:p>
    <w:p w14:paraId="1A04B7D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33"/>
      <w:bookmarkEnd w:id="34"/>
      <w:bookmarkEnd w:id="35"/>
      <w:bookmarkEnd w:id="36"/>
    </w:p>
    <w:p w14:paraId="04D8628C">
      <w:pPr>
        <w:spacing w:line="600" w:lineRule="exact"/>
        <w:ind w:firstLine="200"/>
        <w:rPr>
          <w:rFonts w:hint="eastAsia" w:ascii="宋体" w:hAnsi="宋体" w:eastAsia="宋体" w:cs="宋体"/>
          <w:b/>
          <w:color w:val="auto"/>
          <w:sz w:val="24"/>
          <w:szCs w:val="24"/>
          <w:highlight w:val="none"/>
        </w:rPr>
      </w:pPr>
      <w:bookmarkStart w:id="37" w:name="_Toc28359019"/>
      <w:bookmarkStart w:id="38" w:name="_Toc35393637"/>
      <w:bookmarkStart w:id="39" w:name="_Toc28359096"/>
      <w:bookmarkStart w:id="40" w:name="_Toc35393806"/>
      <w:r>
        <w:rPr>
          <w:rFonts w:hint="eastAsia" w:ascii="宋体" w:hAnsi="宋体" w:eastAsia="宋体" w:cs="宋体"/>
          <w:color w:val="auto"/>
          <w:sz w:val="24"/>
          <w:szCs w:val="24"/>
          <w:highlight w:val="none"/>
        </w:rPr>
        <w:t>1.采购人信息</w:t>
      </w:r>
      <w:bookmarkEnd w:id="37"/>
      <w:bookmarkEnd w:id="38"/>
      <w:bookmarkEnd w:id="39"/>
      <w:bookmarkEnd w:id="40"/>
    </w:p>
    <w:p w14:paraId="2B5731AE">
      <w:pPr>
        <w:spacing w:line="600" w:lineRule="exact"/>
        <w:ind w:left="1759" w:leftChars="266" w:hanging="1200" w:hangingChars="500"/>
        <w:jc w:val="left"/>
        <w:rPr>
          <w:rFonts w:hint="eastAsia" w:ascii="宋体" w:hAnsi="宋体" w:eastAsia="宋体" w:cs="宋体"/>
          <w:color w:val="auto"/>
          <w:sz w:val="24"/>
          <w:szCs w:val="24"/>
          <w:highlight w:val="none"/>
        </w:rPr>
      </w:pPr>
      <w:bookmarkStart w:id="41" w:name="_Toc28359020"/>
      <w:bookmarkStart w:id="42" w:name="_Toc28359097"/>
      <w:bookmarkStart w:id="43" w:name="_Toc35393807"/>
      <w:bookmarkStart w:id="44" w:name="_Toc35393638"/>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乌鲁木齐高新技术产业开发区（乌鲁木齐市新市区）建设局</w:t>
      </w:r>
    </w:p>
    <w:p w14:paraId="668F981B">
      <w:pPr>
        <w:spacing w:line="600" w:lineRule="exact"/>
        <w:ind w:left="1759" w:leftChars="266"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新疆乌鲁木齐高新区（新市区)四平路2288号创新广场A座7楼</w:t>
      </w:r>
    </w:p>
    <w:p w14:paraId="67DEA220">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0991-3653507</w:t>
      </w:r>
    </w:p>
    <w:p w14:paraId="0462B080">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2.采购代理机构信息</w:t>
      </w:r>
      <w:bookmarkEnd w:id="41"/>
      <w:bookmarkEnd w:id="42"/>
      <w:bookmarkEnd w:id="43"/>
      <w:bookmarkEnd w:id="44"/>
    </w:p>
    <w:p w14:paraId="6CCE469D">
      <w:pPr>
        <w:spacing w:line="600" w:lineRule="exact"/>
        <w:ind w:firstLine="480" w:firstLineChars="200"/>
        <w:jc w:val="left"/>
        <w:rPr>
          <w:rFonts w:hint="eastAsia" w:ascii="宋体" w:hAnsi="宋体" w:eastAsia="宋体" w:cs="宋体"/>
          <w:color w:val="auto"/>
          <w:sz w:val="24"/>
          <w:szCs w:val="24"/>
          <w:highlight w:val="none"/>
          <w:lang w:eastAsia="zh-CN"/>
        </w:rPr>
      </w:pPr>
      <w:bookmarkStart w:id="45" w:name="_Toc35393808"/>
      <w:bookmarkStart w:id="46" w:name="_Toc35393639"/>
      <w:bookmarkStart w:id="47" w:name="_Toc28359098"/>
      <w:bookmarkStart w:id="48" w:name="_Toc28359021"/>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乌鲁木齐高新建设工程项目管理咨询有限公司</w:t>
      </w:r>
    </w:p>
    <w:p w14:paraId="020CC407">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新疆乌鲁木齐高新区（新市区)四平路2288号创新广场(二期)G座20层</w:t>
      </w:r>
    </w:p>
    <w:p w14:paraId="49444CD7">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0991-6600851</w:t>
      </w:r>
    </w:p>
    <w:p w14:paraId="18DF78C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3.项目联系方式</w:t>
      </w:r>
      <w:bookmarkEnd w:id="45"/>
      <w:bookmarkEnd w:id="46"/>
      <w:bookmarkEnd w:id="47"/>
      <w:bookmarkEnd w:id="48"/>
    </w:p>
    <w:p w14:paraId="531D9CA7">
      <w:pPr>
        <w:pStyle w:val="28"/>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侯亚娟、王盛嘉</w:t>
      </w:r>
    </w:p>
    <w:p w14:paraId="31ADFE59">
      <w:pPr>
        <w:pStyle w:val="48"/>
        <w:spacing w:before="60" w:beforeAutospacing="0" w:after="60" w:afterAutospacing="0" w:line="6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eastAsia="zh-CN"/>
        </w:rPr>
        <w:t>0991-6600851</w:t>
      </w:r>
    </w:p>
    <w:p w14:paraId="158504B7">
      <w:pPr>
        <w:pStyle w:val="28"/>
        <w:spacing w:line="6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br w:type="page"/>
      </w:r>
    </w:p>
    <w:p w14:paraId="03F3BC7A">
      <w:pPr>
        <w:rPr>
          <w:rFonts w:hint="eastAsia" w:ascii="宋体" w:hAnsi="宋体" w:eastAsia="宋体" w:cs="宋体"/>
          <w:color w:val="auto"/>
          <w:sz w:val="44"/>
          <w:szCs w:val="44"/>
          <w:highlight w:val="none"/>
        </w:rPr>
      </w:pPr>
      <w:bookmarkStart w:id="49" w:name="_Toc525983992"/>
      <w:bookmarkStart w:id="50" w:name="_Toc436256498"/>
    </w:p>
    <w:p w14:paraId="4200A92E">
      <w:pPr>
        <w:rPr>
          <w:rFonts w:hint="eastAsia" w:ascii="宋体" w:hAnsi="宋体" w:eastAsia="宋体" w:cs="宋体"/>
          <w:color w:val="auto"/>
          <w:sz w:val="44"/>
          <w:szCs w:val="44"/>
          <w:highlight w:val="none"/>
        </w:rPr>
      </w:pPr>
    </w:p>
    <w:p w14:paraId="51EFFC15">
      <w:pPr>
        <w:rPr>
          <w:rFonts w:hint="eastAsia" w:ascii="宋体" w:hAnsi="宋体" w:eastAsia="宋体" w:cs="宋体"/>
          <w:color w:val="auto"/>
          <w:sz w:val="44"/>
          <w:szCs w:val="44"/>
          <w:highlight w:val="none"/>
        </w:rPr>
      </w:pPr>
    </w:p>
    <w:p w14:paraId="7CEAFB95">
      <w:pPr>
        <w:rPr>
          <w:rFonts w:hint="eastAsia" w:ascii="宋体" w:hAnsi="宋体" w:eastAsia="宋体" w:cs="宋体"/>
          <w:color w:val="auto"/>
          <w:sz w:val="44"/>
          <w:szCs w:val="44"/>
          <w:highlight w:val="none"/>
        </w:rPr>
      </w:pPr>
    </w:p>
    <w:p w14:paraId="2D652EAB">
      <w:pPr>
        <w:rPr>
          <w:rFonts w:hint="eastAsia" w:ascii="宋体" w:hAnsi="宋体" w:eastAsia="宋体" w:cs="宋体"/>
          <w:color w:val="auto"/>
          <w:sz w:val="44"/>
          <w:szCs w:val="44"/>
          <w:highlight w:val="none"/>
        </w:rPr>
      </w:pPr>
    </w:p>
    <w:p w14:paraId="1BC89247">
      <w:pPr>
        <w:rPr>
          <w:rFonts w:hint="eastAsia" w:ascii="宋体" w:hAnsi="宋体" w:eastAsia="宋体" w:cs="宋体"/>
          <w:color w:val="auto"/>
          <w:sz w:val="44"/>
          <w:szCs w:val="44"/>
          <w:highlight w:val="none"/>
        </w:rPr>
      </w:pPr>
    </w:p>
    <w:p w14:paraId="0B082B54">
      <w:pPr>
        <w:rPr>
          <w:rFonts w:hint="eastAsia" w:ascii="宋体" w:hAnsi="宋体" w:eastAsia="宋体" w:cs="宋体"/>
          <w:color w:val="auto"/>
          <w:sz w:val="44"/>
          <w:szCs w:val="44"/>
          <w:highlight w:val="none"/>
        </w:rPr>
      </w:pPr>
    </w:p>
    <w:p w14:paraId="512BF7CA">
      <w:pPr>
        <w:rPr>
          <w:rFonts w:hint="eastAsia" w:ascii="宋体" w:hAnsi="宋体" w:eastAsia="宋体" w:cs="宋体"/>
          <w:color w:val="auto"/>
          <w:sz w:val="44"/>
          <w:szCs w:val="44"/>
          <w:highlight w:val="none"/>
        </w:rPr>
      </w:pPr>
    </w:p>
    <w:p w14:paraId="12D2483E">
      <w:pPr>
        <w:pStyle w:val="2"/>
        <w:spacing w:line="360" w:lineRule="auto"/>
        <w:ind w:left="0" w:firstLine="0"/>
        <w:rPr>
          <w:rFonts w:hint="eastAsia" w:ascii="宋体" w:hAnsi="宋体" w:eastAsia="宋体" w:cs="宋体"/>
          <w:color w:val="auto"/>
          <w:sz w:val="44"/>
          <w:szCs w:val="44"/>
          <w:highlight w:val="none"/>
        </w:rPr>
      </w:pPr>
      <w:bookmarkStart w:id="51" w:name="_Toc13116"/>
      <w:r>
        <w:rPr>
          <w:rFonts w:hint="eastAsia" w:ascii="宋体" w:hAnsi="宋体" w:eastAsia="宋体" w:cs="宋体"/>
          <w:color w:val="auto"/>
          <w:sz w:val="44"/>
          <w:szCs w:val="44"/>
          <w:highlight w:val="none"/>
        </w:rPr>
        <w:t>第二章供应商须知前附表及供应商须知</w:t>
      </w:r>
      <w:bookmarkEnd w:id="49"/>
      <w:bookmarkEnd w:id="50"/>
      <w:bookmarkEnd w:id="51"/>
    </w:p>
    <w:p w14:paraId="61251007">
      <w:pPr>
        <w:pStyle w:val="3"/>
        <w:tabs>
          <w:tab w:val="left" w:pos="6320"/>
        </w:tabs>
        <w:spacing w:before="120" w:after="120" w:line="360" w:lineRule="auto"/>
        <w:jc w:val="center"/>
        <w:rPr>
          <w:rFonts w:hint="eastAsia" w:ascii="宋体" w:hAnsi="宋体" w:eastAsia="宋体" w:cs="宋体"/>
          <w:color w:val="auto"/>
          <w:highlight w:val="none"/>
        </w:rPr>
      </w:pPr>
      <w:bookmarkStart w:id="52" w:name="_Toc436256499"/>
      <w:r>
        <w:rPr>
          <w:rFonts w:hint="eastAsia" w:ascii="宋体" w:hAnsi="宋体" w:eastAsia="宋体" w:cs="宋体"/>
          <w:color w:val="auto"/>
          <w:highlight w:val="none"/>
        </w:rPr>
        <w:br w:type="page"/>
      </w:r>
      <w:bookmarkStart w:id="53" w:name="_Toc20847"/>
      <w:bookmarkStart w:id="54" w:name="_Toc44700084"/>
      <w:r>
        <w:rPr>
          <w:rFonts w:hint="eastAsia" w:ascii="宋体" w:hAnsi="宋体" w:eastAsia="宋体" w:cs="宋体"/>
          <w:color w:val="auto"/>
          <w:sz w:val="36"/>
          <w:highlight w:val="none"/>
        </w:rPr>
        <w:t>一、供应商须知前附表</w:t>
      </w:r>
      <w:bookmarkEnd w:id="52"/>
      <w:bookmarkEnd w:id="53"/>
      <w:bookmarkEnd w:id="5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76"/>
        <w:gridCol w:w="6626"/>
      </w:tblGrid>
      <w:tr w14:paraId="3792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3" w:type="dxa"/>
            <w:noWrap w:val="0"/>
            <w:vAlign w:val="center"/>
          </w:tcPr>
          <w:p w14:paraId="01193E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6" w:type="dxa"/>
            <w:noWrap w:val="0"/>
            <w:vAlign w:val="center"/>
          </w:tcPr>
          <w:p w14:paraId="43CA51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626" w:type="dxa"/>
            <w:noWrap w:val="0"/>
            <w:vAlign w:val="center"/>
          </w:tcPr>
          <w:p w14:paraId="741DF2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1BE9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68F766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76" w:type="dxa"/>
            <w:noWrap w:val="0"/>
            <w:vAlign w:val="center"/>
          </w:tcPr>
          <w:p w14:paraId="7451E8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626" w:type="dxa"/>
            <w:noWrap w:val="0"/>
            <w:vAlign w:val="center"/>
          </w:tcPr>
          <w:p w14:paraId="63E98F21">
            <w:pPr>
              <w:widowControl/>
              <w:tabs>
                <w:tab w:val="center" w:pos="4153"/>
              </w:tabs>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乌鲁木齐高新区（新市区）2017年美丽乡村建设ppp项目（B包）、乌鲁木齐高新区（新市区）城北新区路灯及农村路灯建设ppp复核项目审计</w:t>
            </w:r>
          </w:p>
        </w:tc>
      </w:tr>
      <w:tr w14:paraId="47F1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3" w:type="dxa"/>
            <w:noWrap w:val="0"/>
            <w:vAlign w:val="center"/>
          </w:tcPr>
          <w:p w14:paraId="04F274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324B26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626" w:type="dxa"/>
            <w:noWrap w:val="0"/>
            <w:vAlign w:val="center"/>
          </w:tcPr>
          <w:p w14:paraId="16D2B06C">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乌鲁木齐高新技术产业开发区（乌鲁木齐市新市区）建设局</w:t>
            </w:r>
          </w:p>
          <w:p w14:paraId="47512226">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详细地址：</w:t>
            </w:r>
            <w:r>
              <w:rPr>
                <w:rFonts w:hint="eastAsia" w:ascii="宋体" w:hAnsi="宋体" w:eastAsia="宋体" w:cs="宋体"/>
                <w:color w:val="auto"/>
                <w:sz w:val="24"/>
                <w:szCs w:val="24"/>
                <w:highlight w:val="none"/>
                <w:lang w:eastAsia="zh-CN"/>
              </w:rPr>
              <w:t>新疆乌鲁木齐高新区（新市区)四平路2288号创新广场A座7楼</w:t>
            </w:r>
          </w:p>
          <w:p w14:paraId="63FC0857">
            <w:pPr>
              <w:widowControl/>
              <w:tabs>
                <w:tab w:val="center" w:pos="4153"/>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0991-3653507</w:t>
            </w:r>
          </w:p>
        </w:tc>
      </w:tr>
      <w:tr w14:paraId="78FF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noWrap w:val="0"/>
            <w:vAlign w:val="center"/>
          </w:tcPr>
          <w:p w14:paraId="593546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676" w:type="dxa"/>
            <w:noWrap w:val="0"/>
            <w:vAlign w:val="center"/>
          </w:tcPr>
          <w:p w14:paraId="6D71A2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6626" w:type="dxa"/>
            <w:noWrap w:val="0"/>
            <w:vAlign w:val="center"/>
          </w:tcPr>
          <w:p w14:paraId="55C87F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选</w:t>
            </w:r>
            <w:r>
              <w:rPr>
                <w:rFonts w:hint="eastAsia" w:ascii="宋体" w:hAnsi="宋体" w:cs="宋体"/>
                <w:color w:val="auto"/>
                <w:sz w:val="24"/>
                <w:szCs w:val="24"/>
                <w:highlight w:val="none"/>
                <w:lang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rPr>
              <w:t>。</w:t>
            </w:r>
          </w:p>
        </w:tc>
      </w:tr>
      <w:tr w14:paraId="751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469FEF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676" w:type="dxa"/>
            <w:noWrap w:val="0"/>
            <w:vAlign w:val="center"/>
          </w:tcPr>
          <w:p w14:paraId="6E5DCD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26" w:type="dxa"/>
            <w:noWrap w:val="0"/>
            <w:vAlign w:val="center"/>
          </w:tcPr>
          <w:p w14:paraId="00C6F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6E76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324965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676" w:type="dxa"/>
            <w:noWrap w:val="0"/>
            <w:vAlign w:val="center"/>
          </w:tcPr>
          <w:p w14:paraId="72A463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626" w:type="dxa"/>
            <w:noWrap w:val="0"/>
            <w:vAlign w:val="center"/>
          </w:tcPr>
          <w:p w14:paraId="3FE6394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265100.00</w:t>
            </w:r>
            <w:r>
              <w:rPr>
                <w:rFonts w:hint="eastAsia" w:ascii="宋体" w:hAnsi="宋体" w:eastAsia="宋体" w:cs="宋体"/>
                <w:color w:val="auto"/>
                <w:sz w:val="24"/>
                <w:highlight w:val="none"/>
                <w:lang w:val="en-US" w:eastAsia="zh-CN"/>
              </w:rPr>
              <w:t>元</w:t>
            </w:r>
          </w:p>
        </w:tc>
      </w:tr>
      <w:tr w14:paraId="441F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6B8251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676" w:type="dxa"/>
            <w:noWrap w:val="0"/>
            <w:vAlign w:val="center"/>
          </w:tcPr>
          <w:p w14:paraId="3950C8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626" w:type="dxa"/>
            <w:noWrap w:val="0"/>
            <w:vAlign w:val="center"/>
          </w:tcPr>
          <w:p w14:paraId="143F77B2">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265100.00</w:t>
            </w:r>
            <w:r>
              <w:rPr>
                <w:rFonts w:hint="eastAsia" w:ascii="宋体" w:hAnsi="宋体" w:eastAsia="宋体" w:cs="宋体"/>
                <w:color w:val="auto"/>
                <w:sz w:val="24"/>
                <w:highlight w:val="none"/>
                <w:lang w:val="en-US" w:eastAsia="zh-CN"/>
              </w:rPr>
              <w:t>元</w:t>
            </w:r>
          </w:p>
        </w:tc>
      </w:tr>
      <w:tr w14:paraId="6549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3" w:type="dxa"/>
            <w:noWrap w:val="0"/>
            <w:vAlign w:val="center"/>
          </w:tcPr>
          <w:p w14:paraId="0B000E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676" w:type="dxa"/>
            <w:noWrap w:val="0"/>
            <w:vAlign w:val="center"/>
          </w:tcPr>
          <w:p w14:paraId="7B6694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509085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626" w:type="dxa"/>
            <w:noWrap w:val="0"/>
            <w:vAlign w:val="center"/>
          </w:tcPr>
          <w:p w14:paraId="7BC728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DBEE5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6693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1）单位负责人为同一人或者存在直接控股、管理关系的不同投标人，不得同时参加本项目同一合同项下的投标；</w:t>
            </w:r>
          </w:p>
          <w:p w14:paraId="15DE10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2）为本项目某合同项提供整体设计、规范编制或者项目管理、监理、检测等服务的投标人，不得参加该合同项的投标；</w:t>
            </w:r>
          </w:p>
          <w:p w14:paraId="34C3A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p w14:paraId="0C4D71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本项目专门面向中小企业采购</w:t>
            </w:r>
            <w:r>
              <w:rPr>
                <w:rFonts w:hint="eastAsia" w:ascii="宋体" w:hAnsi="宋体" w:eastAsia="宋体" w:cs="宋体"/>
                <w:color w:val="auto"/>
                <w:sz w:val="24"/>
                <w:szCs w:val="24"/>
                <w:highlight w:val="none"/>
              </w:rPr>
              <w:t>。</w:t>
            </w:r>
          </w:p>
          <w:p w14:paraId="2D61EEB3">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kern w:val="0"/>
                <w:sz w:val="24"/>
                <w:highlight w:val="none"/>
              </w:rPr>
              <w:t>（1）投标人具有会计师事务所执业证书，并在人员、设备、资金等方面具有承担本项目的能力。</w:t>
            </w:r>
          </w:p>
          <w:p w14:paraId="7C8ABB26">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（2）项目负责人必须具有注册会计师证书，且在有效期内。</w:t>
            </w:r>
          </w:p>
          <w:p w14:paraId="47DD917D">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p>
        </w:tc>
      </w:tr>
      <w:tr w14:paraId="140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51078A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6" w:type="dxa"/>
            <w:noWrap w:val="0"/>
            <w:vAlign w:val="center"/>
          </w:tcPr>
          <w:p w14:paraId="50D906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626" w:type="dxa"/>
            <w:noWrap w:val="0"/>
            <w:vAlign w:val="center"/>
          </w:tcPr>
          <w:p w14:paraId="3B7BC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6BB7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3" w:type="dxa"/>
            <w:noWrap w:val="0"/>
            <w:vAlign w:val="center"/>
          </w:tcPr>
          <w:p w14:paraId="0983A0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1676" w:type="dxa"/>
            <w:noWrap w:val="0"/>
            <w:vAlign w:val="center"/>
          </w:tcPr>
          <w:p w14:paraId="747D681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6626" w:type="dxa"/>
            <w:noWrap w:val="0"/>
            <w:vAlign w:val="center"/>
          </w:tcPr>
          <w:p w14:paraId="300E51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符合现行国家相关法律法规、标准和规范等，成果资料完整、真实准确、依据清晰。</w:t>
            </w:r>
          </w:p>
        </w:tc>
      </w:tr>
      <w:tr w14:paraId="61EB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707F98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676" w:type="dxa"/>
            <w:noWrap w:val="0"/>
            <w:vAlign w:val="center"/>
          </w:tcPr>
          <w:p w14:paraId="01DF905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服务期限</w:t>
            </w:r>
          </w:p>
        </w:tc>
        <w:tc>
          <w:tcPr>
            <w:tcW w:w="6626" w:type="dxa"/>
            <w:noWrap w:val="0"/>
            <w:vAlign w:val="center"/>
          </w:tcPr>
          <w:p w14:paraId="1E228011">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tc>
      </w:tr>
      <w:tr w14:paraId="3DF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490765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1676" w:type="dxa"/>
            <w:noWrap w:val="0"/>
            <w:vAlign w:val="center"/>
          </w:tcPr>
          <w:p w14:paraId="154CCB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626" w:type="dxa"/>
            <w:noWrap w:val="0"/>
            <w:vAlign w:val="center"/>
          </w:tcPr>
          <w:p w14:paraId="0F35AD4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详见合同条款</w:t>
            </w:r>
          </w:p>
        </w:tc>
      </w:tr>
      <w:tr w14:paraId="27E0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23" w:type="dxa"/>
            <w:noWrap w:val="0"/>
            <w:vAlign w:val="center"/>
          </w:tcPr>
          <w:p w14:paraId="04B56D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4B7680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626" w:type="dxa"/>
            <w:noWrap w:val="0"/>
            <w:vAlign w:val="center"/>
          </w:tcPr>
          <w:p w14:paraId="41AFE429">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tc>
      </w:tr>
      <w:tr w14:paraId="5BAC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3" w:type="dxa"/>
            <w:noWrap w:val="0"/>
            <w:vAlign w:val="center"/>
          </w:tcPr>
          <w:p w14:paraId="7071E8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676" w:type="dxa"/>
            <w:noWrap w:val="0"/>
            <w:vAlign w:val="center"/>
          </w:tcPr>
          <w:p w14:paraId="288244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626" w:type="dxa"/>
            <w:noWrap w:val="0"/>
            <w:vAlign w:val="center"/>
          </w:tcPr>
          <w:p w14:paraId="72D750C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缴纳金额：</w:t>
            </w:r>
            <w:r>
              <w:rPr>
                <w:rFonts w:hint="eastAsia" w:ascii="宋体" w:hAnsi="宋体" w:cs="宋体"/>
                <w:color w:val="auto"/>
                <w:sz w:val="24"/>
                <w:szCs w:val="24"/>
                <w:highlight w:val="none"/>
                <w:lang w:val="en-US" w:eastAsia="zh-CN"/>
              </w:rPr>
              <w:t>2651</w:t>
            </w:r>
            <w:r>
              <w:rPr>
                <w:rFonts w:hint="eastAsia" w:ascii="宋体" w:hAnsi="宋体" w:eastAsia="宋体" w:cs="宋体"/>
                <w:color w:val="auto"/>
                <w:sz w:val="24"/>
                <w:szCs w:val="24"/>
                <w:highlight w:val="none"/>
                <w:lang w:val="en-US" w:eastAsia="zh-CN"/>
              </w:rPr>
              <w:t>.00元</w:t>
            </w:r>
          </w:p>
          <w:p w14:paraId="50BB73C6">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缴纳方式：电汇、转账，电子保函非现金形式缴纳。</w:t>
            </w:r>
          </w:p>
          <w:p w14:paraId="5AEFFE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公司名称：乌鲁木齐高新建设工程项目管理咨询有限公司</w:t>
            </w:r>
          </w:p>
          <w:p w14:paraId="4C36F4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账户：991905472010902</w:t>
            </w:r>
          </w:p>
          <w:p w14:paraId="1EA5A5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开户银行及机构：招商银行股份有限公司乌鲁木齐苏州路支行</w:t>
            </w:r>
          </w:p>
          <w:p w14:paraId="2194E7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行号：308881029091</w:t>
            </w:r>
          </w:p>
          <w:p w14:paraId="045A2C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特别提醒保证金转账账户与文件费及代理服务费非同一账户。</w:t>
            </w:r>
          </w:p>
          <w:p w14:paraId="18A452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2、如采用保函形式缴纳，请各投标人</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提供，须于上述投标递交截至时间之前开立完毕。</w:t>
            </w:r>
          </w:p>
          <w:p w14:paraId="775F5D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未按照上述规定缴纳投标保证金，投标文件将被拒绝评审。</w:t>
            </w:r>
          </w:p>
          <w:p w14:paraId="0C4D2E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tc>
      </w:tr>
      <w:tr w14:paraId="333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62D02E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76" w:type="dxa"/>
            <w:noWrap w:val="0"/>
            <w:vAlign w:val="center"/>
          </w:tcPr>
          <w:p w14:paraId="0BEA3D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626" w:type="dxa"/>
            <w:noWrap w:val="0"/>
            <w:vAlign w:val="center"/>
          </w:tcPr>
          <w:p w14:paraId="53DB9C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日历天（从提交首次响应文件截止之日算起）</w:t>
            </w:r>
          </w:p>
        </w:tc>
      </w:tr>
      <w:tr w14:paraId="6DC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23" w:type="dxa"/>
            <w:vMerge w:val="restart"/>
            <w:noWrap w:val="0"/>
            <w:vAlign w:val="center"/>
          </w:tcPr>
          <w:p w14:paraId="78BC4D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676" w:type="dxa"/>
            <w:noWrap w:val="0"/>
            <w:vAlign w:val="center"/>
          </w:tcPr>
          <w:p w14:paraId="769BA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tc>
        <w:tc>
          <w:tcPr>
            <w:tcW w:w="6626" w:type="dxa"/>
            <w:noWrap w:val="0"/>
            <w:vAlign w:val="center"/>
          </w:tcPr>
          <w:p w14:paraId="2C544BF9">
            <w:pPr>
              <w:spacing w:line="360" w:lineRule="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4"/>
                <w:szCs w:val="24"/>
                <w:highlight w:val="none"/>
              </w:rPr>
              <w:t>地</w:t>
            </w:r>
            <w:r>
              <w:rPr>
                <w:rFonts w:hint="eastAsia" w:ascii="宋体" w:hAnsi="宋体" w:eastAsia="宋体" w:cs="宋体"/>
                <w:color w:val="auto"/>
                <w:kern w:val="0"/>
                <w:sz w:val="24"/>
                <w:highlight w:val="none"/>
              </w:rPr>
              <w:t>点：</w:t>
            </w:r>
            <w:r>
              <w:rPr>
                <w:rFonts w:hint="eastAsia" w:ascii="宋体" w:hAnsi="宋体" w:eastAsia="宋体" w:cs="宋体"/>
                <w:color w:val="auto"/>
                <w:kern w:val="0"/>
                <w:sz w:val="24"/>
                <w:szCs w:val="24"/>
                <w:highlight w:val="none"/>
              </w:rPr>
              <w:t>新疆政府采购云平台（https://www.zcygov.cn/）</w:t>
            </w:r>
          </w:p>
          <w:p w14:paraId="1AA831D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highlight w:val="none"/>
                <w:u w:val="single"/>
                <w:shd w:val="clear" w:color="auto" w:fill="auto"/>
                <w:lang w:eastAsia="zh-CN"/>
              </w:rPr>
              <w:t>2025年7月14日11点00分</w:t>
            </w:r>
            <w:r>
              <w:rPr>
                <w:rFonts w:hint="eastAsia" w:ascii="宋体" w:hAnsi="宋体" w:eastAsia="宋体" w:cs="宋体"/>
                <w:color w:val="auto"/>
                <w:kern w:val="0"/>
                <w:sz w:val="24"/>
                <w:highlight w:val="none"/>
              </w:rPr>
              <w:t>（北京时间）响应文件请于送达截止当日截止时间之前</w:t>
            </w:r>
            <w:r>
              <w:rPr>
                <w:rFonts w:hint="eastAsia" w:ascii="宋体" w:hAnsi="宋体" w:eastAsia="宋体" w:cs="宋体"/>
                <w:color w:val="auto"/>
                <w:kern w:val="0"/>
                <w:sz w:val="24"/>
                <w:highlight w:val="none"/>
                <w:lang w:val="en-US" w:eastAsia="zh-CN"/>
              </w:rPr>
              <w:t>递交</w:t>
            </w:r>
            <w:r>
              <w:rPr>
                <w:rFonts w:hint="eastAsia" w:ascii="宋体" w:hAnsi="宋体" w:eastAsia="宋体" w:cs="宋体"/>
                <w:color w:val="auto"/>
                <w:kern w:val="0"/>
                <w:sz w:val="24"/>
                <w:highlight w:val="none"/>
              </w:rPr>
              <w:t>至开启地点，逾期收到或不符合规定的响应文件</w:t>
            </w:r>
            <w:r>
              <w:rPr>
                <w:rFonts w:hint="eastAsia" w:ascii="宋体" w:hAnsi="宋体" w:eastAsia="宋体" w:cs="宋体"/>
                <w:color w:val="auto"/>
                <w:kern w:val="0"/>
                <w:sz w:val="24"/>
                <w:highlight w:val="none"/>
                <w:lang w:val="en-US" w:eastAsia="zh-CN"/>
              </w:rPr>
              <w:t>将视为放弃响应资格</w:t>
            </w:r>
            <w:r>
              <w:rPr>
                <w:rFonts w:hint="eastAsia" w:ascii="宋体" w:hAnsi="宋体" w:eastAsia="宋体" w:cs="宋体"/>
                <w:color w:val="auto"/>
                <w:kern w:val="0"/>
                <w:sz w:val="24"/>
                <w:highlight w:val="none"/>
              </w:rPr>
              <w:t>。</w:t>
            </w:r>
          </w:p>
        </w:tc>
      </w:tr>
      <w:tr w14:paraId="41C9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23" w:type="dxa"/>
            <w:vMerge w:val="continue"/>
            <w:noWrap w:val="0"/>
            <w:vAlign w:val="center"/>
          </w:tcPr>
          <w:p w14:paraId="2082EB91">
            <w:pPr>
              <w:spacing w:line="360" w:lineRule="auto"/>
              <w:jc w:val="center"/>
              <w:rPr>
                <w:rFonts w:hint="eastAsia" w:ascii="宋体" w:hAnsi="宋体" w:eastAsia="宋体" w:cs="宋体"/>
                <w:color w:val="auto"/>
                <w:sz w:val="24"/>
                <w:szCs w:val="24"/>
                <w:highlight w:val="none"/>
              </w:rPr>
            </w:pPr>
          </w:p>
        </w:tc>
        <w:tc>
          <w:tcPr>
            <w:tcW w:w="1676" w:type="dxa"/>
            <w:noWrap w:val="0"/>
            <w:vAlign w:val="center"/>
          </w:tcPr>
          <w:p w14:paraId="2D8933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首次响应文件递交地点及截止日期</w:t>
            </w:r>
          </w:p>
        </w:tc>
        <w:tc>
          <w:tcPr>
            <w:tcW w:w="6626" w:type="dxa"/>
            <w:noWrap w:val="0"/>
            <w:vAlign w:val="center"/>
          </w:tcPr>
          <w:p w14:paraId="694381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递交地点：新疆政府采购云平台（https://www.zcygov.cn/）递交截止时间：</w:t>
            </w:r>
            <w:r>
              <w:rPr>
                <w:rFonts w:hint="eastAsia" w:ascii="宋体" w:hAnsi="宋体" w:eastAsia="宋体" w:cs="宋体"/>
                <w:color w:val="auto"/>
                <w:sz w:val="24"/>
                <w:highlight w:val="none"/>
                <w:u w:val="single"/>
                <w:shd w:val="clear" w:color="auto" w:fill="auto"/>
                <w:lang w:eastAsia="zh-CN"/>
              </w:rPr>
              <w:t>2025年7月14日11点00分</w:t>
            </w:r>
            <w:r>
              <w:rPr>
                <w:rFonts w:hint="eastAsia" w:ascii="宋体" w:hAnsi="宋体" w:eastAsia="宋体" w:cs="宋体"/>
                <w:color w:val="auto"/>
                <w:kern w:val="0"/>
                <w:sz w:val="24"/>
                <w:highlight w:val="none"/>
              </w:rPr>
              <w:t>（北京时间）</w:t>
            </w:r>
          </w:p>
        </w:tc>
      </w:tr>
      <w:tr w14:paraId="4A1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3" w:type="dxa"/>
            <w:noWrap w:val="0"/>
            <w:vAlign w:val="center"/>
          </w:tcPr>
          <w:p w14:paraId="283769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676" w:type="dxa"/>
            <w:noWrap w:val="0"/>
            <w:vAlign w:val="center"/>
          </w:tcPr>
          <w:p w14:paraId="35B611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w:t>
            </w:r>
          </w:p>
        </w:tc>
        <w:tc>
          <w:tcPr>
            <w:tcW w:w="6626" w:type="dxa"/>
            <w:noWrap w:val="0"/>
            <w:vAlign w:val="center"/>
          </w:tcPr>
          <w:p w14:paraId="5E85E7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本项目磋商小组人数为</w:t>
            </w:r>
            <w:r>
              <w:rPr>
                <w:rFonts w:hint="eastAsia" w:ascii="宋体" w:hAnsi="宋体" w:eastAsia="宋体" w:cs="宋体"/>
                <w:color w:val="auto"/>
                <w:sz w:val="24"/>
                <w:szCs w:val="24"/>
                <w:highlight w:val="none"/>
                <w:u w:val="single"/>
              </w:rPr>
              <w:t>三人</w:t>
            </w:r>
            <w:r>
              <w:rPr>
                <w:rFonts w:hint="eastAsia" w:ascii="宋体" w:hAnsi="宋体" w:eastAsia="宋体" w:cs="宋体"/>
                <w:color w:val="auto"/>
                <w:sz w:val="24"/>
                <w:szCs w:val="24"/>
                <w:highlight w:val="none"/>
              </w:rPr>
              <w:t>以上单数组成。</w:t>
            </w:r>
          </w:p>
        </w:tc>
      </w:tr>
      <w:tr w14:paraId="02B1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27803D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676" w:type="dxa"/>
            <w:noWrap w:val="0"/>
            <w:vAlign w:val="center"/>
          </w:tcPr>
          <w:p w14:paraId="7358B9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626" w:type="dxa"/>
            <w:noWrap w:val="0"/>
            <w:vAlign w:val="center"/>
          </w:tcPr>
          <w:p w14:paraId="5109F6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74E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3" w:type="dxa"/>
            <w:noWrap w:val="0"/>
            <w:vAlign w:val="center"/>
          </w:tcPr>
          <w:p w14:paraId="6D4939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676" w:type="dxa"/>
            <w:noWrap w:val="0"/>
            <w:vAlign w:val="center"/>
          </w:tcPr>
          <w:p w14:paraId="735D43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p>
        </w:tc>
        <w:tc>
          <w:tcPr>
            <w:tcW w:w="6626" w:type="dxa"/>
            <w:noWrap w:val="0"/>
            <w:vAlign w:val="center"/>
          </w:tcPr>
          <w:p w14:paraId="7DA5CD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最后磋商报价：二轮报价。响应文件中的报价为一次报价。</w:t>
            </w:r>
          </w:p>
          <w:p w14:paraId="564EB97C">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本项目所属行业：</w:t>
            </w:r>
            <w:r>
              <w:rPr>
                <w:rFonts w:hint="eastAsia" w:ascii="宋体" w:hAnsi="宋体" w:eastAsia="宋体" w:cs="宋体"/>
                <w:color w:val="auto"/>
                <w:sz w:val="24"/>
                <w:szCs w:val="24"/>
                <w:highlight w:val="none"/>
                <w:u w:val="single"/>
                <w:lang w:val="en-US" w:eastAsia="zh-CN"/>
              </w:rPr>
              <w:t>租赁和商务服务业</w:t>
            </w:r>
          </w:p>
          <w:p w14:paraId="3AEDB654">
            <w:p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响应文件在线解密时长为30分钟，因供应商自身原因未在规定时间内解密响应文件导致废标的，由供应商自行承担后果。</w:t>
            </w:r>
          </w:p>
        </w:tc>
      </w:tr>
      <w:tr w14:paraId="61D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25" w:type="dxa"/>
            <w:gridSpan w:val="3"/>
            <w:noWrap w:val="0"/>
            <w:vAlign w:val="center"/>
          </w:tcPr>
          <w:p w14:paraId="3885A37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供应商对政府采购活动事项有疑问的，可以提出询问；</w:t>
            </w:r>
          </w:p>
          <w:p w14:paraId="09D508A6">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供应商认为采购文件、采购过程、中标或者成交结果使自己的权益受到损害的，可以在知道或者应知权益受到损害之日起7个工作日内，提出质疑。</w:t>
            </w:r>
          </w:p>
          <w:p w14:paraId="44697E4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1、接收质疑函的方式：供应商应提交书面质疑函，供应商应在法定质疑期内一次性提出针对同一采购程序环节的质疑。</w:t>
            </w:r>
          </w:p>
          <w:p w14:paraId="51EF72B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2、供应商提出质疑应当提交质疑函和必要的证明材料。质疑函应当包括下列内容：</w:t>
            </w:r>
          </w:p>
          <w:p w14:paraId="4D1F1BEB">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2.1供应商的姓名或者名称、地址、邮编、联系人及联系电话；</w:t>
            </w:r>
          </w:p>
          <w:p w14:paraId="3A7F0878">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2.2质疑项目的名称、编号；</w:t>
            </w:r>
          </w:p>
          <w:p w14:paraId="3B68B1B3">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2.3具体、明确的质疑事项和与质疑事项相关的请求；</w:t>
            </w:r>
          </w:p>
          <w:p w14:paraId="50EA6C5F">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2.4事实依据；</w:t>
            </w:r>
          </w:p>
          <w:p w14:paraId="0E515827">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2.5必要的法律依据；</w:t>
            </w:r>
          </w:p>
          <w:p w14:paraId="2A641BB0">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2.6提出质疑的日期。</w:t>
            </w:r>
          </w:p>
          <w:p w14:paraId="10F6C45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供应商为自然人的，质疑函应当由本人签字；供应商为法人或者其他组织的，质疑函应当由法定代表人、主要负责人，或者其授权代表签字或者盖章，并加盖公章。</w:t>
            </w:r>
          </w:p>
          <w:p w14:paraId="45BDF0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4BFEA50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3、联系人：</w:t>
            </w:r>
          </w:p>
          <w:p w14:paraId="4AAB713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4、联系电话：</w:t>
            </w:r>
          </w:p>
          <w:p w14:paraId="6F348C62">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5、通讯地址：</w:t>
            </w:r>
          </w:p>
        </w:tc>
      </w:tr>
    </w:tbl>
    <w:p w14:paraId="3FA5B981">
      <w:pPr>
        <w:rPr>
          <w:rFonts w:hint="eastAsia" w:ascii="宋体" w:hAnsi="宋体" w:eastAsia="宋体" w:cs="宋体"/>
          <w:color w:val="auto"/>
          <w:highlight w:val="none"/>
        </w:rPr>
        <w:sectPr>
          <w:footerReference r:id="rId8" w:type="first"/>
          <w:footerReference r:id="rId7" w:type="default"/>
          <w:pgSz w:w="11907" w:h="16840"/>
          <w:pgMar w:top="1418" w:right="1418" w:bottom="1247" w:left="1418" w:header="964" w:footer="850" w:gutter="0"/>
          <w:pgNumType w:fmt="decimal" w:start="1"/>
          <w:cols w:space="720" w:num="1"/>
          <w:titlePg/>
          <w:docGrid w:linePitch="286" w:charSpace="0"/>
        </w:sectPr>
      </w:pPr>
    </w:p>
    <w:p w14:paraId="4C44D02A">
      <w:pPr>
        <w:pStyle w:val="3"/>
        <w:tabs>
          <w:tab w:val="left" w:pos="6320"/>
        </w:tabs>
        <w:spacing w:before="120" w:after="120" w:line="360" w:lineRule="auto"/>
        <w:jc w:val="center"/>
        <w:rPr>
          <w:rFonts w:hint="eastAsia" w:ascii="宋体" w:hAnsi="宋体" w:eastAsia="宋体" w:cs="宋体"/>
          <w:color w:val="auto"/>
          <w:highlight w:val="none"/>
        </w:rPr>
      </w:pPr>
      <w:bookmarkStart w:id="55" w:name="_Toc44700085"/>
      <w:bookmarkStart w:id="56" w:name="_Toc28285"/>
      <w:r>
        <w:rPr>
          <w:rFonts w:hint="eastAsia" w:ascii="宋体" w:hAnsi="宋体" w:eastAsia="宋体" w:cs="宋体"/>
          <w:color w:val="auto"/>
          <w:sz w:val="36"/>
          <w:highlight w:val="none"/>
        </w:rPr>
        <w:t>二、</w:t>
      </w:r>
      <w:bookmarkStart w:id="57" w:name="_Toc436256500"/>
      <w:r>
        <w:rPr>
          <w:rFonts w:hint="eastAsia" w:ascii="宋体" w:hAnsi="宋体" w:eastAsia="宋体" w:cs="宋体"/>
          <w:color w:val="auto"/>
          <w:sz w:val="36"/>
          <w:highlight w:val="none"/>
        </w:rPr>
        <w:t>供应商须知</w:t>
      </w:r>
      <w:bookmarkEnd w:id="55"/>
      <w:bookmarkEnd w:id="56"/>
      <w:bookmarkEnd w:id="57"/>
    </w:p>
    <w:p w14:paraId="25E2D28C">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8" w:name="_Toc436256501"/>
      <w:r>
        <w:rPr>
          <w:rFonts w:hint="eastAsia" w:ascii="宋体" w:hAnsi="宋体" w:eastAsia="宋体" w:cs="宋体"/>
          <w:b/>
          <w:color w:val="auto"/>
          <w:kern w:val="0"/>
          <w:sz w:val="24"/>
          <w:szCs w:val="24"/>
          <w:highlight w:val="none"/>
        </w:rPr>
        <w:t>（一）、总则</w:t>
      </w:r>
      <w:bookmarkEnd w:id="58"/>
    </w:p>
    <w:p w14:paraId="627A587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1、项目说明</w:t>
      </w:r>
    </w:p>
    <w:p w14:paraId="3099141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1.1项目名称：见前附表。</w:t>
      </w:r>
    </w:p>
    <w:p w14:paraId="2FC77F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1.2采购人：见前附表。</w:t>
      </w:r>
    </w:p>
    <w:p w14:paraId="21C5F0D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1.3项目内容：见前附表。</w:t>
      </w:r>
    </w:p>
    <w:p w14:paraId="5077340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2、采购范围/服务范围</w:t>
      </w:r>
    </w:p>
    <w:p w14:paraId="749759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2.1本次采购范围/服务范围：见前附表。</w:t>
      </w:r>
    </w:p>
    <w:p w14:paraId="0D3FAF5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3、资金来源、预算金额</w:t>
      </w:r>
    </w:p>
    <w:p w14:paraId="30C0802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3.1资金来源：见前附表。</w:t>
      </w:r>
    </w:p>
    <w:p w14:paraId="3FE927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3.2预算金额：见前附表。</w:t>
      </w:r>
    </w:p>
    <w:p w14:paraId="116D17DC">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3.3最高限价：见前附表。</w:t>
      </w:r>
    </w:p>
    <w:p w14:paraId="7794C12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4、合格的供应商</w:t>
      </w:r>
    </w:p>
    <w:p w14:paraId="1B989D1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4.1供应商须具备资格：见前附表。</w:t>
      </w:r>
    </w:p>
    <w:p w14:paraId="1CD997B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5．采购方式</w:t>
      </w:r>
    </w:p>
    <w:p w14:paraId="023994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5.1．本采购项目按照《中华人民共和国政府采购法》等有关法律、行政法规和部门规章，通过竞争性磋商的方式，按竞争性磋商文件中规定的评审办法对供应商进行综合评价，择优选择服务单位。</w:t>
      </w:r>
    </w:p>
    <w:p w14:paraId="4B9866C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6．采购要求</w:t>
      </w:r>
    </w:p>
    <w:p w14:paraId="2D4F61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6.1．本项目采购要求：供应商应承诺按照采购人规定的要求，在规定的时间内完成此项目。</w:t>
      </w:r>
    </w:p>
    <w:p w14:paraId="245C595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6.2.本项目</w:t>
      </w:r>
      <w:r>
        <w:rPr>
          <w:rFonts w:hint="eastAsia" w:ascii="宋体" w:hAnsi="宋体" w:eastAsia="宋体" w:cs="宋体"/>
          <w:color w:val="auto"/>
          <w:kern w:val="0"/>
          <w:sz w:val="24"/>
          <w:szCs w:val="24"/>
          <w:highlight w:val="none"/>
          <w:lang w:eastAsia="zh-CN"/>
        </w:rPr>
        <w:t>质量标准</w:t>
      </w:r>
      <w:r>
        <w:rPr>
          <w:rFonts w:hint="eastAsia" w:ascii="宋体" w:hAnsi="宋体" w:eastAsia="宋体" w:cs="宋体"/>
          <w:color w:val="auto"/>
          <w:kern w:val="0"/>
          <w:sz w:val="24"/>
          <w:szCs w:val="24"/>
          <w:highlight w:val="none"/>
        </w:rPr>
        <w:t>：见前附表。</w:t>
      </w:r>
    </w:p>
    <w:p w14:paraId="7A3F0A1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6.3.合同履行期限：见前附表。</w:t>
      </w:r>
    </w:p>
    <w:p w14:paraId="1FE16C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6.4.付款方式：见前附表</w:t>
      </w:r>
    </w:p>
    <w:p w14:paraId="0F0402B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7、参与本次采购的费用</w:t>
      </w:r>
    </w:p>
    <w:p w14:paraId="2637120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7.1供应商应承担其编制响应文件与递交响应文件所涉及的一切费用。不论成交结果如何，采购人在任何情况下无义务也无责任承担这些费用。</w:t>
      </w:r>
    </w:p>
    <w:p w14:paraId="6DAF1B5B">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9" w:name="_Toc436256502"/>
      <w:r>
        <w:rPr>
          <w:rFonts w:hint="eastAsia" w:ascii="宋体" w:hAnsi="宋体" w:eastAsia="宋体" w:cs="宋体"/>
          <w:b/>
          <w:color w:val="auto"/>
          <w:kern w:val="0"/>
          <w:sz w:val="24"/>
          <w:szCs w:val="24"/>
          <w:highlight w:val="none"/>
        </w:rPr>
        <w:t>（二）、</w:t>
      </w:r>
      <w:bookmarkEnd w:id="59"/>
      <w:r>
        <w:rPr>
          <w:rFonts w:hint="eastAsia" w:ascii="宋体" w:hAnsi="宋体" w:eastAsia="宋体" w:cs="宋体"/>
          <w:b/>
          <w:color w:val="auto"/>
          <w:kern w:val="0"/>
          <w:sz w:val="24"/>
          <w:szCs w:val="24"/>
          <w:highlight w:val="none"/>
        </w:rPr>
        <w:t>竞争性磋商文件</w:t>
      </w:r>
    </w:p>
    <w:p w14:paraId="4612482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8、竞争性磋商文件的组成</w:t>
      </w:r>
    </w:p>
    <w:p w14:paraId="3454E8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8.1竞争性磋商文件除以下内容外，采购人在采购期间发出的答疑纪要和其它补充修改函件，均是竞争性磋商文件的组成部分，对供应商起约束作用。</w:t>
      </w:r>
    </w:p>
    <w:p w14:paraId="0E874522">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竞争性磋商文件包括下列内容：</w:t>
      </w:r>
    </w:p>
    <w:p w14:paraId="3B96E94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第一章竞争性磋商邀请</w:t>
      </w:r>
      <w:r>
        <w:rPr>
          <w:rFonts w:hint="eastAsia" w:ascii="宋体" w:hAnsi="宋体" w:eastAsia="宋体" w:cs="宋体"/>
          <w:color w:val="auto"/>
          <w:szCs w:val="24"/>
          <w:highlight w:val="none"/>
        </w:rPr>
        <w:tab/>
      </w:r>
    </w:p>
    <w:p w14:paraId="2181B73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第二章供应商须知前附表及供应商须知</w:t>
      </w:r>
      <w:r>
        <w:rPr>
          <w:rFonts w:hint="eastAsia" w:ascii="宋体" w:hAnsi="宋体" w:eastAsia="宋体" w:cs="宋体"/>
          <w:color w:val="auto"/>
          <w:szCs w:val="24"/>
          <w:highlight w:val="none"/>
        </w:rPr>
        <w:tab/>
      </w:r>
    </w:p>
    <w:p w14:paraId="486EE65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第三章评审办法</w:t>
      </w:r>
      <w:r>
        <w:rPr>
          <w:rFonts w:hint="eastAsia" w:ascii="宋体" w:hAnsi="宋体" w:eastAsia="宋体" w:cs="宋体"/>
          <w:color w:val="auto"/>
          <w:szCs w:val="24"/>
          <w:highlight w:val="none"/>
        </w:rPr>
        <w:tab/>
      </w:r>
    </w:p>
    <w:p w14:paraId="273A99D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第四章采购合同</w:t>
      </w:r>
      <w:r>
        <w:rPr>
          <w:rFonts w:hint="eastAsia" w:ascii="宋体" w:hAnsi="宋体" w:eastAsia="宋体" w:cs="宋体"/>
          <w:color w:val="auto"/>
          <w:szCs w:val="24"/>
          <w:highlight w:val="none"/>
        </w:rPr>
        <w:tab/>
      </w:r>
    </w:p>
    <w:p w14:paraId="1AD38F7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第五章技术要求</w:t>
      </w:r>
      <w:r>
        <w:rPr>
          <w:rFonts w:hint="eastAsia" w:ascii="宋体" w:hAnsi="宋体" w:eastAsia="宋体" w:cs="宋体"/>
          <w:color w:val="auto"/>
          <w:szCs w:val="24"/>
          <w:highlight w:val="none"/>
        </w:rPr>
        <w:tab/>
      </w:r>
    </w:p>
    <w:p w14:paraId="208855E2">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第六章响应文件投格式</w:t>
      </w:r>
      <w:r>
        <w:rPr>
          <w:rFonts w:hint="eastAsia" w:ascii="宋体" w:hAnsi="宋体" w:eastAsia="宋体" w:cs="宋体"/>
          <w:color w:val="auto"/>
          <w:szCs w:val="24"/>
          <w:highlight w:val="none"/>
        </w:rPr>
        <w:tab/>
      </w:r>
    </w:p>
    <w:p w14:paraId="3C333F79">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0" w:name="_Toc385992333"/>
      <w:bookmarkStart w:id="61" w:name="_Toc184043020"/>
      <w:bookmarkStart w:id="62" w:name="_Toc70687147"/>
      <w:bookmarkStart w:id="63" w:name="_Toc389620172"/>
      <w:r>
        <w:rPr>
          <w:rFonts w:hint="eastAsia" w:ascii="宋体" w:hAnsi="宋体" w:eastAsia="宋体" w:cs="宋体"/>
          <w:b/>
          <w:color w:val="auto"/>
          <w:kern w:val="0"/>
          <w:sz w:val="24"/>
          <w:szCs w:val="24"/>
          <w:highlight w:val="none"/>
        </w:rPr>
        <w:t>9.竞争性磋商文件的澄清</w:t>
      </w:r>
      <w:bookmarkEnd w:id="60"/>
      <w:bookmarkEnd w:id="61"/>
      <w:bookmarkEnd w:id="62"/>
      <w:bookmarkEnd w:id="63"/>
      <w:r>
        <w:rPr>
          <w:rFonts w:hint="eastAsia" w:ascii="宋体" w:hAnsi="宋体" w:eastAsia="宋体" w:cs="宋体"/>
          <w:b/>
          <w:color w:val="auto"/>
          <w:kern w:val="0"/>
          <w:sz w:val="24"/>
          <w:szCs w:val="24"/>
          <w:highlight w:val="none"/>
        </w:rPr>
        <w:t>和修改</w:t>
      </w:r>
    </w:p>
    <w:p w14:paraId="4A76FDCA">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任何已登记领取了竞争性磋商文件的潜在供应商，在发现竞争性磋商文件存在混淆或错乱等问题时，可要求采购人或采购代理机构对竞争性磋商文件进行澄清。澄清要求应在响应文件截止期5日前，按竞争性磋商采购邀请书中的联系地址以书面形式送达采购人或采购代理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或在政采云平台在线询问</w:t>
      </w:r>
      <w:r>
        <w:rPr>
          <w:rFonts w:hint="eastAsia" w:ascii="宋体" w:hAnsi="宋体" w:eastAsia="宋体" w:cs="宋体"/>
          <w:color w:val="auto"/>
          <w:kern w:val="0"/>
          <w:sz w:val="24"/>
          <w:szCs w:val="24"/>
          <w:highlight w:val="none"/>
        </w:rPr>
        <w:t>，采购人或采购代理机构将以书面形式予以答复，答复中包括原提出的问题，但不包括问题的来源。</w:t>
      </w:r>
    </w:p>
    <w:p w14:paraId="7DB3C047">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在响应文件截止期5日前任何时候，采购人或采购代理机构无论出于何种原因，均可对竞争性磋商文件用补充文件的方式进行澄清和修改。该文件为竞争性磋商文件的组成部分，对所有领取了竞争性磋商文件的潜在供应商均具有约束力。</w:t>
      </w:r>
    </w:p>
    <w:p w14:paraId="7E344FBE">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9.3对竞争性磋商文件的澄清和修改，将书面通知已领取竞争性磋商文件的潜在供应商，并在刊登本次竞争性磋商采购邀请的媒体上发布变更公告。供应商应于收到补充文件的当日以书面形式回复确认。</w:t>
      </w:r>
    </w:p>
    <w:p w14:paraId="70472F78">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澄清或者修改的内容可能影响响应文件编制的，为使供应商有足够的时间按竞争性磋商文件的修改要求修正响应文件，采购人或采购代理机构可酌情推迟响应文件的递交截止日期和开启时间，并在提交响应文件递交截至时间5日前，书面通知所有登记并备案并领取了竞争性磋商文件的潜在服务商，同时在本次刊登竞争性磋商采购邀请的媒体上发布变更公告。采购人和供应商的权利及义务将受到新的截止期的约束。</w:t>
      </w:r>
    </w:p>
    <w:p w14:paraId="361314D6">
      <w:pPr>
        <w:adjustRightInd w:val="0"/>
        <w:spacing w:line="360" w:lineRule="auto"/>
        <w:ind w:left="420" w:leftChars="200" w:firstLine="120" w:firstLineChars="5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9.5采购人将视情况确定是否有必要召开磋商前答疑会。如果召开磋商前答疑会，</w:t>
      </w:r>
    </w:p>
    <w:p w14:paraId="120571D8">
      <w:pPr>
        <w:adjustRightIn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采购人或采购代理机构将通知所有已领取了竞争性磋商文件的供应商。</w:t>
      </w:r>
    </w:p>
    <w:p w14:paraId="5927C557">
      <w:pPr>
        <w:adjustRightInd w:val="0"/>
        <w:spacing w:line="360" w:lineRule="auto"/>
        <w:ind w:firstLine="480" w:firstLineChars="200"/>
        <w:textAlignment w:val="baseline"/>
        <w:rPr>
          <w:rFonts w:hint="eastAsia" w:ascii="宋体" w:hAnsi="宋体" w:eastAsia="宋体" w:cs="宋体"/>
          <w:b/>
          <w:color w:val="auto"/>
          <w:kern w:val="0"/>
          <w:szCs w:val="24"/>
          <w:highlight w:val="none"/>
        </w:rPr>
      </w:pPr>
      <w:r>
        <w:rPr>
          <w:rFonts w:hint="eastAsia" w:ascii="宋体" w:hAnsi="宋体" w:eastAsia="宋体" w:cs="宋体"/>
          <w:color w:val="auto"/>
          <w:kern w:val="0"/>
          <w:sz w:val="24"/>
          <w:szCs w:val="24"/>
          <w:highlight w:val="none"/>
        </w:rPr>
        <w:t>9.6供应商一旦参加磋商会议，将视为接受磋商文件内的一切条款。</w:t>
      </w:r>
    </w:p>
    <w:p w14:paraId="306BBE1F">
      <w:pPr>
        <w:adjustRightInd w:val="0"/>
        <w:spacing w:line="360" w:lineRule="auto"/>
        <w:jc w:val="center"/>
        <w:textAlignment w:val="baseline"/>
        <w:rPr>
          <w:rFonts w:hint="eastAsia" w:ascii="宋体" w:hAnsi="宋体" w:eastAsia="宋体" w:cs="宋体"/>
          <w:b/>
          <w:color w:val="auto"/>
          <w:kern w:val="0"/>
          <w:sz w:val="10"/>
          <w:szCs w:val="10"/>
          <w:highlight w:val="none"/>
        </w:rPr>
      </w:pPr>
      <w:bookmarkStart w:id="64" w:name="_Toc436256503"/>
    </w:p>
    <w:p w14:paraId="04D8B5B7">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（三）、响应文件的编制</w:t>
      </w:r>
      <w:bookmarkEnd w:id="64"/>
    </w:p>
    <w:p w14:paraId="35EBFCFC">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5" w:name="_Toc67626291"/>
      <w:bookmarkStart w:id="66" w:name="_Toc67626300"/>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响应文件的语言</w:t>
      </w:r>
    </w:p>
    <w:p w14:paraId="459B3B4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79D3E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11、响应文件的构成</w:t>
      </w:r>
    </w:p>
    <w:p w14:paraId="00A96B1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.1供应商编制的响应文件应包括但不少于下列内容：</w:t>
      </w:r>
    </w:p>
    <w:p w14:paraId="2A503135">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（1)商务文件内容（详见第六章商务文件组成）</w:t>
      </w:r>
    </w:p>
    <w:p w14:paraId="2C5C64F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（2)技术文件内容（详见第六章技术文件组成）</w:t>
      </w:r>
    </w:p>
    <w:p w14:paraId="7A8AC3A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12、响应文件编制</w:t>
      </w:r>
    </w:p>
    <w:p w14:paraId="0336F60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.1电子响应文件制作时，应按照统一的“响应文件制作工具”和磋商文件中明确的响应文件目录和投标技术规格、参数及相关要求格式进行编制，保证目录清晰、内容完整。</w:t>
      </w:r>
    </w:p>
    <w:p w14:paraId="024DFC5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.2供应商应按照供应商须知前附表要求的份数编制响应文件。</w:t>
      </w:r>
    </w:p>
    <w:p w14:paraId="5C0EF852">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.3以网上提交的（加密）电子响应文件为准。</w:t>
      </w:r>
    </w:p>
    <w:p w14:paraId="65054B51">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.4供应商因自身原因导致电子响应文件无法上传至新疆政采云系统的，该响应文件视为无效文件。</w:t>
      </w:r>
    </w:p>
    <w:p w14:paraId="40C5F92A">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.5电子响应文件具有法律效力,与其他形式的响应文件在内容和格式上等同，若响应文件与磋商文件要求不一致，其内容影响成交结果时，责任由供应商自行承担。</w:t>
      </w:r>
    </w:p>
    <w:p w14:paraId="00764DDD">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.6为了保证电子标书的合法性、安全性和完整性，电子响应文件转换完成后，应在规定区域加盖单位和法定代表人CA印章。电子响应文件若无CA电子签章，则视为无效文件。</w:t>
      </w:r>
    </w:p>
    <w:p w14:paraId="4B1AB1A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.7供应商应完整地填写磋商文件中提供的《竞争性磋商函》、《竞争性磋商报价一览表》、《竞争性磋商报价明细表》等磋商文件中规定的所有内容。</w:t>
      </w:r>
    </w:p>
    <w:p w14:paraId="454E8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.8供应商必须保证响应文件所提供的全部资料真实可靠，并接受采购单位对其中任何资料进一步核实的要求。</w:t>
      </w:r>
    </w:p>
    <w:p w14:paraId="5736C90F">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bookmarkEnd w:id="65"/>
      <w:r>
        <w:rPr>
          <w:rFonts w:hint="eastAsia" w:ascii="宋体" w:hAnsi="宋体" w:eastAsia="宋体" w:cs="宋体"/>
          <w:b/>
          <w:color w:val="auto"/>
          <w:kern w:val="0"/>
          <w:sz w:val="24"/>
          <w:szCs w:val="24"/>
          <w:highlight w:val="none"/>
        </w:rPr>
        <w:t>报价</w:t>
      </w:r>
    </w:p>
    <w:p w14:paraId="1DD04161">
      <w:pPr>
        <w:spacing w:line="360" w:lineRule="auto"/>
        <w:ind w:firstLine="480" w:firstLineChars="200"/>
        <w:rPr>
          <w:rFonts w:hint="eastAsia" w:ascii="宋体" w:hAnsi="宋体" w:eastAsia="宋体" w:cs="宋体"/>
          <w:color w:val="auto"/>
          <w:sz w:val="24"/>
          <w:highlight w:val="none"/>
        </w:rPr>
      </w:pPr>
      <w:bookmarkStart w:id="67" w:name="_Hlt26954846"/>
      <w:bookmarkEnd w:id="67"/>
      <w:bookmarkStart w:id="68" w:name="_Hlt26954848"/>
      <w:bookmarkEnd w:id="68"/>
      <w:bookmarkStart w:id="69" w:name="_Hlt26668983"/>
      <w:bookmarkEnd w:id="69"/>
      <w:bookmarkStart w:id="70" w:name="_Hlt26954844"/>
      <w:bookmarkEnd w:id="70"/>
      <w:bookmarkStart w:id="71" w:name="_Hlt26670425"/>
      <w:bookmarkEnd w:id="71"/>
      <w:bookmarkStart w:id="72" w:name="_Hlt26670482"/>
      <w:bookmarkEnd w:id="72"/>
      <w:bookmarkStart w:id="73" w:name="_Hlt26670403"/>
      <w:bookmarkEnd w:id="73"/>
      <w:bookmarkStart w:id="74" w:name="_Hlt26670486"/>
      <w:bookmarkEnd w:id="74"/>
      <w:bookmarkStart w:id="75" w:name="_Hlt26954731"/>
      <w:bookmarkEnd w:id="75"/>
      <w:bookmarkStart w:id="76" w:name="_Hlt26954842"/>
      <w:bookmarkEnd w:id="76"/>
      <w:bookmarkStart w:id="77" w:name="_Toc385992344"/>
      <w:bookmarkStart w:id="78" w:name="_Toc70687158"/>
      <w:bookmarkStart w:id="79" w:name="_Toc389620183"/>
      <w:bookmarkStart w:id="80" w:name="_Toc184043031"/>
      <w:bookmarkStart w:id="81" w:name="_Toc67626297"/>
      <w:r>
        <w:rPr>
          <w:rFonts w:hint="eastAsia" w:ascii="宋体" w:hAnsi="宋体" w:eastAsia="宋体" w:cs="宋体"/>
          <w:color w:val="auto"/>
          <w:sz w:val="24"/>
          <w:highlight w:val="none"/>
        </w:rPr>
        <w:t>本项目如非因重大需求变化导致成本增加，不得追加费用，供应商应该考虑但没有考虑到的任何费用将由供应商自行承担；</w:t>
      </w:r>
    </w:p>
    <w:p w14:paraId="081E3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13.1响应报价超过最高限价的，该报价为无效报价，不进入商务评比。</w:t>
      </w:r>
    </w:p>
    <w:p w14:paraId="14676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13.2特别要求：响应文件中必须有备品备件、易损件和专用工具以及耗材的报价；</w:t>
      </w:r>
    </w:p>
    <w:p w14:paraId="5A015F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13.3磋商文件中特别要求的安装、调试、运输、保险及其它附带服务的全部费用；</w:t>
      </w:r>
    </w:p>
    <w:p w14:paraId="6327EF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13.4供应商提供的在中华人民共和国制造的货物，其货物的响应价即交货价中，包括制造、组装该货物所使用的零部件及原料已付的全部关税、销售税和其它税；</w:t>
      </w:r>
    </w:p>
    <w:p w14:paraId="3756A5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13.5供应商应对响应货物提供完整的详细的书面说明。</w:t>
      </w:r>
    </w:p>
    <w:p w14:paraId="3865BA41">
      <w:pPr>
        <w:adjustRightInd w:val="0"/>
        <w:spacing w:line="360" w:lineRule="auto"/>
        <w:ind w:firstLine="480"/>
        <w:jc w:val="left"/>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供应商根据本单位情况按照报价一览表的要求进行报价。</w:t>
      </w:r>
    </w:p>
    <w:p w14:paraId="720D2855">
      <w:pPr>
        <w:adjustRightInd w:val="0"/>
        <w:spacing w:line="360" w:lineRule="auto"/>
        <w:jc w:val="left"/>
        <w:textAlignment w:val="baseline"/>
        <w:rPr>
          <w:rFonts w:hint="eastAsia" w:ascii="宋体" w:hAnsi="宋体" w:eastAsia="宋体" w:cs="宋体"/>
          <w:b/>
          <w:color w:val="auto"/>
          <w:kern w:val="24"/>
          <w:sz w:val="24"/>
          <w:szCs w:val="24"/>
          <w:highlight w:val="none"/>
        </w:rPr>
      </w:pPr>
      <w:r>
        <w:rPr>
          <w:rFonts w:hint="eastAsia" w:ascii="宋体" w:hAnsi="宋体" w:eastAsia="宋体" w:cs="宋体"/>
          <w:b/>
          <w:color w:val="auto"/>
          <w:kern w:val="0"/>
          <w:sz w:val="24"/>
          <w:szCs w:val="24"/>
          <w:highlight w:val="none"/>
        </w:rPr>
        <w:t>14、磋商保证金</w:t>
      </w:r>
      <w:bookmarkEnd w:id="77"/>
      <w:bookmarkEnd w:id="78"/>
      <w:bookmarkEnd w:id="79"/>
      <w:bookmarkEnd w:id="80"/>
    </w:p>
    <w:p w14:paraId="75D9693A">
      <w:pPr>
        <w:tabs>
          <w:tab w:val="left" w:pos="0"/>
        </w:tabs>
        <w:spacing w:line="360" w:lineRule="auto"/>
        <w:ind w:firstLine="480" w:firstLineChars="200"/>
        <w:rPr>
          <w:rFonts w:hint="eastAsia" w:ascii="宋体" w:hAnsi="宋体" w:eastAsia="宋体" w:cs="宋体"/>
          <w:color w:val="auto"/>
          <w:kern w:val="24"/>
          <w:sz w:val="24"/>
          <w:szCs w:val="24"/>
          <w:highlight w:val="none"/>
          <w:lang w:eastAsia="zh-CN"/>
        </w:rPr>
      </w:pPr>
      <w:r>
        <w:rPr>
          <w:rFonts w:hint="eastAsia" w:ascii="宋体" w:hAnsi="宋体" w:eastAsia="宋体" w:cs="宋体"/>
          <w:color w:val="auto"/>
          <w:kern w:val="0"/>
          <w:sz w:val="24"/>
          <w:szCs w:val="24"/>
          <w:highlight w:val="none"/>
        </w:rPr>
        <w:t>14.1供应商应提交“供应商须知前附表”规定数额的磋商保证金，并作为其响应的一部分。</w:t>
      </w:r>
    </w:p>
    <w:p w14:paraId="2E15136D">
      <w:pPr>
        <w:tabs>
          <w:tab w:val="left" w:pos="0"/>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14.2磋商保证金是为了保护采购人免遭因供应商的行为而蒙受损失。采购人在因供应商的行为受到损害时可根据本须知第14.8条的规定不予退还供应商的磋商保证金。磋商保证金由采购代理机构代理收取并退回。</w:t>
      </w:r>
    </w:p>
    <w:p w14:paraId="7CDEF4AA">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14.3磋商保证金的货币为人民币，并采用下列任何一种形式：</w:t>
      </w:r>
    </w:p>
    <w:p w14:paraId="4FE6A06B">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w:t>
      </w:r>
      <w:r>
        <w:rPr>
          <w:rFonts w:hint="eastAsia" w:ascii="宋体" w:hAnsi="宋体" w:eastAsia="宋体" w:cs="宋体"/>
          <w:color w:val="auto"/>
          <w:kern w:val="0"/>
          <w:sz w:val="24"/>
          <w:szCs w:val="24"/>
          <w:highlight w:val="none"/>
        </w:rPr>
        <w:t>电汇（提供付款凭证复印件于开启当日，响应文件递交截止时间前与响应文件一同提交）</w:t>
      </w:r>
      <w:r>
        <w:rPr>
          <w:rFonts w:hint="eastAsia" w:ascii="宋体" w:hAnsi="宋体" w:eastAsia="宋体" w:cs="宋体"/>
          <w:color w:val="auto"/>
          <w:kern w:val="24"/>
          <w:sz w:val="24"/>
          <w:szCs w:val="24"/>
          <w:highlight w:val="none"/>
        </w:rPr>
        <w:t>；</w:t>
      </w:r>
    </w:p>
    <w:p w14:paraId="6B9A0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（2）</w:t>
      </w:r>
      <w:r>
        <w:rPr>
          <w:rFonts w:hint="eastAsia" w:ascii="宋体" w:hAnsi="宋体" w:eastAsia="宋体" w:cs="宋体"/>
          <w:color w:val="auto"/>
          <w:kern w:val="0"/>
          <w:sz w:val="24"/>
          <w:szCs w:val="24"/>
          <w:highlight w:val="none"/>
        </w:rPr>
        <w:t>支票（仅限银行开具，凭密支付的须同时提供有效密码）、</w:t>
      </w:r>
      <w:r>
        <w:rPr>
          <w:rFonts w:hint="eastAsia" w:ascii="宋体" w:hAnsi="宋体" w:eastAsia="宋体" w:cs="宋体"/>
          <w:color w:val="auto"/>
          <w:sz w:val="24"/>
          <w:szCs w:val="24"/>
          <w:highlight w:val="none"/>
        </w:rPr>
        <w:t>银行汇票、本票或者金融机构、担保机构出具的保函等非现金形式。</w:t>
      </w:r>
    </w:p>
    <w:p w14:paraId="540030F8">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14.4</w:t>
      </w:r>
      <w:r>
        <w:rPr>
          <w:rFonts w:hint="eastAsia" w:ascii="宋体" w:hAnsi="宋体" w:eastAsia="宋体" w:cs="宋体"/>
          <w:color w:val="auto"/>
          <w:kern w:val="0"/>
          <w:sz w:val="24"/>
          <w:szCs w:val="24"/>
          <w:highlight w:val="none"/>
        </w:rPr>
        <w:t>磋商保证金应在响应有效期内有效</w:t>
      </w:r>
      <w:r>
        <w:rPr>
          <w:rFonts w:hint="eastAsia" w:ascii="宋体" w:hAnsi="宋体" w:eastAsia="宋体" w:cs="宋体"/>
          <w:color w:val="auto"/>
          <w:kern w:val="24"/>
          <w:sz w:val="24"/>
          <w:szCs w:val="24"/>
          <w:highlight w:val="none"/>
        </w:rPr>
        <w:t>。</w:t>
      </w:r>
    </w:p>
    <w:p w14:paraId="613D283C">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14.5凡没有根据本须知第14.1和14.3条的规定随附磋商保证金的，将被视为非响应性予以拒绝。</w:t>
      </w:r>
      <w:r>
        <w:rPr>
          <w:rFonts w:hint="eastAsia" w:ascii="宋体" w:hAnsi="宋体" w:eastAsia="宋体" w:cs="宋体"/>
          <w:b/>
          <w:color w:val="auto"/>
          <w:sz w:val="24"/>
          <w:szCs w:val="24"/>
          <w:highlight w:val="none"/>
        </w:rPr>
        <w:t>供应商提交的磋商保证金，无论成交与否均以转账形式予以退回。</w:t>
      </w:r>
    </w:p>
    <w:p w14:paraId="49B1F42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14.6未成交供应商的磋商保证金，在《成交通知书》发出后5个工作日内退还；但本竞争性磋商文件规定不予退还的情形除外。</w:t>
      </w:r>
    </w:p>
    <w:p w14:paraId="0474F869">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14.7成交供应商的磋商保证金，在采购合同签订后5个工作日内退还。</w:t>
      </w:r>
    </w:p>
    <w:p w14:paraId="0F5E3C04">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14.8发生以下情况之一的，磋商保证金将不予退还：</w:t>
      </w:r>
    </w:p>
    <w:p w14:paraId="3DB168B4">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（1）供应商在提交响应文件截止时间后撤回响应文件的；</w:t>
      </w:r>
    </w:p>
    <w:p w14:paraId="319767EE">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（2）供应商在响应文件中提供虚假材料的；</w:t>
      </w:r>
    </w:p>
    <w:p w14:paraId="1BE18D9F">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（3）除因不可抗力或磋商文件认可的情形以外，成交供应商不与采购人签订合同的；</w:t>
      </w:r>
    </w:p>
    <w:p w14:paraId="79CD897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（4）供应商与采购人、其他供应商或者采购代理机构恶意串通的；</w:t>
      </w:r>
    </w:p>
    <w:p w14:paraId="217904E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（5）磋商文件规定的其他情形。</w:t>
      </w:r>
    </w:p>
    <w:p w14:paraId="7467C4E8">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若供应商或成交供应商的上述行为所造成的采购人的损失大于磋商保证金金额的，采购人不予退还保证金的同时，有权要求供应商或成交供应商就保证金未能涵盖部分的损失承担赔偿责任。</w:t>
      </w:r>
    </w:p>
    <w:p w14:paraId="33A3E8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82" w:name="_Toc184043032"/>
      <w:bookmarkStart w:id="83" w:name="_Toc70687159"/>
      <w:bookmarkStart w:id="84" w:name="_Toc385992345"/>
      <w:bookmarkStart w:id="85" w:name="_Toc389620184"/>
      <w:r>
        <w:rPr>
          <w:rFonts w:hint="eastAsia" w:ascii="宋体" w:hAnsi="宋体" w:eastAsia="宋体" w:cs="宋体"/>
          <w:b/>
          <w:color w:val="auto"/>
          <w:kern w:val="0"/>
          <w:sz w:val="24"/>
          <w:szCs w:val="24"/>
          <w:highlight w:val="none"/>
        </w:rPr>
        <w:t>15、响应有效期</w:t>
      </w:r>
      <w:bookmarkEnd w:id="82"/>
      <w:bookmarkEnd w:id="83"/>
      <w:bookmarkEnd w:id="84"/>
      <w:bookmarkEnd w:id="85"/>
    </w:p>
    <w:p w14:paraId="3CA40D0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15.1响应有效期见本须知前附表。在响应有效期内，所有响应文件均保持有效。响应文件的有效期比本须知规定的有效期短的，将被视为非实质性响应，采购人有权拒绝。</w:t>
      </w:r>
    </w:p>
    <w:p w14:paraId="1D319B3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特殊情况下，采购人可于原响应有效期满之前要求供应商同意延长有效期，要求与答复均应为书面形式。供应商可以拒绝上述要求，其磋商保证金在规定时间内退还。对于同意该要求的供应商，既不要求也不允许其修改响应文件，但将要求其相应延长磋商保证金的有效期，有关退还和不予退还磋商保证金的规定在响应有效期的延长期内继续有效。</w:t>
      </w:r>
    </w:p>
    <w:p w14:paraId="054F990E">
      <w:pPr>
        <w:adjustRightInd w:val="0"/>
        <w:spacing w:line="360" w:lineRule="auto"/>
        <w:jc w:val="left"/>
        <w:textAlignment w:val="baseline"/>
        <w:rPr>
          <w:rFonts w:hint="eastAsia" w:ascii="宋体" w:hAnsi="宋体" w:eastAsia="宋体" w:cs="宋体"/>
          <w:b/>
          <w:color w:val="auto"/>
          <w:kern w:val="0"/>
          <w:sz w:val="24"/>
          <w:szCs w:val="24"/>
          <w:highlight w:val="none"/>
          <w:lang w:eastAsia="zh-CN"/>
        </w:rPr>
      </w:pPr>
      <w:bookmarkStart w:id="86" w:name="_Toc70687160"/>
      <w:bookmarkStart w:id="87" w:name="_Toc389620185"/>
      <w:bookmarkStart w:id="88" w:name="_Toc184043033"/>
      <w:bookmarkStart w:id="89" w:name="_Toc385992346"/>
      <w:r>
        <w:rPr>
          <w:rFonts w:hint="eastAsia" w:ascii="宋体" w:hAnsi="宋体" w:eastAsia="宋体" w:cs="宋体"/>
          <w:b/>
          <w:color w:val="auto"/>
          <w:kern w:val="0"/>
          <w:sz w:val="24"/>
          <w:szCs w:val="24"/>
          <w:highlight w:val="none"/>
        </w:rPr>
        <w:t>16、响应文件的制作和签署</w:t>
      </w:r>
      <w:bookmarkEnd w:id="86"/>
      <w:bookmarkEnd w:id="87"/>
      <w:bookmarkEnd w:id="88"/>
      <w:bookmarkEnd w:id="89"/>
    </w:p>
    <w:p w14:paraId="1B28C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供应商应准备一份响应文件正本和“供应商须知前附表”中规定数目的副本及电子版本（使用PDF格式，采用U盘或光盘），每套响应文件须清楚地标明“正本”“副本”“电子版本”。若正本和副本不符，以正本为准，电子版与纸制文件不符，以纸制文件为准。</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3B0FE050">
      <w:pPr>
        <w:tabs>
          <w:tab w:val="left" w:pos="0"/>
        </w:tabs>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16.2</w:t>
      </w:r>
      <w:r>
        <w:rPr>
          <w:rFonts w:hint="eastAsia" w:ascii="宋体" w:hAnsi="宋体" w:eastAsia="宋体" w:cs="宋体"/>
          <w:b/>
          <w:color w:val="auto"/>
          <w:kern w:val="0"/>
          <w:sz w:val="24"/>
          <w:szCs w:val="24"/>
          <w:highlight w:val="none"/>
        </w:rPr>
        <w:t>响应文件须用中文编写，并须有序地装订成册，装订须牢固不易拆散和换页，不得采用活页方式装订，响应文件中不得留有空白页（如隔页纸）</w:t>
      </w: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7B62E46A">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16.3响应文件的正本，一律用不褪色的墨水书写或打印，加盖供应商单位公章，并由供应商的法定代表人或其授权的代理人签字或盖章。响应文件的副本可采用正本的复印件。</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1006131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16.4任何行间插字、涂改或增删，必须由响应文件签字人姓或首字母在旁边签字才有效。</w:t>
      </w:r>
    </w:p>
    <w:p w14:paraId="13C9BDC1">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16.5采购人拒绝接受以电报、电话、传真、电子邮件形式递交的响应。</w:t>
      </w:r>
    </w:p>
    <w:p w14:paraId="3A506445">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16.6供应商在磋商过程中相关文件的签订、履行、通知等事项的书面文件中的单位盖章、印章、公章等处均仅指与供应商名称全称相一致的法定代表人章，不得使用其他形式（如带有“专用章”等字样）的印章。</w:t>
      </w:r>
      <w:bookmarkStart w:id="90" w:name="_Hlt491765640"/>
      <w:bookmarkEnd w:id="90"/>
    </w:p>
    <w:p w14:paraId="1A1E2C04">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1" w:name="_Toc436256504"/>
      <w:r>
        <w:rPr>
          <w:rFonts w:hint="eastAsia" w:ascii="宋体" w:hAnsi="宋体" w:eastAsia="宋体" w:cs="宋体"/>
          <w:b/>
          <w:color w:val="auto"/>
          <w:kern w:val="0"/>
          <w:sz w:val="24"/>
          <w:szCs w:val="24"/>
          <w:highlight w:val="none"/>
        </w:rPr>
        <w:t>（四）、响应文件的提交</w:t>
      </w:r>
      <w:bookmarkEnd w:id="81"/>
      <w:bookmarkEnd w:id="91"/>
    </w:p>
    <w:p w14:paraId="5FEA346F">
      <w:pPr>
        <w:pStyle w:val="28"/>
        <w:spacing w:line="360" w:lineRule="auto"/>
        <w:rPr>
          <w:rFonts w:hint="eastAsia" w:ascii="宋体" w:hAnsi="宋体" w:eastAsia="宋体" w:cs="宋体"/>
          <w:b/>
          <w:color w:val="auto"/>
          <w:szCs w:val="24"/>
          <w:highlight w:val="none"/>
          <w:lang w:eastAsia="zh-CN"/>
        </w:rPr>
      </w:pPr>
      <w:bookmarkStart w:id="92" w:name="_Toc67626299"/>
      <w:r>
        <w:rPr>
          <w:rFonts w:hint="eastAsia" w:ascii="宋体" w:hAnsi="宋体" w:eastAsia="宋体" w:cs="宋体"/>
          <w:b/>
          <w:color w:val="auto"/>
          <w:szCs w:val="24"/>
          <w:highlight w:val="none"/>
        </w:rPr>
        <w:t>17、响应文件的密封和标记</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电子开评标供应商响应文件无需密封</w:t>
      </w:r>
      <w:r>
        <w:rPr>
          <w:rFonts w:hint="eastAsia" w:ascii="宋体" w:hAnsi="宋体" w:eastAsia="宋体" w:cs="宋体"/>
          <w:b/>
          <w:color w:val="auto"/>
          <w:szCs w:val="24"/>
          <w:highlight w:val="none"/>
          <w:lang w:eastAsia="zh-CN"/>
        </w:rPr>
        <w:t>）</w:t>
      </w:r>
    </w:p>
    <w:p w14:paraId="2492B46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p w14:paraId="13C476F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17.2响应文件在密封好的外包封上应写明的标识：</w:t>
      </w:r>
    </w:p>
    <w:p w14:paraId="1F7EB77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(1)外层密封的识别标志：</w:t>
      </w:r>
    </w:p>
    <w:p w14:paraId="4DAB6F6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a.项目编号；</w:t>
      </w:r>
    </w:p>
    <w:p w14:paraId="5B79E633">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b.项目名称；</w:t>
      </w:r>
    </w:p>
    <w:p w14:paraId="7ADFAEB0">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c.采购人名称；</w:t>
      </w:r>
    </w:p>
    <w:p w14:paraId="6D4283B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d.供应商地址、联系方式；</w:t>
      </w:r>
    </w:p>
    <w:p w14:paraId="26A28518">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17.3响应文件须按本供应商须知及前附表相应项规定密封。对由此造成的提前开封的响应文件将予以拒绝，并退还给供应商；</w:t>
      </w:r>
    </w:p>
    <w:p w14:paraId="234D578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17.4所有响应文件的密封袋的封口处应加盖供应商公章。</w:t>
      </w:r>
    </w:p>
    <w:p w14:paraId="515D47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17.5如果响应文件没有按规定密封，响应文件将被拒收。</w:t>
      </w:r>
    </w:p>
    <w:bookmarkEnd w:id="92"/>
    <w:p w14:paraId="3641B12C">
      <w:pPr>
        <w:pStyle w:val="28"/>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18、响应文件的提交</w:t>
      </w:r>
    </w:p>
    <w:p w14:paraId="3F0C208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18.1响应文件的递交地点：见供应商须知前附表。</w:t>
      </w:r>
    </w:p>
    <w:p w14:paraId="77B344D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18.2响应文件提交的截止时间</w:t>
      </w:r>
      <w:bookmarkEnd w:id="66"/>
    </w:p>
    <w:p w14:paraId="75CB74A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18.2.1响应文件递交的截止时间：见供应商须知前附表。</w:t>
      </w:r>
    </w:p>
    <w:p w14:paraId="5A9EFC1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18.2.2采购人可按本须知相应项规定以修改补充通知的方式，酌情延长提交响应文件的截止时间。在此情况下，供应商的所有权利和义务以及供应商受制约的截止时间，均以延长后新的响应文件递交的截止时间为准。</w:t>
      </w:r>
    </w:p>
    <w:p w14:paraId="66B710D5">
      <w:pPr>
        <w:pStyle w:val="28"/>
        <w:spacing w:line="360" w:lineRule="auto"/>
        <w:rPr>
          <w:rFonts w:hint="eastAsia" w:ascii="宋体" w:hAnsi="宋体" w:eastAsia="宋体" w:cs="宋体"/>
          <w:b/>
          <w:bCs/>
          <w:color w:val="auto"/>
          <w:szCs w:val="24"/>
          <w:highlight w:val="none"/>
        </w:rPr>
      </w:pPr>
      <w:bookmarkStart w:id="93" w:name="_Toc67626301"/>
      <w:r>
        <w:rPr>
          <w:rFonts w:hint="eastAsia" w:ascii="宋体" w:hAnsi="宋体" w:eastAsia="宋体" w:cs="宋体"/>
          <w:b/>
          <w:bCs/>
          <w:color w:val="auto"/>
          <w:szCs w:val="24"/>
          <w:highlight w:val="none"/>
        </w:rPr>
        <w:t>19、迟交的</w:t>
      </w:r>
      <w:bookmarkEnd w:id="93"/>
      <w:r>
        <w:rPr>
          <w:rFonts w:hint="eastAsia" w:ascii="宋体" w:hAnsi="宋体" w:eastAsia="宋体" w:cs="宋体"/>
          <w:b/>
          <w:bCs/>
          <w:color w:val="auto"/>
          <w:szCs w:val="24"/>
          <w:highlight w:val="none"/>
        </w:rPr>
        <w:t>响应文件</w:t>
      </w:r>
    </w:p>
    <w:p w14:paraId="4BDE50A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19.1采购人在本须知相应项规定的响应文件递交的截止时间以后收到的响应文件，将被拒绝并退回给供应商。</w:t>
      </w:r>
    </w:p>
    <w:p w14:paraId="407FB7A5">
      <w:pPr>
        <w:pStyle w:val="28"/>
        <w:spacing w:line="360" w:lineRule="auto"/>
        <w:rPr>
          <w:rFonts w:hint="eastAsia" w:ascii="宋体" w:hAnsi="宋体" w:eastAsia="宋体" w:cs="宋体"/>
          <w:b/>
          <w:bCs/>
          <w:color w:val="auto"/>
          <w:szCs w:val="24"/>
          <w:highlight w:val="none"/>
        </w:rPr>
      </w:pPr>
      <w:bookmarkStart w:id="94" w:name="_Toc67626302"/>
      <w:r>
        <w:rPr>
          <w:rFonts w:hint="eastAsia" w:ascii="宋体" w:hAnsi="宋体" w:eastAsia="宋体" w:cs="宋体"/>
          <w:b/>
          <w:bCs/>
          <w:color w:val="auto"/>
          <w:szCs w:val="24"/>
          <w:highlight w:val="none"/>
        </w:rPr>
        <w:t>20、响应文件的补充、修改与撤回</w:t>
      </w:r>
      <w:bookmarkEnd w:id="94"/>
    </w:p>
    <w:p w14:paraId="35EAC2A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20.1供应商在提交响应文件以后，在规定的响应文件递交的截止时间之前，可以书面形式补充修改或撤回已提交的响应文件，并以书面形式通知采购人。补充、修改的内容为响应文件的组成部分。</w:t>
      </w:r>
    </w:p>
    <w:p w14:paraId="2AA459D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20.2供应商对响应文件的补充、修改，应按本须知相应项有关规定密封、标记和提交，并在响应文件密封袋上清楚标明“补充、修改”或“撤回”字样。</w:t>
      </w:r>
    </w:p>
    <w:p w14:paraId="6292696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20.3在响应文件递交的截止时间之后，供应商不得补充、修改响应文件。</w:t>
      </w:r>
    </w:p>
    <w:p w14:paraId="3DD49FC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20.4在响应文件递交的截止时间至响应有效期满之前，供应商不得撤回其响应文件，否则其响应保证金将不予退还。</w:t>
      </w:r>
    </w:p>
    <w:p w14:paraId="06B06F81">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5" w:name="_Toc232395217"/>
      <w:bookmarkStart w:id="96" w:name="_Toc235518471"/>
      <w:bookmarkStart w:id="97" w:name="_Toc232176277"/>
      <w:bookmarkStart w:id="98" w:name="_Toc239740356"/>
      <w:bookmarkStart w:id="99" w:name="_Toc214357452"/>
      <w:bookmarkStart w:id="100" w:name="_Toc265738865"/>
      <w:bookmarkStart w:id="101" w:name="_Toc499711048"/>
      <w:bookmarkStart w:id="102" w:name="_Toc184043039"/>
      <w:bookmarkStart w:id="103" w:name="_Toc499711889"/>
      <w:bookmarkStart w:id="104" w:name="_Toc177817339"/>
      <w:bookmarkStart w:id="105" w:name="_Toc176882547"/>
      <w:bookmarkStart w:id="106" w:name="_Toc177189240"/>
      <w:bookmarkStart w:id="107" w:name="_Toc492955420"/>
      <w:bookmarkStart w:id="108" w:name="_Toc177995478"/>
      <w:bookmarkStart w:id="109" w:name="_Toc70687166"/>
      <w:bookmarkStart w:id="110" w:name="_Toc385992352"/>
      <w:bookmarkStart w:id="111" w:name="_Toc496324584"/>
      <w:bookmarkStart w:id="112" w:name="_Toc500746971"/>
      <w:bookmarkStart w:id="113" w:name="_Toc500747194"/>
      <w:bookmarkStart w:id="114" w:name="_Toc53722845"/>
      <w:bookmarkStart w:id="115" w:name="_Toc389620191"/>
      <w:bookmarkStart w:id="116" w:name="_Toc503063427"/>
      <w:bookmarkStart w:id="117" w:name="_Toc500747067"/>
      <w:bookmarkStart w:id="118" w:name="_Toc67626304"/>
      <w:bookmarkStart w:id="119" w:name="_Toc436256505"/>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（五</w:t>
      </w:r>
      <w:bookmarkEnd w:id="95"/>
      <w:bookmarkEnd w:id="96"/>
      <w:bookmarkEnd w:id="97"/>
      <w:bookmarkEnd w:id="98"/>
      <w:bookmarkEnd w:id="99"/>
      <w:bookmarkEnd w:id="100"/>
      <w:r>
        <w:rPr>
          <w:rFonts w:hint="eastAsia" w:ascii="宋体" w:hAnsi="宋体" w:eastAsia="宋体" w:cs="宋体"/>
          <w:b/>
          <w:color w:val="auto"/>
          <w:kern w:val="0"/>
          <w:sz w:val="24"/>
          <w:szCs w:val="24"/>
          <w:highlight w:val="none"/>
        </w:rPr>
        <w:t>）、评审与磋商</w:t>
      </w:r>
    </w:p>
    <w:p w14:paraId="360853D0">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21、磋商开启</w:t>
      </w:r>
    </w:p>
    <w:p w14:paraId="154712C2">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21.1采购单位</w:t>
      </w:r>
      <w:r>
        <w:rPr>
          <w:rFonts w:hint="eastAsia" w:ascii="宋体" w:hAnsi="宋体" w:eastAsia="宋体" w:cs="宋体"/>
          <w:color w:val="auto"/>
          <w:kern w:val="0"/>
          <w:sz w:val="24"/>
          <w:szCs w:val="21"/>
          <w:highlight w:val="none"/>
        </w:rPr>
        <w:t>应当按采购邀请的规定，在响应文件递交截止时间的同一时间和预先确定的</w:t>
      </w:r>
      <w:r>
        <w:rPr>
          <w:rFonts w:hint="eastAsia" w:ascii="宋体" w:hAnsi="宋体" w:eastAsia="宋体" w:cs="宋体"/>
          <w:color w:val="auto"/>
          <w:kern w:val="0"/>
          <w:sz w:val="24"/>
          <w:szCs w:val="21"/>
          <w:highlight w:val="none"/>
          <w:lang w:val="en-US" w:eastAsia="zh-CN"/>
        </w:rPr>
        <w:t>平台网址</w:t>
      </w:r>
      <w:r>
        <w:rPr>
          <w:rFonts w:hint="eastAsia" w:ascii="宋体" w:hAnsi="宋体" w:eastAsia="宋体" w:cs="宋体"/>
          <w:color w:val="auto"/>
          <w:kern w:val="0"/>
          <w:sz w:val="24"/>
          <w:szCs w:val="21"/>
          <w:highlight w:val="none"/>
        </w:rPr>
        <w:t>组织磋商活动，并邀请所有供应商代表参加。供应商代表应签名报到以证明其出席</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0"/>
          <w:sz w:val="24"/>
          <w:szCs w:val="21"/>
          <w:highlight w:val="none"/>
          <w:lang w:val="en-US" w:eastAsia="zh-CN"/>
        </w:rPr>
        <w:t>并在开启环节全程保持在线</w:t>
      </w:r>
      <w:r>
        <w:rPr>
          <w:rFonts w:hint="eastAsia" w:ascii="宋体" w:hAnsi="宋体" w:eastAsia="宋体" w:cs="宋体"/>
          <w:color w:val="auto"/>
          <w:kern w:val="0"/>
          <w:sz w:val="24"/>
          <w:szCs w:val="21"/>
          <w:highlight w:val="none"/>
        </w:rPr>
        <w:t>。采购代理机构在线上开启</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文件解密，后由各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在规定时间内在线解密</w:t>
      </w:r>
      <w:r>
        <w:rPr>
          <w:rFonts w:hint="eastAsia" w:ascii="宋体" w:hAnsi="宋体" w:eastAsia="宋体" w:cs="宋体"/>
          <w:color w:val="auto"/>
          <w:kern w:val="0"/>
          <w:sz w:val="24"/>
          <w:szCs w:val="21"/>
          <w:highlight w:val="none"/>
          <w:lang w:val="en-US" w:eastAsia="zh-CN"/>
        </w:rPr>
        <w:t>其响应</w:t>
      </w:r>
      <w:r>
        <w:rPr>
          <w:rFonts w:hint="eastAsia" w:ascii="宋体" w:hAnsi="宋体" w:eastAsia="宋体" w:cs="宋体"/>
          <w:color w:val="auto"/>
          <w:kern w:val="0"/>
          <w:sz w:val="24"/>
          <w:szCs w:val="21"/>
          <w:highlight w:val="none"/>
        </w:rPr>
        <w:t>文件。未在规定时间内解密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文件的视为放弃</w:t>
      </w:r>
      <w:r>
        <w:rPr>
          <w:rFonts w:hint="eastAsia" w:ascii="宋体" w:hAnsi="宋体" w:eastAsia="宋体" w:cs="宋体"/>
          <w:color w:val="auto"/>
          <w:kern w:val="0"/>
          <w:sz w:val="24"/>
          <w:szCs w:val="21"/>
          <w:highlight w:val="none"/>
          <w:lang w:val="en-US" w:eastAsia="zh-CN"/>
        </w:rPr>
        <w:t>磋商</w:t>
      </w:r>
      <w:r>
        <w:rPr>
          <w:rFonts w:hint="eastAsia" w:ascii="宋体" w:hAnsi="宋体" w:eastAsia="宋体" w:cs="宋体"/>
          <w:color w:val="auto"/>
          <w:kern w:val="0"/>
          <w:sz w:val="24"/>
          <w:szCs w:val="21"/>
          <w:highlight w:val="none"/>
        </w:rPr>
        <w:t>资格，</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文件在线解密时长为30分钟，因</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自身原因未在规定时间内解密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文件导致废标的，由</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自行承担后果。除了按照本须知第</w:t>
      </w:r>
      <w:r>
        <w:rPr>
          <w:rFonts w:hint="eastAsia" w:ascii="宋体" w:hAnsi="宋体" w:eastAsia="宋体" w:cs="宋体"/>
          <w:color w:val="auto"/>
          <w:kern w:val="0"/>
          <w:sz w:val="24"/>
          <w:szCs w:val="21"/>
          <w:highlight w:val="none"/>
          <w:lang w:val="en-US" w:eastAsia="zh-CN"/>
        </w:rPr>
        <w:t>19</w:t>
      </w:r>
      <w:r>
        <w:rPr>
          <w:rFonts w:hint="eastAsia" w:ascii="宋体" w:hAnsi="宋体" w:eastAsia="宋体" w:cs="宋体"/>
          <w:color w:val="auto"/>
          <w:kern w:val="0"/>
          <w:sz w:val="24"/>
          <w:szCs w:val="21"/>
          <w:highlight w:val="none"/>
        </w:rPr>
        <w:t>条的规定原封退回迟到的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之外，开标时将不得拒绝任何投标。</w:t>
      </w:r>
    </w:p>
    <w:p w14:paraId="7DBBE541">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0" w:name="_Toc83547667"/>
      <w:r>
        <w:rPr>
          <w:rFonts w:hint="eastAsia" w:ascii="宋体" w:hAnsi="宋体" w:eastAsia="宋体" w:cs="宋体"/>
          <w:b/>
          <w:color w:val="auto"/>
          <w:kern w:val="0"/>
          <w:sz w:val="24"/>
          <w:szCs w:val="24"/>
          <w:highlight w:val="none"/>
        </w:rPr>
        <w:t>22、磋商小组</w:t>
      </w:r>
    </w:p>
    <w:p w14:paraId="3A02B8D8">
      <w:pPr>
        <w:tabs>
          <w:tab w:val="left" w:pos="588"/>
        </w:tabs>
        <w:spacing w:line="360" w:lineRule="auto"/>
        <w:ind w:left="420" w:left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4"/>
          <w:highlight w:val="none"/>
        </w:rPr>
        <w:t>22.1采购人根据有关法律法规，结合本项目特点组建磋商小组。</w:t>
      </w:r>
      <w:r>
        <w:rPr>
          <w:rFonts w:hint="eastAsia" w:ascii="宋体" w:hAnsi="宋体" w:eastAsia="宋体" w:cs="宋体"/>
          <w:color w:val="auto"/>
          <w:kern w:val="0"/>
          <w:sz w:val="24"/>
          <w:szCs w:val="21"/>
          <w:highlight w:val="none"/>
        </w:rPr>
        <w:t>磋商小组由采购人</w:t>
      </w:r>
    </w:p>
    <w:p w14:paraId="3543C9C0">
      <w:pPr>
        <w:tabs>
          <w:tab w:val="left" w:pos="588"/>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1"/>
          <w:highlight w:val="none"/>
        </w:rPr>
        <w:t>代表和评审专家共三人以上单数组成，其中评审专家的人数不少于磋商小组成员总数的三分之二。</w:t>
      </w:r>
    </w:p>
    <w:p w14:paraId="0052B34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23、响应文件的初审</w:t>
      </w:r>
      <w:bookmarkEnd w:id="120"/>
      <w:r>
        <w:rPr>
          <w:rFonts w:hint="eastAsia" w:ascii="宋体" w:hAnsi="宋体" w:eastAsia="宋体" w:cs="宋体"/>
          <w:b/>
          <w:color w:val="auto"/>
          <w:kern w:val="0"/>
          <w:sz w:val="24"/>
          <w:szCs w:val="24"/>
          <w:highlight w:val="none"/>
        </w:rPr>
        <w:t>与澄清</w:t>
      </w:r>
    </w:p>
    <w:p w14:paraId="0E42F585">
      <w:pPr>
        <w:tabs>
          <w:tab w:val="left" w:pos="588"/>
        </w:tabs>
        <w:spacing w:line="360" w:lineRule="auto"/>
        <w:ind w:firstLine="480" w:firstLineChars="200"/>
        <w:rPr>
          <w:rFonts w:hint="eastAsia" w:ascii="宋体" w:hAnsi="宋体" w:eastAsia="宋体" w:cs="宋体"/>
          <w:color w:val="auto"/>
          <w:kern w:val="0"/>
          <w:sz w:val="24"/>
          <w:szCs w:val="24"/>
          <w:highlight w:val="none"/>
        </w:rPr>
      </w:pPr>
      <w:bookmarkStart w:id="121" w:name="_Toc83547671"/>
      <w:r>
        <w:rPr>
          <w:rFonts w:hint="eastAsia" w:ascii="宋体" w:hAnsi="宋体" w:eastAsia="宋体" w:cs="宋体"/>
          <w:color w:val="auto"/>
          <w:kern w:val="0"/>
          <w:sz w:val="24"/>
          <w:szCs w:val="24"/>
          <w:highlight w:val="none"/>
        </w:rPr>
        <w:t>23.1响应文件的初审分为资格性检查和符合性检查。</w:t>
      </w:r>
    </w:p>
    <w:p w14:paraId="30146FD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23.1.1资格性检查：磋商小组依据竞争性磋商文件，对响应文件中的资格证明文件等进行审查，以确定供应商是否具备磋商资格。</w:t>
      </w:r>
    </w:p>
    <w:p w14:paraId="60622EE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23.1.2符合性检查：磋商小组依据竞争性磋商文件，对响应文件的有效性、完整</w:t>
      </w:r>
    </w:p>
    <w:p w14:paraId="479F9D40">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性和对竞争性磋商文件的响应程度进行审查，以确定供应商是否对竞争性磋商文件的实质性要求做出响应。</w:t>
      </w:r>
    </w:p>
    <w:p w14:paraId="7A2E536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23.2响应文件的澄清</w:t>
      </w:r>
    </w:p>
    <w:p w14:paraId="1A085A9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23.2.1在评审期间，磋商小组有权以书面方式要求供应商</w:t>
      </w:r>
      <w:r>
        <w:rPr>
          <w:rFonts w:hint="eastAsia" w:ascii="宋体" w:hAnsi="宋体" w:eastAsia="宋体" w:cs="宋体"/>
          <w:color w:val="auto"/>
          <w:kern w:val="0"/>
          <w:sz w:val="24"/>
          <w:szCs w:val="24"/>
          <w:highlight w:val="none"/>
          <w:lang w:val="en-US" w:eastAsia="zh-CN"/>
        </w:rPr>
        <w:t>在线</w:t>
      </w:r>
      <w:r>
        <w:rPr>
          <w:rFonts w:hint="eastAsia" w:ascii="宋体" w:hAnsi="宋体" w:eastAsia="宋体" w:cs="宋体"/>
          <w:color w:val="auto"/>
          <w:kern w:val="0"/>
          <w:sz w:val="24"/>
          <w:szCs w:val="24"/>
          <w:highlight w:val="none"/>
        </w:rPr>
        <w:t>对其响应文件中含义不明确、对同类问题表述不一致或者有明显文字和计算错误的内容作必要的澄清。供应商澄清应在磋商小组规定的时间内</w:t>
      </w:r>
      <w:r>
        <w:rPr>
          <w:rFonts w:hint="eastAsia" w:ascii="宋体" w:hAnsi="宋体" w:eastAsia="宋体" w:cs="宋体"/>
          <w:color w:val="auto"/>
          <w:kern w:val="0"/>
          <w:sz w:val="24"/>
          <w:szCs w:val="24"/>
          <w:highlight w:val="none"/>
          <w:lang w:val="en-US" w:eastAsia="zh-CN"/>
        </w:rPr>
        <w:t>在政采云平台线上</w:t>
      </w:r>
      <w:r>
        <w:rPr>
          <w:rFonts w:hint="eastAsia" w:ascii="宋体" w:hAnsi="宋体" w:eastAsia="宋体" w:cs="宋体"/>
          <w:color w:val="auto"/>
          <w:kern w:val="0"/>
          <w:sz w:val="24"/>
          <w:szCs w:val="24"/>
          <w:highlight w:val="none"/>
        </w:rPr>
        <w:t>以书面方式进行，并不得超出响应文件范围或者改变响应文件的实质性内容。</w:t>
      </w:r>
    </w:p>
    <w:p w14:paraId="6D9E14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23.2.2磋商小组要求供应商澄清、说明或者更正响应文件应当以书面形式作出。</w:t>
      </w:r>
    </w:p>
    <w:p w14:paraId="5F929A28">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电子章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81FB43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23.2.3澄清文件将作为响应文件内容的一部分。</w:t>
      </w:r>
    </w:p>
    <w:p w14:paraId="0AAB710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23.2.4算术错误将按以下方法更正：响应文件中“响应报价一览表”（报价表）内容与响应文件中明细表内容不一致的，以“响应报价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响应文件的解释发生异议的，以中文文本为准。如果供应商不接受对其错误的更改，其响应将被拒绝。</w:t>
      </w:r>
    </w:p>
    <w:p w14:paraId="7FD76154">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24、响应偏离与非实质性响应</w:t>
      </w:r>
    </w:p>
    <w:p w14:paraId="7E9C639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24.1对于响应文件中不构成实质性偏离的不正规、不一致或不规则，磋商小组可以接受，但这种接受不能损害或影响任何供应商的相对排序。</w:t>
      </w:r>
    </w:p>
    <w:p w14:paraId="74AB9D0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在磋商之前，根据本须知的规定，磋商小组要审查每份响应文件是否实质上响应了竞争性磋商文件的要求。实质上响应是指与竞争性磋商文件要求的全部条款、条件和规格相符，没有重大偏离的响应。对关键条款，例如关于适用法律、缴税等内容的偏离、保留和反对，将被认为是实质上的偏离。</w:t>
      </w:r>
    </w:p>
    <w:p w14:paraId="6F9E445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24.3没有实质上响应竞争性磋商文件要求的响应文件及报价将被拒绝。供应商不得通过修正或撤销不符合要求的偏离从而使其响应文件及报价成为实质上响应的响应文件及报价。如发现下列情况之一的，其响应文件将被拒绝：</w:t>
      </w:r>
    </w:p>
    <w:p w14:paraId="7AE93339">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1）响应文件未按照磋商文件要求签署、盖章、提交的，或签字人无法定代表人有效委托书的；</w:t>
      </w:r>
    </w:p>
    <w:p w14:paraId="4AB99D42">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2)供应商不符合国家或者磋商文件规定的资格条件；</w:t>
      </w:r>
    </w:p>
    <w:p w14:paraId="1D41BDB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3)报价超过磋商文件中规定的预算金额或者最高限价的；</w:t>
      </w:r>
    </w:p>
    <w:p w14:paraId="3E90A99B">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4)合同履行期限不满足磋商文件要求的；</w:t>
      </w:r>
    </w:p>
    <w:p w14:paraId="67FBBF63">
      <w:pPr>
        <w:numPr>
          <w:ilvl w:val="0"/>
          <w:numId w:val="4"/>
        </w:num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响应文件含有采购人不能接受的附加条件的；</w:t>
      </w:r>
    </w:p>
    <w:p w14:paraId="3452ED7F">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6)磋商有效期不足；</w:t>
      </w:r>
    </w:p>
    <w:p w14:paraId="762A3794">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7)供应商在同一份响应文件中，对同一货物或服务报有两个或多个报价的，但磋商文件要求提交备选报价的除外；</w:t>
      </w:r>
    </w:p>
    <w:p w14:paraId="4F1510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8)不接受磋商小组对响应文件中算术错误更正；</w:t>
      </w:r>
    </w:p>
    <w:p w14:paraId="0BBD1F1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9)供应商有串通投标、弄虚作假、行贿等违法行为；</w:t>
      </w:r>
    </w:p>
    <w:p w14:paraId="1DE9794D">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10)响应文件没有对磋商文件的实质性要求和条件作出响应的；</w:t>
      </w:r>
    </w:p>
    <w:p w14:paraId="2D0E120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11)法律、法规和磋商文件中规定的其他无效情形。</w:t>
      </w:r>
    </w:p>
    <w:p w14:paraId="60131570">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25、磋商</w:t>
      </w:r>
    </w:p>
    <w:p w14:paraId="65EF887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25.1磋商小组所有成员集中与通过初审的单个供应商分别进行磋商，并给予所有通过初审的供应商平等的磋商机会。</w:t>
      </w:r>
    </w:p>
    <w:p w14:paraId="3848374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25.2在磋商中，任何一方不得透露与磋商有关的其他供应商的技术资料、价格和其他信息。</w:t>
      </w:r>
    </w:p>
    <w:p w14:paraId="150700C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磋商小组将要求各供应商对实质性变动的内容进行签字确认。</w:t>
      </w:r>
    </w:p>
    <w:p w14:paraId="115276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25.4供应商应当按照磋商文件的变动情况和磋商小组的要求重新提交响应文件，并由其法定代表人或授权代表签字或者加盖公章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或电子公章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。由授权代表签字的，应当附法定代表人授权书。供应商为自然人的，应当由本人签字并附身份证明。</w:t>
      </w:r>
    </w:p>
    <w:p w14:paraId="2C7D7DB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40B027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25.6磋商结束后，磋商小组应当要求所有实质性响应的供应商在规定时间内提交最后报价，最后报价是供应商响应文件的有效组成部分。</w:t>
      </w:r>
    </w:p>
    <w:p w14:paraId="274E22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25.7供应商在规定时间内现场填写二轮或多轮报价表，由采购人或采购代理机构统一收取并密封送至评审现场，所有报价均不在开启现场公布，仅在评审现场开启密封并宣读报价。</w:t>
      </w:r>
    </w:p>
    <w:p w14:paraId="28F84D1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25.8已提交响应文件的供应商，在提交最后报价之前，可以根据磋商情况退出磋商。采购人、采购代理机构应当退还磋商供应商的磋商保证金。</w:t>
      </w:r>
    </w:p>
    <w:p w14:paraId="7A5BFB7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25.9如出现下述情形之一的，视为供应商自动放弃本项目成交资格，其响应将被拒绝：</w:t>
      </w:r>
    </w:p>
    <w:p w14:paraId="08C4056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1)供应商未按要求确认磋商小组确定的对磋商文件实质性变动的；</w:t>
      </w:r>
    </w:p>
    <w:p w14:paraId="0142274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2)最后报价未实质性响应磋商小组确定的对磋商文件实质性变动的，或附有采购方无法接受的条件的；</w:t>
      </w:r>
    </w:p>
    <w:p w14:paraId="2AD3505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3)磋商报价超出采购预算的。</w:t>
      </w:r>
    </w:p>
    <w:p w14:paraId="1C114A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2" w:name="_Toc164351637"/>
      <w:bookmarkStart w:id="123" w:name="_Toc151193857"/>
      <w:bookmarkStart w:id="124" w:name="_Toc127151543"/>
      <w:bookmarkStart w:id="125" w:name="_Toc151193641"/>
      <w:bookmarkStart w:id="126" w:name="_Toc195842908"/>
      <w:bookmarkStart w:id="127" w:name="_Toc151193713"/>
      <w:bookmarkStart w:id="128" w:name="_Toc164229238"/>
      <w:bookmarkStart w:id="129" w:name="_Toc127161457"/>
      <w:bookmarkStart w:id="130" w:name="_Toc150774748"/>
      <w:bookmarkStart w:id="131" w:name="_Toc164608812"/>
      <w:bookmarkStart w:id="132" w:name="_Toc151190170"/>
      <w:bookmarkStart w:id="133" w:name="_Toc164229384"/>
      <w:bookmarkStart w:id="134" w:name="_Toc150480781"/>
      <w:bookmarkStart w:id="135" w:name="_Toc150774643"/>
      <w:bookmarkStart w:id="136" w:name="_Toc151193785"/>
      <w:bookmarkStart w:id="137" w:name="_Toc151193931"/>
      <w:bookmarkStart w:id="138" w:name="_Toc149720836"/>
      <w:bookmarkStart w:id="139" w:name="_Toc150509294"/>
      <w:bookmarkStart w:id="140" w:name="_Toc142311045"/>
      <w:bookmarkStart w:id="141" w:name="_Toc127151744"/>
      <w:bookmarkStart w:id="142" w:name="_Toc164608657"/>
      <w:r>
        <w:rPr>
          <w:rFonts w:hint="eastAsia" w:ascii="宋体" w:hAnsi="宋体" w:eastAsia="宋体" w:cs="宋体"/>
          <w:b/>
          <w:color w:val="auto"/>
          <w:kern w:val="0"/>
          <w:sz w:val="24"/>
          <w:szCs w:val="24"/>
          <w:highlight w:val="none"/>
        </w:rPr>
        <w:t>26</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b/>
          <w:color w:val="auto"/>
          <w:kern w:val="0"/>
          <w:sz w:val="24"/>
          <w:szCs w:val="24"/>
          <w:highlight w:val="none"/>
        </w:rPr>
        <w:t>、详细评审</w:t>
      </w:r>
    </w:p>
    <w:p w14:paraId="23A2646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26.1经磋商确定最终采购需求和提交最后报价的供应商后，由磋商小组采用综合评分法对提交最后报价的供应商的响应文件和最后报价进行综合评分。</w:t>
      </w:r>
    </w:p>
    <w:p w14:paraId="5813A68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26.2综合评分法，是指响应文件满足磋商文件全部实质性要求且按评审因素的量化指标评审得分最高的供应商为成交候选供应商的评审方法。</w:t>
      </w:r>
    </w:p>
    <w:p w14:paraId="13BF500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综合评分法评分的主要考虑供应商在最后报价、商务部分、技术及服务部分以及响应的比重或者权值等。评审时，磋商小组各成员应当独立对每个有效供应商的响应文件进行评价、打分，然后汇总每个供应商每项评分因素的得分。评审办法详见竞争性磋商文件第三章。</w:t>
      </w:r>
    </w:p>
    <w:p w14:paraId="25B8F00F">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43" w:name="_Toc151193858"/>
      <w:bookmarkStart w:id="144" w:name="_Toc142311046"/>
      <w:bookmarkStart w:id="145" w:name="_Toc127151745"/>
      <w:bookmarkStart w:id="146" w:name="_Toc127161458"/>
      <w:bookmarkStart w:id="147" w:name="_Toc164608658"/>
      <w:bookmarkStart w:id="148" w:name="_Toc164229385"/>
      <w:bookmarkStart w:id="149" w:name="_Toc151193714"/>
      <w:bookmarkStart w:id="150" w:name="_Toc151193786"/>
      <w:bookmarkStart w:id="151" w:name="_Toc150774644"/>
      <w:bookmarkStart w:id="152" w:name="_Toc164229239"/>
      <w:bookmarkStart w:id="153" w:name="_Toc150480782"/>
      <w:bookmarkStart w:id="154" w:name="_Toc164351638"/>
      <w:bookmarkStart w:id="155" w:name="_Toc127151544"/>
      <w:bookmarkStart w:id="156" w:name="_Toc150509295"/>
      <w:bookmarkStart w:id="157" w:name="_Toc151193932"/>
      <w:bookmarkStart w:id="158" w:name="_Toc164608813"/>
      <w:bookmarkStart w:id="159" w:name="_Toc195842909"/>
      <w:bookmarkStart w:id="160" w:name="_Toc151193642"/>
      <w:bookmarkStart w:id="161" w:name="_Toc151190171"/>
      <w:bookmarkStart w:id="162" w:name="_Toc150774749"/>
      <w:bookmarkStart w:id="163" w:name="_Toc149720837"/>
      <w:r>
        <w:rPr>
          <w:rFonts w:hint="eastAsia" w:ascii="宋体" w:hAnsi="宋体" w:eastAsia="宋体" w:cs="宋体"/>
          <w:b/>
          <w:color w:val="auto"/>
          <w:kern w:val="0"/>
          <w:sz w:val="24"/>
          <w:szCs w:val="24"/>
          <w:highlight w:val="none"/>
        </w:rPr>
        <w:t>27、评审过程及保密原则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E11F1A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27.1递交响应文件之后，直到授予成交供应商合同止，凡与本次采购有关人员对属于评审、澄清、磋商的有关资料以及成交意向等，均不得向供应商或其他无关人员透露。</w:t>
      </w:r>
    </w:p>
    <w:p w14:paraId="647852D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27.2在评审期间，供应商试图影响采购单位和磋商小组的任何违规活动，其响应视为无效，并承担相应的法律责任。</w:t>
      </w:r>
    </w:p>
    <w:p w14:paraId="50F6A2A5">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64" w:name="_Toc151190173"/>
      <w:bookmarkStart w:id="165" w:name="_Toc127151747"/>
      <w:bookmarkStart w:id="166" w:name="_Ref467307010"/>
      <w:bookmarkStart w:id="167" w:name="_Toc149720839"/>
      <w:bookmarkStart w:id="168" w:name="_Toc520356170"/>
      <w:bookmarkStart w:id="169" w:name="_Toc151193860"/>
      <w:bookmarkStart w:id="170" w:name="_Toc150509297"/>
      <w:bookmarkStart w:id="171" w:name="_Toc150774646"/>
      <w:bookmarkStart w:id="172" w:name="_Toc164229241"/>
      <w:bookmarkStart w:id="173" w:name="_Toc127161460"/>
      <w:bookmarkStart w:id="174" w:name="_Toc151193716"/>
      <w:bookmarkStart w:id="175" w:name="_Toc151193788"/>
      <w:bookmarkStart w:id="176" w:name="_Toc151193934"/>
      <w:bookmarkStart w:id="177" w:name="_Toc195842911"/>
      <w:bookmarkStart w:id="178" w:name="_Toc164608660"/>
      <w:bookmarkStart w:id="179" w:name="_Toc151193644"/>
      <w:bookmarkStart w:id="180" w:name="_Toc127151546"/>
      <w:bookmarkStart w:id="181" w:name="_Toc142311048"/>
      <w:bookmarkStart w:id="182" w:name="_Toc164351640"/>
      <w:bookmarkStart w:id="183" w:name="_Toc164608815"/>
      <w:bookmarkStart w:id="184" w:name="_Toc164229387"/>
      <w:bookmarkStart w:id="185" w:name="_Toc150774751"/>
      <w:bookmarkStart w:id="186" w:name="_Toc150480784"/>
      <w:r>
        <w:rPr>
          <w:rFonts w:hint="eastAsia" w:ascii="宋体" w:hAnsi="宋体" w:eastAsia="宋体" w:cs="宋体"/>
          <w:b/>
          <w:color w:val="auto"/>
          <w:kern w:val="0"/>
          <w:sz w:val="24"/>
          <w:szCs w:val="24"/>
          <w:highlight w:val="none"/>
        </w:rPr>
        <w:t>28、成交供应商候选人的推荐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b/>
          <w:color w:val="auto"/>
          <w:kern w:val="0"/>
          <w:sz w:val="24"/>
          <w:szCs w:val="24"/>
          <w:highlight w:val="none"/>
        </w:rPr>
        <w:t>原则</w:t>
      </w:r>
    </w:p>
    <w:bookmarkEnd w:id="121"/>
    <w:p w14:paraId="4E10378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磋商小组将根据综合评分情况，对实质上响应竞争性磋商文件的供应商按综合评审得分由高到低的顺序进行排序。评审得分相同的，按照最后报价由低到高顺序排列，评审得分且最后报价相同的，按技术指标优劣顺序排列。</w:t>
      </w:r>
    </w:p>
    <w:p w14:paraId="5888C64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28.2磋商小组根据上述原则，依次推荐排序前三名的供应商为成交候选人。</w:t>
      </w:r>
    </w:p>
    <w:p w14:paraId="29204316">
      <w:pPr>
        <w:adjustRightInd w:val="0"/>
        <w:spacing w:line="360" w:lineRule="auto"/>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29、废标</w:t>
      </w:r>
    </w:p>
    <w:p w14:paraId="38F362F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29.1出现下列情况之一时，采购人根据磋商小组的意见有权宣布废标，并将理由通知所有供应商：</w:t>
      </w:r>
    </w:p>
    <w:p w14:paraId="15ADFBB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（1）在采购过程中符合要求的供应商或者报价未超过采购预算的供应商不足3家的；(财库〔2015〕124号《财政部关于政府采购竞争性磋商采购方式管理暂行办法有关问题的补充通知》中规定的情形除外)</w:t>
      </w:r>
    </w:p>
    <w:p w14:paraId="579841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（2）提交最后报价的供应商少于3家的；</w:t>
      </w:r>
    </w:p>
    <w:p w14:paraId="26C4E6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（3）出现影响采购公正的违法、违规行为的；</w:t>
      </w:r>
    </w:p>
    <w:p w14:paraId="267C2D9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（4）因重大变故，采购任务取消的。</w:t>
      </w:r>
    </w:p>
    <w:p w14:paraId="08C222E0">
      <w:pPr>
        <w:tabs>
          <w:tab w:val="left" w:pos="588"/>
        </w:tabs>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30、串标</w:t>
      </w:r>
    </w:p>
    <w:p w14:paraId="645732E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30.1供应商存在以下情形的，认定为串通投标行为，并按无效投标处理：</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6BA2A4B5">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bookmarkStart w:id="187" w:name="_Toc239740357"/>
      <w:bookmarkStart w:id="188" w:name="_Toc265738866"/>
      <w:bookmarkStart w:id="189" w:name="_Toc232395218"/>
      <w:bookmarkStart w:id="190" w:name="_Toc235518472"/>
      <w:bookmarkStart w:id="191" w:name="_Toc232176278"/>
      <w:bookmarkStart w:id="192" w:name="_Toc177189241"/>
      <w:bookmarkStart w:id="193" w:name="_Toc492955421"/>
      <w:bookmarkStart w:id="194" w:name="_Toc177995479"/>
      <w:bookmarkStart w:id="195" w:name="_Toc500746972"/>
      <w:bookmarkStart w:id="196" w:name="_Toc500747195"/>
      <w:bookmarkStart w:id="197" w:name="_Toc184043047"/>
      <w:bookmarkStart w:id="198" w:name="_Toc177817340"/>
      <w:bookmarkStart w:id="199" w:name="_Toc499711049"/>
      <w:bookmarkStart w:id="200" w:name="_Toc176882548"/>
      <w:bookmarkStart w:id="201" w:name="_Toc53722846"/>
      <w:bookmarkStart w:id="202" w:name="_Toc389620199"/>
      <w:bookmarkStart w:id="203" w:name="_Toc499711890"/>
      <w:bookmarkStart w:id="204" w:name="_Toc496324585"/>
      <w:bookmarkStart w:id="205" w:name="_Toc70687174"/>
      <w:bookmarkStart w:id="206" w:name="_Toc385992360"/>
      <w:bookmarkStart w:id="207" w:name="_Toc500747068"/>
      <w:bookmarkStart w:id="208" w:name="_Toc503063428"/>
      <w:r>
        <w:rPr>
          <w:rFonts w:hint="eastAsia" w:ascii="宋体" w:hAnsi="宋体" w:eastAsia="宋体" w:cs="宋体"/>
          <w:b/>
          <w:color w:val="auto"/>
          <w:kern w:val="0"/>
          <w:sz w:val="24"/>
          <w:szCs w:val="24"/>
          <w:highlight w:val="none"/>
        </w:rPr>
        <w:t>（1）不同供应商的响应文件由同一单位或者个人编制；</w:t>
      </w:r>
    </w:p>
    <w:p w14:paraId="2B9B2D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（2）不同供应商委托同一单位或者个人办理磋商事宜；</w:t>
      </w:r>
    </w:p>
    <w:p w14:paraId="3DA7508E">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（3）不同供应商的响应文件载明的项目管理成员或者联系人员为同一人；</w:t>
      </w:r>
    </w:p>
    <w:p w14:paraId="2018F52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（4）不同供应商的响应文件异常一致或者响应报价呈规律性差异；</w:t>
      </w:r>
    </w:p>
    <w:p w14:paraId="444583D6">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（5）不同供应商的响应文件相互混装；</w:t>
      </w:r>
    </w:p>
    <w:p w14:paraId="359754F6">
      <w:pPr>
        <w:adjustRightInd w:val="0"/>
        <w:spacing w:line="360" w:lineRule="auto"/>
        <w:ind w:firstLine="482"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（6）不同供应商的磋商保证金从同一单位或者个人的账户转出。</w:t>
      </w:r>
    </w:p>
    <w:p w14:paraId="4CF8D79A">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（六）、授予采购</w:t>
      </w:r>
      <w:bookmarkEnd w:id="187"/>
      <w:bookmarkEnd w:id="188"/>
      <w:bookmarkEnd w:id="189"/>
      <w:bookmarkEnd w:id="190"/>
      <w:bookmarkEnd w:id="191"/>
      <w:r>
        <w:rPr>
          <w:rFonts w:hint="eastAsia" w:ascii="宋体" w:hAnsi="宋体" w:eastAsia="宋体" w:cs="宋体"/>
          <w:b/>
          <w:color w:val="auto"/>
          <w:kern w:val="0"/>
          <w:sz w:val="24"/>
          <w:szCs w:val="24"/>
          <w:highlight w:val="none"/>
        </w:rPr>
        <w:t>合同</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5EBC8216">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09" w:name="_Toc385992361"/>
      <w:bookmarkStart w:id="210" w:name="_Toc389620200"/>
      <w:bookmarkStart w:id="211" w:name="_Toc70687175"/>
      <w:bookmarkStart w:id="212" w:name="_Toc184043048"/>
      <w:r>
        <w:rPr>
          <w:rFonts w:hint="eastAsia" w:ascii="宋体" w:hAnsi="宋体" w:eastAsia="宋体" w:cs="宋体"/>
          <w:b/>
          <w:color w:val="auto"/>
          <w:kern w:val="0"/>
          <w:sz w:val="24"/>
          <w:szCs w:val="24"/>
          <w:highlight w:val="none"/>
        </w:rPr>
        <w:t>31、定标准则</w:t>
      </w:r>
      <w:bookmarkEnd w:id="209"/>
      <w:bookmarkEnd w:id="210"/>
      <w:bookmarkEnd w:id="211"/>
      <w:bookmarkEnd w:id="212"/>
    </w:p>
    <w:p w14:paraId="057DA4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31.1除本须知第31条规定的情况外，采购人将按磋商小组推荐的排序将合同授予通过资格后审的综合评分最高的供应商。</w:t>
      </w:r>
    </w:p>
    <w:p w14:paraId="4103AC5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31.2采购人不承诺将成交合同授予报价最低的供应商。</w:t>
      </w:r>
      <w:bookmarkStart w:id="213" w:name="_Toc389620202"/>
      <w:bookmarkStart w:id="214" w:name="_Toc385992363"/>
    </w:p>
    <w:bookmarkEnd w:id="213"/>
    <w:bookmarkEnd w:id="214"/>
    <w:p w14:paraId="53E9255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15" w:name="_Toc184043050"/>
      <w:bookmarkStart w:id="216" w:name="_Toc389620203"/>
      <w:bookmarkStart w:id="217" w:name="_Toc385992364"/>
      <w:bookmarkStart w:id="218" w:name="_Toc70687177"/>
      <w:r>
        <w:rPr>
          <w:rFonts w:hint="eastAsia" w:ascii="宋体" w:hAnsi="宋体" w:eastAsia="宋体" w:cs="宋体"/>
          <w:b/>
          <w:color w:val="auto"/>
          <w:kern w:val="0"/>
          <w:sz w:val="24"/>
          <w:szCs w:val="24"/>
          <w:highlight w:val="none"/>
        </w:rPr>
        <w:t>32、成交通知</w:t>
      </w:r>
      <w:bookmarkEnd w:id="215"/>
      <w:bookmarkEnd w:id="216"/>
      <w:bookmarkEnd w:id="217"/>
      <w:bookmarkEnd w:id="218"/>
    </w:p>
    <w:p w14:paraId="402D4C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19" w:name="_Toc385992365"/>
      <w:bookmarkStart w:id="220" w:name="_Toc389620204"/>
      <w:r>
        <w:rPr>
          <w:rFonts w:hint="eastAsia" w:ascii="宋体" w:hAnsi="宋体" w:eastAsia="宋体" w:cs="宋体"/>
          <w:color w:val="auto"/>
          <w:kern w:val="0"/>
          <w:sz w:val="24"/>
          <w:szCs w:val="24"/>
          <w:highlight w:val="none"/>
        </w:rPr>
        <w:t>33.1成交供应商确定后，采购人或采购代理机构将向成交供应商发出《成交通知书》，同时将成交结果通知所有供应商。</w:t>
      </w:r>
    </w:p>
    <w:p w14:paraId="16D874B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33.2《成交通知书》是合同文件的组成部分。</w:t>
      </w:r>
    </w:p>
    <w:p w14:paraId="3229576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33.3对未成交者，采购人或采购代理机构不对未成交原因做出解释，同时亦不退还响应文件。</w:t>
      </w:r>
    </w:p>
    <w:p w14:paraId="2CC935A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1" w:name="_Toc70687178"/>
      <w:bookmarkStart w:id="222" w:name="_Toc184043051"/>
      <w:r>
        <w:rPr>
          <w:rFonts w:hint="eastAsia" w:ascii="宋体" w:hAnsi="宋体" w:eastAsia="宋体" w:cs="宋体"/>
          <w:b/>
          <w:color w:val="auto"/>
          <w:kern w:val="0"/>
          <w:sz w:val="24"/>
          <w:szCs w:val="24"/>
          <w:highlight w:val="none"/>
        </w:rPr>
        <w:t>33、授予合同时变更采购金额的权力</w:t>
      </w:r>
      <w:bookmarkEnd w:id="219"/>
      <w:bookmarkEnd w:id="220"/>
      <w:bookmarkEnd w:id="221"/>
      <w:bookmarkEnd w:id="222"/>
    </w:p>
    <w:p w14:paraId="5FF441F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23" w:name="_Toc385992366"/>
      <w:bookmarkStart w:id="224" w:name="_Toc389620205"/>
      <w:r>
        <w:rPr>
          <w:rFonts w:hint="eastAsia" w:ascii="宋体" w:hAnsi="宋体" w:eastAsia="宋体" w:cs="宋体"/>
          <w:color w:val="auto"/>
          <w:kern w:val="0"/>
          <w:sz w:val="24"/>
          <w:szCs w:val="24"/>
          <w:highlight w:val="none"/>
        </w:rPr>
        <w:t>33.1采购人在授予合同时有权在竞争性磋商文件规定的范围内，采购人需追加与合同标的相同的货物、工程或者服务的，在不改变合同其他条款的前提下，可以与供应商协商签订补充合同，但是所有补充合同的采购金额不得超过原合同采购金额的百分之十。</w:t>
      </w:r>
    </w:p>
    <w:bookmarkEnd w:id="223"/>
    <w:bookmarkEnd w:id="224"/>
    <w:p w14:paraId="444A2C28">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34、签订合同</w:t>
      </w:r>
    </w:p>
    <w:p w14:paraId="7799FE8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成交供应商应当自《成交通知书》发出之日起三十日内，与采购人签订合同，否则按开启后撤销磋商处理，其磋商保证金将按14.8款的规定不予退还。情节严重的，将被提请财政部门列入不良行为记录名单，在一至三年内禁止参加政府采购活动。</w:t>
      </w:r>
    </w:p>
    <w:p w14:paraId="1BCF99F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34.2竞争性磋商文件、成交供应商的响应文件及双方确认的澄清文件等，均为有法律约束力的经济合同组成的一部分。</w:t>
      </w:r>
    </w:p>
    <w:p w14:paraId="1CB9617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成交供应商在磋商期间按照竞争性磋商文件的要求提供的任何文稿，包括：报告、说明等书面材料或电子文档，其使用权和版权都归采购人所有（但该知识产权具有人身专属性的权利内容仍属成交供应商所有）。</w:t>
      </w:r>
    </w:p>
    <w:p w14:paraId="34B76470">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5" w:name="_Toc176705645"/>
      <w:r>
        <w:rPr>
          <w:rFonts w:hint="eastAsia" w:ascii="宋体" w:hAnsi="宋体" w:eastAsia="宋体" w:cs="宋体"/>
          <w:b/>
          <w:color w:val="auto"/>
          <w:kern w:val="0"/>
          <w:sz w:val="24"/>
          <w:szCs w:val="24"/>
          <w:highlight w:val="none"/>
        </w:rPr>
        <w:t>35、采购代理服务费</w:t>
      </w:r>
      <w:bookmarkEnd w:id="225"/>
    </w:p>
    <w:p w14:paraId="6C9331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35.1本项目的成交供应商须在领取成交通知书时向采购代理机构一次性缴纳采购代理服务费。</w:t>
      </w:r>
    </w:p>
    <w:p w14:paraId="5161D3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35.2本项目服务费以成交金额为计费基数</w:t>
      </w:r>
      <w:bookmarkStart w:id="226" w:name="_Hlt58073159"/>
      <w:bookmarkEnd w:id="226"/>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参照原《招标代理服务收费管理暂行办法》（计价格[2002]1980号）、发改办价格[2003]857号的标准执行，根据成交金额差额定率累进法计算。</w:t>
      </w:r>
    </w:p>
    <w:p w14:paraId="1F8A19A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36、其他</w:t>
      </w:r>
    </w:p>
    <w:p w14:paraId="12CD7C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最后磋商报价。</w:t>
      </w:r>
    </w:p>
    <w:bookmarkEnd w:id="118"/>
    <w:bookmarkEnd w:id="119"/>
    <w:p w14:paraId="20197E77">
      <w:pPr>
        <w:rPr>
          <w:rFonts w:hint="eastAsia" w:ascii="宋体" w:hAnsi="宋体" w:eastAsia="宋体" w:cs="宋体"/>
          <w:color w:val="auto"/>
          <w:sz w:val="44"/>
          <w:szCs w:val="44"/>
          <w:highlight w:val="none"/>
        </w:rPr>
      </w:pPr>
      <w:bookmarkStart w:id="227" w:name="_Toc436256508"/>
      <w:bookmarkStart w:id="228" w:name="_Toc525983993"/>
      <w:bookmarkStart w:id="229" w:name="_Toc170635090"/>
      <w:r>
        <w:rPr>
          <w:rFonts w:hint="eastAsia" w:ascii="宋体" w:hAnsi="宋体" w:eastAsia="宋体" w:cs="宋体"/>
          <w:color w:val="auto"/>
          <w:sz w:val="44"/>
          <w:szCs w:val="44"/>
          <w:highlight w:val="none"/>
        </w:rPr>
        <w:br w:type="page"/>
      </w:r>
    </w:p>
    <w:p w14:paraId="5AB267AB">
      <w:pPr>
        <w:rPr>
          <w:rFonts w:hint="eastAsia" w:ascii="宋体" w:hAnsi="宋体" w:eastAsia="宋体" w:cs="宋体"/>
          <w:color w:val="auto"/>
          <w:sz w:val="44"/>
          <w:szCs w:val="44"/>
          <w:highlight w:val="none"/>
        </w:rPr>
      </w:pPr>
    </w:p>
    <w:p w14:paraId="5000B2EB">
      <w:pPr>
        <w:rPr>
          <w:rFonts w:hint="eastAsia" w:ascii="宋体" w:hAnsi="宋体" w:eastAsia="宋体" w:cs="宋体"/>
          <w:color w:val="auto"/>
          <w:sz w:val="44"/>
          <w:szCs w:val="44"/>
          <w:highlight w:val="none"/>
        </w:rPr>
      </w:pPr>
    </w:p>
    <w:p w14:paraId="66444D24">
      <w:pPr>
        <w:rPr>
          <w:rFonts w:hint="eastAsia" w:ascii="宋体" w:hAnsi="宋体" w:eastAsia="宋体" w:cs="宋体"/>
          <w:color w:val="auto"/>
          <w:sz w:val="44"/>
          <w:szCs w:val="44"/>
          <w:highlight w:val="none"/>
        </w:rPr>
      </w:pPr>
    </w:p>
    <w:p w14:paraId="675FE8B1">
      <w:pPr>
        <w:rPr>
          <w:rFonts w:hint="eastAsia" w:ascii="宋体" w:hAnsi="宋体" w:eastAsia="宋体" w:cs="宋体"/>
          <w:color w:val="auto"/>
          <w:sz w:val="44"/>
          <w:szCs w:val="44"/>
          <w:highlight w:val="none"/>
        </w:rPr>
      </w:pPr>
    </w:p>
    <w:p w14:paraId="60EF437E">
      <w:pPr>
        <w:pStyle w:val="20"/>
        <w:rPr>
          <w:rFonts w:hint="eastAsia" w:ascii="宋体" w:hAnsi="宋体" w:eastAsia="宋体" w:cs="宋体"/>
          <w:color w:val="auto"/>
          <w:sz w:val="44"/>
          <w:szCs w:val="44"/>
          <w:highlight w:val="none"/>
        </w:rPr>
      </w:pPr>
    </w:p>
    <w:p w14:paraId="3CC0FDC6">
      <w:pPr>
        <w:pStyle w:val="20"/>
        <w:rPr>
          <w:rFonts w:hint="eastAsia" w:ascii="宋体" w:hAnsi="宋体" w:eastAsia="宋体" w:cs="宋体"/>
          <w:color w:val="auto"/>
          <w:sz w:val="44"/>
          <w:szCs w:val="44"/>
          <w:highlight w:val="none"/>
        </w:rPr>
      </w:pPr>
    </w:p>
    <w:p w14:paraId="067352B2">
      <w:pPr>
        <w:pStyle w:val="20"/>
        <w:rPr>
          <w:rFonts w:hint="eastAsia" w:ascii="宋体" w:hAnsi="宋体" w:eastAsia="宋体" w:cs="宋体"/>
          <w:color w:val="auto"/>
          <w:sz w:val="44"/>
          <w:szCs w:val="44"/>
          <w:highlight w:val="none"/>
        </w:rPr>
      </w:pPr>
    </w:p>
    <w:p w14:paraId="49D1A7D3">
      <w:pPr>
        <w:pStyle w:val="20"/>
        <w:rPr>
          <w:rFonts w:hint="eastAsia" w:ascii="宋体" w:hAnsi="宋体" w:eastAsia="宋体" w:cs="宋体"/>
          <w:color w:val="auto"/>
          <w:sz w:val="44"/>
          <w:szCs w:val="44"/>
          <w:highlight w:val="none"/>
        </w:rPr>
      </w:pPr>
    </w:p>
    <w:p w14:paraId="2C47263C">
      <w:pPr>
        <w:rPr>
          <w:rFonts w:hint="eastAsia" w:ascii="宋体" w:hAnsi="宋体" w:eastAsia="宋体" w:cs="宋体"/>
          <w:color w:val="auto"/>
          <w:sz w:val="44"/>
          <w:szCs w:val="44"/>
          <w:highlight w:val="none"/>
        </w:rPr>
      </w:pPr>
    </w:p>
    <w:p w14:paraId="1BD4332D">
      <w:pPr>
        <w:pStyle w:val="2"/>
        <w:spacing w:line="360" w:lineRule="auto"/>
        <w:ind w:left="0" w:firstLine="0"/>
        <w:rPr>
          <w:rFonts w:hint="eastAsia" w:ascii="宋体" w:hAnsi="宋体" w:eastAsia="宋体" w:cs="宋体"/>
          <w:color w:val="auto"/>
          <w:sz w:val="44"/>
          <w:szCs w:val="44"/>
          <w:highlight w:val="none"/>
        </w:rPr>
      </w:pPr>
      <w:bookmarkStart w:id="230" w:name="_Toc17873"/>
      <w:r>
        <w:rPr>
          <w:rFonts w:hint="eastAsia" w:ascii="宋体" w:hAnsi="宋体" w:eastAsia="宋体" w:cs="宋体"/>
          <w:color w:val="auto"/>
          <w:sz w:val="44"/>
          <w:szCs w:val="44"/>
          <w:highlight w:val="none"/>
        </w:rPr>
        <w:t>第三章评审办法</w:t>
      </w:r>
      <w:bookmarkEnd w:id="227"/>
      <w:bookmarkEnd w:id="228"/>
      <w:bookmarkEnd w:id="229"/>
      <w:bookmarkEnd w:id="230"/>
    </w:p>
    <w:p w14:paraId="3DC9ADA9">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44"/>
          <w:szCs w:val="44"/>
          <w:highlight w:val="none"/>
        </w:rPr>
        <w:br w:type="page"/>
      </w:r>
      <w:bookmarkStart w:id="231" w:name="_Toc13327"/>
      <w:bookmarkStart w:id="232" w:name="_Toc44700087"/>
      <w:r>
        <w:rPr>
          <w:rFonts w:hint="eastAsia" w:ascii="宋体" w:hAnsi="宋体" w:eastAsia="宋体" w:cs="宋体"/>
          <w:color w:val="auto"/>
          <w:sz w:val="36"/>
          <w:szCs w:val="24"/>
          <w:highlight w:val="none"/>
        </w:rPr>
        <w:t>第一部分符合性资格评审</w:t>
      </w:r>
      <w:bookmarkEnd w:id="231"/>
      <w:bookmarkEnd w:id="232"/>
    </w:p>
    <w:p w14:paraId="29A37CF2">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（一）资格评审</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286"/>
      </w:tblGrid>
      <w:tr w14:paraId="2034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22" w:type="dxa"/>
            <w:tcBorders>
              <w:top w:val="single" w:color="auto" w:sz="4" w:space="0"/>
              <w:left w:val="single" w:color="auto" w:sz="4" w:space="0"/>
              <w:right w:val="single" w:color="auto" w:sz="4" w:space="0"/>
            </w:tcBorders>
            <w:noWrap w:val="0"/>
            <w:vAlign w:val="center"/>
          </w:tcPr>
          <w:p w14:paraId="006BF0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86" w:type="dxa"/>
            <w:tcBorders>
              <w:top w:val="single" w:color="auto" w:sz="4" w:space="0"/>
              <w:left w:val="single" w:color="auto" w:sz="4" w:space="0"/>
              <w:right w:val="single" w:color="auto" w:sz="4" w:space="0"/>
            </w:tcBorders>
            <w:noWrap w:val="0"/>
            <w:vAlign w:val="center"/>
          </w:tcPr>
          <w:p w14:paraId="521D263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评审内容</w:t>
            </w:r>
          </w:p>
        </w:tc>
      </w:tr>
      <w:tr w14:paraId="71D5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EFDB67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76534F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具有独立承担民事责任的能力（详见第六章响应文件格式第8.1项要求）</w:t>
            </w:r>
          </w:p>
        </w:tc>
      </w:tr>
      <w:tr w14:paraId="6459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62B6E0A3">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E7F05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具有良好的商业信誉和健全的财务会计制度（详见第六章响应文件格式第8.2项要求）</w:t>
            </w:r>
          </w:p>
        </w:tc>
      </w:tr>
      <w:tr w14:paraId="350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B8ABA3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09577DB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具有履行合同所必需的设备和专业技术能力（详见第六章响应文件格式第8.3项要求）</w:t>
            </w:r>
          </w:p>
        </w:tc>
      </w:tr>
      <w:tr w14:paraId="0E3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43C91E54">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F7BF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有依法缴纳税收和社会保障资金的良好记录（详见第六章响应文件格式第8.4项要求）</w:t>
            </w:r>
          </w:p>
        </w:tc>
      </w:tr>
      <w:tr w14:paraId="4082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37B8C5F">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66D96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参加政府采购活动前三年内，在经营活动中没有重大违法记录（详见第六章响应文件格式第8.5项要求）</w:t>
            </w:r>
          </w:p>
        </w:tc>
      </w:tr>
      <w:tr w14:paraId="1113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57AE6C96">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2200CCF">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供应商须知前附表”4.1中第2条的证明材料</w:t>
            </w:r>
            <w:r>
              <w:rPr>
                <w:rFonts w:hint="eastAsia" w:ascii="宋体" w:hAnsi="宋体" w:eastAsia="宋体" w:cs="宋体"/>
                <w:color w:val="auto"/>
                <w:sz w:val="24"/>
                <w:highlight w:val="none"/>
              </w:rPr>
              <w:t>（详见第六章响应文件格式第8.6项要求）信用查询截图</w:t>
            </w:r>
          </w:p>
        </w:tc>
      </w:tr>
      <w:tr w14:paraId="7C24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492B909">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59E0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符合磋商文件第二章“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供应商须知前附表”4.1中第3条的证明材料（详见第六章响应文件格式第8.7项要求）。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1）投标人具有会计师事务所执业证书，并在人员、设备、资金等方面具有承担本项目的能力。</w:t>
            </w:r>
          </w:p>
          <w:p w14:paraId="4BD87B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（2）项目负责人必须具有注册会计师证书，且在有效期内。</w:t>
            </w:r>
          </w:p>
        </w:tc>
      </w:tr>
      <w:tr w14:paraId="04E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68B86C0">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48247B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响应承诺书</w:t>
            </w:r>
            <w:r>
              <w:rPr>
                <w:rFonts w:hint="eastAsia" w:ascii="宋体" w:hAnsi="宋体" w:eastAsia="宋体" w:cs="宋体"/>
                <w:color w:val="auto"/>
                <w:sz w:val="24"/>
                <w:highlight w:val="none"/>
              </w:rPr>
              <w:t>（详见第六章响应文件格式第8.8项要求）</w:t>
            </w:r>
          </w:p>
        </w:tc>
      </w:tr>
      <w:tr w14:paraId="7CC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7764EAE">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2D395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本项目为专门面向中小微企业采购，供应商应承诺为中型/小型/微型企业</w:t>
            </w:r>
            <w:r>
              <w:rPr>
                <w:rFonts w:hint="eastAsia" w:ascii="宋体" w:hAnsi="宋体" w:eastAsia="宋体" w:cs="宋体"/>
                <w:color w:val="auto"/>
                <w:sz w:val="24"/>
                <w:highlight w:val="none"/>
              </w:rPr>
              <w:t>（详见第六章响应文件格式第8.13项要求）</w:t>
            </w:r>
          </w:p>
        </w:tc>
      </w:tr>
    </w:tbl>
    <w:p w14:paraId="5DDEF4BF">
      <w:pPr>
        <w:numPr>
          <w:ilvl w:val="0"/>
          <w:numId w:val="0"/>
        </w:numPr>
        <w:rPr>
          <w:rFonts w:hint="eastAsia" w:ascii="宋体" w:hAnsi="宋体" w:eastAsia="宋体" w:cs="宋体"/>
          <w:color w:val="auto"/>
          <w:kern w:val="2"/>
          <w:sz w:val="24"/>
          <w:highlight w:val="none"/>
          <w:lang w:val="en-US" w:eastAsia="zh-CN" w:bidi="ar-SA"/>
        </w:rPr>
      </w:pPr>
    </w:p>
    <w:p w14:paraId="2955F40D">
      <w:pPr>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（二）</w:t>
      </w:r>
      <w:r>
        <w:rPr>
          <w:rFonts w:hint="eastAsia" w:ascii="宋体" w:hAnsi="宋体" w:eastAsia="宋体" w:cs="宋体"/>
          <w:color w:val="auto"/>
          <w:sz w:val="24"/>
          <w:highlight w:val="none"/>
          <w:lang w:val="en-US" w:eastAsia="zh-CN"/>
        </w:rPr>
        <w:t>符合性评审</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310"/>
      </w:tblGrid>
      <w:tr w14:paraId="484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89C44DA">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8310" w:type="dxa"/>
            <w:noWrap w:val="0"/>
            <w:vAlign w:val="top"/>
          </w:tcPr>
          <w:p w14:paraId="57E1E869">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评审内容</w:t>
            </w:r>
          </w:p>
        </w:tc>
      </w:tr>
      <w:tr w14:paraId="29F6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0"/>
            <w:vAlign w:val="top"/>
          </w:tcPr>
          <w:p w14:paraId="7582DD7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5E9BC171">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响</w:t>
            </w:r>
            <w:r>
              <w:rPr>
                <w:rFonts w:hint="eastAsia" w:ascii="宋体" w:hAnsi="宋体" w:eastAsia="宋体" w:cs="宋体"/>
                <w:b/>
                <w:bCs/>
                <w:color w:val="auto"/>
                <w:sz w:val="24"/>
                <w:szCs w:val="24"/>
                <w:highlight w:val="none"/>
              </w:rPr>
              <w:t>应文件按照磋商文件要求签署、盖章，签字人有法定代表人有效委托书</w:t>
            </w:r>
          </w:p>
        </w:tc>
      </w:tr>
      <w:tr w14:paraId="2AC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45346B78">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C451A1B">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报价未超过磋商文件中规定的预算金额或者最高限价</w:t>
            </w:r>
          </w:p>
        </w:tc>
      </w:tr>
      <w:tr w14:paraId="0E6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0" w:type="dxa"/>
            <w:noWrap w:val="0"/>
            <w:vAlign w:val="top"/>
          </w:tcPr>
          <w:p w14:paraId="392950A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18E5B21">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合同履行期限满足磋商文件要求</w:t>
            </w:r>
          </w:p>
        </w:tc>
      </w:tr>
      <w:tr w14:paraId="185E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1696EA24">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4C8D0183">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响应文件未含有采购人不能接受的附加条件</w:t>
            </w:r>
          </w:p>
        </w:tc>
      </w:tr>
      <w:tr w14:paraId="0A0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2F7A487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04B90611">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磋商有效期90日历天满足磋商文件要求</w:t>
            </w:r>
          </w:p>
        </w:tc>
      </w:tr>
      <w:tr w14:paraId="32F1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top"/>
          </w:tcPr>
          <w:p w14:paraId="1E5923C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1B90C16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供应商未在同一份响应文件中，对同一货物或服务报有两个或多个报价，但磋商文件要求提交备选报价的除外</w:t>
            </w:r>
          </w:p>
        </w:tc>
      </w:tr>
      <w:tr w14:paraId="51D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noWrap w:val="0"/>
            <w:vAlign w:val="top"/>
          </w:tcPr>
          <w:p w14:paraId="0DD478F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B2E409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供应商没有串通投标、弄虚作假、行贿等违法行为</w:t>
            </w:r>
          </w:p>
        </w:tc>
      </w:tr>
      <w:tr w14:paraId="6C0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7FAA2B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545746D">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响应文件对磋商文件的实</w:t>
            </w:r>
            <w:r>
              <w:rPr>
                <w:rFonts w:hint="eastAsia" w:ascii="宋体" w:hAnsi="宋体" w:eastAsia="宋体" w:cs="宋体"/>
                <w:b/>
                <w:bCs/>
                <w:color w:val="auto"/>
                <w:sz w:val="24"/>
                <w:highlight w:val="none"/>
              </w:rPr>
              <w:t>质性要求和条件作出响应</w:t>
            </w:r>
          </w:p>
        </w:tc>
      </w:tr>
      <w:tr w14:paraId="7A24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0" w:type="dxa"/>
            <w:noWrap w:val="0"/>
            <w:vAlign w:val="top"/>
          </w:tcPr>
          <w:p w14:paraId="027790B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14138A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不存在法律、法规</w:t>
            </w:r>
            <w:r>
              <w:rPr>
                <w:rFonts w:hint="eastAsia" w:ascii="宋体" w:hAnsi="宋体" w:eastAsia="宋体" w:cs="宋体"/>
                <w:b/>
                <w:bCs/>
                <w:color w:val="auto"/>
                <w:sz w:val="24"/>
                <w:highlight w:val="none"/>
              </w:rPr>
              <w:t>和磋</w:t>
            </w:r>
            <w:r>
              <w:rPr>
                <w:rFonts w:hint="eastAsia" w:ascii="宋体" w:hAnsi="宋体" w:eastAsia="宋体" w:cs="宋体"/>
                <w:color w:val="auto"/>
                <w:sz w:val="24"/>
                <w:highlight w:val="none"/>
              </w:rPr>
              <w:t>商文件中规定的其他无效情形。</w:t>
            </w:r>
          </w:p>
        </w:tc>
      </w:tr>
      <w:tr w14:paraId="16F5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C90C025">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121A43B">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按磋商文件要求的金额、形式、时间提交磋商保证金并附磋商保证金凭证</w:t>
            </w:r>
          </w:p>
        </w:tc>
      </w:tr>
    </w:tbl>
    <w:p w14:paraId="777D1A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对审查通过的，在对应栏打“√”</w:t>
      </w:r>
      <w:r>
        <w:rPr>
          <w:rFonts w:hint="eastAsia" w:ascii="宋体" w:hAnsi="宋体" w:eastAsia="宋体" w:cs="宋体"/>
          <w:color w:val="auto"/>
          <w:kern w:val="0"/>
          <w:sz w:val="24"/>
          <w:szCs w:val="24"/>
          <w:highlight w:val="none"/>
          <w:lang w:val="en-US" w:eastAsia="zh-CN"/>
        </w:rPr>
        <w:t>或写“通过”</w:t>
      </w:r>
      <w:r>
        <w:rPr>
          <w:rFonts w:hint="eastAsia" w:ascii="宋体" w:hAnsi="宋体" w:eastAsia="宋体" w:cs="宋体"/>
          <w:color w:val="auto"/>
          <w:kern w:val="0"/>
          <w:sz w:val="24"/>
          <w:szCs w:val="24"/>
          <w:highlight w:val="none"/>
        </w:rPr>
        <w:t>，未审查通过的，在对应栏打“×”</w:t>
      </w:r>
      <w:r>
        <w:rPr>
          <w:rFonts w:hint="eastAsia" w:ascii="宋体" w:hAnsi="宋体" w:eastAsia="宋体" w:cs="宋体"/>
          <w:color w:val="auto"/>
          <w:kern w:val="0"/>
          <w:sz w:val="24"/>
          <w:szCs w:val="24"/>
          <w:highlight w:val="none"/>
          <w:lang w:val="en-US" w:eastAsia="zh-CN"/>
        </w:rPr>
        <w:t>或写“不通过”若专家意见不一致时，则按少数服从多数的原则，由专家投票决定该供应商是否通过审查，进入下一阶段评审。</w:t>
      </w:r>
    </w:p>
    <w:p w14:paraId="14559DE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（三）有下列情形之一时，评标委员会应予废标，并将理由通知所有投标：</w:t>
      </w:r>
    </w:p>
    <w:p w14:paraId="669A1B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(1)未按照招标文件的规定提交投标保证金的</w:t>
      </w:r>
    </w:p>
    <w:p w14:paraId="28929E0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(2)磋商文件未按招标文件要求签署、盖章的</w:t>
      </w:r>
    </w:p>
    <w:p w14:paraId="11DE33C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(3)不具备招标文件中规定的资格要求</w:t>
      </w:r>
    </w:p>
    <w:p w14:paraId="640E42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(4)报价超过招标文件中规定的预算金额或者最高限价的</w:t>
      </w:r>
    </w:p>
    <w:p w14:paraId="505198C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(5)磋商文件含有采购人不能接受的附加条件的</w:t>
      </w:r>
    </w:p>
    <w:p w14:paraId="5660557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(6)法律、法规和招标文件规定的其他无效情形</w:t>
      </w:r>
    </w:p>
    <w:p w14:paraId="7D7518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4.磋商、响应文件有关事项的澄清、说明或者更正和最后报价</w:t>
      </w:r>
    </w:p>
    <w:p w14:paraId="58E7412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4567F84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4.2供应商不得对下列内容进行澄清或补充：</w:t>
      </w:r>
    </w:p>
    <w:p w14:paraId="6ED1516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（1）开标时，未宣读的投标价格、价格折扣等实质性内容。</w:t>
      </w:r>
    </w:p>
    <w:p w14:paraId="144CA70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（2）不满足磋商文件的实质性要求的响应文件内容，</w:t>
      </w:r>
    </w:p>
    <w:p w14:paraId="502E3F6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785CBE3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4.4供应商的澄清、说明或者补正应该采用书面形式，由法定代表人或其授权的代理人签字，并按评标委员会的通知要求递交。</w:t>
      </w:r>
    </w:p>
    <w:p w14:paraId="19B991C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4.5有效的书面澄清材料，是响应文件的补充材料，成为响应文件的组成部分。</w:t>
      </w:r>
    </w:p>
    <w:p w14:paraId="5DEE9582">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36"/>
          <w:szCs w:val="24"/>
          <w:highlight w:val="none"/>
        </w:rPr>
        <w:br w:type="page"/>
      </w:r>
      <w:bookmarkStart w:id="233" w:name="_Toc19859"/>
      <w:bookmarkStart w:id="234" w:name="_Toc44700088"/>
      <w:r>
        <w:rPr>
          <w:rFonts w:hint="eastAsia" w:ascii="宋体" w:hAnsi="宋体" w:eastAsia="宋体" w:cs="宋体"/>
          <w:color w:val="auto"/>
          <w:sz w:val="36"/>
          <w:szCs w:val="24"/>
          <w:highlight w:val="none"/>
        </w:rPr>
        <w:t>第二部分评审方法</w:t>
      </w:r>
      <w:bookmarkEnd w:id="233"/>
      <w:bookmarkEnd w:id="234"/>
    </w:p>
    <w:p w14:paraId="5075AFA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本项目采用综合评分法。总分100分。其中商务、技术占70分，价格占30分。</w:t>
      </w:r>
    </w:p>
    <w:p w14:paraId="4C83B828">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第二部分：评审标准</w:t>
      </w:r>
    </w:p>
    <w:p w14:paraId="4913A159">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一、价格评分标准（30分）</w:t>
      </w:r>
    </w:p>
    <w:p w14:paraId="4B732BD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1.评审价格以人民币计价。</w:t>
      </w:r>
    </w:p>
    <w:p w14:paraId="2B72399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2.以供应商的二次（最终）报价，作为最后磋商报价；</w:t>
      </w:r>
    </w:p>
    <w:p w14:paraId="582FB8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3．价格分统一采用低价优先法计算即满足采购文件要求且最后磋商报价最低的有效报价（即除低于成本报价以外的所有报价）为磋商基准价，其价格分为满分。</w:t>
      </w:r>
    </w:p>
    <w:p w14:paraId="040C498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4．其他供应商的价格分统一按照以下公式计算：</w:t>
      </w:r>
    </w:p>
    <w:p w14:paraId="4AE7880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磋商报价得分=（磋商基准价/最后磋商报价）×30</w:t>
      </w:r>
    </w:p>
    <w:p w14:paraId="5D5ADCA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5.最低报价不作为成交的保证。</w:t>
      </w:r>
    </w:p>
    <w:p w14:paraId="79B247EF">
      <w:pPr>
        <w:spacing w:line="4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6.“小型和微型企业产品”的价格按扣除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%后的价格参与评审</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由于</w:t>
      </w:r>
      <w:r>
        <w:rPr>
          <w:rFonts w:hint="eastAsia" w:ascii="宋体" w:hAnsi="宋体" w:eastAsia="宋体" w:cs="宋体"/>
          <w:b/>
          <w:bCs/>
          <w:color w:val="auto"/>
          <w:sz w:val="24"/>
          <w:szCs w:val="24"/>
          <w:highlight w:val="none"/>
        </w:rPr>
        <w:t>本项目为专门面向中小企业采购的项目，不再执行“价格评审优惠”的扶持政策。</w:t>
      </w:r>
    </w:p>
    <w:p w14:paraId="6F60C4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中小企业划分标准参照《关于印发&lt;政府采购促进中小企业发展管理办法&gt;的通知》(财库〔2020〕46号）及《关于印发中小企业划型标准规定的通知》（工信部联企业[2011]300号）。提供对应的《中小企业声明函》（详见附件）</w:t>
      </w:r>
    </w:p>
    <w:p w14:paraId="50FF38C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监狱企业视同小型、微型企业,监狱企业应当提供由省级以上监狱管理局、戒毒管理局(含新疆生产建设兵团)出具的属于监狱企业的证明文件。监狱企业应当提供市监狱管理局、市教育矫治局出具的监狱企业的证明文件。</w:t>
      </w:r>
    </w:p>
    <w:p w14:paraId="7ECDF3A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6.3残疾人福利性单位视同小型、微型企业，符合条件的残疾人福利性单位在参加政府采购活动时，应当提供本通知规定的《残疾人福利性单位声明函》，并对声明的真实性负责。</w:t>
      </w:r>
    </w:p>
    <w:p w14:paraId="3A5BCAA9">
      <w:pPr>
        <w:spacing w:line="48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采购的产品为财政部、发展改革委、生态环境部等部门发布的品目清单中属于实施政府强制采购品目清单范围的节能产品，需提供节能产品认证证书，如供应商所投产品不具备依据国家确定的认证机构出具的、处于有效期之内的节能产品认证证书，其响应将被认定为响应无效。在同等条件下，优先采购具有环境标志、节能的产品。</w:t>
      </w:r>
    </w:p>
    <w:p w14:paraId="5581969E">
      <w:pPr>
        <w:numPr>
          <w:ilvl w:val="0"/>
          <w:numId w:val="7"/>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商务、技术评分标准（70分）</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83"/>
        <w:gridCol w:w="1664"/>
        <w:gridCol w:w="6306"/>
      </w:tblGrid>
      <w:tr w14:paraId="2B3B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1" w:type="dxa"/>
            <w:noWrap w:val="0"/>
            <w:vAlign w:val="center"/>
          </w:tcPr>
          <w:p w14:paraId="430F0525">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47" w:type="dxa"/>
            <w:gridSpan w:val="2"/>
            <w:noWrap w:val="0"/>
            <w:vAlign w:val="center"/>
          </w:tcPr>
          <w:p w14:paraId="78181FE6">
            <w:pPr>
              <w:spacing w:line="28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评审项目</w:t>
            </w:r>
            <w:r>
              <w:rPr>
                <w:rFonts w:hint="eastAsia" w:ascii="宋体" w:hAnsi="宋体" w:eastAsia="宋体" w:cs="宋体"/>
                <w:b/>
                <w:bCs/>
                <w:color w:val="auto"/>
                <w:sz w:val="24"/>
                <w:szCs w:val="24"/>
                <w:highlight w:val="none"/>
                <w:lang w:eastAsia="zh-CN"/>
              </w:rPr>
              <w:t>及分值</w:t>
            </w:r>
          </w:p>
        </w:tc>
        <w:tc>
          <w:tcPr>
            <w:tcW w:w="6306" w:type="dxa"/>
            <w:noWrap w:val="0"/>
            <w:vAlign w:val="center"/>
          </w:tcPr>
          <w:p w14:paraId="30039769">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2D4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6F75163B">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7" w:type="dxa"/>
            <w:gridSpan w:val="2"/>
            <w:noWrap w:val="0"/>
            <w:vAlign w:val="center"/>
          </w:tcPr>
          <w:p w14:paraId="4AD6E8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（10分）</w:t>
            </w:r>
          </w:p>
        </w:tc>
        <w:tc>
          <w:tcPr>
            <w:tcW w:w="6306" w:type="dxa"/>
            <w:noWrap w:val="0"/>
            <w:vAlign w:val="center"/>
          </w:tcPr>
          <w:p w14:paraId="494F18C4">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供应商2022年1月1日至今承担过同类项目业绩，每项业绩得2分，最多得10分</w:t>
            </w:r>
          </w:p>
          <w:p w14:paraId="4F54723A">
            <w:pPr>
              <w:pStyle w:val="202"/>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注：响应文件中附合同复印件或中标通知书扫描件，否则不得分。</w:t>
            </w:r>
          </w:p>
        </w:tc>
      </w:tr>
      <w:tr w14:paraId="08D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81" w:type="dxa"/>
            <w:noWrap w:val="0"/>
            <w:vAlign w:val="center"/>
          </w:tcPr>
          <w:p w14:paraId="6421F2E5">
            <w:pPr>
              <w:spacing w:line="360" w:lineRule="auto"/>
              <w:jc w:val="center"/>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647" w:type="dxa"/>
            <w:gridSpan w:val="2"/>
            <w:noWrap w:val="0"/>
            <w:vAlign w:val="center"/>
          </w:tcPr>
          <w:p w14:paraId="6288BF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项目成员（8分）</w:t>
            </w:r>
          </w:p>
        </w:tc>
        <w:tc>
          <w:tcPr>
            <w:tcW w:w="6306" w:type="dxa"/>
            <w:noWrap w:val="0"/>
            <w:vAlign w:val="center"/>
          </w:tcPr>
          <w:p w14:paraId="4E1DE3B2">
            <w:pPr>
              <w:pStyle w:val="202"/>
              <w:snapToGrid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本项目拟派人员每增加一个注册会计师加2分，最高可加4分；其他参审人员每增加一个中级及以上职业资格（职称）证书，加2分，最高可加4分。（需提供参审人员注册会计师及专业技术职称资格证书复印件及近半年的社保缴纳证明等材料，否则不得分并不予加分。）</w:t>
            </w:r>
          </w:p>
        </w:tc>
      </w:tr>
      <w:tr w14:paraId="7962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81" w:type="dxa"/>
            <w:noWrap w:val="0"/>
            <w:vAlign w:val="center"/>
          </w:tcPr>
          <w:p w14:paraId="05FC30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83" w:type="dxa"/>
            <w:vMerge w:val="restart"/>
            <w:noWrap w:val="0"/>
            <w:vAlign w:val="center"/>
          </w:tcPr>
          <w:p w14:paraId="2A52C8DF">
            <w:pPr>
              <w:pStyle w:val="1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服务工作方案</w:t>
            </w:r>
          </w:p>
        </w:tc>
        <w:tc>
          <w:tcPr>
            <w:tcW w:w="1664" w:type="dxa"/>
            <w:noWrap w:val="0"/>
            <w:vAlign w:val="center"/>
          </w:tcPr>
          <w:p w14:paraId="2C2CB9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总体方案（20分）</w:t>
            </w:r>
          </w:p>
        </w:tc>
        <w:tc>
          <w:tcPr>
            <w:tcW w:w="6306" w:type="dxa"/>
            <w:noWrap w:val="0"/>
            <w:vAlign w:val="center"/>
          </w:tcPr>
          <w:p w14:paraId="381A2E92">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总体框架、思路清晰、目标明确，对项目管理的各项工作和要求理解到位，符合本项目管理的要求得20分；</w:t>
            </w:r>
          </w:p>
          <w:p w14:paraId="4DD2CBDE">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方案内容存在缺漏但不影响项目主体内容得，得15分；</w:t>
            </w:r>
          </w:p>
          <w:p w14:paraId="7AE778AA">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提供方案，但方案内容与项目实际情况不相符的得，得10分；</w:t>
            </w:r>
          </w:p>
          <w:p w14:paraId="2C22244F">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不提供不得分。</w:t>
            </w:r>
          </w:p>
        </w:tc>
      </w:tr>
      <w:tr w14:paraId="239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81" w:type="dxa"/>
            <w:noWrap w:val="0"/>
            <w:vAlign w:val="center"/>
          </w:tcPr>
          <w:p w14:paraId="130E085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83" w:type="dxa"/>
            <w:vMerge w:val="continue"/>
            <w:noWrap w:val="0"/>
            <w:vAlign w:val="center"/>
          </w:tcPr>
          <w:p w14:paraId="67EB121A">
            <w:pPr>
              <w:pStyle w:val="118"/>
              <w:jc w:val="center"/>
              <w:rPr>
                <w:rFonts w:hint="eastAsia" w:ascii="宋体" w:hAnsi="宋体" w:eastAsia="宋体" w:cs="宋体"/>
                <w:color w:val="auto"/>
                <w:sz w:val="24"/>
                <w:szCs w:val="24"/>
                <w:highlight w:val="none"/>
              </w:rPr>
            </w:pPr>
          </w:p>
        </w:tc>
        <w:tc>
          <w:tcPr>
            <w:tcW w:w="1664" w:type="dxa"/>
            <w:noWrap w:val="0"/>
            <w:vAlign w:val="center"/>
          </w:tcPr>
          <w:p w14:paraId="3D1D01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项目进度（10分）</w:t>
            </w:r>
          </w:p>
        </w:tc>
        <w:tc>
          <w:tcPr>
            <w:tcW w:w="6306" w:type="dxa"/>
            <w:noWrap w:val="0"/>
            <w:vAlign w:val="center"/>
          </w:tcPr>
          <w:p w14:paraId="49746F59">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项目进度安排合理、措施全面、可操作性强得10分；</w:t>
            </w:r>
          </w:p>
          <w:p w14:paraId="2A6A806B">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进度安排基本合理、措施基本完善、具有一定的可操作性得6分；</w:t>
            </w:r>
          </w:p>
          <w:p w14:paraId="2DBB833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进度安排不合理、控制措施不全面、无可操作性酌情减分最低得3分。</w:t>
            </w:r>
          </w:p>
        </w:tc>
      </w:tr>
      <w:tr w14:paraId="0C9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noWrap w:val="0"/>
            <w:vAlign w:val="center"/>
          </w:tcPr>
          <w:p w14:paraId="25F0C12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3" w:type="dxa"/>
            <w:vMerge w:val="continue"/>
            <w:noWrap w:val="0"/>
            <w:vAlign w:val="center"/>
          </w:tcPr>
          <w:p w14:paraId="68AE3701">
            <w:pPr>
              <w:pStyle w:val="118"/>
              <w:jc w:val="center"/>
              <w:rPr>
                <w:rFonts w:hint="eastAsia" w:ascii="宋体" w:hAnsi="宋体" w:eastAsia="宋体" w:cs="宋体"/>
                <w:color w:val="auto"/>
                <w:sz w:val="24"/>
                <w:szCs w:val="24"/>
                <w:highlight w:val="none"/>
              </w:rPr>
            </w:pPr>
          </w:p>
        </w:tc>
        <w:tc>
          <w:tcPr>
            <w:tcW w:w="1664" w:type="dxa"/>
            <w:noWrap w:val="0"/>
            <w:vAlign w:val="center"/>
          </w:tcPr>
          <w:p w14:paraId="6FFFFD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内部管理制度（14分）</w:t>
            </w:r>
          </w:p>
        </w:tc>
        <w:tc>
          <w:tcPr>
            <w:tcW w:w="6306" w:type="dxa"/>
            <w:noWrap w:val="0"/>
            <w:vAlign w:val="center"/>
          </w:tcPr>
          <w:p w14:paraId="298E341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有健全的审计质量控制制度、财务管理制度、风险管理制度、经营管理制度、廉政管理制度、技术档案管理制度及保密制度，完善的得14分，每缺一项扣2分。</w:t>
            </w:r>
          </w:p>
        </w:tc>
      </w:tr>
      <w:tr w14:paraId="2876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7E1F291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83" w:type="dxa"/>
            <w:vMerge w:val="continue"/>
            <w:noWrap w:val="0"/>
            <w:vAlign w:val="center"/>
          </w:tcPr>
          <w:p w14:paraId="1BFFDA2E">
            <w:pPr>
              <w:pStyle w:val="118"/>
              <w:jc w:val="center"/>
              <w:rPr>
                <w:rFonts w:hint="eastAsia" w:ascii="宋体" w:hAnsi="宋体" w:eastAsia="宋体" w:cs="宋体"/>
                <w:color w:val="auto"/>
                <w:sz w:val="24"/>
                <w:szCs w:val="24"/>
                <w:highlight w:val="none"/>
              </w:rPr>
            </w:pPr>
          </w:p>
        </w:tc>
        <w:tc>
          <w:tcPr>
            <w:tcW w:w="1664" w:type="dxa"/>
            <w:noWrap w:val="0"/>
            <w:vAlign w:val="center"/>
          </w:tcPr>
          <w:p w14:paraId="17791F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服务承诺及服务保障措施（5分）</w:t>
            </w:r>
          </w:p>
        </w:tc>
        <w:tc>
          <w:tcPr>
            <w:tcW w:w="6306" w:type="dxa"/>
            <w:noWrap w:val="0"/>
            <w:vAlign w:val="center"/>
          </w:tcPr>
          <w:p w14:paraId="20CFAC0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方案内容完整、可行、符合项目实际情况的得5分；</w:t>
            </w:r>
          </w:p>
          <w:p w14:paraId="61096E9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方案内容存在缺漏但不影响项目主体内容得3分；</w:t>
            </w:r>
          </w:p>
          <w:p w14:paraId="416879C7">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提供方案但内容与项目实际情况不相符的得1分；</w:t>
            </w:r>
          </w:p>
          <w:p w14:paraId="3F716EC1">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未提供不得分。</w:t>
            </w:r>
          </w:p>
        </w:tc>
      </w:tr>
      <w:tr w14:paraId="206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021EA8F4">
            <w:pPr>
              <w:spacing w:line="360" w:lineRule="auto"/>
              <w:jc w:val="center"/>
              <w:rPr>
                <w:rFonts w:hint="eastAsia" w:ascii="宋体" w:hAnsi="宋体" w:eastAsia="宋体" w:cs="宋体"/>
                <w:color w:val="auto"/>
                <w:sz w:val="24"/>
                <w:szCs w:val="24"/>
                <w:highlight w:val="none"/>
                <w:lang w:val="en-US" w:eastAsia="zh-CN"/>
              </w:rPr>
            </w:pPr>
            <w:bookmarkStart w:id="235" w:name="_Toc436256515"/>
            <w:bookmarkStart w:id="236" w:name="_Toc525984000"/>
            <w:r>
              <w:rPr>
                <w:rFonts w:hint="eastAsia" w:ascii="宋体" w:hAnsi="宋体" w:eastAsia="宋体" w:cs="宋体"/>
                <w:color w:val="auto"/>
                <w:sz w:val="24"/>
                <w:szCs w:val="24"/>
                <w:highlight w:val="none"/>
                <w:lang w:val="en-US" w:eastAsia="zh-CN"/>
              </w:rPr>
              <w:t>7</w:t>
            </w:r>
          </w:p>
        </w:tc>
        <w:tc>
          <w:tcPr>
            <w:tcW w:w="983" w:type="dxa"/>
            <w:vMerge w:val="continue"/>
            <w:noWrap w:val="0"/>
            <w:vAlign w:val="center"/>
          </w:tcPr>
          <w:p w14:paraId="4B5C3C1B">
            <w:pPr>
              <w:pStyle w:val="118"/>
              <w:jc w:val="center"/>
              <w:rPr>
                <w:rFonts w:hint="eastAsia" w:ascii="宋体" w:hAnsi="宋体" w:eastAsia="宋体" w:cs="宋体"/>
                <w:color w:val="auto"/>
                <w:sz w:val="24"/>
                <w:szCs w:val="24"/>
                <w:highlight w:val="none"/>
              </w:rPr>
            </w:pPr>
          </w:p>
        </w:tc>
        <w:tc>
          <w:tcPr>
            <w:tcW w:w="1664" w:type="dxa"/>
            <w:noWrap w:val="0"/>
            <w:vAlign w:val="center"/>
          </w:tcPr>
          <w:p w14:paraId="0364E78E">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合理化建议（3分）</w:t>
            </w:r>
          </w:p>
        </w:tc>
        <w:tc>
          <w:tcPr>
            <w:tcW w:w="6306" w:type="dxa"/>
            <w:noWrap w:val="0"/>
            <w:vAlign w:val="center"/>
          </w:tcPr>
          <w:p w14:paraId="5ABCE0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针对本项目提供合理化建议，每条加1分，满分3分。</w:t>
            </w:r>
          </w:p>
        </w:tc>
      </w:tr>
      <w:tr w14:paraId="6CB0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9634" w:type="dxa"/>
            <w:gridSpan w:val="4"/>
            <w:noWrap w:val="0"/>
            <w:vAlign w:val="center"/>
          </w:tcPr>
          <w:p w14:paraId="403E3FFB">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注：1.应答人必须针对打分内容提供相应证明文件，不能承诺或复制磋商文件要求作为响应方案。未提供证明资料或提供证明资料不完整的，评标专家有权按0分处理。</w:t>
            </w:r>
          </w:p>
          <w:p w14:paraId="04BCAB10">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2.得分保留小数点后两位，第三位四舍五入。</w:t>
            </w:r>
          </w:p>
          <w:p w14:paraId="71E91F82">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3.应答人单项（商务或技术部分）得分为所有评委打分的算术平均值。4.应答人最终得分为商务部分、价格部分和技术部分之和。</w:t>
            </w:r>
          </w:p>
        </w:tc>
      </w:tr>
    </w:tbl>
    <w:p w14:paraId="67F5CF11">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注1：价格分数保留两位小数。</w:t>
      </w:r>
    </w:p>
    <w:p w14:paraId="564D7ACF">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注2：根据《政府采购促进中小企业发展管理办法》（财库﹝202</w:t>
      </w:r>
      <w:r>
        <w:rPr>
          <w:rFonts w:hint="eastAsia" w:ascii="宋体" w:hAnsi="宋体" w:eastAsia="宋体" w:cs="宋体"/>
          <w:color w:val="auto"/>
          <w:spacing w:val="0"/>
          <w:sz w:val="24"/>
          <w:szCs w:val="24"/>
          <w:highlight w:val="none"/>
        </w:rPr>
        <w:t>0﹞46号）和《财政部司法部关于政府采购支持监狱企业发展有关问题的通知》（财库〔2014〕68号）的规定，对满足价格扣</w:t>
      </w:r>
      <w:r>
        <w:rPr>
          <w:rFonts w:hint="eastAsia" w:ascii="宋体" w:hAnsi="宋体" w:eastAsia="宋体" w:cs="宋体"/>
          <w:color w:val="auto"/>
          <w:sz w:val="24"/>
          <w:szCs w:val="24"/>
          <w:highlight w:val="none"/>
        </w:rPr>
        <w:t>除条件且在响应文件中提交了《中小企业声明函》或省级以上监狱管理局、戒毒</w:t>
      </w:r>
      <w:r>
        <w:rPr>
          <w:rFonts w:hint="eastAsia" w:ascii="宋体" w:hAnsi="宋体" w:eastAsia="宋体" w:cs="宋体"/>
          <w:color w:val="auto"/>
          <w:spacing w:val="0"/>
          <w:sz w:val="24"/>
          <w:szCs w:val="24"/>
          <w:highlight w:val="none"/>
        </w:rPr>
        <w:t>管理局（含新疆</w:t>
      </w:r>
      <w:r>
        <w:rPr>
          <w:rFonts w:hint="eastAsia" w:ascii="宋体" w:hAnsi="宋体" w:eastAsia="宋体" w:cs="宋体"/>
          <w:color w:val="auto"/>
          <w:sz w:val="24"/>
          <w:szCs w:val="24"/>
          <w:highlight w:val="none"/>
        </w:rPr>
        <w:t>生产建设兵团）出具的属于监狱企业的证明文件的供应商，其投标报价扣除前附</w:t>
      </w:r>
      <w:r>
        <w:rPr>
          <w:rFonts w:hint="eastAsia" w:ascii="宋体" w:hAnsi="宋体" w:eastAsia="宋体" w:cs="宋体"/>
          <w:color w:val="auto"/>
          <w:spacing w:val="0"/>
          <w:sz w:val="24"/>
          <w:szCs w:val="24"/>
          <w:highlight w:val="none"/>
        </w:rPr>
        <w:t>表中规定的比例后参与评审。</w:t>
      </w:r>
    </w:p>
    <w:p w14:paraId="083D3248">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注3：联合协议中约定，小型、微型企业和监狱企业的协议合同金额占到联合体协议合同总金额30%以上的，可给予联合体前附表中规定比例的价格扣除。</w:t>
      </w:r>
    </w:p>
    <w:p w14:paraId="21091227">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联合体各方均为小型、微型企业和监狱企业的，联合体视同为小型、微型企业和监狱企业。</w:t>
      </w:r>
    </w:p>
    <w:p w14:paraId="7F08DBC2">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注4：供应商所投产品如被列入财政部与国家主管部</w:t>
      </w:r>
      <w:r>
        <w:rPr>
          <w:rFonts w:hint="eastAsia" w:ascii="宋体" w:hAnsi="宋体" w:eastAsia="宋体" w:cs="宋体"/>
          <w:color w:val="auto"/>
          <w:sz w:val="24"/>
          <w:szCs w:val="24"/>
          <w:highlight w:val="none"/>
        </w:rPr>
        <w:t>门颁发的节能产品目录或环境标志产品目录</w:t>
      </w:r>
      <w:r>
        <w:rPr>
          <w:rFonts w:hint="eastAsia" w:ascii="宋体" w:hAnsi="宋体" w:eastAsia="宋体" w:cs="宋体"/>
          <w:color w:val="auto"/>
          <w:spacing w:val="0"/>
          <w:sz w:val="24"/>
          <w:szCs w:val="24"/>
          <w:highlight w:val="none"/>
        </w:rPr>
        <w:t>或无线局域网产品目录，应提供相关证明，在评标时予以优先采购。</w:t>
      </w:r>
    </w:p>
    <w:p w14:paraId="16D2E154">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注5：如采购人所采购产品为政府强制采购的节能产品，供应商所投产品的品牌及型号必须为清</w:t>
      </w:r>
      <w:r>
        <w:rPr>
          <w:rFonts w:hint="eastAsia" w:ascii="宋体" w:hAnsi="宋体" w:eastAsia="宋体" w:cs="宋体"/>
          <w:color w:val="auto"/>
          <w:spacing w:val="0"/>
          <w:sz w:val="24"/>
          <w:szCs w:val="24"/>
          <w:highlight w:val="none"/>
        </w:rPr>
        <w:t>单中有效期内产品并提供证明文件，否则其投标将作为无效投标被拒绝。</w:t>
      </w:r>
    </w:p>
    <w:p w14:paraId="33B89A21">
      <w:pPr>
        <w:pStyle w:val="2"/>
        <w:numPr>
          <w:ilvl w:val="0"/>
          <w:numId w:val="8"/>
        </w:numPr>
        <w:spacing w:line="360" w:lineRule="auto"/>
        <w:ind w:left="0"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bookmarkEnd w:id="235"/>
      <w:bookmarkStart w:id="237" w:name="_Toc20863"/>
      <w:r>
        <w:rPr>
          <w:rFonts w:hint="eastAsia" w:ascii="宋体" w:hAnsi="宋体" w:eastAsia="宋体" w:cs="宋体"/>
          <w:color w:val="auto"/>
          <w:sz w:val="44"/>
          <w:szCs w:val="44"/>
          <w:highlight w:val="none"/>
        </w:rPr>
        <w:t>政府采购合同</w:t>
      </w:r>
      <w:bookmarkEnd w:id="236"/>
      <w:bookmarkEnd w:id="237"/>
    </w:p>
    <w:p w14:paraId="59469B27">
      <w:pPr>
        <w:pStyle w:val="205"/>
        <w:jc w:val="center"/>
        <w:rPr>
          <w:rFonts w:hint="eastAsia" w:ascii="宋体" w:hAnsi="宋体" w:eastAsia="宋体" w:cs="宋体"/>
          <w:b/>
          <w:bCs/>
          <w:color w:val="auto"/>
          <w:kern w:val="2"/>
          <w:sz w:val="32"/>
          <w:szCs w:val="32"/>
          <w:highlight w:val="none"/>
        </w:rPr>
      </w:pPr>
      <w:bookmarkStart w:id="238" w:name="_Toc497666659"/>
      <w:bookmarkStart w:id="239" w:name="_Toc380404623"/>
      <w:r>
        <w:rPr>
          <w:rFonts w:hint="eastAsia" w:ascii="宋体" w:hAnsi="宋体" w:eastAsia="宋体" w:cs="宋体"/>
          <w:b/>
          <w:bCs/>
          <w:color w:val="auto"/>
          <w:kern w:val="2"/>
          <w:sz w:val="32"/>
          <w:szCs w:val="32"/>
          <w:highlight w:val="none"/>
        </w:rPr>
        <w:t>政府采购合同书</w:t>
      </w:r>
    </w:p>
    <w:p w14:paraId="32C6DB91">
      <w:pPr>
        <w:pStyle w:val="205"/>
        <w:jc w:val="center"/>
        <w:rPr>
          <w:rFonts w:hint="eastAsia" w:ascii="宋体" w:hAnsi="宋体" w:eastAsia="宋体" w:cs="宋体"/>
          <w:b/>
          <w:bCs/>
          <w:color w:val="auto"/>
          <w:kern w:val="2"/>
          <w:sz w:val="28"/>
          <w:szCs w:val="32"/>
          <w:highlight w:val="none"/>
        </w:rPr>
      </w:pPr>
      <w:r>
        <w:rPr>
          <w:rFonts w:hint="eastAsia" w:ascii="宋体" w:hAnsi="宋体" w:eastAsia="宋体" w:cs="宋体"/>
          <w:b/>
          <w:bCs/>
          <w:color w:val="auto"/>
          <w:kern w:val="2"/>
          <w:sz w:val="28"/>
          <w:szCs w:val="32"/>
          <w:highlight w:val="none"/>
        </w:rPr>
        <w:t>（仅供参考，以具体实际签订为准）</w:t>
      </w:r>
    </w:p>
    <w:p w14:paraId="038CFB58">
      <w:pPr>
        <w:pStyle w:val="205"/>
        <w:ind w:firstLine="2880" w:firstLineChars="1200"/>
        <w:jc w:val="both"/>
        <w:rPr>
          <w:rFonts w:hint="eastAsia" w:ascii="宋体" w:hAnsi="宋体" w:eastAsia="宋体" w:cs="宋体"/>
          <w:bCs/>
          <w:color w:val="auto"/>
          <w:kern w:val="2"/>
          <w:highlight w:val="none"/>
        </w:rPr>
      </w:pPr>
    </w:p>
    <w:p w14:paraId="7BD821B8">
      <w:pPr>
        <w:pStyle w:val="206"/>
        <w:spacing w:line="360" w:lineRule="auto"/>
        <w:ind w:left="2340" w:leftChars="200" w:hanging="1920" w:hangingChars="8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p>
    <w:p w14:paraId="46C13ABE">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790D6AB5">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w:t>
      </w:r>
      <w:r>
        <w:rPr>
          <w:rFonts w:hint="eastAsia" w:ascii="宋体" w:hAnsi="宋体" w:eastAsia="宋体" w:cs="宋体"/>
          <w:bCs/>
          <w:color w:val="auto"/>
          <w:kern w:val="2"/>
          <w:sz w:val="24"/>
          <w:szCs w:val="24"/>
          <w:highlight w:val="none"/>
        </w:rPr>
        <w:fldChar w:fldCharType="begin"/>
      </w:r>
      <w:r>
        <w:rPr>
          <w:rFonts w:hint="eastAsia" w:ascii="宋体" w:hAnsi="宋体" w:eastAsia="宋体" w:cs="宋体"/>
          <w:bCs/>
          <w:color w:val="auto"/>
          <w:kern w:val="2"/>
          <w:sz w:val="24"/>
          <w:szCs w:val="24"/>
          <w:highlight w:val="none"/>
        </w:rPr>
        <w:instrText xml:space="preserve"> HYPERLINK "javascript:SLC(21651,0)" </w:instrText>
      </w:r>
      <w:r>
        <w:rPr>
          <w:rFonts w:hint="eastAsia" w:ascii="宋体" w:hAnsi="宋体" w:eastAsia="宋体" w:cs="宋体"/>
          <w:bCs/>
          <w:color w:val="auto"/>
          <w:kern w:val="2"/>
          <w:sz w:val="24"/>
          <w:szCs w:val="24"/>
          <w:highlight w:val="none"/>
        </w:rPr>
        <w:fldChar w:fldCharType="separate"/>
      </w:r>
      <w:r>
        <w:rPr>
          <w:rFonts w:hint="eastAsia" w:ascii="宋体" w:hAnsi="宋体" w:eastAsia="宋体" w:cs="宋体"/>
          <w:bCs/>
          <w:color w:val="auto"/>
          <w:kern w:val="2"/>
          <w:sz w:val="24"/>
          <w:szCs w:val="24"/>
          <w:highlight w:val="none"/>
        </w:rPr>
        <w:t>中华人民共和国民法典</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rPr>
        <w:t>》及其他有关法律、法规，遵循平等、自愿、公平和诚实信用的原则，就下述建设项目委托造价咨询与其他服务事项协商一致，订立本合同。</w:t>
      </w:r>
    </w:p>
    <w:p w14:paraId="054D8B49">
      <w:pPr>
        <w:rPr>
          <w:rFonts w:hint="eastAsia" w:ascii="宋体" w:hAnsi="宋体" w:eastAsia="宋体" w:cs="宋体"/>
          <w:b/>
          <w:bCs/>
          <w:color w:val="auto"/>
          <w:sz w:val="28"/>
          <w:szCs w:val="24"/>
          <w:highlight w:val="none"/>
        </w:rPr>
      </w:pPr>
      <w:bookmarkStart w:id="240" w:name="_Toc422322471"/>
      <w:bookmarkStart w:id="241" w:name="_Toc419045056"/>
      <w:r>
        <w:rPr>
          <w:rFonts w:hint="eastAsia" w:ascii="宋体" w:hAnsi="宋体" w:eastAsia="宋体" w:cs="宋体"/>
          <w:b/>
          <w:bCs/>
          <w:color w:val="auto"/>
          <w:sz w:val="28"/>
          <w:szCs w:val="24"/>
          <w:highlight w:val="none"/>
        </w:rPr>
        <w:t>一、项目概况</w:t>
      </w:r>
      <w:bookmarkEnd w:id="240"/>
    </w:p>
    <w:p w14:paraId="1F467BFD">
      <w:pPr>
        <w:spacing w:line="360" w:lineRule="auto"/>
        <w:ind w:left="2445" w:leftChars="250" w:hanging="1920" w:hangingChars="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35DF0D4">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2.项目地点：</w:t>
      </w:r>
      <w:bookmarkEnd w:id="241"/>
      <w:r>
        <w:rPr>
          <w:rFonts w:hint="eastAsia" w:ascii="宋体" w:hAnsi="宋体" w:eastAsia="宋体" w:cs="宋体"/>
          <w:bCs/>
          <w:color w:val="auto"/>
          <w:sz w:val="24"/>
          <w:szCs w:val="24"/>
          <w:highlight w:val="none"/>
          <w:u w:val="single"/>
          <w:lang w:val="en-US" w:eastAsia="zh-CN"/>
        </w:rPr>
        <w:t xml:space="preserve">                                      </w:t>
      </w:r>
    </w:p>
    <w:p w14:paraId="6DF9F283">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3.项目规模：</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3932D610">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4.投资金额：</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12FE8F3C">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5.资金来源：</w:t>
      </w:r>
      <w:r>
        <w:rPr>
          <w:rFonts w:hint="eastAsia" w:ascii="宋体" w:hAnsi="宋体" w:eastAsia="宋体" w:cs="宋体"/>
          <w:bCs/>
          <w:color w:val="auto"/>
          <w:kern w:val="2"/>
          <w:sz w:val="24"/>
          <w:szCs w:val="24"/>
          <w:highlight w:val="none"/>
          <w:u w:val="single"/>
        </w:rPr>
        <w:t xml:space="preserve">                                  </w:t>
      </w:r>
    </w:p>
    <w:p w14:paraId="420D6F99">
      <w:pPr>
        <w:pStyle w:val="206"/>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6.其他：</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rPr>
        <w:tab/>
      </w:r>
      <w:r>
        <w:rPr>
          <w:rFonts w:hint="eastAsia" w:ascii="宋体" w:hAnsi="宋体" w:eastAsia="宋体" w:cs="宋体"/>
          <w:bCs/>
          <w:color w:val="auto"/>
          <w:kern w:val="2"/>
          <w:sz w:val="24"/>
          <w:szCs w:val="24"/>
          <w:highlight w:val="none"/>
        </w:rPr>
        <w:t>。</w:t>
      </w:r>
    </w:p>
    <w:p w14:paraId="5C1961F4">
      <w:pPr>
        <w:rPr>
          <w:rFonts w:hint="eastAsia" w:ascii="宋体" w:hAnsi="宋体" w:eastAsia="宋体" w:cs="宋体"/>
          <w:b/>
          <w:bCs/>
          <w:color w:val="auto"/>
          <w:sz w:val="28"/>
          <w:szCs w:val="24"/>
          <w:highlight w:val="none"/>
        </w:rPr>
      </w:pPr>
      <w:bookmarkStart w:id="242" w:name="_Toc422322472"/>
      <w:bookmarkStart w:id="243" w:name="_Toc419045059"/>
      <w:r>
        <w:rPr>
          <w:rFonts w:hint="eastAsia" w:ascii="宋体" w:hAnsi="宋体" w:eastAsia="宋体" w:cs="宋体"/>
          <w:b/>
          <w:bCs/>
          <w:color w:val="auto"/>
          <w:sz w:val="28"/>
          <w:szCs w:val="24"/>
          <w:highlight w:val="none"/>
        </w:rPr>
        <w:t>二、服务范围及工作内容</w:t>
      </w:r>
      <w:bookmarkEnd w:id="242"/>
      <w:bookmarkEnd w:id="243"/>
    </w:p>
    <w:p w14:paraId="68DB9427">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bCs/>
          <w:color w:val="auto"/>
          <w:sz w:val="24"/>
          <w:szCs w:val="24"/>
          <w:highlight w:val="none"/>
        </w:rPr>
        <w:t xml:space="preserve">   约定的服务范围及工作内容：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bookmarkStart w:id="244" w:name="_Toc419045060"/>
      <w:bookmarkStart w:id="245" w:name="_Toc422322473"/>
    </w:p>
    <w:p w14:paraId="19ABA963">
      <w:pPr>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三、服务期限</w:t>
      </w:r>
      <w:bookmarkEnd w:id="244"/>
      <w:bookmarkEnd w:id="245"/>
    </w:p>
    <w:p w14:paraId="5B2E0B36">
      <w:pPr>
        <w:pStyle w:val="206"/>
        <w:spacing w:line="360" w:lineRule="auto"/>
        <w:ind w:left="525" w:leftChars="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本合同约定的建设项目造价咨询服务自</w:t>
      </w:r>
      <w:r>
        <w:rPr>
          <w:rFonts w:hint="eastAsia" w:ascii="宋体" w:hAnsi="宋体" w:eastAsia="宋体" w:cs="宋体"/>
          <w:color w:val="auto"/>
          <w:sz w:val="24"/>
          <w:highlight w:val="none"/>
          <w:u w:val="single"/>
        </w:rPr>
        <w:t xml:space="preserve">                            。</w:t>
      </w:r>
      <w:bookmarkStart w:id="246" w:name="_Toc419045061"/>
      <w:bookmarkStart w:id="247" w:name="_Toc422322474"/>
    </w:p>
    <w:p w14:paraId="4F39F188">
      <w:pPr>
        <w:pStyle w:val="206"/>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四、质量标准</w:t>
      </w:r>
      <w:bookmarkEnd w:id="246"/>
      <w:bookmarkEnd w:id="247"/>
    </w:p>
    <w:p w14:paraId="134A6AB3">
      <w:pPr>
        <w:pStyle w:val="206"/>
        <w:spacing w:line="360" w:lineRule="auto"/>
        <w:ind w:firstLine="600" w:firstLineChars="250"/>
        <w:rPr>
          <w:rFonts w:hint="eastAsia" w:ascii="宋体" w:hAnsi="宋体" w:eastAsia="宋体" w:cs="宋体"/>
          <w:b/>
          <w:bCs/>
          <w:color w:val="auto"/>
          <w:sz w:val="28"/>
          <w:szCs w:val="24"/>
          <w:highlight w:val="none"/>
        </w:rPr>
      </w:pPr>
      <w:r>
        <w:rPr>
          <w:rFonts w:hint="eastAsia" w:ascii="宋体" w:hAnsi="宋体" w:eastAsia="宋体" w:cs="宋体"/>
          <w:color w:val="auto"/>
          <w:sz w:val="24"/>
          <w:highlight w:val="none"/>
        </w:rPr>
        <w:t>项目造价咨询成果文件应符合：</w:t>
      </w:r>
      <w:r>
        <w:rPr>
          <w:rFonts w:hint="eastAsia" w:ascii="宋体" w:hAnsi="宋体" w:eastAsia="宋体" w:cs="宋体"/>
          <w:color w:val="auto"/>
          <w:sz w:val="24"/>
          <w:highlight w:val="none"/>
          <w:u w:val="single"/>
        </w:rPr>
        <w:t xml:space="preserve"> 现行国家标准或行业标准                                                                                                                           </w:t>
      </w:r>
      <w:bookmarkStart w:id="248" w:name="12"/>
      <w:bookmarkEnd w:id="248"/>
      <w:bookmarkStart w:id="249" w:name="_Toc422322475"/>
      <w:bookmarkStart w:id="250" w:name="_Toc419045062"/>
      <w:r>
        <w:rPr>
          <w:rFonts w:hint="eastAsia" w:ascii="宋体" w:hAnsi="宋体" w:eastAsia="宋体" w:cs="宋体"/>
          <w:b/>
          <w:bCs/>
          <w:color w:val="auto"/>
          <w:sz w:val="28"/>
          <w:szCs w:val="24"/>
          <w:highlight w:val="none"/>
        </w:rPr>
        <w:t>五、酬金或计取方式</w:t>
      </w:r>
      <w:bookmarkEnd w:id="249"/>
      <w:bookmarkEnd w:id="250"/>
    </w:p>
    <w:p w14:paraId="309EF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1.酬金： 以财务决算金额为基数，费率</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6C67C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2.计取方式：/</w:t>
      </w:r>
    </w:p>
    <w:p w14:paraId="49454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3.付款方式：第一次结算审核报告书出具后7日内，以结算审定价为基数支付结算金额的50%；第二次决算编制报告书出具后7日内，支付剩余全部金额。</w:t>
      </w:r>
    </w:p>
    <w:p w14:paraId="1310885C">
      <w:pPr>
        <w:pStyle w:val="206"/>
        <w:spacing w:line="360" w:lineRule="auto"/>
        <w:jc w:val="left"/>
        <w:rPr>
          <w:rFonts w:hint="eastAsia" w:ascii="宋体" w:hAnsi="宋体" w:eastAsia="宋体" w:cs="宋体"/>
          <w:b/>
          <w:bCs/>
          <w:color w:val="auto"/>
          <w:kern w:val="2"/>
          <w:sz w:val="28"/>
          <w:szCs w:val="24"/>
          <w:highlight w:val="none"/>
        </w:rPr>
      </w:pPr>
      <w:bookmarkStart w:id="251" w:name="_Toc419045058"/>
      <w:bookmarkStart w:id="252" w:name="_Toc422322476"/>
      <w:r>
        <w:rPr>
          <w:rFonts w:hint="eastAsia" w:ascii="宋体" w:hAnsi="宋体" w:eastAsia="宋体" w:cs="宋体"/>
          <w:b/>
          <w:bCs/>
          <w:color w:val="auto"/>
          <w:kern w:val="2"/>
          <w:sz w:val="28"/>
          <w:szCs w:val="24"/>
          <w:highlight w:val="none"/>
        </w:rPr>
        <w:t>六、合同文件的构成</w:t>
      </w:r>
      <w:bookmarkEnd w:id="251"/>
      <w:bookmarkEnd w:id="252"/>
    </w:p>
    <w:p w14:paraId="4731CA16">
      <w:pPr>
        <w:pStyle w:val="206"/>
        <w:spacing w:line="360" w:lineRule="auto"/>
        <w:ind w:left="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4864FD7E">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1.中标通知书或委托书（如果有）；</w:t>
      </w:r>
    </w:p>
    <w:p w14:paraId="0A90429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2.投标函及投标函附录或造价咨询服务建议书（如果有）；</w:t>
      </w:r>
    </w:p>
    <w:p w14:paraId="57C45889">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3.专用条件；</w:t>
      </w:r>
    </w:p>
    <w:p w14:paraId="2E001D88">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4.通用条件；</w:t>
      </w:r>
    </w:p>
    <w:p w14:paraId="0A2C81F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5.其他合同文件。</w:t>
      </w:r>
    </w:p>
    <w:p w14:paraId="55D1815A">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2D1D239E">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在合同订立及履行过程中形成的与合同有关的文件（包括补充协议）均构</w:t>
      </w:r>
    </w:p>
    <w:p w14:paraId="2622BF9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成合同文件的组成部分。</w:t>
      </w:r>
      <w:bookmarkStart w:id="253" w:name="_Toc419045057"/>
      <w:bookmarkStart w:id="254" w:name="_Toc422322477"/>
    </w:p>
    <w:p w14:paraId="65EAB412">
      <w:pPr>
        <w:spacing w:line="360" w:lineRule="auto"/>
        <w:rPr>
          <w:rFonts w:hint="eastAsia" w:ascii="宋体" w:hAnsi="宋体" w:eastAsia="宋体" w:cs="宋体"/>
          <w:smallCaps/>
          <w:color w:val="auto"/>
          <w:highlight w:val="none"/>
        </w:rPr>
      </w:pPr>
      <w:r>
        <w:rPr>
          <w:rFonts w:hint="eastAsia" w:ascii="宋体" w:hAnsi="宋体" w:eastAsia="宋体" w:cs="宋体"/>
          <w:b/>
          <w:bCs/>
          <w:color w:val="auto"/>
          <w:sz w:val="28"/>
          <w:szCs w:val="24"/>
          <w:highlight w:val="none"/>
        </w:rPr>
        <w:t>七、</w:t>
      </w:r>
      <w:bookmarkStart w:id="255" w:name="8"/>
      <w:bookmarkEnd w:id="255"/>
      <w:r>
        <w:rPr>
          <w:rFonts w:hint="eastAsia" w:ascii="宋体" w:hAnsi="宋体" w:eastAsia="宋体" w:cs="宋体"/>
          <w:b/>
          <w:bCs/>
          <w:color w:val="auto"/>
          <w:sz w:val="28"/>
          <w:szCs w:val="24"/>
          <w:highlight w:val="none"/>
        </w:rPr>
        <w:t>词语</w:t>
      </w:r>
      <w:bookmarkEnd w:id="253"/>
      <w:r>
        <w:rPr>
          <w:rFonts w:hint="eastAsia" w:ascii="宋体" w:hAnsi="宋体" w:eastAsia="宋体" w:cs="宋体"/>
          <w:b/>
          <w:bCs/>
          <w:color w:val="auto"/>
          <w:sz w:val="28"/>
          <w:szCs w:val="24"/>
          <w:highlight w:val="none"/>
        </w:rPr>
        <w:t>定义</w:t>
      </w:r>
      <w:bookmarkEnd w:id="254"/>
    </w:p>
    <w:p w14:paraId="42280B15">
      <w:pPr>
        <w:spacing w:line="360" w:lineRule="auto"/>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协议书中相关词语的含义与通用条件中的定义与解释相同。</w:t>
      </w:r>
      <w:bookmarkStart w:id="256" w:name="_Toc419045063"/>
      <w:bookmarkStart w:id="257" w:name="_Toc422322478"/>
    </w:p>
    <w:p w14:paraId="457AF205">
      <w:pPr>
        <w:spacing w:line="360" w:lineRule="auto"/>
        <w:rPr>
          <w:rFonts w:hint="eastAsia" w:ascii="宋体" w:hAnsi="宋体" w:eastAsia="宋体" w:cs="宋体"/>
          <w:color w:val="auto"/>
          <w:highlight w:val="none"/>
        </w:rPr>
      </w:pPr>
      <w:r>
        <w:rPr>
          <w:rFonts w:hint="eastAsia" w:ascii="宋体" w:hAnsi="宋体" w:eastAsia="宋体" w:cs="宋体"/>
          <w:b/>
          <w:bCs/>
          <w:color w:val="auto"/>
          <w:sz w:val="28"/>
          <w:szCs w:val="24"/>
          <w:highlight w:val="none"/>
        </w:rPr>
        <w:t>八、合同订立</w:t>
      </w:r>
      <w:bookmarkEnd w:id="256"/>
      <w:bookmarkEnd w:id="257"/>
    </w:p>
    <w:p w14:paraId="43528E07">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1.订立时间：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6C8C93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2.订立地点：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bookmarkStart w:id="258" w:name="_Toc422322479"/>
      <w:bookmarkStart w:id="259" w:name="_Toc419045064"/>
    </w:p>
    <w:p w14:paraId="4D87B045">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九、合同生效</w:t>
      </w:r>
      <w:bookmarkEnd w:id="258"/>
      <w:bookmarkEnd w:id="259"/>
    </w:p>
    <w:p w14:paraId="0325252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合同签订之日起                </w:t>
      </w:r>
      <w:r>
        <w:rPr>
          <w:rFonts w:hint="eastAsia" w:ascii="宋体" w:hAnsi="宋体" w:eastAsia="宋体" w:cs="宋体"/>
          <w:color w:val="auto"/>
          <w:sz w:val="24"/>
          <w:highlight w:val="none"/>
        </w:rPr>
        <w:t>生效。</w:t>
      </w:r>
      <w:bookmarkStart w:id="260" w:name="_Toc419045065"/>
      <w:bookmarkStart w:id="261" w:name="_Toc422322480"/>
    </w:p>
    <w:p w14:paraId="1FC3E7A6">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十、合同份数</w:t>
      </w:r>
      <w:bookmarkEnd w:id="260"/>
      <w:bookmarkEnd w:id="261"/>
    </w:p>
    <w:p w14:paraId="1577E938">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四</w:t>
      </w:r>
      <w:r>
        <w:rPr>
          <w:rFonts w:hint="eastAsia" w:ascii="宋体" w:hAnsi="宋体" w:eastAsia="宋体" w:cs="宋体"/>
          <w:color w:val="auto"/>
          <w:sz w:val="24"/>
          <w:highlight w:val="none"/>
        </w:rPr>
        <w:t>份，具有同等法律效力，其中甲方执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w:t>
      </w:r>
    </w:p>
    <w:p w14:paraId="245B7E35">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7E0642">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甲方：___________（盖章）           乙方：___________（盖章） </w:t>
      </w:r>
    </w:p>
    <w:p w14:paraId="55880C0D">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法定代表人或其授权的                法定代表人或其授权的</w:t>
      </w:r>
    </w:p>
    <w:p w14:paraId="12FD33D6">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代理人：_________（签字或盖章）     代理人：_________（签字或盖章）         </w:t>
      </w:r>
    </w:p>
    <w:p w14:paraId="1AA4720A">
      <w:pPr>
        <w:pStyle w:val="206"/>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纳税人识别码：                      纳税人识别码：</w:t>
      </w:r>
    </w:p>
    <w:p w14:paraId="50510DAF">
      <w:pPr>
        <w:pStyle w:val="20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住    所：                          住    所：</w:t>
      </w:r>
    </w:p>
    <w:p w14:paraId="46F38F3F">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0905106D">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18"/>
          <w:highlight w:val="none"/>
        </w:rPr>
        <w:t xml:space="preserve">                         </w:t>
      </w:r>
      <w:r>
        <w:rPr>
          <w:rFonts w:hint="eastAsia" w:ascii="宋体" w:hAnsi="宋体" w:eastAsia="宋体" w:cs="宋体"/>
          <w:color w:val="auto"/>
          <w:sz w:val="24"/>
          <w:highlight w:val="none"/>
        </w:rPr>
        <w:t xml:space="preserve">       开户银行：</w:t>
      </w:r>
    </w:p>
    <w:p w14:paraId="6BCB5C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1C424218">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C1C12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02C21C43">
      <w:pPr>
        <w:pStyle w:val="206"/>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电子信箱：                          电子信箱：</w:t>
      </w:r>
    </w:p>
    <w:bookmarkEnd w:id="238"/>
    <w:bookmarkEnd w:id="239"/>
    <w:p w14:paraId="3EAB9027">
      <w:pPr>
        <w:pStyle w:val="2"/>
        <w:spacing w:line="360" w:lineRule="auto"/>
        <w:ind w:left="0" w:firstLine="0"/>
        <w:jc w:val="both"/>
        <w:rPr>
          <w:rFonts w:hint="eastAsia" w:ascii="宋体" w:hAnsi="宋体" w:eastAsia="宋体" w:cs="宋体"/>
          <w:color w:val="auto"/>
          <w:sz w:val="44"/>
          <w:szCs w:val="44"/>
          <w:highlight w:val="none"/>
        </w:rPr>
      </w:pPr>
      <w:bookmarkStart w:id="262" w:name="_合同文件的组成及解释顺序"/>
      <w:bookmarkEnd w:id="262"/>
      <w:bookmarkStart w:id="263" w:name="_Hlt487972895"/>
      <w:bookmarkEnd w:id="263"/>
      <w:bookmarkStart w:id="264" w:name="_Hlt503233640"/>
      <w:bookmarkEnd w:id="264"/>
      <w:bookmarkStart w:id="265" w:name="_Toc138638718"/>
      <w:bookmarkEnd w:id="265"/>
      <w:bookmarkStart w:id="266" w:name="_Toc138638702"/>
      <w:bookmarkEnd w:id="266"/>
      <w:bookmarkStart w:id="267" w:name="_Toc232607139"/>
      <w:bookmarkEnd w:id="267"/>
      <w:bookmarkStart w:id="268" w:name="_Toc223449636"/>
      <w:bookmarkEnd w:id="268"/>
      <w:bookmarkStart w:id="269" w:name="_Toc138638509"/>
      <w:bookmarkEnd w:id="269"/>
      <w:bookmarkStart w:id="270" w:name="_Toc239498608"/>
      <w:bookmarkEnd w:id="270"/>
      <w:bookmarkStart w:id="271" w:name="_Toc138638510"/>
      <w:bookmarkEnd w:id="271"/>
      <w:bookmarkStart w:id="272" w:name="_Toc374452960"/>
      <w:bookmarkEnd w:id="272"/>
      <w:bookmarkStart w:id="273" w:name="_Toc374452951"/>
      <w:bookmarkEnd w:id="273"/>
      <w:bookmarkStart w:id="274" w:name="_Toc374452953"/>
      <w:bookmarkEnd w:id="274"/>
      <w:bookmarkStart w:id="275" w:name="_Toc138638910"/>
      <w:bookmarkEnd w:id="275"/>
      <w:bookmarkStart w:id="276" w:name="_Toc535659269"/>
      <w:bookmarkEnd w:id="276"/>
      <w:bookmarkStart w:id="277" w:name="_Toc374452954"/>
      <w:bookmarkEnd w:id="277"/>
      <w:bookmarkStart w:id="278" w:name="_Toc374452950"/>
      <w:bookmarkEnd w:id="278"/>
      <w:bookmarkStart w:id="279" w:name="_Toc374452962"/>
      <w:bookmarkEnd w:id="279"/>
      <w:bookmarkStart w:id="280" w:name="_Toc374452966"/>
      <w:bookmarkEnd w:id="280"/>
      <w:bookmarkStart w:id="281" w:name="_Toc138639091"/>
      <w:bookmarkEnd w:id="281"/>
      <w:bookmarkStart w:id="282" w:name="_Toc138638773"/>
      <w:bookmarkEnd w:id="282"/>
      <w:bookmarkStart w:id="283" w:name="_Toc218253426"/>
      <w:bookmarkEnd w:id="283"/>
      <w:bookmarkStart w:id="284" w:name="_Toc138638719"/>
      <w:bookmarkEnd w:id="284"/>
      <w:bookmarkStart w:id="285" w:name="_Toc374452952"/>
      <w:bookmarkEnd w:id="285"/>
      <w:bookmarkStart w:id="286" w:name="_Toc246906537"/>
      <w:bookmarkEnd w:id="286"/>
      <w:bookmarkStart w:id="287" w:name="_Toc374452955"/>
      <w:bookmarkEnd w:id="287"/>
      <w:bookmarkStart w:id="288" w:name="_Toc138638534"/>
      <w:bookmarkEnd w:id="288"/>
      <w:bookmarkStart w:id="289" w:name="_Toc374452965"/>
      <w:bookmarkEnd w:id="289"/>
      <w:bookmarkStart w:id="290" w:name="_Toc246906533"/>
      <w:bookmarkEnd w:id="290"/>
      <w:bookmarkStart w:id="291" w:name="_Toc138638906"/>
      <w:bookmarkEnd w:id="291"/>
      <w:bookmarkStart w:id="292" w:name="_Toc374452963"/>
      <w:bookmarkEnd w:id="292"/>
      <w:bookmarkStart w:id="293" w:name="_Toc138638535"/>
      <w:bookmarkEnd w:id="293"/>
      <w:bookmarkStart w:id="294" w:name="_Toc374452949"/>
      <w:bookmarkEnd w:id="294"/>
      <w:bookmarkStart w:id="295" w:name="_Toc374452959"/>
      <w:bookmarkEnd w:id="295"/>
      <w:bookmarkStart w:id="296" w:name="_Toc138638907"/>
      <w:bookmarkEnd w:id="296"/>
      <w:bookmarkStart w:id="297" w:name="_Toc138638884"/>
      <w:bookmarkEnd w:id="297"/>
      <w:bookmarkStart w:id="298" w:name="_Toc374452964"/>
      <w:bookmarkEnd w:id="298"/>
      <w:bookmarkStart w:id="299" w:name="_Toc138639145"/>
      <w:bookmarkEnd w:id="299"/>
      <w:bookmarkStart w:id="300" w:name="_Toc138638538"/>
      <w:bookmarkEnd w:id="300"/>
      <w:bookmarkStart w:id="301" w:name="_Toc138639074"/>
      <w:bookmarkEnd w:id="301"/>
      <w:bookmarkStart w:id="302" w:name="_Toc239494036"/>
      <w:bookmarkEnd w:id="302"/>
      <w:bookmarkStart w:id="303" w:name="_Toc374452961"/>
      <w:bookmarkEnd w:id="303"/>
      <w:bookmarkStart w:id="304" w:name="_Toc370416823"/>
      <w:bookmarkEnd w:id="304"/>
      <w:bookmarkStart w:id="305" w:name="_Toc138638883"/>
      <w:bookmarkEnd w:id="305"/>
      <w:bookmarkStart w:id="306" w:name="_Toc138639090"/>
      <w:bookmarkEnd w:id="306"/>
      <w:bookmarkStart w:id="307" w:name="_Toc374452957"/>
      <w:bookmarkEnd w:id="307"/>
      <w:bookmarkStart w:id="308" w:name="_Toc525984001"/>
      <w:bookmarkStart w:id="309" w:name="_Toc436256535"/>
    </w:p>
    <w:p w14:paraId="2129849C">
      <w:pPr>
        <w:pStyle w:val="2"/>
        <w:spacing w:line="360" w:lineRule="auto"/>
        <w:ind w:left="0" w:firstLine="0"/>
        <w:rPr>
          <w:rFonts w:hint="eastAsia" w:ascii="宋体" w:hAnsi="宋体" w:eastAsia="宋体" w:cs="宋体"/>
          <w:color w:val="auto"/>
          <w:sz w:val="44"/>
          <w:szCs w:val="44"/>
          <w:highlight w:val="none"/>
        </w:rPr>
      </w:pPr>
    </w:p>
    <w:p w14:paraId="4C2832E0">
      <w:pPr>
        <w:pStyle w:val="2"/>
        <w:spacing w:line="360" w:lineRule="auto"/>
        <w:ind w:left="0" w:firstLine="0"/>
        <w:rPr>
          <w:rFonts w:hint="eastAsia" w:ascii="宋体" w:hAnsi="宋体" w:eastAsia="宋体" w:cs="宋体"/>
          <w:color w:val="auto"/>
          <w:sz w:val="44"/>
          <w:szCs w:val="44"/>
          <w:highlight w:val="none"/>
        </w:rPr>
      </w:pPr>
    </w:p>
    <w:p w14:paraId="02808802">
      <w:pPr>
        <w:pStyle w:val="47"/>
        <w:rPr>
          <w:rFonts w:hint="eastAsia" w:ascii="宋体" w:hAnsi="宋体" w:eastAsia="宋体" w:cs="宋体"/>
          <w:color w:val="auto"/>
          <w:sz w:val="44"/>
          <w:szCs w:val="44"/>
          <w:highlight w:val="none"/>
        </w:rPr>
      </w:pPr>
    </w:p>
    <w:p w14:paraId="7576E711">
      <w:pPr>
        <w:pStyle w:val="47"/>
        <w:rPr>
          <w:rFonts w:hint="eastAsia" w:ascii="宋体" w:hAnsi="宋体" w:eastAsia="宋体" w:cs="宋体"/>
          <w:color w:val="auto"/>
          <w:sz w:val="44"/>
          <w:szCs w:val="44"/>
          <w:highlight w:val="none"/>
        </w:rPr>
      </w:pPr>
    </w:p>
    <w:p w14:paraId="19D756CF">
      <w:pPr>
        <w:pStyle w:val="47"/>
        <w:rPr>
          <w:rFonts w:hint="eastAsia" w:ascii="宋体" w:hAnsi="宋体" w:eastAsia="宋体" w:cs="宋体"/>
          <w:color w:val="auto"/>
          <w:sz w:val="44"/>
          <w:szCs w:val="44"/>
          <w:highlight w:val="none"/>
        </w:rPr>
      </w:pPr>
    </w:p>
    <w:p w14:paraId="3411058E">
      <w:pPr>
        <w:pStyle w:val="2"/>
        <w:spacing w:line="360" w:lineRule="auto"/>
        <w:ind w:left="0" w:firstLine="0"/>
        <w:rPr>
          <w:rFonts w:hint="eastAsia" w:ascii="宋体" w:hAnsi="宋体" w:eastAsia="宋体" w:cs="宋体"/>
          <w:color w:val="auto"/>
          <w:sz w:val="44"/>
          <w:szCs w:val="44"/>
          <w:highlight w:val="none"/>
        </w:rPr>
      </w:pPr>
    </w:p>
    <w:p w14:paraId="3F7E7053">
      <w:pPr>
        <w:pStyle w:val="2"/>
        <w:spacing w:line="360" w:lineRule="auto"/>
        <w:ind w:left="0" w:firstLine="0"/>
        <w:rPr>
          <w:rFonts w:hint="eastAsia" w:ascii="宋体" w:hAnsi="宋体" w:eastAsia="宋体" w:cs="宋体"/>
          <w:color w:val="auto"/>
          <w:sz w:val="44"/>
          <w:szCs w:val="44"/>
          <w:highlight w:val="none"/>
        </w:rPr>
      </w:pPr>
    </w:p>
    <w:p w14:paraId="6E14E7DF">
      <w:pPr>
        <w:rPr>
          <w:rFonts w:hint="eastAsia" w:ascii="宋体" w:hAnsi="宋体" w:eastAsia="宋体" w:cs="宋体"/>
          <w:color w:val="auto"/>
          <w:sz w:val="44"/>
          <w:szCs w:val="44"/>
          <w:highlight w:val="none"/>
        </w:rPr>
      </w:pPr>
    </w:p>
    <w:p w14:paraId="1E68B678">
      <w:pPr>
        <w:pStyle w:val="2"/>
        <w:spacing w:line="360" w:lineRule="auto"/>
        <w:ind w:left="0" w:firstLine="0"/>
        <w:rPr>
          <w:rFonts w:hint="eastAsia" w:ascii="宋体" w:hAnsi="宋体" w:eastAsia="宋体" w:cs="宋体"/>
          <w:color w:val="auto"/>
          <w:sz w:val="44"/>
          <w:szCs w:val="44"/>
          <w:highlight w:val="none"/>
          <w:lang w:eastAsia="zh-CN"/>
        </w:rPr>
      </w:pPr>
      <w:bookmarkStart w:id="310" w:name="_Toc7364"/>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五</w:t>
      </w:r>
      <w:r>
        <w:rPr>
          <w:rFonts w:hint="eastAsia" w:ascii="宋体" w:hAnsi="宋体" w:eastAsia="宋体" w:cs="宋体"/>
          <w:color w:val="auto"/>
          <w:sz w:val="44"/>
          <w:szCs w:val="44"/>
          <w:highlight w:val="none"/>
        </w:rPr>
        <w:t>章</w:t>
      </w:r>
      <w:r>
        <w:rPr>
          <w:rFonts w:hint="eastAsia" w:ascii="宋体" w:hAnsi="宋体" w:eastAsia="宋体" w:cs="宋体"/>
          <w:color w:val="auto"/>
          <w:sz w:val="44"/>
          <w:szCs w:val="44"/>
          <w:highlight w:val="none"/>
          <w:lang w:val="en-US" w:eastAsia="zh-CN"/>
        </w:rPr>
        <w:t>技术要求</w:t>
      </w:r>
      <w:bookmarkEnd w:id="310"/>
    </w:p>
    <w:p w14:paraId="450DDC52">
      <w:pPr>
        <w:jc w:val="center"/>
        <w:rPr>
          <w:rFonts w:hint="eastAsia" w:ascii="宋体" w:hAnsi="宋体" w:eastAsia="宋体" w:cs="宋体"/>
          <w:b/>
          <w:color w:val="auto"/>
          <w:sz w:val="8"/>
          <w:szCs w:val="2"/>
          <w:highlight w:val="none"/>
        </w:rPr>
      </w:pPr>
      <w:r>
        <w:rPr>
          <w:rFonts w:hint="eastAsia" w:ascii="宋体" w:hAnsi="宋体" w:eastAsia="宋体" w:cs="宋体"/>
          <w:b/>
          <w:color w:val="auto"/>
          <w:sz w:val="24"/>
          <w:highlight w:val="none"/>
        </w:rPr>
        <w:br w:type="page"/>
      </w:r>
      <w:bookmarkEnd w:id="308"/>
      <w:bookmarkEnd w:id="309"/>
    </w:p>
    <w:p w14:paraId="2F937028">
      <w:pPr>
        <w:pStyle w:val="118"/>
        <w:spacing w:line="360" w:lineRule="auto"/>
        <w:ind w:left="479" w:leftChars="228"/>
        <w:jc w:val="center"/>
        <w:rPr>
          <w:rFonts w:hint="eastAsia" w:ascii="宋体" w:hAnsi="宋体" w:eastAsia="宋体" w:cs="宋体"/>
          <w:color w:val="auto"/>
          <w:sz w:val="28"/>
          <w:szCs w:val="28"/>
          <w:highlight w:val="none"/>
          <w:lang w:eastAsia="zh-CN"/>
        </w:rPr>
      </w:pPr>
      <w:bookmarkStart w:id="311" w:name="_Toc436256539"/>
      <w:bookmarkStart w:id="312" w:name="_Toc525984003"/>
      <w:r>
        <w:rPr>
          <w:rFonts w:hint="eastAsia" w:hAnsi="宋体" w:cs="宋体"/>
          <w:color w:val="auto"/>
          <w:sz w:val="28"/>
          <w:szCs w:val="28"/>
          <w:highlight w:val="none"/>
          <w:lang w:eastAsia="zh-CN"/>
        </w:rPr>
        <w:t>技术要求</w:t>
      </w:r>
    </w:p>
    <w:p w14:paraId="5318A9E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r>
        <w:rPr>
          <w:rFonts w:hint="eastAsia" w:hAnsi="宋体" w:cs="宋体"/>
          <w:color w:val="auto"/>
          <w:sz w:val="24"/>
          <w:szCs w:val="24"/>
          <w:highlight w:val="none"/>
          <w:lang w:eastAsia="zh-CN"/>
        </w:rPr>
        <w:t>乌鲁木齐高新区（新市区）2017年美丽乡村建设ppp项目（B包）、乌鲁木齐高新区（新市区）城北新区路灯及农村路灯建设ppp复核项目审计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30"/>
          <w:szCs w:val="30"/>
          <w:highlight w:val="none"/>
        </w:rPr>
        <w:t xml:space="preserve"> </w:t>
      </w:r>
    </w:p>
    <w:p w14:paraId="281A4D7C">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二、招标人：乌鲁木齐高新技术产业开发区（乌鲁木齐市新市区）建设局      </w:t>
      </w:r>
    </w:p>
    <w:p w14:paraId="6734787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三、服务期限：</w:t>
      </w:r>
      <w:r>
        <w:rPr>
          <w:rFonts w:hint="eastAsia"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6F0C46B0">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四、采购范围及内容：</w:t>
      </w:r>
    </w:p>
    <w:p w14:paraId="7358C083">
      <w:pPr>
        <w:pStyle w:val="118"/>
        <w:spacing w:line="360" w:lineRule="auto"/>
        <w:ind w:left="479" w:leftChars="2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选</w:t>
      </w:r>
      <w:r>
        <w:rPr>
          <w:rFonts w:hint="eastAsia" w:hAnsi="宋体" w:cs="宋体"/>
          <w:color w:val="auto"/>
          <w:sz w:val="24"/>
          <w:szCs w:val="24"/>
          <w:highlight w:val="none"/>
          <w:lang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lang w:val="en-US" w:eastAsia="zh-CN"/>
        </w:rPr>
        <w:t>。</w:t>
      </w:r>
    </w:p>
    <w:p w14:paraId="4C0FC094">
      <w:pPr>
        <w:pStyle w:val="118"/>
        <w:spacing w:line="360" w:lineRule="auto"/>
        <w:ind w:left="479" w:leftChars="228"/>
        <w:jc w:val="left"/>
        <w:rPr>
          <w:rFonts w:hint="eastAsia" w:ascii="宋体" w:hAnsi="宋体" w:eastAsia="宋体" w:cs="宋体"/>
          <w:color w:val="auto"/>
          <w:sz w:val="24"/>
          <w:szCs w:val="24"/>
          <w:highlight w:val="none"/>
          <w:lang w:eastAsia="zh-CN"/>
        </w:rPr>
        <w:sectPr>
          <w:footerReference r:id="rId9" w:type="default"/>
          <w:pgSz w:w="11905" w:h="16838"/>
          <w:pgMar w:top="1151" w:right="1304" w:bottom="1151" w:left="1304" w:header="0" w:footer="0" w:gutter="0"/>
          <w:pgNumType w:fmt="decimal"/>
          <w:cols w:space="720" w:num="1"/>
          <w:rtlGutter w:val="0"/>
          <w:docGrid w:linePitch="1" w:charSpace="0"/>
        </w:sectPr>
      </w:pPr>
      <w:r>
        <w:rPr>
          <w:rFonts w:hint="eastAsia" w:ascii="宋体" w:hAnsi="宋体" w:eastAsia="宋体" w:cs="宋体"/>
          <w:color w:val="auto"/>
          <w:sz w:val="24"/>
          <w:szCs w:val="24"/>
          <w:highlight w:val="none"/>
          <w:lang w:val="en-US" w:eastAsia="zh-CN"/>
        </w:rPr>
        <w:t>五、质量标准：符合现行国家相关法律法规、标准和规范等，成果资料完整、真实准确、依据清晰</w:t>
      </w:r>
      <w:r>
        <w:rPr>
          <w:rFonts w:hint="eastAsia" w:ascii="宋体" w:hAnsi="宋体" w:eastAsia="宋体" w:cs="宋体"/>
          <w:color w:val="auto"/>
          <w:sz w:val="24"/>
          <w:szCs w:val="24"/>
          <w:highlight w:val="none"/>
          <w:lang w:eastAsia="zh-CN"/>
        </w:rPr>
        <w:t>。</w:t>
      </w:r>
    </w:p>
    <w:p w14:paraId="15B501C4">
      <w:pPr>
        <w:pStyle w:val="38"/>
        <w:rPr>
          <w:rFonts w:hint="eastAsia" w:ascii="宋体" w:hAnsi="宋体" w:eastAsia="宋体" w:cs="宋体"/>
          <w:color w:val="auto"/>
          <w:sz w:val="44"/>
          <w:szCs w:val="44"/>
          <w:highlight w:val="none"/>
        </w:rPr>
      </w:pPr>
    </w:p>
    <w:p w14:paraId="228D8052">
      <w:pPr>
        <w:pStyle w:val="38"/>
        <w:rPr>
          <w:rFonts w:hint="eastAsia" w:ascii="宋体" w:hAnsi="宋体" w:eastAsia="宋体" w:cs="宋体"/>
          <w:color w:val="auto"/>
          <w:sz w:val="44"/>
          <w:szCs w:val="44"/>
          <w:highlight w:val="none"/>
        </w:rPr>
      </w:pPr>
    </w:p>
    <w:p w14:paraId="1C1A82C3">
      <w:pPr>
        <w:pStyle w:val="38"/>
        <w:rPr>
          <w:rFonts w:hint="eastAsia" w:ascii="宋体" w:hAnsi="宋体" w:eastAsia="宋体" w:cs="宋体"/>
          <w:color w:val="auto"/>
          <w:sz w:val="44"/>
          <w:szCs w:val="44"/>
          <w:highlight w:val="none"/>
        </w:rPr>
      </w:pPr>
    </w:p>
    <w:p w14:paraId="3C0E6359">
      <w:pPr>
        <w:pStyle w:val="38"/>
        <w:rPr>
          <w:rFonts w:hint="eastAsia" w:ascii="宋体" w:hAnsi="宋体" w:eastAsia="宋体" w:cs="宋体"/>
          <w:color w:val="auto"/>
          <w:sz w:val="44"/>
          <w:szCs w:val="44"/>
          <w:highlight w:val="none"/>
        </w:rPr>
      </w:pPr>
    </w:p>
    <w:p w14:paraId="3D7E5A46">
      <w:pPr>
        <w:pStyle w:val="38"/>
        <w:rPr>
          <w:rFonts w:hint="eastAsia" w:ascii="宋体" w:hAnsi="宋体" w:eastAsia="宋体" w:cs="宋体"/>
          <w:color w:val="auto"/>
          <w:sz w:val="44"/>
          <w:szCs w:val="44"/>
          <w:highlight w:val="none"/>
        </w:rPr>
      </w:pPr>
    </w:p>
    <w:p w14:paraId="2C385A7D">
      <w:pPr>
        <w:pStyle w:val="38"/>
        <w:rPr>
          <w:rFonts w:hint="eastAsia" w:ascii="宋体" w:hAnsi="宋体" w:eastAsia="宋体" w:cs="宋体"/>
          <w:color w:val="auto"/>
          <w:sz w:val="44"/>
          <w:szCs w:val="44"/>
          <w:highlight w:val="none"/>
        </w:rPr>
      </w:pPr>
    </w:p>
    <w:p w14:paraId="569C660A">
      <w:pPr>
        <w:pStyle w:val="38"/>
        <w:rPr>
          <w:rFonts w:hint="eastAsia" w:ascii="宋体" w:hAnsi="宋体" w:eastAsia="宋体" w:cs="宋体"/>
          <w:color w:val="auto"/>
          <w:sz w:val="44"/>
          <w:szCs w:val="44"/>
          <w:highlight w:val="none"/>
        </w:rPr>
      </w:pPr>
    </w:p>
    <w:p w14:paraId="1AB54BF2">
      <w:pPr>
        <w:pStyle w:val="38"/>
        <w:rPr>
          <w:rFonts w:hint="eastAsia" w:ascii="宋体" w:hAnsi="宋体" w:eastAsia="宋体" w:cs="宋体"/>
          <w:color w:val="auto"/>
          <w:sz w:val="44"/>
          <w:szCs w:val="44"/>
          <w:highlight w:val="none"/>
        </w:rPr>
      </w:pPr>
    </w:p>
    <w:p w14:paraId="19AD2926">
      <w:pPr>
        <w:pStyle w:val="38"/>
        <w:rPr>
          <w:rFonts w:hint="eastAsia" w:ascii="宋体" w:hAnsi="宋体" w:eastAsia="宋体" w:cs="宋体"/>
          <w:color w:val="auto"/>
          <w:sz w:val="44"/>
          <w:szCs w:val="44"/>
          <w:highlight w:val="none"/>
        </w:rPr>
      </w:pPr>
    </w:p>
    <w:p w14:paraId="7FA4A5DB">
      <w:pPr>
        <w:pStyle w:val="38"/>
        <w:rPr>
          <w:rFonts w:hint="eastAsia" w:ascii="宋体" w:hAnsi="宋体" w:eastAsia="宋体" w:cs="宋体"/>
          <w:color w:val="auto"/>
          <w:sz w:val="44"/>
          <w:szCs w:val="44"/>
          <w:highlight w:val="none"/>
        </w:rPr>
      </w:pPr>
    </w:p>
    <w:p w14:paraId="704A5481">
      <w:pPr>
        <w:pStyle w:val="2"/>
        <w:spacing w:line="360" w:lineRule="auto"/>
        <w:ind w:left="0" w:firstLine="0"/>
        <w:rPr>
          <w:rFonts w:hint="eastAsia" w:ascii="宋体" w:hAnsi="宋体" w:eastAsia="宋体" w:cs="宋体"/>
          <w:color w:val="auto"/>
          <w:sz w:val="44"/>
          <w:szCs w:val="44"/>
          <w:highlight w:val="none"/>
        </w:rPr>
      </w:pPr>
    </w:p>
    <w:p w14:paraId="34CED094">
      <w:pPr>
        <w:pStyle w:val="2"/>
        <w:spacing w:line="360" w:lineRule="auto"/>
        <w:ind w:left="0" w:firstLine="0"/>
        <w:rPr>
          <w:rFonts w:hint="eastAsia" w:ascii="宋体" w:hAnsi="宋体" w:eastAsia="宋体" w:cs="宋体"/>
          <w:color w:val="auto"/>
          <w:sz w:val="44"/>
          <w:szCs w:val="44"/>
          <w:highlight w:val="none"/>
        </w:rPr>
      </w:pPr>
      <w:bookmarkStart w:id="313" w:name="_Toc7305"/>
      <w:r>
        <w:rPr>
          <w:rFonts w:hint="eastAsia" w:ascii="宋体" w:hAnsi="宋体" w:eastAsia="宋体" w:cs="宋体"/>
          <w:color w:val="auto"/>
          <w:sz w:val="44"/>
          <w:szCs w:val="44"/>
          <w:highlight w:val="none"/>
        </w:rPr>
        <w:t>第六章响应文件格式</w:t>
      </w:r>
      <w:bookmarkEnd w:id="311"/>
      <w:bookmarkEnd w:id="312"/>
      <w:bookmarkEnd w:id="313"/>
    </w:p>
    <w:p w14:paraId="7F7FFF7E">
      <w:pPr>
        <w:keepNext/>
        <w:keepLines/>
        <w:outlineLvl w:val="1"/>
        <w:rPr>
          <w:rFonts w:hint="eastAsia" w:ascii="宋体" w:hAnsi="宋体" w:eastAsia="宋体" w:cs="宋体"/>
          <w:b/>
          <w:color w:val="auto"/>
          <w:kern w:val="0"/>
          <w:sz w:val="20"/>
          <w:highlight w:val="none"/>
        </w:rPr>
      </w:pPr>
      <w:r>
        <w:rPr>
          <w:rFonts w:hint="eastAsia" w:ascii="宋体" w:hAnsi="宋体" w:eastAsia="宋体" w:cs="宋体"/>
          <w:b/>
          <w:color w:val="auto"/>
          <w:sz w:val="32"/>
          <w:highlight w:val="none"/>
        </w:rPr>
        <w:br w:type="page"/>
      </w:r>
      <w:bookmarkStart w:id="314" w:name="_Toc44700092"/>
      <w:bookmarkStart w:id="315" w:name="_Toc243946199"/>
      <w:bookmarkStart w:id="316" w:name="_Toc48791228"/>
      <w:bookmarkStart w:id="317" w:name="_Toc1139"/>
      <w:bookmarkStart w:id="318" w:name="_Toc48995844"/>
      <w:bookmarkStart w:id="319" w:name="_Toc243680606"/>
      <w:bookmarkStart w:id="320" w:name="_Toc47418931"/>
      <w:bookmarkStart w:id="321" w:name="_Toc155772922"/>
      <w:bookmarkStart w:id="322" w:name="_Toc153353715"/>
      <w:bookmarkStart w:id="323" w:name="_Toc155772030"/>
      <w:bookmarkStart w:id="324" w:name="_Toc47261878"/>
      <w:bookmarkStart w:id="325" w:name="_Toc47418248"/>
      <w:bookmarkStart w:id="326" w:name="_Toc47261683"/>
      <w:bookmarkStart w:id="327" w:name="_Toc49019229"/>
      <w:bookmarkStart w:id="328" w:name="_Toc195427222"/>
      <w:bookmarkStart w:id="329" w:name="_Toc47418724"/>
      <w:bookmarkStart w:id="330" w:name="_Toc146011778"/>
      <w:bookmarkStart w:id="331" w:name="_Toc245740648"/>
      <w:bookmarkStart w:id="332" w:name="_Toc47262062"/>
      <w:bookmarkStart w:id="333" w:name="_Toc193858788"/>
      <w:r>
        <w:rPr>
          <w:rFonts w:hint="eastAsia" w:ascii="宋体" w:hAnsi="宋体" w:eastAsia="宋体" w:cs="宋体"/>
          <w:b/>
          <w:color w:val="auto"/>
          <w:kern w:val="0"/>
          <w:sz w:val="36"/>
          <w:szCs w:val="21"/>
          <w:highlight w:val="none"/>
        </w:rPr>
        <w:t>1、响应函格式</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AF8087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响应函</w:t>
      </w:r>
    </w:p>
    <w:p w14:paraId="4C574104">
      <w:pPr>
        <w:tabs>
          <w:tab w:val="left" w:pos="2880"/>
        </w:tabs>
        <w:spacing w:before="78" w:line="240" w:lineRule="auto"/>
        <w:rPr>
          <w:rFonts w:hint="eastAsia" w:ascii="宋体" w:hAnsi="宋体" w:eastAsia="宋体" w:cs="宋体"/>
          <w:smallCaps w:val="0"/>
          <w:color w:val="auto"/>
          <w:spacing w:val="0"/>
          <w:sz w:val="24"/>
          <w:szCs w:val="24"/>
          <w:highlight w:val="none"/>
        </w:rPr>
      </w:pPr>
      <w:bookmarkStart w:id="334" w:name="_Toc155772923"/>
      <w:bookmarkStart w:id="335" w:name="_Toc243680607"/>
      <w:bookmarkStart w:id="336" w:name="_Toc243946200"/>
      <w:bookmarkStart w:id="337" w:name="_Toc153353716"/>
      <w:bookmarkStart w:id="338" w:name="_Toc193858789"/>
      <w:bookmarkStart w:id="339" w:name="_Toc195427223"/>
      <w:bookmarkStart w:id="340" w:name="_Toc155772031"/>
      <w:bookmarkStart w:id="341" w:name="_Toc146011779"/>
      <w:bookmarkStart w:id="342" w:name="_Toc245740649"/>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（采购人名称）：</w:t>
      </w:r>
    </w:p>
    <w:p w14:paraId="02F0B070">
      <w:pPr>
        <w:pStyle w:val="20"/>
        <w:spacing w:line="240" w:lineRule="auto"/>
        <w:rPr>
          <w:rFonts w:hint="eastAsia" w:ascii="宋体" w:hAnsi="宋体" w:eastAsia="宋体" w:cs="宋体"/>
          <w:smallCaps w:val="0"/>
          <w:color w:val="auto"/>
          <w:spacing w:val="0"/>
          <w:highlight w:val="none"/>
        </w:rPr>
      </w:pPr>
    </w:p>
    <w:p w14:paraId="063CD154">
      <w:pPr>
        <w:pStyle w:val="20"/>
        <w:spacing w:line="240" w:lineRule="auto"/>
        <w:rPr>
          <w:rFonts w:hint="eastAsia" w:ascii="宋体" w:hAnsi="宋体" w:eastAsia="宋体" w:cs="宋体"/>
          <w:smallCaps w:val="0"/>
          <w:color w:val="auto"/>
          <w:spacing w:val="0"/>
          <w:highlight w:val="none"/>
        </w:rPr>
      </w:pPr>
    </w:p>
    <w:p w14:paraId="5568DBD2">
      <w:pPr>
        <w:keepNext w:val="0"/>
        <w:keepLines w:val="0"/>
        <w:pageBreakBefore w:val="0"/>
        <w:widowControl w:val="0"/>
        <w:kinsoku/>
        <w:wordWrap/>
        <w:overflowPunct/>
        <w:topLinePunct w:val="0"/>
        <w:autoSpaceDE/>
        <w:autoSpaceDN/>
        <w:bidi w:val="0"/>
        <w:adjustRightInd/>
        <w:snapToGrid/>
        <w:spacing w:before="78" w:line="360" w:lineRule="auto"/>
        <w:ind w:right="138"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1．我方已仔细研究了</w:t>
      </w:r>
      <w:r>
        <w:rPr>
          <w:rFonts w:hint="eastAsia" w:ascii="宋体" w:hAnsi="宋体" w:eastAsia="宋体" w:cs="宋体"/>
          <w:smallCaps w:val="0"/>
          <w:color w:val="auto"/>
          <w:spacing w:val="0"/>
          <w:sz w:val="24"/>
          <w:szCs w:val="24"/>
          <w:highlight w:val="none"/>
          <w:u w:val="single" w:color="auto"/>
        </w:rPr>
        <w:t xml:space="preserve">          （项目名称）      </w:t>
      </w: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lang w:val="en-US" w:eastAsia="zh-CN"/>
        </w:rPr>
        <w:t>磋商</w:t>
      </w:r>
      <w:r>
        <w:rPr>
          <w:rFonts w:hint="eastAsia" w:ascii="宋体" w:hAnsi="宋体" w:eastAsia="宋体" w:cs="宋体"/>
          <w:smallCaps w:val="0"/>
          <w:color w:val="auto"/>
          <w:spacing w:val="0"/>
          <w:sz w:val="24"/>
          <w:szCs w:val="24"/>
          <w:highlight w:val="none"/>
        </w:rPr>
        <w:t>文件的全部内容，愿意以人民币（大写）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)的投标总报价，服务期限为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 按合同约定实施和完成本合同中的全部合同内容，质量</w:t>
      </w:r>
      <w:r>
        <w:rPr>
          <w:rFonts w:hint="eastAsia" w:ascii="宋体" w:hAnsi="宋体" w:eastAsia="宋体" w:cs="宋体"/>
          <w:smallCaps w:val="0"/>
          <w:color w:val="auto"/>
          <w:spacing w:val="0"/>
          <w:sz w:val="24"/>
          <w:szCs w:val="24"/>
          <w:highlight w:val="none"/>
          <w:lang w:eastAsia="zh-CN"/>
        </w:rPr>
        <w:t>标准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0B56F3A7">
      <w:pPr>
        <w:keepNext w:val="0"/>
        <w:keepLines w:val="0"/>
        <w:pageBreakBefore w:val="0"/>
        <w:widowControl w:val="0"/>
        <w:kinsoku/>
        <w:wordWrap/>
        <w:overflowPunct/>
        <w:topLinePunct w:val="0"/>
        <w:autoSpaceDE/>
        <w:autoSpaceDN/>
        <w:bidi w:val="0"/>
        <w:adjustRightInd/>
        <w:snapToGrid/>
        <w:spacing w:before="157"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2．我方承诺在投标有效期（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日历天）内不修改、撤销响应文件。</w:t>
      </w:r>
    </w:p>
    <w:p w14:paraId="654215F8">
      <w:pPr>
        <w:keepNext w:val="0"/>
        <w:keepLines w:val="0"/>
        <w:pageBreakBefore w:val="0"/>
        <w:widowControl w:val="0"/>
        <w:kinsoku/>
        <w:wordWrap/>
        <w:overflowPunct/>
        <w:topLinePunct w:val="0"/>
        <w:autoSpaceDE/>
        <w:autoSpaceDN/>
        <w:bidi w:val="0"/>
        <w:adjustRightInd/>
        <w:snapToGrid/>
        <w:spacing w:before="153" w:line="360" w:lineRule="auto"/>
        <w:ind w:firstLine="480" w:firstLineChars="200"/>
        <w:jc w:val="left"/>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3．随同本投标函提交投标保证金一份，金额为人民币（大写）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78D46908">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4．如我方中标：</w:t>
      </w:r>
    </w:p>
    <w:p w14:paraId="3F2AC07C">
      <w:pPr>
        <w:keepNext w:val="0"/>
        <w:keepLines w:val="0"/>
        <w:pageBreakBefore w:val="0"/>
        <w:widowControl w:val="0"/>
        <w:kinsoku/>
        <w:wordWrap/>
        <w:overflowPunct/>
        <w:topLinePunct w:val="0"/>
        <w:autoSpaceDE/>
        <w:autoSpaceDN/>
        <w:bidi w:val="0"/>
        <w:adjustRightInd/>
        <w:snapToGrid/>
        <w:spacing w:before="156"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（1）我方承诺在收到中标通知书后，在中标通知书规定的期限内与你方签订合同。</w:t>
      </w:r>
    </w:p>
    <w:p w14:paraId="728892CC">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（2）我方承诺在合同约定的期限内完成并移交全部合同。</w:t>
      </w:r>
    </w:p>
    <w:p w14:paraId="273A0C48">
      <w:pPr>
        <w:keepNext w:val="0"/>
        <w:keepLines w:val="0"/>
        <w:pageBreakBefore w:val="0"/>
        <w:widowControl w:val="0"/>
        <w:kinsoku/>
        <w:wordWrap/>
        <w:overflowPunct/>
        <w:topLinePunct w:val="0"/>
        <w:autoSpaceDE/>
        <w:autoSpaceDN/>
        <w:bidi w:val="0"/>
        <w:adjustRightInd/>
        <w:snapToGrid/>
        <w:spacing w:before="154"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5．我方在此声明，所递交的响应文件及有关资料内容完整、真实和准确。</w:t>
      </w:r>
    </w:p>
    <w:p w14:paraId="6C4D9C3D">
      <w:pPr>
        <w:pStyle w:val="20"/>
        <w:spacing w:line="240" w:lineRule="auto"/>
        <w:rPr>
          <w:rFonts w:hint="eastAsia" w:ascii="宋体" w:hAnsi="宋体" w:eastAsia="宋体" w:cs="宋体"/>
          <w:smallCaps w:val="0"/>
          <w:color w:val="auto"/>
          <w:spacing w:val="0"/>
          <w:highlight w:val="none"/>
        </w:rPr>
      </w:pPr>
    </w:p>
    <w:p w14:paraId="0E70FB65">
      <w:pPr>
        <w:pStyle w:val="20"/>
        <w:spacing w:line="240" w:lineRule="auto"/>
        <w:rPr>
          <w:rFonts w:hint="eastAsia" w:ascii="宋体" w:hAnsi="宋体" w:eastAsia="宋体" w:cs="宋体"/>
          <w:smallCaps w:val="0"/>
          <w:color w:val="auto"/>
          <w:spacing w:val="0"/>
          <w:highlight w:val="none"/>
        </w:rPr>
      </w:pPr>
    </w:p>
    <w:p w14:paraId="423A05E0">
      <w:pPr>
        <w:pStyle w:val="20"/>
        <w:spacing w:line="240" w:lineRule="auto"/>
        <w:rPr>
          <w:rFonts w:hint="eastAsia" w:ascii="宋体" w:hAnsi="宋体" w:eastAsia="宋体" w:cs="宋体"/>
          <w:smallCaps w:val="0"/>
          <w:color w:val="auto"/>
          <w:spacing w:val="0"/>
          <w:highlight w:val="none"/>
        </w:rPr>
      </w:pPr>
    </w:p>
    <w:p w14:paraId="1C86282C">
      <w:pPr>
        <w:pStyle w:val="20"/>
        <w:spacing w:line="240" w:lineRule="auto"/>
        <w:rPr>
          <w:rFonts w:hint="eastAsia" w:ascii="宋体" w:hAnsi="宋体" w:eastAsia="宋体" w:cs="宋体"/>
          <w:smallCaps w:val="0"/>
          <w:color w:val="auto"/>
          <w:spacing w:val="0"/>
          <w:highlight w:val="none"/>
        </w:rPr>
      </w:pPr>
    </w:p>
    <w:p w14:paraId="65138925">
      <w:pPr>
        <w:pStyle w:val="20"/>
        <w:spacing w:line="240" w:lineRule="auto"/>
        <w:rPr>
          <w:rFonts w:hint="eastAsia" w:ascii="宋体" w:hAnsi="宋体" w:eastAsia="宋体" w:cs="宋体"/>
          <w:smallCaps w:val="0"/>
          <w:color w:val="auto"/>
          <w:spacing w:val="0"/>
          <w:highlight w:val="none"/>
        </w:rPr>
      </w:pPr>
    </w:p>
    <w:p w14:paraId="3C14566A">
      <w:pPr>
        <w:spacing w:before="79"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w:t>
      </w:r>
    </w:p>
    <w:p w14:paraId="7D02F8DF">
      <w:pPr>
        <w:spacing w:before="155" w:line="240" w:lineRule="auto"/>
        <w:ind w:left="49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（电子签章或签名）</w:t>
      </w:r>
    </w:p>
    <w:p w14:paraId="0D83BE62">
      <w:pPr>
        <w:spacing w:before="157"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地址：</w:t>
      </w:r>
      <w:r>
        <w:rPr>
          <w:rFonts w:hint="eastAsia" w:ascii="宋体" w:hAnsi="宋体" w:eastAsia="宋体" w:cs="宋体"/>
          <w:smallCaps w:val="0"/>
          <w:color w:val="auto"/>
          <w:spacing w:val="0"/>
          <w:sz w:val="24"/>
          <w:szCs w:val="24"/>
          <w:highlight w:val="none"/>
          <w:u w:val="single" w:color="auto"/>
        </w:rPr>
        <w:t xml:space="preserve">                                      </w:t>
      </w:r>
    </w:p>
    <w:p w14:paraId="23B2636B">
      <w:pPr>
        <w:spacing w:before="142" w:line="240" w:lineRule="auto"/>
        <w:ind w:left="51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电话：</w:t>
      </w:r>
      <w:r>
        <w:rPr>
          <w:rFonts w:hint="eastAsia" w:ascii="宋体" w:hAnsi="宋体" w:eastAsia="宋体" w:cs="宋体"/>
          <w:smallCaps w:val="0"/>
          <w:color w:val="auto"/>
          <w:spacing w:val="0"/>
          <w:sz w:val="24"/>
          <w:szCs w:val="24"/>
          <w:highlight w:val="none"/>
          <w:u w:val="single" w:color="auto"/>
        </w:rPr>
        <w:t xml:space="preserve">                                      </w:t>
      </w:r>
    </w:p>
    <w:p w14:paraId="322907F0">
      <w:pPr>
        <w:spacing w:before="151" w:line="240" w:lineRule="auto"/>
        <w:ind w:left="48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传真：</w:t>
      </w:r>
      <w:r>
        <w:rPr>
          <w:rFonts w:hint="eastAsia" w:ascii="宋体" w:hAnsi="宋体" w:eastAsia="宋体" w:cs="宋体"/>
          <w:smallCaps w:val="0"/>
          <w:color w:val="auto"/>
          <w:spacing w:val="0"/>
          <w:sz w:val="24"/>
          <w:szCs w:val="24"/>
          <w:highlight w:val="none"/>
          <w:u w:val="single" w:color="auto"/>
        </w:rPr>
        <w:t xml:space="preserve">                                      </w:t>
      </w:r>
    </w:p>
    <w:p w14:paraId="16A88C95">
      <w:pPr>
        <w:spacing w:before="158" w:line="240" w:lineRule="auto"/>
        <w:ind w:left="50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邮政编码：</w:t>
      </w:r>
      <w:r>
        <w:rPr>
          <w:rFonts w:hint="eastAsia" w:ascii="宋体" w:hAnsi="宋体" w:eastAsia="宋体" w:cs="宋体"/>
          <w:smallCaps w:val="0"/>
          <w:color w:val="auto"/>
          <w:spacing w:val="0"/>
          <w:sz w:val="24"/>
          <w:szCs w:val="24"/>
          <w:highlight w:val="none"/>
          <w:u w:val="single" w:color="auto"/>
        </w:rPr>
        <w:t xml:space="preserve">                                  </w:t>
      </w:r>
    </w:p>
    <w:p w14:paraId="24A6DB69">
      <w:pPr>
        <w:tabs>
          <w:tab w:val="left" w:pos="1440"/>
        </w:tabs>
        <w:spacing w:before="155" w:line="240" w:lineRule="auto"/>
        <w:ind w:left="48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074CFD5A">
      <w:pPr>
        <w:spacing w:line="240" w:lineRule="auto"/>
        <w:rPr>
          <w:rFonts w:hint="eastAsia" w:ascii="宋体" w:hAnsi="宋体" w:eastAsia="宋体" w:cs="宋体"/>
          <w:smallCaps w:val="0"/>
          <w:color w:val="auto"/>
          <w:spacing w:val="0"/>
          <w:sz w:val="24"/>
          <w:szCs w:val="24"/>
          <w:highlight w:val="none"/>
        </w:rPr>
        <w:sectPr>
          <w:footerReference r:id="rId10" w:type="default"/>
          <w:pgSz w:w="11905" w:h="16839"/>
          <w:pgMar w:top="1440" w:right="1800" w:bottom="1440" w:left="1800" w:header="0" w:footer="1013" w:gutter="0"/>
          <w:cols w:space="720" w:num="1"/>
        </w:sectPr>
      </w:pPr>
    </w:p>
    <w:p w14:paraId="5312D6AD">
      <w:pPr>
        <w:keepNext/>
        <w:keepLines/>
        <w:outlineLvl w:val="1"/>
        <w:rPr>
          <w:rFonts w:hint="eastAsia" w:ascii="宋体" w:hAnsi="宋体" w:eastAsia="宋体" w:cs="宋体"/>
          <w:b/>
          <w:color w:val="auto"/>
          <w:kern w:val="0"/>
          <w:sz w:val="36"/>
          <w:szCs w:val="21"/>
          <w:highlight w:val="none"/>
        </w:rPr>
      </w:pPr>
      <w:bookmarkStart w:id="343" w:name="_Toc13112"/>
      <w:bookmarkStart w:id="344" w:name="_Toc44700093"/>
      <w:r>
        <w:rPr>
          <w:rFonts w:hint="eastAsia" w:ascii="宋体" w:hAnsi="宋体" w:eastAsia="宋体" w:cs="宋体"/>
          <w:b/>
          <w:color w:val="auto"/>
          <w:kern w:val="0"/>
          <w:sz w:val="36"/>
          <w:szCs w:val="21"/>
          <w:highlight w:val="none"/>
        </w:rPr>
        <w:t>2、报价一览表格式</w:t>
      </w:r>
      <w:bookmarkEnd w:id="334"/>
      <w:bookmarkEnd w:id="335"/>
      <w:bookmarkEnd w:id="336"/>
      <w:bookmarkEnd w:id="337"/>
      <w:bookmarkEnd w:id="338"/>
      <w:bookmarkEnd w:id="339"/>
      <w:bookmarkEnd w:id="340"/>
      <w:bookmarkEnd w:id="341"/>
      <w:bookmarkEnd w:id="342"/>
      <w:bookmarkEnd w:id="343"/>
      <w:bookmarkEnd w:id="344"/>
    </w:p>
    <w:p w14:paraId="15050022">
      <w:pPr>
        <w:spacing w:line="48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tbl>
      <w:tblPr>
        <w:tblStyle w:val="22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48EA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13" w:type="dxa"/>
            <w:noWrap w:val="0"/>
            <w:vAlign w:val="top"/>
          </w:tcPr>
          <w:p w14:paraId="6A98A1F6">
            <w:pPr>
              <w:spacing w:line="240" w:lineRule="auto"/>
              <w:rPr>
                <w:rFonts w:hint="eastAsia" w:ascii="宋体" w:hAnsi="宋体" w:eastAsia="宋体" w:cs="宋体"/>
                <w:smallCaps w:val="0"/>
                <w:color w:val="auto"/>
                <w:spacing w:val="0"/>
                <w:sz w:val="21"/>
                <w:highlight w:val="none"/>
              </w:rPr>
            </w:pPr>
          </w:p>
          <w:p w14:paraId="4BC1338B">
            <w:pPr>
              <w:pStyle w:val="223"/>
              <w:spacing w:before="78" w:line="240" w:lineRule="auto"/>
              <w:ind w:left="73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项目名称</w:t>
            </w:r>
          </w:p>
        </w:tc>
        <w:tc>
          <w:tcPr>
            <w:tcW w:w="6771" w:type="dxa"/>
            <w:noWrap w:val="0"/>
            <w:vAlign w:val="top"/>
          </w:tcPr>
          <w:p w14:paraId="45AFF776">
            <w:pPr>
              <w:spacing w:line="240" w:lineRule="auto"/>
              <w:rPr>
                <w:rFonts w:hint="eastAsia" w:ascii="宋体" w:hAnsi="宋体" w:eastAsia="宋体" w:cs="宋体"/>
                <w:smallCaps w:val="0"/>
                <w:color w:val="auto"/>
                <w:spacing w:val="0"/>
                <w:sz w:val="21"/>
                <w:highlight w:val="none"/>
              </w:rPr>
            </w:pPr>
          </w:p>
        </w:tc>
      </w:tr>
      <w:tr w14:paraId="3358C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2413" w:type="dxa"/>
            <w:noWrap w:val="0"/>
            <w:vAlign w:val="top"/>
          </w:tcPr>
          <w:p w14:paraId="216AD862">
            <w:pPr>
              <w:spacing w:line="240" w:lineRule="auto"/>
              <w:rPr>
                <w:rFonts w:hint="eastAsia" w:ascii="宋体" w:hAnsi="宋体" w:eastAsia="宋体" w:cs="宋体"/>
                <w:smallCaps w:val="0"/>
                <w:color w:val="auto"/>
                <w:spacing w:val="0"/>
                <w:sz w:val="21"/>
                <w:highlight w:val="none"/>
              </w:rPr>
            </w:pPr>
          </w:p>
          <w:p w14:paraId="3D375A55">
            <w:pPr>
              <w:spacing w:line="240" w:lineRule="auto"/>
              <w:rPr>
                <w:rFonts w:hint="eastAsia" w:ascii="宋体" w:hAnsi="宋体" w:eastAsia="宋体" w:cs="宋体"/>
                <w:smallCaps w:val="0"/>
                <w:color w:val="auto"/>
                <w:spacing w:val="0"/>
                <w:sz w:val="21"/>
                <w:highlight w:val="none"/>
              </w:rPr>
            </w:pPr>
          </w:p>
          <w:p w14:paraId="2EA7DABD">
            <w:pPr>
              <w:pStyle w:val="223"/>
              <w:spacing w:before="78" w:line="240" w:lineRule="auto"/>
              <w:ind w:left="73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投标报价</w:t>
            </w:r>
          </w:p>
        </w:tc>
        <w:tc>
          <w:tcPr>
            <w:tcW w:w="6771" w:type="dxa"/>
            <w:noWrap w:val="0"/>
            <w:vAlign w:val="top"/>
          </w:tcPr>
          <w:p w14:paraId="6F26232A">
            <w:pPr>
              <w:spacing w:line="240" w:lineRule="auto"/>
              <w:rPr>
                <w:rFonts w:hint="eastAsia" w:ascii="宋体" w:hAnsi="宋体" w:eastAsia="宋体" w:cs="宋体"/>
                <w:smallCaps w:val="0"/>
                <w:color w:val="auto"/>
                <w:spacing w:val="0"/>
                <w:sz w:val="21"/>
                <w:highlight w:val="none"/>
              </w:rPr>
            </w:pPr>
          </w:p>
          <w:p w14:paraId="56D34D87">
            <w:pPr>
              <w:pStyle w:val="223"/>
              <w:spacing w:before="78" w:line="240" w:lineRule="auto"/>
              <w:ind w:left="12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小写：</w:t>
            </w:r>
          </w:p>
          <w:p w14:paraId="4092ED7E">
            <w:pPr>
              <w:pStyle w:val="223"/>
              <w:spacing w:before="211" w:line="240" w:lineRule="auto"/>
              <w:ind w:left="11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大写：</w:t>
            </w:r>
          </w:p>
        </w:tc>
      </w:tr>
      <w:tr w14:paraId="097A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413" w:type="dxa"/>
            <w:noWrap w:val="0"/>
            <w:vAlign w:val="top"/>
          </w:tcPr>
          <w:p w14:paraId="2E2EC5A6">
            <w:pPr>
              <w:spacing w:line="240" w:lineRule="auto"/>
              <w:rPr>
                <w:rFonts w:hint="eastAsia" w:ascii="宋体" w:hAnsi="宋体" w:eastAsia="宋体" w:cs="宋体"/>
                <w:smallCaps w:val="0"/>
                <w:color w:val="auto"/>
                <w:spacing w:val="0"/>
                <w:sz w:val="21"/>
                <w:highlight w:val="none"/>
              </w:rPr>
            </w:pPr>
          </w:p>
          <w:p w14:paraId="45B2CCB3">
            <w:pPr>
              <w:pStyle w:val="223"/>
              <w:spacing w:before="78" w:line="240" w:lineRule="auto"/>
              <w:ind w:left="61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lang w:val="en-US" w:eastAsia="zh-CN"/>
              </w:rPr>
              <w:t>项目</w:t>
            </w:r>
            <w:r>
              <w:rPr>
                <w:rFonts w:hint="eastAsia" w:ascii="宋体" w:hAnsi="宋体" w:eastAsia="宋体" w:cs="宋体"/>
                <w:smallCaps w:val="0"/>
                <w:color w:val="auto"/>
                <w:spacing w:val="0"/>
                <w:highlight w:val="none"/>
              </w:rPr>
              <w:t>负责人</w:t>
            </w:r>
          </w:p>
        </w:tc>
        <w:tc>
          <w:tcPr>
            <w:tcW w:w="6771" w:type="dxa"/>
            <w:noWrap w:val="0"/>
            <w:vAlign w:val="top"/>
          </w:tcPr>
          <w:p w14:paraId="3145AB5D">
            <w:pPr>
              <w:spacing w:line="240" w:lineRule="auto"/>
              <w:rPr>
                <w:rFonts w:hint="eastAsia" w:ascii="宋体" w:hAnsi="宋体" w:eastAsia="宋体" w:cs="宋体"/>
                <w:smallCaps w:val="0"/>
                <w:color w:val="auto"/>
                <w:spacing w:val="0"/>
                <w:sz w:val="21"/>
                <w:highlight w:val="none"/>
              </w:rPr>
            </w:pPr>
          </w:p>
        </w:tc>
      </w:tr>
      <w:tr w14:paraId="4CD8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3AC5F0B9">
            <w:pPr>
              <w:spacing w:line="240" w:lineRule="auto"/>
              <w:rPr>
                <w:rFonts w:hint="eastAsia" w:ascii="宋体" w:hAnsi="宋体" w:eastAsia="宋体" w:cs="宋体"/>
                <w:smallCaps w:val="0"/>
                <w:color w:val="auto"/>
                <w:spacing w:val="0"/>
                <w:sz w:val="21"/>
                <w:highlight w:val="none"/>
              </w:rPr>
            </w:pPr>
          </w:p>
          <w:p w14:paraId="6519990C">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服务期限</w:t>
            </w:r>
          </w:p>
        </w:tc>
        <w:tc>
          <w:tcPr>
            <w:tcW w:w="6771" w:type="dxa"/>
            <w:noWrap w:val="0"/>
            <w:vAlign w:val="top"/>
          </w:tcPr>
          <w:p w14:paraId="18747300">
            <w:pPr>
              <w:spacing w:line="240" w:lineRule="auto"/>
              <w:rPr>
                <w:rFonts w:hint="eastAsia" w:ascii="宋体" w:hAnsi="宋体" w:eastAsia="宋体" w:cs="宋体"/>
                <w:smallCaps w:val="0"/>
                <w:color w:val="auto"/>
                <w:spacing w:val="0"/>
                <w:sz w:val="21"/>
                <w:highlight w:val="none"/>
              </w:rPr>
            </w:pPr>
          </w:p>
        </w:tc>
      </w:tr>
      <w:tr w14:paraId="5F5C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27CD24D5">
            <w:pPr>
              <w:spacing w:line="240" w:lineRule="auto"/>
              <w:rPr>
                <w:rFonts w:hint="eastAsia" w:ascii="宋体" w:hAnsi="宋体" w:eastAsia="宋体" w:cs="宋体"/>
                <w:smallCaps w:val="0"/>
                <w:color w:val="auto"/>
                <w:spacing w:val="0"/>
                <w:sz w:val="21"/>
                <w:highlight w:val="none"/>
              </w:rPr>
            </w:pPr>
          </w:p>
          <w:p w14:paraId="7828A3BD">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服务质量</w:t>
            </w:r>
          </w:p>
        </w:tc>
        <w:tc>
          <w:tcPr>
            <w:tcW w:w="6771" w:type="dxa"/>
            <w:noWrap w:val="0"/>
            <w:vAlign w:val="top"/>
          </w:tcPr>
          <w:p w14:paraId="51F7324A">
            <w:pPr>
              <w:spacing w:line="240" w:lineRule="auto"/>
              <w:rPr>
                <w:rFonts w:hint="eastAsia" w:ascii="宋体" w:hAnsi="宋体" w:eastAsia="宋体" w:cs="宋体"/>
                <w:smallCaps w:val="0"/>
                <w:color w:val="auto"/>
                <w:spacing w:val="0"/>
                <w:sz w:val="21"/>
                <w:highlight w:val="none"/>
              </w:rPr>
            </w:pPr>
          </w:p>
        </w:tc>
      </w:tr>
      <w:tr w14:paraId="75D22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9184" w:type="dxa"/>
            <w:gridSpan w:val="2"/>
            <w:noWrap w:val="0"/>
            <w:vAlign w:val="top"/>
          </w:tcPr>
          <w:p w14:paraId="144E988E">
            <w:pPr>
              <w:pStyle w:val="223"/>
              <w:spacing w:before="58" w:line="240" w:lineRule="auto"/>
              <w:ind w:left="120" w:right="113" w:hanging="3"/>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备注：说明：1、供应商严格按照规定的格式填写，并须经法定代表人或法人授权代表签字并加盖公章，否则，投标无效。</w:t>
            </w:r>
          </w:p>
          <w:p w14:paraId="52B6471F">
            <w:pPr>
              <w:pStyle w:val="223"/>
              <w:spacing w:line="240" w:lineRule="auto"/>
              <w:ind w:left="117"/>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2、符合招标文件中列明的可享受中小企业扶持政策的供应商，请填写中小企业声明函。</w:t>
            </w:r>
          </w:p>
          <w:p w14:paraId="7ABB6B8A">
            <w:pPr>
              <w:pStyle w:val="223"/>
              <w:spacing w:before="71" w:line="240" w:lineRule="auto"/>
              <w:ind w:left="134" w:right="108" w:hanging="20"/>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注：供应商提供的中小企业声明函内容不实的，属于提供虚假材料谋取中标、成交，依照《中华人民共和国政府采购法》等国家有关规定追究相应责任。</w:t>
            </w:r>
          </w:p>
        </w:tc>
      </w:tr>
    </w:tbl>
    <w:p w14:paraId="4B680ACC">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67A9E316">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1252E407">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5BB6FDB3">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0700E0EA">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日</w:t>
      </w:r>
    </w:p>
    <w:p w14:paraId="5BE9E0AA">
      <w:pPr>
        <w:spacing w:line="240" w:lineRule="auto"/>
        <w:rPr>
          <w:rFonts w:hint="eastAsia" w:ascii="宋体" w:hAnsi="宋体" w:eastAsia="宋体" w:cs="宋体"/>
          <w:smallCaps w:val="0"/>
          <w:color w:val="auto"/>
          <w:spacing w:val="0"/>
          <w:sz w:val="24"/>
          <w:szCs w:val="24"/>
          <w:highlight w:val="none"/>
        </w:rPr>
      </w:pPr>
    </w:p>
    <w:p w14:paraId="19E814A4">
      <w:pPr>
        <w:rPr>
          <w:rFonts w:hint="eastAsia" w:ascii="宋体" w:hAnsi="宋体" w:eastAsia="宋体" w:cs="宋体"/>
          <w:color w:val="auto"/>
          <w:highlight w:val="none"/>
        </w:rPr>
      </w:pPr>
    </w:p>
    <w:p w14:paraId="5EC25209">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742BE2E2">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E7766A8">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9DB6335">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24136D47">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A05019C">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18FC737F">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77044D9">
      <w:pPr>
        <w:spacing w:before="97" w:line="240" w:lineRule="auto"/>
        <w:jc w:val="both"/>
        <w:outlineLvl w:val="1"/>
        <w:rPr>
          <w:rFonts w:hint="eastAsia" w:ascii="宋体" w:hAnsi="宋体" w:eastAsia="宋体" w:cs="宋体"/>
          <w:smallCaps w:val="0"/>
          <w:color w:val="auto"/>
          <w:spacing w:val="0"/>
          <w:sz w:val="30"/>
          <w:szCs w:val="30"/>
          <w:highlight w:val="none"/>
        </w:rPr>
      </w:pPr>
      <w:bookmarkStart w:id="345" w:name="_Toc24268"/>
      <w:r>
        <w:rPr>
          <w:rFonts w:hint="eastAsia" w:ascii="宋体" w:hAnsi="宋体" w:eastAsia="宋体" w:cs="宋体"/>
          <w:b/>
          <w:bCs/>
          <w:smallCaps w:val="0"/>
          <w:color w:val="auto"/>
          <w:spacing w:val="0"/>
          <w:sz w:val="30"/>
          <w:szCs w:val="30"/>
          <w:highlight w:val="none"/>
          <w:lang w:val="en-US" w:eastAsia="zh-CN"/>
        </w:rPr>
        <w:t>3</w:t>
      </w:r>
      <w:r>
        <w:rPr>
          <w:rFonts w:hint="eastAsia" w:ascii="宋体" w:hAnsi="宋体" w:eastAsia="宋体" w:cs="宋体"/>
          <w:b/>
          <w:bCs/>
          <w:smallCaps w:val="0"/>
          <w:color w:val="auto"/>
          <w:spacing w:val="0"/>
          <w:sz w:val="30"/>
          <w:szCs w:val="30"/>
          <w:highlight w:val="none"/>
        </w:rPr>
        <w:t>、企业基本情况表</w:t>
      </w:r>
      <w:bookmarkEnd w:id="345"/>
    </w:p>
    <w:p w14:paraId="419179F0">
      <w:pPr>
        <w:spacing w:line="240" w:lineRule="auto"/>
        <w:rPr>
          <w:rFonts w:hint="eastAsia" w:ascii="宋体" w:hAnsi="宋体" w:eastAsia="宋体" w:cs="宋体"/>
          <w:smallCaps w:val="0"/>
          <w:color w:val="auto"/>
          <w:spacing w:val="0"/>
          <w:highlight w:val="none"/>
        </w:rPr>
      </w:pPr>
    </w:p>
    <w:tbl>
      <w:tblPr>
        <w:tblStyle w:val="222"/>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2211"/>
        <w:gridCol w:w="1862"/>
        <w:gridCol w:w="3157"/>
      </w:tblGrid>
      <w:tr w14:paraId="4ABE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887" w:type="dxa"/>
            <w:noWrap w:val="0"/>
            <w:vAlign w:val="top"/>
          </w:tcPr>
          <w:p w14:paraId="19742EEC">
            <w:pPr>
              <w:pStyle w:val="223"/>
              <w:spacing w:before="301" w:line="240" w:lineRule="auto"/>
              <w:ind w:left="41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供应商名称</w:t>
            </w:r>
          </w:p>
        </w:tc>
        <w:tc>
          <w:tcPr>
            <w:tcW w:w="7230" w:type="dxa"/>
            <w:gridSpan w:val="3"/>
            <w:noWrap w:val="0"/>
            <w:vAlign w:val="top"/>
          </w:tcPr>
          <w:p w14:paraId="12C343A2">
            <w:pPr>
              <w:spacing w:line="240" w:lineRule="auto"/>
              <w:rPr>
                <w:rFonts w:hint="eastAsia" w:ascii="宋体" w:hAnsi="宋体" w:eastAsia="宋体" w:cs="宋体"/>
                <w:smallCaps w:val="0"/>
                <w:color w:val="auto"/>
                <w:spacing w:val="0"/>
                <w:sz w:val="21"/>
                <w:highlight w:val="none"/>
              </w:rPr>
            </w:pPr>
          </w:p>
        </w:tc>
      </w:tr>
      <w:tr w14:paraId="662F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887" w:type="dxa"/>
            <w:noWrap w:val="0"/>
            <w:vAlign w:val="top"/>
          </w:tcPr>
          <w:p w14:paraId="1A5B686E">
            <w:pPr>
              <w:pStyle w:val="223"/>
              <w:spacing w:before="271"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成立时间</w:t>
            </w:r>
          </w:p>
        </w:tc>
        <w:tc>
          <w:tcPr>
            <w:tcW w:w="7230" w:type="dxa"/>
            <w:gridSpan w:val="3"/>
            <w:noWrap w:val="0"/>
            <w:vAlign w:val="top"/>
          </w:tcPr>
          <w:p w14:paraId="49ABCB5F">
            <w:pPr>
              <w:spacing w:line="240" w:lineRule="auto"/>
              <w:rPr>
                <w:rFonts w:hint="eastAsia" w:ascii="宋体" w:hAnsi="宋体" w:eastAsia="宋体" w:cs="宋体"/>
                <w:smallCaps w:val="0"/>
                <w:color w:val="auto"/>
                <w:spacing w:val="0"/>
                <w:sz w:val="21"/>
                <w:highlight w:val="none"/>
              </w:rPr>
            </w:pPr>
          </w:p>
        </w:tc>
      </w:tr>
      <w:tr w14:paraId="16E8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87" w:type="dxa"/>
            <w:noWrap w:val="0"/>
            <w:vAlign w:val="top"/>
          </w:tcPr>
          <w:p w14:paraId="4DA7FF6B">
            <w:pPr>
              <w:pStyle w:val="223"/>
              <w:spacing w:before="306" w:line="240" w:lineRule="auto"/>
              <w:ind w:left="53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详细地址</w:t>
            </w:r>
          </w:p>
        </w:tc>
        <w:tc>
          <w:tcPr>
            <w:tcW w:w="7230" w:type="dxa"/>
            <w:gridSpan w:val="3"/>
            <w:noWrap w:val="0"/>
            <w:vAlign w:val="top"/>
          </w:tcPr>
          <w:p w14:paraId="4FA01B58">
            <w:pPr>
              <w:spacing w:line="240" w:lineRule="auto"/>
              <w:rPr>
                <w:rFonts w:hint="eastAsia" w:ascii="宋体" w:hAnsi="宋体" w:eastAsia="宋体" w:cs="宋体"/>
                <w:smallCaps w:val="0"/>
                <w:color w:val="auto"/>
                <w:spacing w:val="0"/>
                <w:sz w:val="21"/>
                <w:highlight w:val="none"/>
              </w:rPr>
            </w:pPr>
          </w:p>
        </w:tc>
      </w:tr>
      <w:tr w14:paraId="4B9C9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887" w:type="dxa"/>
            <w:noWrap w:val="0"/>
            <w:vAlign w:val="top"/>
          </w:tcPr>
          <w:p w14:paraId="064C722E">
            <w:pPr>
              <w:pStyle w:val="223"/>
              <w:spacing w:before="303" w:line="240" w:lineRule="auto"/>
              <w:ind w:left="54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邮政编码</w:t>
            </w:r>
          </w:p>
        </w:tc>
        <w:tc>
          <w:tcPr>
            <w:tcW w:w="7230" w:type="dxa"/>
            <w:gridSpan w:val="3"/>
            <w:noWrap w:val="0"/>
            <w:vAlign w:val="top"/>
          </w:tcPr>
          <w:p w14:paraId="0AD1FB47">
            <w:pPr>
              <w:spacing w:line="240" w:lineRule="auto"/>
              <w:rPr>
                <w:rFonts w:hint="eastAsia" w:ascii="宋体" w:hAnsi="宋体" w:eastAsia="宋体" w:cs="宋体"/>
                <w:smallCaps w:val="0"/>
                <w:color w:val="auto"/>
                <w:spacing w:val="0"/>
                <w:sz w:val="21"/>
                <w:highlight w:val="none"/>
              </w:rPr>
            </w:pPr>
          </w:p>
        </w:tc>
      </w:tr>
      <w:tr w14:paraId="23D2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887" w:type="dxa"/>
            <w:noWrap w:val="0"/>
            <w:vAlign w:val="top"/>
          </w:tcPr>
          <w:p w14:paraId="523D9622">
            <w:pPr>
              <w:pStyle w:val="223"/>
              <w:spacing w:before="305" w:line="240" w:lineRule="auto"/>
              <w:ind w:left="53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联系电话</w:t>
            </w:r>
          </w:p>
        </w:tc>
        <w:tc>
          <w:tcPr>
            <w:tcW w:w="7230" w:type="dxa"/>
            <w:gridSpan w:val="3"/>
            <w:noWrap w:val="0"/>
            <w:vAlign w:val="top"/>
          </w:tcPr>
          <w:p w14:paraId="6FE1E752">
            <w:pPr>
              <w:spacing w:line="240" w:lineRule="auto"/>
              <w:rPr>
                <w:rFonts w:hint="eastAsia" w:ascii="宋体" w:hAnsi="宋体" w:eastAsia="宋体" w:cs="宋体"/>
                <w:smallCaps w:val="0"/>
                <w:color w:val="auto"/>
                <w:spacing w:val="0"/>
                <w:sz w:val="21"/>
                <w:highlight w:val="none"/>
              </w:rPr>
            </w:pPr>
          </w:p>
        </w:tc>
      </w:tr>
      <w:tr w14:paraId="79DF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684CBC9">
            <w:pPr>
              <w:pStyle w:val="223"/>
              <w:spacing w:before="299" w:line="240" w:lineRule="auto"/>
              <w:ind w:left="76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传真</w:t>
            </w:r>
          </w:p>
        </w:tc>
        <w:tc>
          <w:tcPr>
            <w:tcW w:w="7230" w:type="dxa"/>
            <w:gridSpan w:val="3"/>
            <w:noWrap w:val="0"/>
            <w:vAlign w:val="top"/>
          </w:tcPr>
          <w:p w14:paraId="277D881F">
            <w:pPr>
              <w:spacing w:line="240" w:lineRule="auto"/>
              <w:rPr>
                <w:rFonts w:hint="eastAsia" w:ascii="宋体" w:hAnsi="宋体" w:eastAsia="宋体" w:cs="宋体"/>
                <w:smallCaps w:val="0"/>
                <w:color w:val="auto"/>
                <w:spacing w:val="0"/>
                <w:sz w:val="21"/>
                <w:highlight w:val="none"/>
              </w:rPr>
            </w:pPr>
          </w:p>
        </w:tc>
      </w:tr>
      <w:tr w14:paraId="7ABB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0D34ED6F">
            <w:pPr>
              <w:pStyle w:val="223"/>
              <w:spacing w:before="297" w:line="240" w:lineRule="auto"/>
              <w:ind w:left="5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电子邮箱</w:t>
            </w:r>
          </w:p>
        </w:tc>
        <w:tc>
          <w:tcPr>
            <w:tcW w:w="7230" w:type="dxa"/>
            <w:gridSpan w:val="3"/>
            <w:noWrap w:val="0"/>
            <w:vAlign w:val="top"/>
          </w:tcPr>
          <w:p w14:paraId="6EDC9318">
            <w:pPr>
              <w:spacing w:line="240" w:lineRule="auto"/>
              <w:rPr>
                <w:rFonts w:hint="eastAsia" w:ascii="宋体" w:hAnsi="宋体" w:eastAsia="宋体" w:cs="宋体"/>
                <w:smallCaps w:val="0"/>
                <w:color w:val="auto"/>
                <w:spacing w:val="0"/>
                <w:sz w:val="21"/>
                <w:highlight w:val="none"/>
              </w:rPr>
            </w:pPr>
          </w:p>
        </w:tc>
      </w:tr>
      <w:tr w14:paraId="75D9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20BB0418">
            <w:pPr>
              <w:pStyle w:val="223"/>
              <w:spacing w:before="298" w:line="240" w:lineRule="auto"/>
              <w:ind w:left="41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法定代表人</w:t>
            </w:r>
          </w:p>
        </w:tc>
        <w:tc>
          <w:tcPr>
            <w:tcW w:w="2211" w:type="dxa"/>
            <w:noWrap w:val="0"/>
            <w:vAlign w:val="top"/>
          </w:tcPr>
          <w:p w14:paraId="10ADDAA2">
            <w:pPr>
              <w:spacing w:line="240" w:lineRule="auto"/>
              <w:rPr>
                <w:rFonts w:hint="eastAsia" w:ascii="宋体" w:hAnsi="宋体" w:eastAsia="宋体" w:cs="宋体"/>
                <w:smallCaps w:val="0"/>
                <w:color w:val="auto"/>
                <w:spacing w:val="0"/>
                <w:sz w:val="21"/>
                <w:highlight w:val="none"/>
              </w:rPr>
            </w:pPr>
          </w:p>
        </w:tc>
        <w:tc>
          <w:tcPr>
            <w:tcW w:w="1862" w:type="dxa"/>
            <w:noWrap w:val="0"/>
            <w:vAlign w:val="top"/>
          </w:tcPr>
          <w:p w14:paraId="1CA0D121">
            <w:pPr>
              <w:pStyle w:val="223"/>
              <w:spacing w:before="297" w:line="240" w:lineRule="auto"/>
              <w:ind w:right="29"/>
              <w:jc w:val="right"/>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电话（含手机）</w:t>
            </w:r>
          </w:p>
        </w:tc>
        <w:tc>
          <w:tcPr>
            <w:tcW w:w="3157" w:type="dxa"/>
            <w:noWrap w:val="0"/>
            <w:vAlign w:val="top"/>
          </w:tcPr>
          <w:p w14:paraId="3F337A6D">
            <w:pPr>
              <w:spacing w:line="240" w:lineRule="auto"/>
              <w:rPr>
                <w:rFonts w:hint="eastAsia" w:ascii="宋体" w:hAnsi="宋体" w:eastAsia="宋体" w:cs="宋体"/>
                <w:smallCaps w:val="0"/>
                <w:color w:val="auto"/>
                <w:spacing w:val="0"/>
                <w:sz w:val="21"/>
                <w:highlight w:val="none"/>
              </w:rPr>
            </w:pPr>
          </w:p>
        </w:tc>
      </w:tr>
      <w:tr w14:paraId="4F48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1E3E7DB">
            <w:pPr>
              <w:pStyle w:val="223"/>
              <w:spacing w:before="301" w:line="240" w:lineRule="auto"/>
              <w:ind w:left="53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公司类型</w:t>
            </w:r>
          </w:p>
        </w:tc>
        <w:tc>
          <w:tcPr>
            <w:tcW w:w="7230" w:type="dxa"/>
            <w:gridSpan w:val="3"/>
            <w:noWrap w:val="0"/>
            <w:vAlign w:val="top"/>
          </w:tcPr>
          <w:p w14:paraId="746ACD72">
            <w:pPr>
              <w:spacing w:line="240" w:lineRule="auto"/>
              <w:rPr>
                <w:rFonts w:hint="eastAsia" w:ascii="宋体" w:hAnsi="宋体" w:eastAsia="宋体" w:cs="宋体"/>
                <w:smallCaps w:val="0"/>
                <w:color w:val="auto"/>
                <w:spacing w:val="0"/>
                <w:sz w:val="21"/>
                <w:highlight w:val="none"/>
              </w:rPr>
            </w:pPr>
          </w:p>
        </w:tc>
      </w:tr>
      <w:tr w14:paraId="404C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312C2B86">
            <w:pPr>
              <w:pStyle w:val="223"/>
              <w:spacing w:before="298" w:line="240" w:lineRule="auto"/>
              <w:ind w:left="5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注册资本</w:t>
            </w:r>
          </w:p>
        </w:tc>
        <w:tc>
          <w:tcPr>
            <w:tcW w:w="7230" w:type="dxa"/>
            <w:gridSpan w:val="3"/>
            <w:noWrap w:val="0"/>
            <w:vAlign w:val="top"/>
          </w:tcPr>
          <w:p w14:paraId="3157D22D">
            <w:pPr>
              <w:spacing w:line="240" w:lineRule="auto"/>
              <w:rPr>
                <w:rFonts w:hint="eastAsia" w:ascii="宋体" w:hAnsi="宋体" w:eastAsia="宋体" w:cs="宋体"/>
                <w:smallCaps w:val="0"/>
                <w:color w:val="auto"/>
                <w:spacing w:val="0"/>
                <w:sz w:val="21"/>
                <w:highlight w:val="none"/>
              </w:rPr>
            </w:pPr>
          </w:p>
        </w:tc>
      </w:tr>
      <w:tr w14:paraId="29B3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887" w:type="dxa"/>
            <w:noWrap w:val="0"/>
            <w:vAlign w:val="top"/>
          </w:tcPr>
          <w:p w14:paraId="19FE68D2">
            <w:pPr>
              <w:spacing w:line="240" w:lineRule="auto"/>
              <w:rPr>
                <w:rFonts w:hint="eastAsia" w:ascii="宋体" w:hAnsi="宋体" w:eastAsia="宋体" w:cs="宋体"/>
                <w:smallCaps w:val="0"/>
                <w:color w:val="auto"/>
                <w:spacing w:val="0"/>
                <w:sz w:val="21"/>
                <w:highlight w:val="none"/>
              </w:rPr>
            </w:pPr>
          </w:p>
          <w:p w14:paraId="14CFE36B">
            <w:pPr>
              <w:spacing w:line="240" w:lineRule="auto"/>
              <w:rPr>
                <w:rFonts w:hint="eastAsia" w:ascii="宋体" w:hAnsi="宋体" w:eastAsia="宋体" w:cs="宋体"/>
                <w:smallCaps w:val="0"/>
                <w:color w:val="auto"/>
                <w:spacing w:val="0"/>
                <w:sz w:val="21"/>
                <w:highlight w:val="none"/>
              </w:rPr>
            </w:pPr>
          </w:p>
          <w:p w14:paraId="677DEB87">
            <w:pPr>
              <w:pStyle w:val="223"/>
              <w:spacing w:before="78"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经营范围</w:t>
            </w:r>
          </w:p>
        </w:tc>
        <w:tc>
          <w:tcPr>
            <w:tcW w:w="7230" w:type="dxa"/>
            <w:gridSpan w:val="3"/>
            <w:noWrap w:val="0"/>
            <w:vAlign w:val="top"/>
          </w:tcPr>
          <w:p w14:paraId="66D22095">
            <w:pPr>
              <w:spacing w:line="240" w:lineRule="auto"/>
              <w:rPr>
                <w:rFonts w:hint="eastAsia" w:ascii="宋体" w:hAnsi="宋体" w:eastAsia="宋体" w:cs="宋体"/>
                <w:smallCaps w:val="0"/>
                <w:color w:val="auto"/>
                <w:spacing w:val="0"/>
                <w:sz w:val="21"/>
                <w:highlight w:val="none"/>
              </w:rPr>
            </w:pPr>
          </w:p>
        </w:tc>
      </w:tr>
      <w:tr w14:paraId="56FB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887" w:type="dxa"/>
            <w:noWrap w:val="0"/>
            <w:vAlign w:val="top"/>
          </w:tcPr>
          <w:p w14:paraId="1DE3191F">
            <w:pPr>
              <w:spacing w:line="240" w:lineRule="auto"/>
              <w:rPr>
                <w:rFonts w:hint="eastAsia" w:ascii="宋体" w:hAnsi="宋体" w:eastAsia="宋体" w:cs="宋体"/>
                <w:smallCaps w:val="0"/>
                <w:color w:val="auto"/>
                <w:spacing w:val="0"/>
                <w:sz w:val="21"/>
                <w:highlight w:val="none"/>
              </w:rPr>
            </w:pPr>
          </w:p>
          <w:p w14:paraId="58F962E1">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业务开始时间</w:t>
            </w:r>
          </w:p>
        </w:tc>
        <w:tc>
          <w:tcPr>
            <w:tcW w:w="7230" w:type="dxa"/>
            <w:gridSpan w:val="3"/>
            <w:noWrap w:val="0"/>
            <w:vAlign w:val="top"/>
          </w:tcPr>
          <w:p w14:paraId="3076492D">
            <w:pPr>
              <w:spacing w:line="240" w:lineRule="auto"/>
              <w:rPr>
                <w:rFonts w:hint="eastAsia" w:ascii="宋体" w:hAnsi="宋体" w:eastAsia="宋体" w:cs="宋体"/>
                <w:smallCaps w:val="0"/>
                <w:color w:val="auto"/>
                <w:spacing w:val="0"/>
                <w:sz w:val="21"/>
                <w:highlight w:val="none"/>
              </w:rPr>
            </w:pPr>
          </w:p>
        </w:tc>
      </w:tr>
      <w:tr w14:paraId="1F8D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887" w:type="dxa"/>
            <w:noWrap w:val="0"/>
            <w:vAlign w:val="top"/>
          </w:tcPr>
          <w:p w14:paraId="1641CDC1">
            <w:pPr>
              <w:pStyle w:val="223"/>
              <w:spacing w:before="304" w:line="240" w:lineRule="auto"/>
              <w:ind w:left="29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公司人员情况</w:t>
            </w:r>
          </w:p>
        </w:tc>
        <w:tc>
          <w:tcPr>
            <w:tcW w:w="7230" w:type="dxa"/>
            <w:gridSpan w:val="3"/>
            <w:noWrap w:val="0"/>
            <w:vAlign w:val="top"/>
          </w:tcPr>
          <w:p w14:paraId="48CE6015">
            <w:pPr>
              <w:spacing w:line="240" w:lineRule="auto"/>
              <w:rPr>
                <w:rFonts w:hint="eastAsia" w:ascii="宋体" w:hAnsi="宋体" w:eastAsia="宋体" w:cs="宋体"/>
                <w:smallCaps w:val="0"/>
                <w:color w:val="auto"/>
                <w:spacing w:val="0"/>
                <w:sz w:val="21"/>
                <w:highlight w:val="none"/>
              </w:rPr>
            </w:pPr>
          </w:p>
        </w:tc>
      </w:tr>
    </w:tbl>
    <w:p w14:paraId="3326E68C">
      <w:pPr>
        <w:pStyle w:val="20"/>
        <w:spacing w:line="240" w:lineRule="auto"/>
        <w:rPr>
          <w:rFonts w:hint="eastAsia" w:ascii="宋体" w:hAnsi="宋体" w:eastAsia="宋体" w:cs="宋体"/>
          <w:smallCaps w:val="0"/>
          <w:color w:val="auto"/>
          <w:spacing w:val="0"/>
          <w:highlight w:val="none"/>
        </w:rPr>
      </w:pPr>
    </w:p>
    <w:p w14:paraId="13357EA0">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注：此表后附营业执照资质证书材料</w:t>
      </w:r>
    </w:p>
    <w:p w14:paraId="56CBBC46">
      <w:pPr>
        <w:pStyle w:val="223"/>
        <w:spacing w:before="78" w:line="240" w:lineRule="auto"/>
        <w:ind w:left="289"/>
        <w:rPr>
          <w:rFonts w:hint="eastAsia" w:ascii="宋体" w:hAnsi="宋体" w:eastAsia="宋体" w:cs="宋体"/>
          <w:smallCaps w:val="0"/>
          <w:color w:val="auto"/>
          <w:spacing w:val="0"/>
          <w:highlight w:val="none"/>
        </w:rPr>
        <w:sectPr>
          <w:footerReference r:id="rId11" w:type="default"/>
          <w:pgSz w:w="11905" w:h="16839"/>
          <w:pgMar w:top="1440" w:right="1800" w:bottom="1440" w:left="1800" w:header="0" w:footer="1013" w:gutter="0"/>
          <w:cols w:space="720" w:num="1"/>
        </w:sectPr>
      </w:pPr>
    </w:p>
    <w:p w14:paraId="50F36BDE">
      <w:pPr>
        <w:adjustRightInd w:val="0"/>
        <w:snapToGrid w:val="0"/>
        <w:spacing w:line="360" w:lineRule="auto"/>
        <w:ind w:right="105" w:rightChars="50"/>
        <w:rPr>
          <w:rFonts w:hint="eastAsia" w:ascii="宋体" w:hAnsi="宋体" w:eastAsia="宋体" w:cs="宋体"/>
          <w:bCs/>
          <w:color w:val="auto"/>
          <w:sz w:val="24"/>
          <w:highlight w:val="none"/>
        </w:rPr>
      </w:pPr>
      <w:bookmarkStart w:id="346" w:name="_Toc44700095"/>
    </w:p>
    <w:p w14:paraId="1363422D">
      <w:pPr>
        <w:keepNext/>
        <w:keepLines/>
        <w:tabs>
          <w:tab w:val="left" w:pos="3905"/>
        </w:tabs>
        <w:outlineLvl w:val="1"/>
        <w:rPr>
          <w:rFonts w:hint="eastAsia" w:ascii="宋体" w:hAnsi="宋体" w:eastAsia="宋体" w:cs="宋体"/>
          <w:b/>
          <w:color w:val="auto"/>
          <w:kern w:val="0"/>
          <w:sz w:val="36"/>
          <w:szCs w:val="21"/>
          <w:highlight w:val="none"/>
        </w:rPr>
      </w:pPr>
      <w:bookmarkStart w:id="347" w:name="_Toc12822"/>
      <w:r>
        <w:rPr>
          <w:rFonts w:hint="eastAsia" w:ascii="宋体" w:hAnsi="宋体" w:eastAsia="宋体" w:cs="宋体"/>
          <w:b/>
          <w:color w:val="auto"/>
          <w:kern w:val="0"/>
          <w:sz w:val="36"/>
          <w:szCs w:val="21"/>
          <w:highlight w:val="none"/>
        </w:rPr>
        <w:t>4、法定代表人资格证明格式</w:t>
      </w:r>
      <w:bookmarkEnd w:id="346"/>
      <w:bookmarkEnd w:id="347"/>
      <w:r>
        <w:rPr>
          <w:rFonts w:hint="eastAsia" w:ascii="宋体" w:hAnsi="宋体" w:eastAsia="宋体" w:cs="宋体"/>
          <w:b/>
          <w:color w:val="auto"/>
          <w:kern w:val="0"/>
          <w:sz w:val="36"/>
          <w:szCs w:val="21"/>
          <w:highlight w:val="none"/>
        </w:rPr>
        <w:tab/>
      </w:r>
    </w:p>
    <w:p w14:paraId="519E73E0">
      <w:pPr>
        <w:spacing w:line="360" w:lineRule="auto"/>
        <w:ind w:firstLine="602" w:firstLineChars="200"/>
        <w:jc w:val="center"/>
        <w:rPr>
          <w:rFonts w:hint="eastAsia" w:ascii="宋体" w:hAnsi="宋体" w:eastAsia="宋体" w:cs="宋体"/>
          <w:b/>
          <w:color w:val="auto"/>
          <w:sz w:val="30"/>
          <w:szCs w:val="30"/>
          <w:highlight w:val="none"/>
        </w:rPr>
      </w:pPr>
    </w:p>
    <w:p w14:paraId="50E1D124">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法定代表人资格证明</w:t>
      </w:r>
    </w:p>
    <w:p w14:paraId="4B0D917D">
      <w:pPr>
        <w:spacing w:line="360" w:lineRule="auto"/>
        <w:ind w:firstLine="420" w:firstLineChars="200"/>
        <w:rPr>
          <w:rFonts w:hint="eastAsia" w:ascii="宋体" w:hAnsi="宋体" w:eastAsia="宋体" w:cs="宋体"/>
          <w:color w:val="auto"/>
          <w:szCs w:val="21"/>
          <w:highlight w:val="none"/>
        </w:rPr>
      </w:pPr>
    </w:p>
    <w:p w14:paraId="59F3035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p>
    <w:p w14:paraId="3FCE494C">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p>
    <w:p w14:paraId="3AF37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姓名：性别：年龄：职务：系的法定代表人，为项目，签署响应文件、进行合同谈判、签署合同和处理与之有关的一切事务。</w:t>
      </w:r>
    </w:p>
    <w:p w14:paraId="3E5F443C">
      <w:pPr>
        <w:spacing w:line="360" w:lineRule="auto"/>
        <w:rPr>
          <w:rFonts w:hint="eastAsia" w:ascii="宋体" w:hAnsi="宋体" w:eastAsia="宋体" w:cs="宋体"/>
          <w:color w:val="auto"/>
          <w:sz w:val="24"/>
          <w:szCs w:val="24"/>
          <w:highlight w:val="none"/>
        </w:rPr>
      </w:pPr>
    </w:p>
    <w:p w14:paraId="6EAEF0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F14F74C">
      <w:pPr>
        <w:spacing w:line="360" w:lineRule="auto"/>
        <w:rPr>
          <w:rFonts w:hint="eastAsia" w:ascii="宋体" w:hAnsi="宋体" w:eastAsia="宋体" w:cs="宋体"/>
          <w:color w:val="auto"/>
          <w:sz w:val="24"/>
          <w:szCs w:val="24"/>
          <w:highlight w:val="none"/>
        </w:rPr>
      </w:pPr>
    </w:p>
    <w:p w14:paraId="3AE24598">
      <w:pPr>
        <w:spacing w:line="360" w:lineRule="auto"/>
        <w:rPr>
          <w:rFonts w:hint="eastAsia" w:ascii="宋体" w:hAnsi="宋体" w:eastAsia="宋体" w:cs="宋体"/>
          <w:color w:val="auto"/>
          <w:sz w:val="24"/>
          <w:szCs w:val="24"/>
          <w:highlight w:val="none"/>
        </w:rPr>
      </w:pPr>
    </w:p>
    <w:p w14:paraId="7177E140">
      <w:pPr>
        <w:spacing w:line="360" w:lineRule="auto"/>
        <w:rPr>
          <w:rFonts w:hint="eastAsia" w:ascii="宋体" w:hAnsi="宋体" w:eastAsia="宋体" w:cs="宋体"/>
          <w:color w:val="auto"/>
          <w:sz w:val="24"/>
          <w:szCs w:val="24"/>
          <w:highlight w:val="none"/>
        </w:rPr>
      </w:pPr>
    </w:p>
    <w:p w14:paraId="4E0F7F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491994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7EE5319F">
      <w:pPr>
        <w:keepNext/>
        <w:keepLines/>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Start w:id="348" w:name="_Toc32023"/>
      <w:bookmarkStart w:id="349" w:name="_Toc44700096"/>
      <w:r>
        <w:rPr>
          <w:rFonts w:hint="eastAsia" w:ascii="宋体" w:hAnsi="宋体" w:eastAsia="宋体" w:cs="宋体"/>
          <w:b/>
          <w:color w:val="auto"/>
          <w:kern w:val="0"/>
          <w:sz w:val="36"/>
          <w:szCs w:val="21"/>
          <w:highlight w:val="none"/>
        </w:rPr>
        <w:t>5、法定代表人授权委托书格式</w:t>
      </w:r>
      <w:bookmarkEnd w:id="348"/>
      <w:bookmarkEnd w:id="349"/>
    </w:p>
    <w:p w14:paraId="788915C1">
      <w:pPr>
        <w:spacing w:line="48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法定代表人授权委托书</w:t>
      </w:r>
    </w:p>
    <w:p w14:paraId="7C4CF8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本授权书声明：注册于（国家或地区的名称）的</w:t>
      </w:r>
      <w:r>
        <w:rPr>
          <w:rFonts w:hint="eastAsia" w:ascii="宋体" w:hAnsi="宋体" w:eastAsia="宋体" w:cs="宋体"/>
          <w:color w:val="auto"/>
          <w:sz w:val="24"/>
          <w:szCs w:val="24"/>
          <w:highlight w:val="none"/>
          <w:u w:val="single"/>
          <w:shd w:val="clear" w:color="auto" w:fill="FFFFFF"/>
        </w:rPr>
        <w:t>（供应商名称）</w:t>
      </w:r>
      <w:r>
        <w:rPr>
          <w:rFonts w:hint="eastAsia" w:ascii="宋体" w:hAnsi="宋体" w:eastAsia="宋体" w:cs="宋体"/>
          <w:color w:val="auto"/>
          <w:sz w:val="24"/>
          <w:szCs w:val="24"/>
          <w:highlight w:val="none"/>
          <w:shd w:val="clear" w:color="auto" w:fill="FFFFFF"/>
        </w:rPr>
        <w:t>的在下面签字的</w:t>
      </w:r>
      <w:r>
        <w:rPr>
          <w:rFonts w:hint="eastAsia" w:ascii="宋体" w:hAnsi="宋体" w:eastAsia="宋体" w:cs="宋体"/>
          <w:color w:val="auto"/>
          <w:sz w:val="24"/>
          <w:szCs w:val="24"/>
          <w:highlight w:val="none"/>
          <w:u w:val="single"/>
          <w:shd w:val="clear" w:color="auto" w:fill="FFFFFF"/>
        </w:rPr>
        <w:t>（法定代表人姓名、职务）</w:t>
      </w:r>
      <w:r>
        <w:rPr>
          <w:rFonts w:hint="eastAsia" w:ascii="宋体" w:hAnsi="宋体" w:eastAsia="宋体" w:cs="宋体"/>
          <w:color w:val="auto"/>
          <w:sz w:val="24"/>
          <w:szCs w:val="24"/>
          <w:highlight w:val="none"/>
          <w:shd w:val="clear" w:color="auto" w:fill="FFFFFF"/>
        </w:rPr>
        <w:t>代表本公司授权的在下面签字的</w:t>
      </w:r>
      <w:r>
        <w:rPr>
          <w:rFonts w:hint="eastAsia" w:ascii="宋体" w:hAnsi="宋体" w:eastAsia="宋体" w:cs="宋体"/>
          <w:color w:val="auto"/>
          <w:sz w:val="24"/>
          <w:szCs w:val="24"/>
          <w:highlight w:val="none"/>
          <w:u w:val="single"/>
          <w:shd w:val="clear" w:color="auto" w:fill="FFFFFF"/>
        </w:rPr>
        <w:t>（被授权人的姓名、职务）</w:t>
      </w:r>
      <w:r>
        <w:rPr>
          <w:rFonts w:hint="eastAsia" w:ascii="宋体" w:hAnsi="宋体" w:eastAsia="宋体" w:cs="宋体"/>
          <w:color w:val="auto"/>
          <w:sz w:val="24"/>
          <w:szCs w:val="24"/>
          <w:highlight w:val="none"/>
          <w:shd w:val="clear" w:color="auto" w:fill="FFFFFF"/>
        </w:rPr>
        <w:t>为本公司的合法代理人，就项目（项目编号：</w:t>
      </w:r>
      <w:r>
        <w:rPr>
          <w:rFonts w:hint="eastAsia" w:ascii="宋体" w:hAnsi="宋体" w:eastAsia="宋体" w:cs="宋体"/>
          <w:color w:val="auto"/>
          <w:sz w:val="24"/>
          <w:szCs w:val="24"/>
          <w:highlight w:val="none"/>
          <w:u w:val="single"/>
          <w:shd w:val="clear" w:color="auto" w:fill="FFFFFF"/>
        </w:rPr>
        <w:t>）的</w:t>
      </w:r>
      <w:r>
        <w:rPr>
          <w:rFonts w:hint="eastAsia" w:ascii="宋体" w:hAnsi="宋体" w:eastAsia="宋体" w:cs="宋体"/>
          <w:color w:val="auto"/>
          <w:sz w:val="24"/>
          <w:szCs w:val="24"/>
          <w:highlight w:val="none"/>
          <w:shd w:val="clear" w:color="auto" w:fill="FFFFFF"/>
        </w:rPr>
        <w:t>采购（含响应和转为其他方式），以本公司名义处理一切与之有关的事务。</w:t>
      </w:r>
      <w:r>
        <w:rPr>
          <w:rFonts w:hint="eastAsia" w:ascii="宋体" w:hAnsi="宋体" w:eastAsia="宋体" w:cs="宋体"/>
          <w:b/>
          <w:color w:val="auto"/>
          <w:sz w:val="24"/>
          <w:highlight w:val="none"/>
        </w:rPr>
        <w:t>法定代表人授权委托书所授权的权限包括但不限于参加磋商会、填报及签署一轮或多轮最后报价（报价清单）。</w:t>
      </w:r>
      <w:r>
        <w:rPr>
          <w:rFonts w:hint="eastAsia" w:ascii="宋体" w:hAnsi="宋体" w:eastAsia="宋体" w:cs="宋体"/>
          <w:color w:val="auto"/>
          <w:sz w:val="24"/>
          <w:szCs w:val="24"/>
          <w:highlight w:val="none"/>
          <w:shd w:val="clear" w:color="auto" w:fill="FFFFFF"/>
        </w:rPr>
        <w:t>我公司对被授权人的签名负全部法律责任。</w:t>
      </w:r>
    </w:p>
    <w:p w14:paraId="0C976C6D">
      <w:pPr>
        <w:spacing w:line="360" w:lineRule="auto"/>
        <w:ind w:firstLine="435"/>
        <w:rPr>
          <w:rFonts w:hint="eastAsia" w:ascii="宋体" w:hAnsi="宋体" w:eastAsia="宋体" w:cs="宋体"/>
          <w:color w:val="auto"/>
          <w:sz w:val="24"/>
          <w:szCs w:val="24"/>
          <w:highlight w:val="none"/>
          <w:shd w:val="clear" w:color="auto" w:fill="FFFFFF"/>
        </w:rPr>
      </w:pPr>
    </w:p>
    <w:p w14:paraId="321878AA">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本授权书于年月日签字生效，特此声明。</w:t>
      </w:r>
    </w:p>
    <w:p w14:paraId="24AF93E4">
      <w:pPr>
        <w:spacing w:line="360" w:lineRule="auto"/>
        <w:ind w:firstLine="435"/>
        <w:rPr>
          <w:rFonts w:hint="eastAsia" w:ascii="宋体" w:hAnsi="宋体" w:eastAsia="宋体" w:cs="宋体"/>
          <w:color w:val="auto"/>
          <w:sz w:val="24"/>
          <w:szCs w:val="24"/>
          <w:highlight w:val="none"/>
          <w:shd w:val="clear" w:color="auto" w:fill="FFFFFF"/>
        </w:rPr>
      </w:pPr>
    </w:p>
    <w:p w14:paraId="2BEE1780">
      <w:pPr>
        <w:spacing w:line="360" w:lineRule="auto"/>
        <w:ind w:firstLine="435"/>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(须后附法定代表人、被授权人身份证正反面复印件并加盖公章)</w:t>
      </w:r>
    </w:p>
    <w:p w14:paraId="04349139">
      <w:pPr>
        <w:spacing w:line="360" w:lineRule="auto"/>
        <w:ind w:firstLine="435"/>
        <w:rPr>
          <w:rFonts w:hint="eastAsia" w:ascii="宋体" w:hAnsi="宋体" w:eastAsia="宋体" w:cs="宋体"/>
          <w:color w:val="auto"/>
          <w:sz w:val="24"/>
          <w:szCs w:val="24"/>
          <w:highlight w:val="none"/>
          <w:shd w:val="clear" w:color="auto" w:fill="FFFFFF"/>
        </w:rPr>
      </w:pPr>
    </w:p>
    <w:p w14:paraId="49BDABB8">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法定代表人签字或盖章：</w:t>
      </w:r>
    </w:p>
    <w:p w14:paraId="56FB3357">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被授权人签字：</w:t>
      </w:r>
    </w:p>
    <w:p w14:paraId="06622AE0">
      <w:pPr>
        <w:spacing w:line="360" w:lineRule="auto"/>
        <w:ind w:firstLine="435"/>
        <w:jc w:val="right"/>
        <w:rPr>
          <w:rFonts w:hint="eastAsia" w:ascii="宋体" w:hAnsi="宋体" w:eastAsia="宋体" w:cs="宋体"/>
          <w:color w:val="auto"/>
          <w:highlight w:val="none"/>
          <w:shd w:val="clear" w:color="auto" w:fill="FFFFFF"/>
        </w:rPr>
      </w:pPr>
      <w:r>
        <w:rPr>
          <w:rFonts w:hint="eastAsia" w:ascii="宋体" w:hAnsi="宋体" w:eastAsia="宋体" w:cs="宋体"/>
          <w:color w:val="auto"/>
          <w:sz w:val="24"/>
          <w:highlight w:val="none"/>
          <w:shd w:val="clear" w:color="auto" w:fill="FFFFFF"/>
        </w:rPr>
        <w:t>供应商名称（公章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highlight w:val="none"/>
          <w:shd w:val="clear" w:color="auto" w:fill="FFFFFF"/>
        </w:rPr>
        <w:t>：</w:t>
      </w:r>
    </w:p>
    <w:p w14:paraId="209B312C">
      <w:pPr>
        <w:spacing w:line="360" w:lineRule="auto"/>
        <w:ind w:firstLine="435"/>
        <w:rPr>
          <w:rFonts w:hint="eastAsia" w:ascii="宋体" w:hAnsi="宋体" w:eastAsia="宋体" w:cs="宋体"/>
          <w:color w:val="auto"/>
          <w:highlight w:val="none"/>
          <w:shd w:val="clear" w:color="auto" w:fill="FFFFFF"/>
        </w:rPr>
      </w:pPr>
    </w:p>
    <w:p w14:paraId="3EAD4585">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w:t>
      </w:r>
    </w:p>
    <w:p w14:paraId="0D9F11F9">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被授权人姓名：</w:t>
      </w:r>
    </w:p>
    <w:p w14:paraId="5FF0A433">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职务：</w:t>
      </w:r>
    </w:p>
    <w:p w14:paraId="61E4EC70">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详细通讯地址：</w:t>
      </w:r>
    </w:p>
    <w:p w14:paraId="79C2EEA2">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邮政编码：</w:t>
      </w:r>
    </w:p>
    <w:p w14:paraId="05F7648F">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传真：</w:t>
      </w:r>
    </w:p>
    <w:p w14:paraId="5C46EFFE">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电话：</w:t>
      </w:r>
    </w:p>
    <w:p w14:paraId="37AA27C4">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手机：</w:t>
      </w:r>
    </w:p>
    <w:p w14:paraId="6D1B4192">
      <w:pPr>
        <w:spacing w:line="360" w:lineRule="auto"/>
        <w:ind w:firstLine="435"/>
        <w:rPr>
          <w:rFonts w:hint="eastAsia" w:ascii="宋体" w:hAnsi="宋体" w:eastAsia="宋体" w:cs="宋体"/>
          <w:color w:val="auto"/>
          <w:highlight w:val="none"/>
          <w:shd w:val="clear" w:color="auto" w:fill="FFFFFF"/>
        </w:rPr>
      </w:pPr>
    </w:p>
    <w:p w14:paraId="12658EBB">
      <w:pPr>
        <w:spacing w:line="360" w:lineRule="auto"/>
        <w:ind w:firstLine="435"/>
        <w:rPr>
          <w:rFonts w:hint="eastAsia" w:ascii="宋体" w:hAnsi="宋体" w:eastAsia="宋体" w:cs="宋体"/>
          <w:b/>
          <w:color w:val="auto"/>
          <w:highlight w:val="none"/>
        </w:rPr>
      </w:pPr>
      <w:r>
        <w:rPr>
          <w:rFonts w:hint="eastAsia" w:ascii="宋体" w:hAnsi="宋体" w:eastAsia="宋体" w:cs="宋体"/>
          <w:b/>
          <w:color w:val="auto"/>
          <w:highlight w:val="none"/>
        </w:rPr>
        <w:t>（注：供应商应当按照此格式出具授权委托书，作为响应文件一部分；同时单独提供一份，供被授权人在递交响应文件及参加开启会时出示。）</w:t>
      </w:r>
    </w:p>
    <w:p w14:paraId="3A666FA1">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kern w:val="0"/>
          <w:sz w:val="36"/>
          <w:szCs w:val="21"/>
          <w:highlight w:val="none"/>
        </w:rPr>
        <w:br w:type="page"/>
      </w:r>
      <w:bookmarkStart w:id="350" w:name="_Toc44700097"/>
      <w:bookmarkStart w:id="351" w:name="_Toc14498"/>
      <w:r>
        <w:rPr>
          <w:rFonts w:hint="eastAsia" w:ascii="宋体" w:hAnsi="宋体" w:eastAsia="宋体" w:cs="宋体"/>
          <w:b/>
          <w:color w:val="auto"/>
          <w:kern w:val="0"/>
          <w:sz w:val="36"/>
          <w:szCs w:val="21"/>
          <w:highlight w:val="none"/>
        </w:rPr>
        <w:t>6、技术条款偏离表格式</w:t>
      </w:r>
      <w:bookmarkEnd w:id="350"/>
      <w:bookmarkEnd w:id="351"/>
    </w:p>
    <w:p w14:paraId="769CD4BF">
      <w:pPr>
        <w:spacing w:line="360" w:lineRule="auto"/>
        <w:jc w:val="center"/>
        <w:rPr>
          <w:rFonts w:hint="eastAsia" w:ascii="宋体" w:hAnsi="宋体" w:eastAsia="宋体" w:cs="宋体"/>
          <w:b/>
          <w:bCs/>
          <w:color w:val="auto"/>
          <w:sz w:val="32"/>
          <w:szCs w:val="32"/>
          <w:highlight w:val="none"/>
        </w:rPr>
      </w:pPr>
    </w:p>
    <w:p w14:paraId="4EE25944">
      <w:pPr>
        <w:spacing w:before="97" w:line="240" w:lineRule="auto"/>
        <w:ind w:left="3154"/>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lang w:eastAsia="zh-CN"/>
        </w:rPr>
        <w:t>技术</w:t>
      </w:r>
      <w:r>
        <w:rPr>
          <w:rFonts w:hint="eastAsia" w:ascii="宋体" w:hAnsi="宋体" w:eastAsia="宋体" w:cs="宋体"/>
          <w:b/>
          <w:bCs/>
          <w:smallCaps w:val="0"/>
          <w:color w:val="auto"/>
          <w:spacing w:val="0"/>
          <w:sz w:val="30"/>
          <w:szCs w:val="30"/>
          <w:highlight w:val="none"/>
        </w:rPr>
        <w:t>偏离表</w:t>
      </w:r>
    </w:p>
    <w:p w14:paraId="445F6549">
      <w:pPr>
        <w:spacing w:line="360" w:lineRule="auto"/>
        <w:jc w:val="center"/>
        <w:rPr>
          <w:rFonts w:hint="eastAsia" w:ascii="宋体" w:hAnsi="宋体" w:eastAsia="宋体" w:cs="宋体"/>
          <w:b/>
          <w:bCs/>
          <w:color w:val="auto"/>
          <w:szCs w:val="21"/>
          <w:highlight w:val="none"/>
        </w:rPr>
      </w:pPr>
    </w:p>
    <w:p w14:paraId="7D8F9F47">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4DEF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1C4CE85">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078733A9">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40BFDE83">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72EE8920">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1F3B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63220C10">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3F920936">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22A996BC">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4C8A9256">
            <w:pPr>
              <w:spacing w:line="240" w:lineRule="auto"/>
              <w:rPr>
                <w:rFonts w:hint="eastAsia" w:ascii="宋体" w:hAnsi="宋体" w:eastAsia="宋体" w:cs="宋体"/>
                <w:smallCaps w:val="0"/>
                <w:color w:val="auto"/>
                <w:spacing w:val="0"/>
                <w:sz w:val="21"/>
                <w:highlight w:val="none"/>
              </w:rPr>
            </w:pPr>
          </w:p>
        </w:tc>
      </w:tr>
      <w:tr w14:paraId="57CF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660C09B8">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392B5318">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67A2D6AD">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82943AB">
            <w:pPr>
              <w:spacing w:line="240" w:lineRule="auto"/>
              <w:rPr>
                <w:rFonts w:hint="eastAsia" w:ascii="宋体" w:hAnsi="宋体" w:eastAsia="宋体" w:cs="宋体"/>
                <w:smallCaps w:val="0"/>
                <w:color w:val="auto"/>
                <w:spacing w:val="0"/>
                <w:sz w:val="21"/>
                <w:highlight w:val="none"/>
              </w:rPr>
            </w:pPr>
          </w:p>
        </w:tc>
      </w:tr>
      <w:tr w14:paraId="530C3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6921A113">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2B8241D4">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4E26AF7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434AB4E">
            <w:pPr>
              <w:spacing w:line="240" w:lineRule="auto"/>
              <w:rPr>
                <w:rFonts w:hint="eastAsia" w:ascii="宋体" w:hAnsi="宋体" w:eastAsia="宋体" w:cs="宋体"/>
                <w:smallCaps w:val="0"/>
                <w:color w:val="auto"/>
                <w:spacing w:val="0"/>
                <w:sz w:val="21"/>
                <w:highlight w:val="none"/>
              </w:rPr>
            </w:pPr>
          </w:p>
        </w:tc>
      </w:tr>
    </w:tbl>
    <w:p w14:paraId="3523E25B">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3E71AE5F">
      <w:pPr>
        <w:pStyle w:val="20"/>
        <w:spacing w:line="240" w:lineRule="auto"/>
        <w:rPr>
          <w:rFonts w:hint="eastAsia" w:ascii="宋体" w:hAnsi="宋体" w:eastAsia="宋体" w:cs="宋体"/>
          <w:smallCaps w:val="0"/>
          <w:color w:val="auto"/>
          <w:spacing w:val="0"/>
          <w:highlight w:val="none"/>
        </w:rPr>
      </w:pPr>
    </w:p>
    <w:p w14:paraId="007A1729">
      <w:pPr>
        <w:pStyle w:val="20"/>
        <w:spacing w:line="240" w:lineRule="auto"/>
        <w:rPr>
          <w:rFonts w:hint="eastAsia" w:ascii="宋体" w:hAnsi="宋体" w:eastAsia="宋体" w:cs="宋体"/>
          <w:smallCaps w:val="0"/>
          <w:color w:val="auto"/>
          <w:spacing w:val="0"/>
          <w:highlight w:val="none"/>
        </w:rPr>
      </w:pPr>
    </w:p>
    <w:p w14:paraId="7D0024B8">
      <w:pPr>
        <w:pStyle w:val="20"/>
        <w:spacing w:line="240" w:lineRule="auto"/>
        <w:rPr>
          <w:rFonts w:hint="eastAsia" w:ascii="宋体" w:hAnsi="宋体" w:eastAsia="宋体" w:cs="宋体"/>
          <w:smallCaps w:val="0"/>
          <w:color w:val="auto"/>
          <w:spacing w:val="0"/>
          <w:highlight w:val="none"/>
        </w:rPr>
      </w:pPr>
    </w:p>
    <w:p w14:paraId="5213AD6C">
      <w:pPr>
        <w:pStyle w:val="20"/>
        <w:spacing w:line="240" w:lineRule="auto"/>
        <w:rPr>
          <w:rFonts w:hint="eastAsia" w:ascii="宋体" w:hAnsi="宋体" w:eastAsia="宋体" w:cs="宋体"/>
          <w:smallCaps w:val="0"/>
          <w:color w:val="auto"/>
          <w:spacing w:val="0"/>
          <w:highlight w:val="none"/>
        </w:rPr>
      </w:pPr>
    </w:p>
    <w:p w14:paraId="40FB1272">
      <w:pPr>
        <w:pStyle w:val="20"/>
        <w:spacing w:line="240" w:lineRule="auto"/>
        <w:rPr>
          <w:rFonts w:hint="eastAsia" w:ascii="宋体" w:hAnsi="宋体" w:eastAsia="宋体" w:cs="宋体"/>
          <w:smallCaps w:val="0"/>
          <w:color w:val="auto"/>
          <w:spacing w:val="0"/>
          <w:highlight w:val="none"/>
        </w:rPr>
      </w:pPr>
    </w:p>
    <w:p w14:paraId="2758470E">
      <w:pPr>
        <w:pStyle w:val="20"/>
        <w:spacing w:line="240" w:lineRule="auto"/>
        <w:rPr>
          <w:rFonts w:hint="eastAsia" w:ascii="宋体" w:hAnsi="宋体" w:eastAsia="宋体" w:cs="宋体"/>
          <w:smallCaps w:val="0"/>
          <w:color w:val="auto"/>
          <w:spacing w:val="0"/>
          <w:highlight w:val="none"/>
        </w:rPr>
      </w:pPr>
    </w:p>
    <w:p w14:paraId="57075CDC">
      <w:pPr>
        <w:pStyle w:val="20"/>
        <w:spacing w:line="240" w:lineRule="auto"/>
        <w:rPr>
          <w:rFonts w:hint="eastAsia" w:ascii="宋体" w:hAnsi="宋体" w:eastAsia="宋体" w:cs="宋体"/>
          <w:smallCaps w:val="0"/>
          <w:color w:val="auto"/>
          <w:spacing w:val="0"/>
          <w:highlight w:val="none"/>
        </w:rPr>
      </w:pPr>
    </w:p>
    <w:p w14:paraId="6067C8B9">
      <w:pPr>
        <w:pStyle w:val="20"/>
        <w:spacing w:line="240" w:lineRule="auto"/>
        <w:rPr>
          <w:rFonts w:hint="eastAsia" w:ascii="宋体" w:hAnsi="宋体" w:eastAsia="宋体" w:cs="宋体"/>
          <w:smallCaps w:val="0"/>
          <w:color w:val="auto"/>
          <w:spacing w:val="0"/>
          <w:highlight w:val="none"/>
        </w:rPr>
      </w:pPr>
    </w:p>
    <w:p w14:paraId="75F88A64">
      <w:pPr>
        <w:pStyle w:val="20"/>
        <w:spacing w:line="240" w:lineRule="auto"/>
        <w:rPr>
          <w:rFonts w:hint="eastAsia" w:ascii="宋体" w:hAnsi="宋体" w:eastAsia="宋体" w:cs="宋体"/>
          <w:smallCaps w:val="0"/>
          <w:color w:val="auto"/>
          <w:spacing w:val="0"/>
          <w:highlight w:val="none"/>
        </w:rPr>
      </w:pPr>
    </w:p>
    <w:p w14:paraId="60BCF4C0">
      <w:pPr>
        <w:pStyle w:val="20"/>
        <w:spacing w:line="240" w:lineRule="auto"/>
        <w:rPr>
          <w:rFonts w:hint="eastAsia" w:ascii="宋体" w:hAnsi="宋体" w:eastAsia="宋体" w:cs="宋体"/>
          <w:smallCaps w:val="0"/>
          <w:color w:val="auto"/>
          <w:spacing w:val="0"/>
          <w:highlight w:val="none"/>
        </w:rPr>
      </w:pPr>
    </w:p>
    <w:p w14:paraId="08C47E53">
      <w:pPr>
        <w:pStyle w:val="20"/>
        <w:spacing w:line="240" w:lineRule="auto"/>
        <w:rPr>
          <w:rFonts w:hint="eastAsia" w:ascii="宋体" w:hAnsi="宋体" w:eastAsia="宋体" w:cs="宋体"/>
          <w:smallCaps w:val="0"/>
          <w:color w:val="auto"/>
          <w:spacing w:val="0"/>
          <w:highlight w:val="none"/>
        </w:rPr>
      </w:pPr>
    </w:p>
    <w:p w14:paraId="5080D91F">
      <w:pPr>
        <w:pStyle w:val="20"/>
        <w:spacing w:line="240" w:lineRule="auto"/>
        <w:rPr>
          <w:rFonts w:hint="eastAsia" w:ascii="宋体" w:hAnsi="宋体" w:eastAsia="宋体" w:cs="宋体"/>
          <w:smallCaps w:val="0"/>
          <w:color w:val="auto"/>
          <w:spacing w:val="0"/>
          <w:highlight w:val="none"/>
        </w:rPr>
      </w:pPr>
    </w:p>
    <w:p w14:paraId="42B34EF0">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7B5A96F3">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418F5733">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4A36916B">
      <w:pPr>
        <w:spacing w:line="240" w:lineRule="auto"/>
        <w:rPr>
          <w:rFonts w:hint="eastAsia" w:ascii="宋体" w:hAnsi="宋体" w:eastAsia="宋体" w:cs="宋体"/>
          <w:smallCaps w:val="0"/>
          <w:color w:val="auto"/>
          <w:spacing w:val="0"/>
          <w:sz w:val="24"/>
          <w:szCs w:val="24"/>
          <w:highlight w:val="none"/>
        </w:rPr>
        <w:sectPr>
          <w:footerReference r:id="rId12" w:type="default"/>
          <w:pgSz w:w="11906" w:h="16839"/>
          <w:pgMar w:top="1440" w:right="1800" w:bottom="1440" w:left="1800" w:header="0" w:footer="588" w:gutter="0"/>
          <w:cols w:space="720" w:num="1"/>
        </w:sectPr>
      </w:pPr>
    </w:p>
    <w:p w14:paraId="7A16C7A2">
      <w:pPr>
        <w:keepNext/>
        <w:keepLines/>
        <w:outlineLvl w:val="1"/>
        <w:rPr>
          <w:rFonts w:hint="eastAsia" w:ascii="宋体" w:hAnsi="宋体" w:eastAsia="宋体" w:cs="宋体"/>
          <w:b/>
          <w:color w:val="auto"/>
          <w:kern w:val="0"/>
          <w:sz w:val="36"/>
          <w:szCs w:val="21"/>
          <w:highlight w:val="none"/>
        </w:rPr>
      </w:pPr>
      <w:bookmarkStart w:id="352" w:name="_Toc11979"/>
      <w:bookmarkStart w:id="353" w:name="_Toc44700098"/>
      <w:r>
        <w:rPr>
          <w:rFonts w:hint="eastAsia" w:ascii="宋体" w:hAnsi="宋体" w:eastAsia="宋体" w:cs="宋体"/>
          <w:b/>
          <w:color w:val="auto"/>
          <w:kern w:val="0"/>
          <w:sz w:val="36"/>
          <w:szCs w:val="21"/>
          <w:highlight w:val="none"/>
        </w:rPr>
        <w:t>7、商务条款偏离表格式</w:t>
      </w:r>
      <w:bookmarkEnd w:id="352"/>
      <w:bookmarkEnd w:id="353"/>
    </w:p>
    <w:p w14:paraId="1E4981BB">
      <w:pPr>
        <w:spacing w:before="97" w:line="240" w:lineRule="auto"/>
        <w:ind w:left="3154"/>
        <w:rPr>
          <w:rFonts w:hint="eastAsia" w:ascii="宋体" w:hAnsi="宋体" w:eastAsia="宋体" w:cs="宋体"/>
          <w:smallCaps w:val="0"/>
          <w:color w:val="auto"/>
          <w:spacing w:val="0"/>
          <w:sz w:val="30"/>
          <w:szCs w:val="30"/>
          <w:highlight w:val="none"/>
        </w:rPr>
      </w:pPr>
      <w:bookmarkStart w:id="354" w:name="_Toc67626446"/>
      <w:bookmarkStart w:id="355" w:name="_Ref103077389"/>
      <w:r>
        <w:rPr>
          <w:rFonts w:hint="eastAsia" w:ascii="宋体" w:hAnsi="宋体" w:eastAsia="宋体" w:cs="宋体"/>
          <w:b/>
          <w:bCs/>
          <w:smallCaps w:val="0"/>
          <w:color w:val="auto"/>
          <w:spacing w:val="0"/>
          <w:sz w:val="30"/>
          <w:szCs w:val="30"/>
          <w:highlight w:val="none"/>
        </w:rPr>
        <w:t>商务偏离表</w:t>
      </w:r>
    </w:p>
    <w:p w14:paraId="7F925D2D">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1869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3024E44">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73484766">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50625419">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5D444F07">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64C8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08A57126">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4D912C1A">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118EE186">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8A7F2F8">
            <w:pPr>
              <w:spacing w:line="240" w:lineRule="auto"/>
              <w:rPr>
                <w:rFonts w:hint="eastAsia" w:ascii="宋体" w:hAnsi="宋体" w:eastAsia="宋体" w:cs="宋体"/>
                <w:smallCaps w:val="0"/>
                <w:color w:val="auto"/>
                <w:spacing w:val="0"/>
                <w:sz w:val="21"/>
                <w:highlight w:val="none"/>
              </w:rPr>
            </w:pPr>
          </w:p>
        </w:tc>
      </w:tr>
      <w:tr w14:paraId="1D54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718884FA">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784F72F9">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765B2C0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106F09A5">
            <w:pPr>
              <w:spacing w:line="240" w:lineRule="auto"/>
              <w:rPr>
                <w:rFonts w:hint="eastAsia" w:ascii="宋体" w:hAnsi="宋体" w:eastAsia="宋体" w:cs="宋体"/>
                <w:smallCaps w:val="0"/>
                <w:color w:val="auto"/>
                <w:spacing w:val="0"/>
                <w:sz w:val="21"/>
                <w:highlight w:val="none"/>
              </w:rPr>
            </w:pPr>
          </w:p>
        </w:tc>
      </w:tr>
      <w:tr w14:paraId="4405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470316FD">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6B15BB67">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38D9F78A">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F6308D1">
            <w:pPr>
              <w:spacing w:line="240" w:lineRule="auto"/>
              <w:rPr>
                <w:rFonts w:hint="eastAsia" w:ascii="宋体" w:hAnsi="宋体" w:eastAsia="宋体" w:cs="宋体"/>
                <w:smallCaps w:val="0"/>
                <w:color w:val="auto"/>
                <w:spacing w:val="0"/>
                <w:sz w:val="21"/>
                <w:highlight w:val="none"/>
              </w:rPr>
            </w:pPr>
          </w:p>
        </w:tc>
      </w:tr>
    </w:tbl>
    <w:p w14:paraId="22843971">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6FC31424">
      <w:pPr>
        <w:pStyle w:val="20"/>
        <w:spacing w:line="240" w:lineRule="auto"/>
        <w:rPr>
          <w:rFonts w:hint="eastAsia" w:ascii="宋体" w:hAnsi="宋体" w:eastAsia="宋体" w:cs="宋体"/>
          <w:smallCaps w:val="0"/>
          <w:color w:val="auto"/>
          <w:spacing w:val="0"/>
          <w:highlight w:val="none"/>
        </w:rPr>
      </w:pPr>
    </w:p>
    <w:p w14:paraId="02233024">
      <w:pPr>
        <w:pStyle w:val="20"/>
        <w:spacing w:line="240" w:lineRule="auto"/>
        <w:rPr>
          <w:rFonts w:hint="eastAsia" w:ascii="宋体" w:hAnsi="宋体" w:eastAsia="宋体" w:cs="宋体"/>
          <w:smallCaps w:val="0"/>
          <w:color w:val="auto"/>
          <w:spacing w:val="0"/>
          <w:highlight w:val="none"/>
        </w:rPr>
      </w:pPr>
    </w:p>
    <w:p w14:paraId="623372F6">
      <w:pPr>
        <w:pStyle w:val="20"/>
        <w:spacing w:line="240" w:lineRule="auto"/>
        <w:rPr>
          <w:rFonts w:hint="eastAsia" w:ascii="宋体" w:hAnsi="宋体" w:eastAsia="宋体" w:cs="宋体"/>
          <w:smallCaps w:val="0"/>
          <w:color w:val="auto"/>
          <w:spacing w:val="0"/>
          <w:highlight w:val="none"/>
        </w:rPr>
      </w:pPr>
    </w:p>
    <w:p w14:paraId="771073AC">
      <w:pPr>
        <w:pStyle w:val="20"/>
        <w:spacing w:line="240" w:lineRule="auto"/>
        <w:rPr>
          <w:rFonts w:hint="eastAsia" w:ascii="宋体" w:hAnsi="宋体" w:eastAsia="宋体" w:cs="宋体"/>
          <w:smallCaps w:val="0"/>
          <w:color w:val="auto"/>
          <w:spacing w:val="0"/>
          <w:highlight w:val="none"/>
        </w:rPr>
      </w:pPr>
    </w:p>
    <w:p w14:paraId="6D9A706A">
      <w:pPr>
        <w:pStyle w:val="20"/>
        <w:spacing w:line="240" w:lineRule="auto"/>
        <w:rPr>
          <w:rFonts w:hint="eastAsia" w:ascii="宋体" w:hAnsi="宋体" w:eastAsia="宋体" w:cs="宋体"/>
          <w:smallCaps w:val="0"/>
          <w:color w:val="auto"/>
          <w:spacing w:val="0"/>
          <w:highlight w:val="none"/>
        </w:rPr>
      </w:pPr>
    </w:p>
    <w:p w14:paraId="3440DACE">
      <w:pPr>
        <w:pStyle w:val="20"/>
        <w:spacing w:line="240" w:lineRule="auto"/>
        <w:rPr>
          <w:rFonts w:hint="eastAsia" w:ascii="宋体" w:hAnsi="宋体" w:eastAsia="宋体" w:cs="宋体"/>
          <w:smallCaps w:val="0"/>
          <w:color w:val="auto"/>
          <w:spacing w:val="0"/>
          <w:highlight w:val="none"/>
        </w:rPr>
      </w:pPr>
    </w:p>
    <w:p w14:paraId="51023674">
      <w:pPr>
        <w:pStyle w:val="20"/>
        <w:spacing w:line="240" w:lineRule="auto"/>
        <w:rPr>
          <w:rFonts w:hint="eastAsia" w:ascii="宋体" w:hAnsi="宋体" w:eastAsia="宋体" w:cs="宋体"/>
          <w:smallCaps w:val="0"/>
          <w:color w:val="auto"/>
          <w:spacing w:val="0"/>
          <w:highlight w:val="none"/>
        </w:rPr>
      </w:pPr>
    </w:p>
    <w:p w14:paraId="3DB95A32">
      <w:pPr>
        <w:pStyle w:val="20"/>
        <w:spacing w:line="240" w:lineRule="auto"/>
        <w:rPr>
          <w:rFonts w:hint="eastAsia" w:ascii="宋体" w:hAnsi="宋体" w:eastAsia="宋体" w:cs="宋体"/>
          <w:smallCaps w:val="0"/>
          <w:color w:val="auto"/>
          <w:spacing w:val="0"/>
          <w:highlight w:val="none"/>
        </w:rPr>
      </w:pPr>
    </w:p>
    <w:p w14:paraId="4A538662">
      <w:pPr>
        <w:pStyle w:val="20"/>
        <w:spacing w:line="240" w:lineRule="auto"/>
        <w:rPr>
          <w:rFonts w:hint="eastAsia" w:ascii="宋体" w:hAnsi="宋体" w:eastAsia="宋体" w:cs="宋体"/>
          <w:smallCaps w:val="0"/>
          <w:color w:val="auto"/>
          <w:spacing w:val="0"/>
          <w:highlight w:val="none"/>
        </w:rPr>
      </w:pPr>
    </w:p>
    <w:p w14:paraId="4FC4664E">
      <w:pPr>
        <w:pStyle w:val="20"/>
        <w:spacing w:line="240" w:lineRule="auto"/>
        <w:rPr>
          <w:rFonts w:hint="eastAsia" w:ascii="宋体" w:hAnsi="宋体" w:eastAsia="宋体" w:cs="宋体"/>
          <w:smallCaps w:val="0"/>
          <w:color w:val="auto"/>
          <w:spacing w:val="0"/>
          <w:highlight w:val="none"/>
        </w:rPr>
      </w:pPr>
    </w:p>
    <w:p w14:paraId="51742F8F">
      <w:pPr>
        <w:pStyle w:val="20"/>
        <w:spacing w:line="240" w:lineRule="auto"/>
        <w:rPr>
          <w:rFonts w:hint="eastAsia" w:ascii="宋体" w:hAnsi="宋体" w:eastAsia="宋体" w:cs="宋体"/>
          <w:smallCaps w:val="0"/>
          <w:color w:val="auto"/>
          <w:spacing w:val="0"/>
          <w:highlight w:val="none"/>
        </w:rPr>
      </w:pPr>
    </w:p>
    <w:p w14:paraId="3F439FD7">
      <w:pPr>
        <w:pStyle w:val="20"/>
        <w:spacing w:line="240" w:lineRule="auto"/>
        <w:rPr>
          <w:rFonts w:hint="eastAsia" w:ascii="宋体" w:hAnsi="宋体" w:eastAsia="宋体" w:cs="宋体"/>
          <w:smallCaps w:val="0"/>
          <w:color w:val="auto"/>
          <w:spacing w:val="0"/>
          <w:highlight w:val="none"/>
        </w:rPr>
      </w:pPr>
    </w:p>
    <w:p w14:paraId="6A611655">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3F73557A">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54561319">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7394726E">
      <w:pPr>
        <w:spacing w:line="240" w:lineRule="auto"/>
        <w:rPr>
          <w:rFonts w:hint="eastAsia" w:ascii="宋体" w:hAnsi="宋体" w:eastAsia="宋体" w:cs="宋体"/>
          <w:smallCaps w:val="0"/>
          <w:color w:val="auto"/>
          <w:spacing w:val="0"/>
          <w:sz w:val="24"/>
          <w:szCs w:val="24"/>
          <w:highlight w:val="none"/>
        </w:rPr>
        <w:sectPr>
          <w:footerReference r:id="rId13" w:type="default"/>
          <w:pgSz w:w="11906" w:h="16839"/>
          <w:pgMar w:top="1440" w:right="1800" w:bottom="1440" w:left="1800" w:header="0" w:footer="588" w:gutter="0"/>
          <w:cols w:space="720" w:num="1"/>
        </w:sectPr>
      </w:pPr>
    </w:p>
    <w:p w14:paraId="376D127B">
      <w:pPr>
        <w:keepNext/>
        <w:keepLines/>
        <w:outlineLvl w:val="1"/>
        <w:rPr>
          <w:rFonts w:hint="eastAsia" w:ascii="宋体" w:hAnsi="宋体" w:eastAsia="宋体" w:cs="宋体"/>
          <w:b/>
          <w:color w:val="auto"/>
          <w:kern w:val="0"/>
          <w:sz w:val="24"/>
          <w:szCs w:val="24"/>
          <w:highlight w:val="none"/>
        </w:rPr>
      </w:pPr>
      <w:bookmarkStart w:id="356" w:name="_Toc5796"/>
      <w:bookmarkStart w:id="357" w:name="_Toc44700099"/>
      <w:r>
        <w:rPr>
          <w:rFonts w:hint="eastAsia" w:ascii="宋体" w:hAnsi="宋体" w:eastAsia="宋体" w:cs="宋体"/>
          <w:b/>
          <w:color w:val="auto"/>
          <w:kern w:val="0"/>
          <w:sz w:val="36"/>
          <w:szCs w:val="21"/>
          <w:highlight w:val="none"/>
        </w:rPr>
        <w:t>8、资格及部分证明文件格式</w:t>
      </w:r>
      <w:bookmarkEnd w:id="356"/>
      <w:bookmarkEnd w:id="357"/>
    </w:p>
    <w:p w14:paraId="4178C7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一、目录</w:t>
      </w:r>
    </w:p>
    <w:p w14:paraId="75211F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8.1具有独立承担民事责任的能力；</w:t>
      </w:r>
    </w:p>
    <w:p w14:paraId="1362F5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8.2</w:t>
      </w:r>
      <w:r>
        <w:rPr>
          <w:rFonts w:hint="eastAsia" w:ascii="宋体" w:hAnsi="宋体" w:eastAsia="宋体" w:cs="宋体"/>
          <w:color w:val="auto"/>
          <w:sz w:val="24"/>
          <w:highlight w:val="none"/>
        </w:rPr>
        <w:t>具有良好的商业信誉和健全的财务会计制度</w:t>
      </w:r>
      <w:r>
        <w:rPr>
          <w:rFonts w:hint="eastAsia" w:ascii="宋体" w:hAnsi="宋体" w:eastAsia="宋体" w:cs="宋体"/>
          <w:color w:val="auto"/>
          <w:sz w:val="24"/>
          <w:szCs w:val="24"/>
          <w:highlight w:val="none"/>
        </w:rPr>
        <w:t>；</w:t>
      </w:r>
    </w:p>
    <w:p w14:paraId="5BA99BB1">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8.3</w:t>
      </w:r>
      <w:r>
        <w:rPr>
          <w:rFonts w:hint="eastAsia" w:ascii="宋体" w:hAnsi="宋体" w:eastAsia="宋体" w:cs="宋体"/>
          <w:color w:val="auto"/>
          <w:sz w:val="24"/>
          <w:highlight w:val="none"/>
        </w:rPr>
        <w:t>具有履行合同所必需的设备和专业技术能力</w:t>
      </w:r>
      <w:r>
        <w:rPr>
          <w:rFonts w:hint="eastAsia" w:ascii="宋体" w:hAnsi="宋体" w:eastAsia="宋体" w:cs="宋体"/>
          <w:color w:val="auto"/>
          <w:sz w:val="24"/>
          <w:highlight w:val="none"/>
          <w:shd w:val="clear" w:color="auto" w:fill="FFFFFF"/>
        </w:rPr>
        <w:t>；</w:t>
      </w:r>
    </w:p>
    <w:p w14:paraId="5B9EAA4A">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8.4</w:t>
      </w:r>
      <w:r>
        <w:rPr>
          <w:rFonts w:hint="eastAsia" w:ascii="宋体" w:hAnsi="宋体" w:eastAsia="宋体" w:cs="宋体"/>
          <w:color w:val="auto"/>
          <w:sz w:val="24"/>
          <w:highlight w:val="none"/>
        </w:rPr>
        <w:t>有依法缴纳税收和社会保障资金的良好记录</w:t>
      </w:r>
      <w:r>
        <w:rPr>
          <w:rFonts w:hint="eastAsia" w:ascii="宋体" w:hAnsi="宋体" w:eastAsia="宋体" w:cs="宋体"/>
          <w:color w:val="auto"/>
          <w:sz w:val="24"/>
          <w:highlight w:val="none"/>
          <w:shd w:val="clear" w:color="auto" w:fill="FFFFFF"/>
        </w:rPr>
        <w:t>；</w:t>
      </w:r>
    </w:p>
    <w:p w14:paraId="2FC6C981">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★8.5</w:t>
      </w:r>
      <w:r>
        <w:rPr>
          <w:rFonts w:hint="eastAsia" w:ascii="宋体" w:hAnsi="宋体" w:eastAsia="宋体" w:cs="宋体"/>
          <w:color w:val="auto"/>
          <w:sz w:val="24"/>
          <w:highlight w:val="none"/>
        </w:rPr>
        <w:t>参加政府采购活动前三年内，在经营活动中没有重大违法记录；</w:t>
      </w:r>
    </w:p>
    <w:p w14:paraId="546AFF14">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8.6</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供应商须知前附表”4.1中第2条的证明材料；</w:t>
      </w:r>
    </w:p>
    <w:p w14:paraId="30D731B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8.7</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供应商须知前附表”4.1中第3条的证明材料；</w:t>
      </w:r>
    </w:p>
    <w:p w14:paraId="267796D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8.8响应承诺书；</w:t>
      </w:r>
    </w:p>
    <w:p w14:paraId="4EDFAE8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8.9</w:t>
      </w:r>
      <w:r>
        <w:rPr>
          <w:rFonts w:hint="eastAsia" w:ascii="宋体" w:hAnsi="宋体" w:eastAsia="宋体" w:cs="宋体"/>
          <w:color w:val="auto"/>
          <w:sz w:val="24"/>
          <w:szCs w:val="22"/>
          <w:highlight w:val="none"/>
        </w:rPr>
        <w:t>磋商保证金凭证。</w:t>
      </w:r>
    </w:p>
    <w:p w14:paraId="6BBD6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8.10供应商基本情况表；</w:t>
      </w:r>
    </w:p>
    <w:p w14:paraId="53A36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8.11类似项目业绩表（并附合同复印件加盖公章）；</w:t>
      </w:r>
    </w:p>
    <w:p w14:paraId="563F2D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8.12技术方案；</w:t>
      </w:r>
    </w:p>
    <w:p w14:paraId="7A3F6A79">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szCs w:val="24"/>
          <w:highlight w:val="none"/>
        </w:rPr>
        <w:t>8.13</w:t>
      </w:r>
      <w:r>
        <w:rPr>
          <w:rFonts w:hint="eastAsia" w:ascii="宋体" w:hAnsi="宋体" w:eastAsia="宋体" w:cs="宋体"/>
          <w:color w:val="auto"/>
          <w:sz w:val="24"/>
          <w:highlight w:val="none"/>
          <w:shd w:val="clear" w:color="auto" w:fill="FFFFFF"/>
        </w:rPr>
        <w:t>中小企业声明函；</w:t>
      </w:r>
    </w:p>
    <w:p w14:paraId="708C5292">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8.14</w:t>
      </w:r>
      <w:r>
        <w:rPr>
          <w:rFonts w:hint="eastAsia" w:ascii="宋体" w:hAnsi="宋体" w:eastAsia="宋体" w:cs="宋体"/>
          <w:color w:val="auto"/>
          <w:sz w:val="24"/>
          <w:highlight w:val="none"/>
          <w:shd w:val="clear" w:color="auto" w:fill="FFFFFF"/>
        </w:rPr>
        <w:t>残疾人福利性单位声明函（格式，不符合条件无须提交）</w:t>
      </w:r>
    </w:p>
    <w:p w14:paraId="5C2DBED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8.15</w:t>
      </w:r>
      <w:r>
        <w:rPr>
          <w:rFonts w:hint="eastAsia" w:ascii="宋体" w:hAnsi="宋体" w:eastAsia="宋体" w:cs="宋体"/>
          <w:color w:val="auto"/>
          <w:sz w:val="24"/>
          <w:highlight w:val="none"/>
          <w:shd w:val="clear" w:color="auto" w:fill="FFFFFF"/>
        </w:rPr>
        <w:t>监狱企业证明文件（如适用）</w:t>
      </w:r>
    </w:p>
    <w:p w14:paraId="6EC3683E">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8.16</w:t>
      </w:r>
      <w:r>
        <w:rPr>
          <w:rFonts w:hint="eastAsia" w:ascii="宋体" w:hAnsi="宋体" w:eastAsia="宋体" w:cs="宋体"/>
          <w:color w:val="auto"/>
          <w:sz w:val="24"/>
          <w:highlight w:val="none"/>
          <w:shd w:val="clear" w:color="auto" w:fill="FFFFFF"/>
        </w:rPr>
        <w:t>节能产品、环境标志产品、信息安全产品证明材料（如适用）；</w:t>
      </w:r>
    </w:p>
    <w:p w14:paraId="44B70A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8.17磋商文件要求的其它文件及供应商认为有必要提供的其它文件</w:t>
      </w:r>
    </w:p>
    <w:p w14:paraId="762909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8.18关于中小企业、监狱企业、残疾人福利性单位的相关规定</w:t>
      </w:r>
    </w:p>
    <w:p w14:paraId="219170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二、填写须知</w:t>
      </w:r>
    </w:p>
    <w:p w14:paraId="2003BBEF">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以上所列资格证明文件未提供格式的，由供应商提供。</w:t>
      </w:r>
    </w:p>
    <w:p w14:paraId="55EE6847">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所附格式中要求填写的全部问题和信息都必须填写。</w:t>
      </w:r>
    </w:p>
    <w:p w14:paraId="7336657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本资格声明的签字人应保证全部声明和填写的内容是真实的和正确的。</w:t>
      </w:r>
    </w:p>
    <w:p w14:paraId="09360105">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采购人将应用供应商提交的资料根据自己的判断和考虑决定供应商履行合同的合格性及能力。</w:t>
      </w:r>
    </w:p>
    <w:p w14:paraId="1D398AEB">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供应商提交的材料将被保密，但不退还。</w:t>
      </w:r>
    </w:p>
    <w:p w14:paraId="255B7EF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全部文件应按“供应商须知前附表”规定的份数提交。</w:t>
      </w:r>
    </w:p>
    <w:p w14:paraId="2E23D1D3">
      <w:pPr>
        <w:numPr>
          <w:ilvl w:val="0"/>
          <w:numId w:val="9"/>
        </w:numPr>
        <w:tabs>
          <w:tab w:val="left" w:pos="0"/>
        </w:tabs>
        <w:spacing w:line="360" w:lineRule="auto"/>
        <w:ind w:left="340" w:hanging="3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前款8.1-8.9</w:t>
      </w:r>
      <w:r>
        <w:rPr>
          <w:rFonts w:hint="eastAsia" w:ascii="宋体" w:hAnsi="宋体" w:eastAsia="宋体" w:cs="宋体"/>
          <w:b/>
          <w:color w:val="auto"/>
          <w:sz w:val="24"/>
          <w:szCs w:val="24"/>
          <w:highlight w:val="none"/>
          <w:lang w:eastAsia="zh-CN"/>
        </w:rPr>
        <w:t>、8.13</w:t>
      </w:r>
      <w:r>
        <w:rPr>
          <w:rFonts w:hint="eastAsia" w:ascii="宋体" w:hAnsi="宋体" w:eastAsia="宋体" w:cs="宋体"/>
          <w:b/>
          <w:color w:val="auto"/>
          <w:sz w:val="24"/>
          <w:szCs w:val="24"/>
          <w:highlight w:val="none"/>
        </w:rPr>
        <w:t>为必要条件，若未能提供所列的证明文件或提供的资料为虚假或伪造的将导致废标；</w:t>
      </w:r>
      <w:r>
        <w:rPr>
          <w:rFonts w:hint="eastAsia" w:ascii="宋体" w:hAnsi="宋体" w:eastAsia="宋体" w:cs="宋体"/>
          <w:b/>
          <w:color w:val="auto"/>
          <w:sz w:val="24"/>
          <w:szCs w:val="24"/>
          <w:highlight w:val="none"/>
          <w:lang w:val="en-US" w:eastAsia="zh-CN"/>
        </w:rPr>
        <w:t>其余</w:t>
      </w:r>
      <w:r>
        <w:rPr>
          <w:rFonts w:hint="eastAsia" w:ascii="宋体" w:hAnsi="宋体" w:eastAsia="宋体" w:cs="宋体"/>
          <w:b/>
          <w:color w:val="auto"/>
          <w:sz w:val="24"/>
          <w:szCs w:val="24"/>
          <w:highlight w:val="none"/>
        </w:rPr>
        <w:t>为附加条件，执行采购文件中评审方法综合打分。</w:t>
      </w:r>
    </w:p>
    <w:p w14:paraId="3830B506">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kern w:val="0"/>
          <w:sz w:val="24"/>
          <w:szCs w:val="24"/>
          <w:highlight w:val="none"/>
        </w:rPr>
        <w:br w:type="page"/>
      </w:r>
      <w:bookmarkStart w:id="358" w:name="_Toc29196"/>
      <w:bookmarkStart w:id="359" w:name="_Toc44700100"/>
      <w:r>
        <w:rPr>
          <w:rFonts w:hint="eastAsia" w:ascii="宋体" w:hAnsi="宋体" w:eastAsia="宋体" w:cs="宋体"/>
          <w:b/>
          <w:color w:val="auto"/>
          <w:kern w:val="0"/>
          <w:sz w:val="36"/>
          <w:szCs w:val="21"/>
          <w:highlight w:val="none"/>
        </w:rPr>
        <w:t>★8.1具有独立承担民事责任的能力</w:t>
      </w:r>
      <w:bookmarkEnd w:id="358"/>
      <w:bookmarkEnd w:id="359"/>
    </w:p>
    <w:p w14:paraId="5BF9FD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有效的法人或者其他组织的营业执照等证明文件</w:t>
      </w:r>
    </w:p>
    <w:p w14:paraId="40E71F24">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注：复印件加盖单位公章</w:t>
      </w:r>
      <w:r>
        <w:rPr>
          <w:rFonts w:hint="eastAsia" w:ascii="宋体" w:hAnsi="宋体" w:eastAsia="宋体" w:cs="宋体"/>
          <w:b/>
          <w:color w:val="auto"/>
          <w:sz w:val="24"/>
          <w:highlight w:val="none"/>
          <w:lang w:val="en-US" w:eastAsia="zh-CN"/>
        </w:rPr>
        <w:t>或电子章</w:t>
      </w:r>
    </w:p>
    <w:p w14:paraId="0F354DB8">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sz w:val="24"/>
          <w:szCs w:val="24"/>
          <w:highlight w:val="none"/>
        </w:rPr>
        <w:br w:type="page"/>
      </w:r>
      <w:bookmarkStart w:id="360" w:name="_Toc4391"/>
      <w:bookmarkStart w:id="361" w:name="_Toc44700101"/>
      <w:r>
        <w:rPr>
          <w:rFonts w:hint="eastAsia" w:ascii="宋体" w:hAnsi="宋体" w:eastAsia="宋体" w:cs="宋体"/>
          <w:b/>
          <w:color w:val="auto"/>
          <w:kern w:val="0"/>
          <w:sz w:val="36"/>
          <w:szCs w:val="21"/>
          <w:highlight w:val="none"/>
        </w:rPr>
        <w:t>★8.2具有良好的商业信誉和健全的财务会计制度</w:t>
      </w:r>
      <w:bookmarkEnd w:id="360"/>
      <w:bookmarkEnd w:id="361"/>
    </w:p>
    <w:p w14:paraId="79CEDF6B">
      <w:pPr>
        <w:adjustRightInd w:val="0"/>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供应商提供本单位</w:t>
      </w:r>
      <w:r>
        <w:rPr>
          <w:rFonts w:hint="eastAsia" w:ascii="宋体" w:hAnsi="宋体" w:eastAsia="宋体" w:cs="宋体"/>
          <w:color w:val="auto"/>
          <w:sz w:val="24"/>
          <w:highlight w:val="none"/>
          <w:shd w:val="clear" w:color="auto" w:fill="FFFFFF"/>
          <w:lang w:val="en-US" w:eastAsia="zh-CN"/>
        </w:rPr>
        <w:t>2023年度或2024年度</w:t>
      </w:r>
      <w:r>
        <w:rPr>
          <w:rFonts w:hint="eastAsia" w:ascii="宋体" w:hAnsi="宋体" w:eastAsia="宋体" w:cs="宋体"/>
          <w:color w:val="auto"/>
          <w:sz w:val="24"/>
          <w:highlight w:val="none"/>
          <w:shd w:val="clear" w:color="auto" w:fill="FFFFFF"/>
        </w:rPr>
        <w:t>经会计师事务所出具的审计报告复印件并加盖供应商公章。如供应商无法提供上一年度审计报告，则需提供银行出具的资信证明或提供具有良好的商业信誉和健全的财务会计制度的承诺函（承诺函格式自拟并加盖供应商公章）。</w:t>
      </w:r>
    </w:p>
    <w:p w14:paraId="3CA1DD83">
      <w:pPr>
        <w:adjustRightInd w:val="0"/>
        <w:spacing w:line="360" w:lineRule="auto"/>
        <w:ind w:firstLine="420" w:firstLineChars="200"/>
        <w:jc w:val="left"/>
        <w:rPr>
          <w:rFonts w:hint="eastAsia" w:ascii="宋体" w:hAnsi="宋体" w:eastAsia="宋体" w:cs="宋体"/>
          <w:color w:val="auto"/>
          <w:kern w:val="0"/>
          <w:szCs w:val="21"/>
          <w:highlight w:val="none"/>
          <w:shd w:val="clear" w:color="auto" w:fill="FFFFFF"/>
        </w:rPr>
      </w:pPr>
    </w:p>
    <w:p w14:paraId="0E8F1451">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说明：</w:t>
      </w:r>
    </w:p>
    <w:p w14:paraId="4A65A7A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eastAsia" w:ascii="宋体" w:hAnsi="宋体" w:eastAsia="宋体" w:cs="宋体"/>
          <w:color w:val="auto"/>
          <w:sz w:val="24"/>
          <w:highlight w:val="none"/>
        </w:rPr>
        <w:t>审计报告复印件至少应包括资产负债表、利润表、现金流量表及其附注、加盖会计师事务所公章页。</w:t>
      </w:r>
    </w:p>
    <w:p w14:paraId="276633B6">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银行资信证明是指供应商参加本次磋商截止日前三个月内开立基本账户的银行开具的资信证明（成立一年内的公司可提交当年验资证明复印件并加盖公章），且无收受人和项目的限制，但开具银行有限制规定的除外。</w:t>
      </w:r>
    </w:p>
    <w:p w14:paraId="1A150E89">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3、银行资信证明可以是复印件并加盖供应商公章，磋商小组保留审核原件的权利。</w:t>
      </w:r>
      <w:r>
        <w:rPr>
          <w:rFonts w:hint="eastAsia" w:ascii="宋体" w:hAnsi="宋体" w:eastAsia="宋体" w:cs="宋体"/>
          <w:b/>
          <w:color w:val="auto"/>
          <w:sz w:val="24"/>
          <w:highlight w:val="none"/>
          <w:shd w:val="clear" w:color="auto" w:fill="FFFFFF"/>
        </w:rPr>
        <w:t>但开具银行明确规定复印件无效的，须提交原件。</w:t>
      </w:r>
    </w:p>
    <w:p w14:paraId="64B2FF08">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shd w:val="clear" w:color="auto" w:fill="FFFFFF"/>
        </w:rPr>
        <w:t>4、银行资信证明应能说明该供应商与银行之间业务往来正常，无不良记录，企业信誉良好等。银行出具的存款证明不能作为银行资信证明。</w:t>
      </w:r>
    </w:p>
    <w:p w14:paraId="6039F95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rPr>
        <w:br w:type="page"/>
      </w:r>
      <w:bookmarkStart w:id="362" w:name="_Toc44700102"/>
      <w:bookmarkStart w:id="363" w:name="_Toc8529"/>
      <w:r>
        <w:rPr>
          <w:rFonts w:hint="eastAsia" w:ascii="宋体" w:hAnsi="宋体" w:eastAsia="宋体" w:cs="宋体"/>
          <w:b/>
          <w:color w:val="auto"/>
          <w:kern w:val="0"/>
          <w:sz w:val="36"/>
          <w:szCs w:val="21"/>
          <w:highlight w:val="none"/>
        </w:rPr>
        <w:t>★8.3具有履行合同所必需的设备和专业技术能力</w:t>
      </w:r>
      <w:bookmarkEnd w:id="362"/>
      <w:bookmarkEnd w:id="363"/>
    </w:p>
    <w:p w14:paraId="700ABC45">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1B14BFEC">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u w:val="single"/>
        </w:rPr>
        <w:br w:type="page"/>
      </w:r>
      <w:bookmarkStart w:id="364" w:name="_Toc25617"/>
      <w:bookmarkStart w:id="365" w:name="_Toc44700103"/>
      <w:r>
        <w:rPr>
          <w:rFonts w:hint="eastAsia" w:ascii="宋体" w:hAnsi="宋体" w:eastAsia="宋体" w:cs="宋体"/>
          <w:b/>
          <w:color w:val="auto"/>
          <w:kern w:val="0"/>
          <w:sz w:val="36"/>
          <w:szCs w:val="21"/>
          <w:highlight w:val="none"/>
        </w:rPr>
        <w:t>★8.4有依法缴纳税收和社会保障资金的良好记录</w:t>
      </w:r>
      <w:bookmarkEnd w:id="364"/>
      <w:bookmarkEnd w:id="365"/>
    </w:p>
    <w:p w14:paraId="733BD1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1、有依法缴纳社会保障资金的良好记录，须提供参加本次政府采购活动近六个月（费用月份、缴费年月为</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年1月-2025年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p>
    <w:p w14:paraId="37CCCA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2、纳税证明（个人所得税除外），须提供参加本次政府采购活动近六个月（所属时期、日期为</w:t>
      </w:r>
      <w:r>
        <w:rPr>
          <w:rFonts w:hint="eastAsia" w:ascii="宋体" w:hAnsi="宋体" w:eastAsia="宋体" w:cs="宋体"/>
          <w:color w:val="auto"/>
          <w:sz w:val="24"/>
          <w:szCs w:val="24"/>
          <w:highlight w:val="none"/>
          <w:lang w:eastAsia="zh-CN"/>
        </w:rPr>
        <w:t>2025年1月-2025年6月</w:t>
      </w:r>
      <w:r>
        <w:rPr>
          <w:rFonts w:hint="eastAsia" w:ascii="宋体" w:hAnsi="宋体" w:eastAsia="宋体" w:cs="宋体"/>
          <w:color w:val="auto"/>
          <w:sz w:val="24"/>
          <w:szCs w:val="24"/>
          <w:highlight w:val="none"/>
        </w:rPr>
        <w:t>，非记账、转账或打印时间）内的任意一月银行有效票据或税务部门证明材料凭证复印件，并加盖供应商公章。如近六个月未达到应缴税标准，须提供相应说明及证明材料（如：增值税纳税申报表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highlight w:val="none"/>
          <w:shd w:val="clear" w:color="auto" w:fill="FFFFFF"/>
        </w:rPr>
        <w:t>或零纳税申报表</w:t>
      </w:r>
      <w:r>
        <w:rPr>
          <w:rFonts w:hint="eastAsia" w:ascii="宋体" w:hAnsi="宋体" w:eastAsia="宋体" w:cs="宋体"/>
          <w:color w:val="auto"/>
          <w:sz w:val="24"/>
          <w:szCs w:val="24"/>
          <w:highlight w:val="none"/>
        </w:rPr>
        <w:t>），并加盖供应商公章。</w:t>
      </w:r>
    </w:p>
    <w:p w14:paraId="08F3442E">
      <w:pPr>
        <w:spacing w:after="120" w:line="360" w:lineRule="auto"/>
        <w:ind w:firstLine="480" w:firstLineChars="200"/>
        <w:rPr>
          <w:rFonts w:hint="eastAsia" w:ascii="宋体" w:hAnsi="宋体" w:eastAsia="宋体" w:cs="宋体"/>
          <w:b/>
          <w:color w:val="auto"/>
          <w:sz w:val="32"/>
          <w:szCs w:val="32"/>
          <w:highlight w:val="none"/>
          <w:shd w:val="clear" w:color="auto" w:fill="FFFFFF"/>
        </w:rPr>
      </w:pPr>
      <w:r>
        <w:rPr>
          <w:rFonts w:hint="eastAsia" w:ascii="宋体" w:hAnsi="宋体" w:eastAsia="宋体" w:cs="宋体"/>
          <w:color w:val="auto"/>
          <w:sz w:val="24"/>
          <w:szCs w:val="24"/>
          <w:highlight w:val="none"/>
        </w:rPr>
        <w:t>3、依法免税或不需要缴纳社会保障资金的供应商，应提供相应的文件证明并加盖本单位公章。</w:t>
      </w:r>
    </w:p>
    <w:p w14:paraId="3AF99E81">
      <w:pPr>
        <w:spacing w:line="360" w:lineRule="auto"/>
        <w:rPr>
          <w:rFonts w:hint="eastAsia" w:ascii="宋体" w:hAnsi="宋体" w:eastAsia="宋体" w:cs="宋体"/>
          <w:b/>
          <w:color w:val="auto"/>
          <w:sz w:val="24"/>
          <w:highlight w:val="none"/>
          <w:shd w:val="clear" w:color="auto" w:fill="FFFFFF"/>
        </w:rPr>
      </w:pPr>
    </w:p>
    <w:p w14:paraId="059E7835">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40E69761">
      <w:pPr>
        <w:spacing w:line="360" w:lineRule="auto"/>
        <w:ind w:firstLine="482" w:firstLineChars="200"/>
        <w:jc w:val="center"/>
        <w:rPr>
          <w:rFonts w:hint="eastAsia" w:ascii="宋体" w:hAnsi="宋体" w:eastAsia="宋体" w:cs="宋体"/>
          <w:b/>
          <w:color w:val="auto"/>
          <w:sz w:val="24"/>
          <w:highlight w:val="none"/>
          <w:shd w:val="clear" w:color="auto" w:fill="FFFFFF"/>
        </w:rPr>
      </w:pPr>
    </w:p>
    <w:p w14:paraId="3FD0675C">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本单位成立以来，一直按照国家和地方有关规定，依法缴纳税收及社会保障资金，具有良好记录。</w:t>
      </w:r>
    </w:p>
    <w:p w14:paraId="4EB4E420">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584008A0">
      <w:pPr>
        <w:adjustRightInd w:val="0"/>
        <w:spacing w:line="360" w:lineRule="auto"/>
        <w:rPr>
          <w:rFonts w:hint="eastAsia" w:ascii="宋体" w:hAnsi="宋体" w:eastAsia="宋体" w:cs="宋体"/>
          <w:color w:val="auto"/>
          <w:sz w:val="24"/>
          <w:highlight w:val="none"/>
          <w:shd w:val="clear" w:color="auto" w:fill="FFFFFF"/>
        </w:rPr>
      </w:pPr>
    </w:p>
    <w:p w14:paraId="0F563FB2">
      <w:pPr>
        <w:adjustRightInd w:val="0"/>
        <w:spacing w:line="360" w:lineRule="auto"/>
        <w:rPr>
          <w:rFonts w:hint="eastAsia" w:ascii="宋体" w:hAnsi="宋体" w:eastAsia="宋体" w:cs="宋体"/>
          <w:color w:val="auto"/>
          <w:sz w:val="24"/>
          <w:highlight w:val="none"/>
          <w:shd w:val="clear" w:color="auto" w:fill="FFFFFF"/>
        </w:rPr>
      </w:pPr>
    </w:p>
    <w:p w14:paraId="3540AD59">
      <w:pPr>
        <w:adjustRightInd w:val="0"/>
        <w:spacing w:line="360" w:lineRule="auto"/>
        <w:rPr>
          <w:rFonts w:hint="eastAsia" w:ascii="宋体" w:hAnsi="宋体" w:eastAsia="宋体" w:cs="宋体"/>
          <w:color w:val="auto"/>
          <w:sz w:val="24"/>
          <w:highlight w:val="none"/>
          <w:shd w:val="clear" w:color="auto" w:fill="FFFFFF"/>
        </w:rPr>
      </w:pPr>
    </w:p>
    <w:p w14:paraId="3D45489F">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59930B09">
      <w:pPr>
        <w:spacing w:line="360" w:lineRule="auto"/>
        <w:jc w:val="right"/>
        <w:rPr>
          <w:rFonts w:hint="eastAsia" w:ascii="宋体" w:hAnsi="宋体" w:eastAsia="宋体" w:cs="宋体"/>
          <w:color w:val="auto"/>
          <w:sz w:val="24"/>
          <w:highlight w:val="none"/>
          <w:u w:val="single"/>
        </w:rPr>
      </w:pPr>
    </w:p>
    <w:p w14:paraId="5805DF2D">
      <w:pPr>
        <w:spacing w:line="360" w:lineRule="auto"/>
        <w:jc w:val="righ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供应商名称（加盖单位公章）：</w:t>
      </w:r>
    </w:p>
    <w:p w14:paraId="7FD0405D">
      <w:pPr>
        <w:spacing w:line="360" w:lineRule="auto"/>
        <w:jc w:val="right"/>
        <w:rPr>
          <w:rFonts w:hint="eastAsia" w:ascii="宋体" w:hAnsi="宋体" w:eastAsia="宋体" w:cs="宋体"/>
          <w:color w:val="auto"/>
          <w:sz w:val="24"/>
          <w:highlight w:val="none"/>
          <w:u w:val="single"/>
        </w:rPr>
      </w:pPr>
    </w:p>
    <w:p w14:paraId="7B92706C">
      <w:pPr>
        <w:tabs>
          <w:tab w:val="left" w:pos="780"/>
          <w:tab w:val="left" w:pos="1680"/>
        </w:tabs>
        <w:spacing w:line="360" w:lineRule="auto"/>
        <w:jc w:val="righ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rPr>
        <w:t>日期：</w:t>
      </w:r>
    </w:p>
    <w:p w14:paraId="04B0230B">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 w:val="24"/>
          <w:highlight w:val="none"/>
          <w:shd w:val="clear" w:color="auto" w:fill="FFFFFF"/>
        </w:rPr>
        <w:br w:type="page"/>
      </w:r>
      <w:bookmarkStart w:id="366" w:name="_Toc20231"/>
      <w:r>
        <w:rPr>
          <w:rFonts w:hint="eastAsia" w:ascii="宋体" w:hAnsi="宋体" w:eastAsia="宋体" w:cs="宋体"/>
          <w:b/>
          <w:color w:val="auto"/>
          <w:kern w:val="0"/>
          <w:sz w:val="36"/>
          <w:szCs w:val="21"/>
          <w:highlight w:val="none"/>
        </w:rPr>
        <w:t>★8.5参加政府采购活动前三年内，在经营活动中没有重大违法记录</w:t>
      </w:r>
      <w:bookmarkEnd w:id="366"/>
    </w:p>
    <w:p w14:paraId="48BE64C8">
      <w:pPr>
        <w:spacing w:line="360" w:lineRule="auto"/>
        <w:ind w:firstLine="723" w:firstLineChars="300"/>
        <w:rPr>
          <w:rFonts w:hint="eastAsia" w:ascii="宋体" w:hAnsi="宋体" w:eastAsia="宋体" w:cs="宋体"/>
          <w:b/>
          <w:bCs/>
          <w:color w:val="auto"/>
          <w:kern w:val="0"/>
          <w:sz w:val="24"/>
          <w:szCs w:val="24"/>
          <w:highlight w:val="none"/>
        </w:rPr>
      </w:pPr>
    </w:p>
    <w:p w14:paraId="44C7EB41">
      <w:pPr>
        <w:spacing w:line="360" w:lineRule="auto"/>
        <w:ind w:firstLine="723" w:firstLineChars="300"/>
        <w:rPr>
          <w:rFonts w:hint="eastAsia" w:ascii="宋体" w:hAnsi="宋体" w:eastAsia="宋体" w:cs="宋体"/>
          <w:b/>
          <w:bCs/>
          <w:color w:val="auto"/>
          <w:kern w:val="0"/>
          <w:sz w:val="24"/>
          <w:szCs w:val="24"/>
          <w:highlight w:val="none"/>
        </w:rPr>
      </w:pPr>
    </w:p>
    <w:p w14:paraId="4F33EA88">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提供参加本次政府采购活动前三年内，在经营活动中没有重大违法记录的声明：</w:t>
      </w:r>
    </w:p>
    <w:p w14:paraId="287A0690">
      <w:pPr>
        <w:spacing w:line="360" w:lineRule="auto"/>
        <w:rPr>
          <w:rFonts w:hint="eastAsia" w:ascii="宋体" w:hAnsi="宋体" w:eastAsia="宋体" w:cs="宋体"/>
          <w:b/>
          <w:bCs/>
          <w:color w:val="auto"/>
          <w:kern w:val="0"/>
          <w:sz w:val="24"/>
          <w:szCs w:val="24"/>
          <w:highlight w:val="none"/>
        </w:rPr>
      </w:pPr>
    </w:p>
    <w:p w14:paraId="4739A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50AD496B">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我公司在</w:t>
      </w:r>
      <w:r>
        <w:rPr>
          <w:rFonts w:hint="eastAsia" w:ascii="宋体" w:hAnsi="宋体" w:eastAsia="宋体" w:cs="宋体"/>
          <w:color w:val="auto"/>
          <w:kern w:val="0"/>
          <w:sz w:val="24"/>
          <w:highlight w:val="none"/>
          <w:shd w:val="clear" w:color="auto" w:fill="FFFFFF"/>
          <w:lang w:val="zh-CN"/>
        </w:rPr>
        <w:t>参加本项目政府采购活动前三年（</w:t>
      </w:r>
      <w:r>
        <w:rPr>
          <w:rFonts w:hint="eastAsia" w:ascii="宋体" w:hAnsi="宋体" w:eastAsia="宋体" w:cs="宋体"/>
          <w:color w:val="auto"/>
          <w:sz w:val="24"/>
          <w:highlight w:val="none"/>
          <w:lang w:val="en-US" w:eastAsia="zh-CN"/>
        </w:rPr>
        <w:t>20</w:t>
      </w:r>
      <w:r>
        <w:rPr>
          <w:rFonts w:hint="eastAsia" w:ascii="宋体" w:hAnsi="宋体" w:eastAsia="宋体" w:cs="宋体"/>
          <w:color w:val="auto"/>
          <w:kern w:val="0"/>
          <w:sz w:val="24"/>
          <w:highlight w:val="none"/>
          <w:shd w:val="clear" w:color="auto" w:fill="FFFFFF"/>
          <w:lang w:val="en-US" w:eastAsia="zh-CN"/>
        </w:rPr>
        <w:t>22</w:t>
      </w:r>
      <w:r>
        <w:rPr>
          <w:rFonts w:hint="eastAsia" w:ascii="宋体" w:hAnsi="宋体" w:eastAsia="宋体" w:cs="宋体"/>
          <w:color w:val="auto"/>
          <w:kern w:val="0"/>
          <w:sz w:val="24"/>
          <w:highlight w:val="none"/>
          <w:shd w:val="clear" w:color="auto" w:fill="FFFFFF"/>
          <w:lang w:val="zh-CN"/>
        </w:rPr>
        <w:t>年至今）内，在经营活动中没有重大违法记录或被投诉记录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因违法经营受到刑事处罚或者责令停产停业、吊销许可证或者执照、较大数额罚款等行政处罚</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w:t>
      </w:r>
    </w:p>
    <w:p w14:paraId="694C507E">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059B65E0">
      <w:pPr>
        <w:spacing w:line="360" w:lineRule="auto"/>
        <w:ind w:firstLine="480" w:firstLineChars="200"/>
        <w:rPr>
          <w:rFonts w:hint="eastAsia" w:ascii="宋体" w:hAnsi="宋体" w:eastAsia="宋体" w:cs="宋体"/>
          <w:color w:val="auto"/>
          <w:sz w:val="24"/>
          <w:highlight w:val="none"/>
          <w:shd w:val="clear" w:color="auto" w:fill="FFFFFF"/>
        </w:rPr>
      </w:pPr>
    </w:p>
    <w:p w14:paraId="19B1C770">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3DBA472C">
      <w:pPr>
        <w:spacing w:line="360" w:lineRule="auto"/>
        <w:ind w:firstLine="480" w:firstLineChars="200"/>
        <w:jc w:val="right"/>
        <w:rPr>
          <w:rFonts w:hint="eastAsia" w:ascii="宋体" w:hAnsi="宋体" w:eastAsia="宋体" w:cs="宋体"/>
          <w:color w:val="auto"/>
          <w:sz w:val="24"/>
          <w:highlight w:val="none"/>
          <w:u w:val="single"/>
        </w:rPr>
      </w:pPr>
    </w:p>
    <w:p w14:paraId="56877E63">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05E04FAE">
      <w:pPr>
        <w:spacing w:line="360" w:lineRule="auto"/>
        <w:ind w:firstLine="480" w:firstLineChars="200"/>
        <w:jc w:val="right"/>
        <w:rPr>
          <w:rFonts w:hint="eastAsia" w:ascii="宋体" w:hAnsi="宋体" w:eastAsia="宋体" w:cs="宋体"/>
          <w:color w:val="auto"/>
          <w:sz w:val="24"/>
          <w:highlight w:val="none"/>
        </w:rPr>
      </w:pPr>
    </w:p>
    <w:p w14:paraId="1A2366AC">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00D49C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highlight w:val="none"/>
        </w:rPr>
        <w:br w:type="page"/>
      </w:r>
      <w:bookmarkStart w:id="367" w:name="_Toc3510"/>
      <w:bookmarkStart w:id="368" w:name="_Toc44700104"/>
      <w:r>
        <w:rPr>
          <w:rFonts w:hint="eastAsia" w:ascii="宋体" w:hAnsi="宋体" w:eastAsia="宋体" w:cs="宋体"/>
          <w:b/>
          <w:color w:val="auto"/>
          <w:kern w:val="0"/>
          <w:sz w:val="36"/>
          <w:szCs w:val="21"/>
          <w:highlight w:val="none"/>
        </w:rPr>
        <w:t>★8.6符合磋商文件第二章“供应商须知前附表”4.1中第2条的证明材料；</w:t>
      </w:r>
      <w:bookmarkEnd w:id="367"/>
      <w:bookmarkEnd w:id="368"/>
    </w:p>
    <w:p w14:paraId="7DF634FB">
      <w:pP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8.6.1</w:t>
      </w:r>
    </w:p>
    <w:p w14:paraId="28461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注：1、供应商应当根据自身存在的情形，如实披露与本单位负责人为同一人或者存在直接控股、管理关系的供应商情况。</w:t>
      </w:r>
    </w:p>
    <w:p w14:paraId="370D2CBA">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2、单位负责人为同一人或者存在直接控股、管理关系的不同供应商，同时参加本项目同一合同项下的磋商，相关响应均无效。</w:t>
      </w:r>
    </w:p>
    <w:p w14:paraId="7F44EB0D">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3、为本项目某包提供整体设计、规范编制或者项目管理、监理、检测等服务的供应商，不得参加该包的磋商；</w:t>
      </w:r>
    </w:p>
    <w:p w14:paraId="05BD69E7">
      <w:pPr>
        <w:spacing w:line="360" w:lineRule="auto"/>
        <w:rPr>
          <w:rFonts w:hint="eastAsia" w:ascii="宋体" w:hAnsi="宋体" w:eastAsia="宋体" w:cs="宋体"/>
          <w:color w:val="auto"/>
          <w:sz w:val="24"/>
          <w:szCs w:val="24"/>
          <w:highlight w:val="none"/>
        </w:rPr>
      </w:pPr>
    </w:p>
    <w:p w14:paraId="31F047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（如不存在上述情况，请提供如下声明）</w:t>
      </w:r>
    </w:p>
    <w:p w14:paraId="53211D13">
      <w:pPr>
        <w:spacing w:line="360" w:lineRule="auto"/>
        <w:rPr>
          <w:rFonts w:hint="eastAsia" w:ascii="宋体" w:hAnsi="宋体" w:eastAsia="宋体" w:cs="宋体"/>
          <w:color w:val="auto"/>
          <w:sz w:val="24"/>
          <w:szCs w:val="24"/>
          <w:highlight w:val="none"/>
        </w:rPr>
      </w:pPr>
    </w:p>
    <w:p w14:paraId="4CD1E6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乌鲁木齐高新建设工程项目管理咨询有限公司</w:t>
      </w:r>
      <w:r>
        <w:rPr>
          <w:rFonts w:hint="eastAsia" w:ascii="宋体" w:hAnsi="宋体" w:eastAsia="宋体" w:cs="宋体"/>
          <w:color w:val="auto"/>
          <w:sz w:val="24"/>
          <w:szCs w:val="24"/>
          <w:highlight w:val="none"/>
        </w:rPr>
        <w:t>：</w:t>
      </w:r>
    </w:p>
    <w:p w14:paraId="1ECCF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我单位负责人（负责人姓名、身份证号），不存在与我单位负责人为同一人的不同供应商同时参加本项目同一包响应的情形。</w:t>
      </w:r>
    </w:p>
    <w:p w14:paraId="0C69E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与我单位存在直接控股、管理关系的单位（单位名称，如没有填“无”），不存在与我单位存在直接控股、管理管理的不同供应商同时参加本项目同一包响应的情形。</w:t>
      </w:r>
    </w:p>
    <w:p w14:paraId="7ABDBEA5">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我单位不为本项目某包提供整体设计、规范编制或者项目管理、监理、检测等服务的供应商。</w:t>
      </w:r>
    </w:p>
    <w:p w14:paraId="05165A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我单位确认本声明是真实的、正确的，如有虚假，相应后果和法律责任均由我单位</w:t>
      </w:r>
      <w:r>
        <w:rPr>
          <w:rFonts w:hint="eastAsia" w:ascii="宋体" w:hAnsi="宋体" w:eastAsia="宋体" w:cs="宋体"/>
          <w:color w:val="auto"/>
          <w:sz w:val="24"/>
          <w:highlight w:val="none"/>
        </w:rPr>
        <w:t>承担</w:t>
      </w:r>
      <w:r>
        <w:rPr>
          <w:rFonts w:hint="eastAsia" w:ascii="宋体" w:hAnsi="宋体" w:eastAsia="宋体" w:cs="宋体"/>
          <w:color w:val="auto"/>
          <w:sz w:val="24"/>
          <w:szCs w:val="24"/>
          <w:highlight w:val="none"/>
        </w:rPr>
        <w:t>。</w:t>
      </w:r>
    </w:p>
    <w:p w14:paraId="5C9A89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42B028A">
      <w:pPr>
        <w:pStyle w:val="20"/>
        <w:rPr>
          <w:rFonts w:hint="eastAsia" w:ascii="宋体" w:hAnsi="宋体" w:eastAsia="宋体" w:cs="宋体"/>
          <w:color w:val="auto"/>
          <w:highlight w:val="none"/>
        </w:rPr>
      </w:pPr>
    </w:p>
    <w:p w14:paraId="50FE29D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p>
    <w:p w14:paraId="1B2F99B4">
      <w:pPr>
        <w:pStyle w:val="20"/>
        <w:rPr>
          <w:rFonts w:hint="eastAsia" w:ascii="宋体" w:hAnsi="宋体" w:eastAsia="宋体" w:cs="宋体"/>
          <w:color w:val="auto"/>
          <w:highlight w:val="none"/>
        </w:rPr>
      </w:pPr>
    </w:p>
    <w:p w14:paraId="1CC4042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1496D080">
      <w:pPr>
        <w:pStyle w:val="20"/>
        <w:rPr>
          <w:rFonts w:hint="eastAsia" w:ascii="宋体" w:hAnsi="宋体" w:eastAsia="宋体" w:cs="宋体"/>
          <w:color w:val="auto"/>
          <w:highlight w:val="none"/>
        </w:rPr>
      </w:pPr>
    </w:p>
    <w:p w14:paraId="36CF500F">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8C8AAA1">
      <w:pPr>
        <w:rPr>
          <w:rFonts w:hint="eastAsia" w:ascii="宋体" w:hAnsi="宋体" w:eastAsia="宋体" w:cs="宋体"/>
          <w:b/>
          <w:color w:val="auto"/>
          <w:sz w:val="28"/>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8"/>
          <w:szCs w:val="32"/>
          <w:highlight w:val="none"/>
        </w:rPr>
        <w:t>8.6.2信用查询</w:t>
      </w:r>
    </w:p>
    <w:p w14:paraId="29972D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过“信用中国”网站（www.creditchina.gov.cn）和中国政府采购网（www.ccgp.gov.cn）查询信用记录（截止时间点为提交首次响应文件截止之日），（截图复印件加盖供应商公章）被列入失信被执行人、重大税收违法案件当事人名单或政府采购严重违法失信行为记录名单的供应商，没有资格参加本项目的采购活动</w:t>
      </w:r>
    </w:p>
    <w:p w14:paraId="29C3CD2C">
      <w:pPr>
        <w:spacing w:line="360" w:lineRule="auto"/>
        <w:rPr>
          <w:rFonts w:hint="eastAsia" w:ascii="宋体" w:hAnsi="宋体" w:eastAsia="宋体" w:cs="宋体"/>
          <w:color w:val="auto"/>
          <w:szCs w:val="21"/>
          <w:highlight w:val="none"/>
          <w:u w:val="single"/>
        </w:rPr>
      </w:pPr>
    </w:p>
    <w:p w14:paraId="74887DA1">
      <w:pPr>
        <w:spacing w:line="360" w:lineRule="auto"/>
        <w:rPr>
          <w:rFonts w:hint="eastAsia" w:ascii="宋体" w:hAnsi="宋体" w:eastAsia="宋体" w:cs="宋体"/>
          <w:color w:val="auto"/>
          <w:sz w:val="24"/>
          <w:szCs w:val="24"/>
          <w:highlight w:val="none"/>
        </w:rPr>
      </w:pPr>
    </w:p>
    <w:p w14:paraId="4EFD988B">
      <w:pPr>
        <w:spacing w:line="360" w:lineRule="auto"/>
        <w:rPr>
          <w:rFonts w:hint="eastAsia" w:ascii="宋体" w:hAnsi="宋体" w:eastAsia="宋体" w:cs="宋体"/>
          <w:color w:val="auto"/>
          <w:sz w:val="24"/>
          <w:szCs w:val="24"/>
          <w:highlight w:val="none"/>
        </w:rPr>
      </w:pPr>
    </w:p>
    <w:p w14:paraId="545CE24C">
      <w:pPr>
        <w:spacing w:line="360" w:lineRule="auto"/>
        <w:ind w:firstLine="5280" w:firstLineChars="2200"/>
        <w:rPr>
          <w:rFonts w:hint="eastAsia" w:ascii="宋体" w:hAnsi="宋体" w:eastAsia="宋体" w:cs="宋体"/>
          <w:color w:val="auto"/>
          <w:sz w:val="24"/>
          <w:szCs w:val="24"/>
          <w:highlight w:val="none"/>
        </w:rPr>
      </w:pPr>
    </w:p>
    <w:p w14:paraId="307687D6">
      <w:pPr>
        <w:spacing w:line="360" w:lineRule="auto"/>
        <w:ind w:firstLine="6385" w:firstLineChars="2650"/>
        <w:rPr>
          <w:rFonts w:hint="eastAsia" w:ascii="宋体" w:hAnsi="宋体" w:eastAsia="宋体" w:cs="宋体"/>
          <w:b/>
          <w:color w:val="auto"/>
          <w:sz w:val="24"/>
          <w:szCs w:val="24"/>
          <w:highlight w:val="none"/>
        </w:rPr>
      </w:pPr>
    </w:p>
    <w:p w14:paraId="784DC0A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5532F4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信用信息查询渠道：信用中国网站（www.creditchina.gov.cn）和中国政府采购网-政府采购严重违法失信行为信息记录（www.ccgp.gov.cn/cr/list）；</w:t>
      </w:r>
    </w:p>
    <w:p w14:paraId="1A6A34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2、信用信息查询截止时点：同响应截止时间（文件提交截止时间）；</w:t>
      </w:r>
    </w:p>
    <w:p w14:paraId="4A55531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3、信用信息查询记录和证据留存的具体方式：网站查询截图打印稿形式与其他采购文件一并保存；</w:t>
      </w:r>
    </w:p>
    <w:p w14:paraId="763730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1C012E0">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最终评定结果以采购代理机构开启现场查询为准；</w:t>
      </w:r>
    </w:p>
    <w:p w14:paraId="20BDC50F">
      <w:pPr>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8"/>
          <w:szCs w:val="24"/>
          <w:highlight w:val="none"/>
        </w:rPr>
        <w:t>8.6.2.1信用中国网站（</w:t>
      </w:r>
      <w:r>
        <w:rPr>
          <w:rFonts w:hint="eastAsia" w:ascii="宋体" w:hAnsi="宋体" w:eastAsia="宋体" w:cs="宋体"/>
          <w:color w:val="auto"/>
          <w:kern w:val="0"/>
          <w:sz w:val="28"/>
          <w:szCs w:val="24"/>
          <w:highlight w:val="none"/>
        </w:rPr>
        <w:t>www.creditchina.gov.cn</w:t>
      </w:r>
      <w:r>
        <w:rPr>
          <w:rFonts w:hint="eastAsia" w:ascii="宋体" w:hAnsi="宋体" w:eastAsia="宋体" w:cs="宋体"/>
          <w:b/>
          <w:color w:val="auto"/>
          <w:kern w:val="0"/>
          <w:sz w:val="28"/>
          <w:szCs w:val="24"/>
          <w:highlight w:val="none"/>
        </w:rPr>
        <w:t>）查询截图（加盖公章）；</w:t>
      </w:r>
    </w:p>
    <w:p w14:paraId="15ECA5A0">
      <w:pPr>
        <w:spacing w:line="360" w:lineRule="auto"/>
        <w:jc w:val="left"/>
        <w:rPr>
          <w:rFonts w:hint="eastAsia" w:ascii="宋体" w:hAnsi="宋体" w:eastAsia="宋体" w:cs="宋体"/>
          <w:b/>
          <w:color w:val="auto"/>
          <w:kern w:val="0"/>
          <w:sz w:val="24"/>
          <w:szCs w:val="24"/>
          <w:highlight w:val="none"/>
        </w:rPr>
      </w:pPr>
    </w:p>
    <w:p w14:paraId="05ADBDDB">
      <w:pPr>
        <w:spacing w:line="360" w:lineRule="auto"/>
        <w:jc w:val="left"/>
        <w:rPr>
          <w:rFonts w:hint="eastAsia" w:ascii="宋体" w:hAnsi="宋体" w:eastAsia="宋体" w:cs="宋体"/>
          <w:b/>
          <w:color w:val="auto"/>
          <w:kern w:val="0"/>
          <w:sz w:val="24"/>
          <w:szCs w:val="24"/>
          <w:highlight w:val="none"/>
        </w:rPr>
      </w:pPr>
    </w:p>
    <w:p w14:paraId="6BDFFABC">
      <w:pPr>
        <w:spacing w:line="360" w:lineRule="auto"/>
        <w:jc w:val="left"/>
        <w:rPr>
          <w:rFonts w:hint="eastAsia" w:ascii="宋体" w:hAnsi="宋体" w:eastAsia="宋体" w:cs="宋体"/>
          <w:b/>
          <w:color w:val="auto"/>
          <w:kern w:val="0"/>
          <w:sz w:val="24"/>
          <w:szCs w:val="24"/>
          <w:highlight w:val="none"/>
        </w:rPr>
      </w:pPr>
    </w:p>
    <w:p w14:paraId="4E1D9B29">
      <w:pPr>
        <w:spacing w:line="360" w:lineRule="auto"/>
        <w:jc w:val="left"/>
        <w:rPr>
          <w:rFonts w:hint="eastAsia" w:ascii="宋体" w:hAnsi="宋体" w:eastAsia="宋体" w:cs="宋体"/>
          <w:b/>
          <w:color w:val="auto"/>
          <w:kern w:val="0"/>
          <w:sz w:val="24"/>
          <w:szCs w:val="24"/>
          <w:highlight w:val="none"/>
        </w:rPr>
      </w:pPr>
    </w:p>
    <w:p w14:paraId="089FA02D">
      <w:pPr>
        <w:spacing w:line="360" w:lineRule="auto"/>
        <w:jc w:val="left"/>
        <w:rPr>
          <w:rFonts w:hint="eastAsia" w:ascii="宋体" w:hAnsi="宋体" w:eastAsia="宋体" w:cs="宋体"/>
          <w:b/>
          <w:color w:val="auto"/>
          <w:kern w:val="0"/>
          <w:sz w:val="24"/>
          <w:szCs w:val="24"/>
          <w:highlight w:val="none"/>
        </w:rPr>
      </w:pPr>
    </w:p>
    <w:p w14:paraId="536AD59B">
      <w:pPr>
        <w:spacing w:line="360" w:lineRule="auto"/>
        <w:jc w:val="left"/>
        <w:rPr>
          <w:rFonts w:hint="eastAsia" w:ascii="宋体" w:hAnsi="宋体" w:eastAsia="宋体" w:cs="宋体"/>
          <w:b/>
          <w:color w:val="auto"/>
          <w:kern w:val="0"/>
          <w:sz w:val="24"/>
          <w:szCs w:val="24"/>
          <w:highlight w:val="none"/>
        </w:rPr>
      </w:pPr>
    </w:p>
    <w:p w14:paraId="5A191197">
      <w:pPr>
        <w:spacing w:line="360" w:lineRule="auto"/>
        <w:jc w:val="left"/>
        <w:rPr>
          <w:rFonts w:hint="eastAsia" w:ascii="宋体" w:hAnsi="宋体" w:eastAsia="宋体" w:cs="宋体"/>
          <w:b/>
          <w:color w:val="auto"/>
          <w:kern w:val="0"/>
          <w:sz w:val="24"/>
          <w:szCs w:val="24"/>
          <w:highlight w:val="none"/>
        </w:rPr>
      </w:pPr>
    </w:p>
    <w:p w14:paraId="3285F2F7">
      <w:pPr>
        <w:spacing w:line="360" w:lineRule="auto"/>
        <w:jc w:val="left"/>
        <w:rPr>
          <w:rFonts w:hint="eastAsia" w:ascii="宋体" w:hAnsi="宋体" w:eastAsia="宋体" w:cs="宋体"/>
          <w:b/>
          <w:color w:val="auto"/>
          <w:kern w:val="0"/>
          <w:sz w:val="24"/>
          <w:szCs w:val="24"/>
          <w:highlight w:val="none"/>
        </w:rPr>
      </w:pPr>
    </w:p>
    <w:p w14:paraId="25138628">
      <w:pPr>
        <w:spacing w:line="360" w:lineRule="auto"/>
        <w:jc w:val="left"/>
        <w:rPr>
          <w:rFonts w:hint="eastAsia" w:ascii="宋体" w:hAnsi="宋体" w:eastAsia="宋体" w:cs="宋体"/>
          <w:b/>
          <w:color w:val="auto"/>
          <w:kern w:val="0"/>
          <w:sz w:val="24"/>
          <w:szCs w:val="24"/>
          <w:highlight w:val="none"/>
        </w:rPr>
      </w:pPr>
    </w:p>
    <w:p w14:paraId="42C75158">
      <w:pPr>
        <w:spacing w:line="360" w:lineRule="auto"/>
        <w:jc w:val="left"/>
        <w:rPr>
          <w:rFonts w:hint="eastAsia" w:ascii="宋体" w:hAnsi="宋体" w:eastAsia="宋体" w:cs="宋体"/>
          <w:b/>
          <w:color w:val="auto"/>
          <w:kern w:val="0"/>
          <w:sz w:val="24"/>
          <w:szCs w:val="24"/>
          <w:highlight w:val="none"/>
        </w:rPr>
      </w:pPr>
    </w:p>
    <w:p w14:paraId="7EF6FB97">
      <w:pPr>
        <w:spacing w:line="360" w:lineRule="auto"/>
        <w:jc w:val="left"/>
        <w:rPr>
          <w:rFonts w:hint="eastAsia" w:ascii="宋体" w:hAnsi="宋体" w:eastAsia="宋体" w:cs="宋体"/>
          <w:b/>
          <w:color w:val="auto"/>
          <w:kern w:val="0"/>
          <w:sz w:val="24"/>
          <w:szCs w:val="24"/>
          <w:highlight w:val="none"/>
        </w:rPr>
      </w:pPr>
    </w:p>
    <w:p w14:paraId="3A2BC780">
      <w:pPr>
        <w:spacing w:line="360" w:lineRule="auto"/>
        <w:jc w:val="left"/>
        <w:rPr>
          <w:rFonts w:hint="eastAsia" w:ascii="宋体" w:hAnsi="宋体" w:eastAsia="宋体" w:cs="宋体"/>
          <w:b/>
          <w:color w:val="auto"/>
          <w:sz w:val="40"/>
          <w:szCs w:val="36"/>
          <w:highlight w:val="none"/>
        </w:rPr>
      </w:pPr>
      <w:r>
        <w:rPr>
          <w:rFonts w:hint="eastAsia" w:ascii="宋体" w:hAnsi="宋体" w:eastAsia="宋体" w:cs="宋体"/>
          <w:b/>
          <w:color w:val="auto"/>
          <w:kern w:val="0"/>
          <w:sz w:val="28"/>
          <w:szCs w:val="24"/>
          <w:highlight w:val="none"/>
        </w:rPr>
        <w:t>8.6.2.2中国政府采购网-政府采购严重违法失信行为信息记录（www.ccgp.gov.cn/cr/list）查询截图（加盖公章）。</w:t>
      </w:r>
    </w:p>
    <w:p w14:paraId="77F1F94B">
      <w:pPr>
        <w:spacing w:line="600" w:lineRule="exact"/>
        <w:ind w:firstLine="200"/>
        <w:rPr>
          <w:rFonts w:hint="eastAsia" w:ascii="宋体" w:hAnsi="宋体" w:eastAsia="宋体" w:cs="宋体"/>
          <w:b/>
          <w:color w:val="auto"/>
          <w:kern w:val="0"/>
          <w:sz w:val="36"/>
          <w:szCs w:val="21"/>
          <w:highlight w:val="none"/>
        </w:rPr>
      </w:pPr>
      <w:r>
        <w:rPr>
          <w:rFonts w:hint="eastAsia" w:ascii="宋体" w:hAnsi="宋体" w:eastAsia="宋体" w:cs="宋体"/>
          <w:color w:val="auto"/>
          <w:sz w:val="36"/>
          <w:szCs w:val="36"/>
          <w:highlight w:val="none"/>
        </w:rPr>
        <w:br w:type="page"/>
      </w:r>
      <w:bookmarkStart w:id="369" w:name="_Toc44700105"/>
      <w:bookmarkStart w:id="370" w:name="_Toc18275"/>
      <w:r>
        <w:rPr>
          <w:rFonts w:hint="eastAsia" w:ascii="宋体" w:hAnsi="宋体" w:eastAsia="宋体" w:cs="宋体"/>
          <w:b/>
          <w:color w:val="auto"/>
          <w:kern w:val="0"/>
          <w:sz w:val="36"/>
          <w:szCs w:val="21"/>
          <w:highlight w:val="none"/>
          <w:lang w:val="en-US" w:eastAsia="zh-CN"/>
        </w:rPr>
        <w:t>★8.7符合磋商文件第二章“供应商须知前附表”4.1中第</w:t>
      </w:r>
      <w:r>
        <w:rPr>
          <w:rFonts w:hint="eastAsia" w:ascii="宋体" w:hAnsi="宋体" w:eastAsia="宋体" w:cs="宋体"/>
          <w:b/>
          <w:color w:val="auto"/>
          <w:kern w:val="0"/>
          <w:sz w:val="36"/>
          <w:szCs w:val="21"/>
          <w:highlight w:val="none"/>
        </w:rPr>
        <w:t>3条的证明材料；</w:t>
      </w:r>
      <w:bookmarkEnd w:id="369"/>
      <w:bookmarkEnd w:id="370"/>
    </w:p>
    <w:p w14:paraId="49FEEB65">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会计师事务所执业证书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475D2392">
      <w:pPr>
        <w:spacing w:line="600" w:lineRule="exact"/>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（2）项目负责人必须具有注册会计师证书，且在有效期内。</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注册会计师证书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0B899D2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1" w:name="_Toc7135"/>
      <w:bookmarkStart w:id="372" w:name="_Toc44700106"/>
      <w:r>
        <w:rPr>
          <w:rFonts w:hint="eastAsia" w:ascii="宋体" w:hAnsi="宋体" w:eastAsia="宋体" w:cs="宋体"/>
          <w:b/>
          <w:color w:val="auto"/>
          <w:kern w:val="0"/>
          <w:sz w:val="36"/>
          <w:szCs w:val="21"/>
          <w:highlight w:val="none"/>
          <w:lang w:val="en-US" w:eastAsia="zh-CN"/>
        </w:rPr>
        <w:t>★8.8响应承诺书</w:t>
      </w:r>
      <w:bookmarkEnd w:id="371"/>
      <w:bookmarkEnd w:id="372"/>
    </w:p>
    <w:p w14:paraId="110CBF7A">
      <w:pPr>
        <w:spacing w:line="360" w:lineRule="auto"/>
        <w:rPr>
          <w:rFonts w:hint="eastAsia" w:ascii="宋体" w:hAnsi="宋体" w:eastAsia="宋体" w:cs="宋体"/>
          <w:color w:val="auto"/>
          <w:sz w:val="24"/>
          <w:szCs w:val="24"/>
          <w:highlight w:val="none"/>
        </w:rPr>
      </w:pPr>
    </w:p>
    <w:p w14:paraId="3072F6F5">
      <w:pPr>
        <w:spacing w:line="360" w:lineRule="auto"/>
        <w:rPr>
          <w:rFonts w:hint="eastAsia" w:ascii="宋体" w:hAnsi="宋体" w:eastAsia="宋体" w:cs="宋体"/>
          <w:color w:val="auto"/>
          <w:sz w:val="24"/>
          <w:szCs w:val="24"/>
          <w:highlight w:val="none"/>
        </w:rPr>
      </w:pPr>
    </w:p>
    <w:p w14:paraId="2D76B7C4">
      <w:pPr>
        <w:spacing w:line="360" w:lineRule="auto"/>
        <w:rPr>
          <w:rFonts w:hint="eastAsia" w:ascii="宋体" w:hAnsi="宋体" w:eastAsia="宋体" w:cs="宋体"/>
          <w:color w:val="auto"/>
          <w:sz w:val="24"/>
          <w:szCs w:val="24"/>
          <w:highlight w:val="none"/>
        </w:rPr>
      </w:pPr>
    </w:p>
    <w:p w14:paraId="4D38A9FA">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乌鲁木齐高新建设工程项目管理咨询有限公司</w:t>
      </w:r>
    </w:p>
    <w:p w14:paraId="0574FF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w:t>
      </w:r>
    </w:p>
    <w:p w14:paraId="7991AA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w:t>
      </w:r>
      <w:r>
        <w:rPr>
          <w:rFonts w:hint="eastAsia" w:ascii="宋体" w:hAnsi="宋体" w:eastAsia="宋体" w:cs="宋体"/>
          <w:color w:val="auto"/>
          <w:sz w:val="24"/>
          <w:szCs w:val="24"/>
          <w:highlight w:val="none"/>
          <w:u w:val="single"/>
        </w:rPr>
        <w:t>（以/不以）</w:t>
      </w:r>
      <w:r>
        <w:rPr>
          <w:rFonts w:hint="eastAsia" w:ascii="宋体" w:hAnsi="宋体" w:eastAsia="宋体" w:cs="宋体"/>
          <w:color w:val="auto"/>
          <w:sz w:val="24"/>
          <w:szCs w:val="24"/>
          <w:highlight w:val="none"/>
        </w:rPr>
        <w:t>联合体方式参与磋商。</w:t>
      </w:r>
    </w:p>
    <w:p w14:paraId="73A69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hint="eastAsia" w:ascii="宋体" w:hAnsi="宋体" w:eastAsia="宋体" w:cs="宋体"/>
          <w:color w:val="auto"/>
          <w:sz w:val="24"/>
          <w:szCs w:val="24"/>
          <w:highlight w:val="none"/>
          <w:u w:val="single"/>
        </w:rPr>
        <w:t>（业主单位名称）</w:t>
      </w:r>
      <w:r>
        <w:rPr>
          <w:rFonts w:hint="eastAsia" w:ascii="宋体" w:hAnsi="宋体" w:eastAsia="宋体" w:cs="宋体"/>
          <w:color w:val="auto"/>
          <w:sz w:val="24"/>
          <w:szCs w:val="24"/>
          <w:highlight w:val="none"/>
        </w:rPr>
        <w:t>政府采购活动的处理，并承担由此带来的一切法律后果。</w:t>
      </w:r>
    </w:p>
    <w:p w14:paraId="0400ABFA">
      <w:pPr>
        <w:pStyle w:val="20"/>
        <w:spacing w:line="360" w:lineRule="auto"/>
        <w:rPr>
          <w:rFonts w:hint="eastAsia" w:ascii="宋体" w:hAnsi="宋体" w:eastAsia="宋体" w:cs="宋体"/>
          <w:color w:val="auto"/>
          <w:highlight w:val="none"/>
        </w:rPr>
      </w:pPr>
    </w:p>
    <w:p w14:paraId="2DD3022C">
      <w:pPr>
        <w:spacing w:line="360" w:lineRule="auto"/>
        <w:rPr>
          <w:rFonts w:hint="eastAsia" w:ascii="宋体" w:hAnsi="宋体" w:eastAsia="宋体" w:cs="宋体"/>
          <w:color w:val="auto"/>
          <w:sz w:val="24"/>
          <w:szCs w:val="24"/>
          <w:highlight w:val="none"/>
        </w:rPr>
      </w:pPr>
    </w:p>
    <w:p w14:paraId="4319F779">
      <w:pPr>
        <w:spacing w:line="360" w:lineRule="auto"/>
        <w:rPr>
          <w:rFonts w:hint="eastAsia" w:ascii="宋体" w:hAnsi="宋体" w:eastAsia="宋体" w:cs="宋体"/>
          <w:color w:val="auto"/>
          <w:sz w:val="24"/>
          <w:szCs w:val="24"/>
          <w:highlight w:val="none"/>
        </w:rPr>
      </w:pPr>
    </w:p>
    <w:p w14:paraId="482D7A74">
      <w:pPr>
        <w:spacing w:line="360" w:lineRule="auto"/>
        <w:rPr>
          <w:rFonts w:hint="eastAsia" w:ascii="宋体" w:hAnsi="宋体" w:eastAsia="宋体" w:cs="宋体"/>
          <w:color w:val="auto"/>
          <w:sz w:val="24"/>
          <w:szCs w:val="24"/>
          <w:highlight w:val="none"/>
        </w:rPr>
      </w:pPr>
    </w:p>
    <w:p w14:paraId="3A1F9ACC">
      <w:pPr>
        <w:spacing w:line="360" w:lineRule="auto"/>
        <w:rPr>
          <w:rFonts w:hint="eastAsia" w:ascii="宋体" w:hAnsi="宋体" w:eastAsia="宋体" w:cs="宋体"/>
          <w:color w:val="auto"/>
          <w:sz w:val="24"/>
          <w:szCs w:val="24"/>
          <w:highlight w:val="none"/>
        </w:rPr>
      </w:pPr>
    </w:p>
    <w:p w14:paraId="0E8F2D70">
      <w:pPr>
        <w:spacing w:line="360" w:lineRule="auto"/>
        <w:rPr>
          <w:rFonts w:hint="eastAsia" w:ascii="宋体" w:hAnsi="宋体" w:eastAsia="宋体" w:cs="宋体"/>
          <w:color w:val="auto"/>
          <w:sz w:val="24"/>
          <w:szCs w:val="24"/>
          <w:highlight w:val="none"/>
        </w:rPr>
      </w:pPr>
    </w:p>
    <w:p w14:paraId="6230287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20884EA7">
      <w:pPr>
        <w:pStyle w:val="20"/>
        <w:spacing w:line="360" w:lineRule="auto"/>
        <w:rPr>
          <w:rFonts w:hint="eastAsia" w:ascii="宋体" w:hAnsi="宋体" w:eastAsia="宋体" w:cs="宋体"/>
          <w:color w:val="auto"/>
          <w:highlight w:val="none"/>
        </w:rPr>
      </w:pPr>
    </w:p>
    <w:p w14:paraId="1C3485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5D236BE">
      <w:pPr>
        <w:pStyle w:val="20"/>
        <w:spacing w:line="360" w:lineRule="auto"/>
        <w:rPr>
          <w:rFonts w:hint="eastAsia" w:ascii="宋体" w:hAnsi="宋体" w:eastAsia="宋体" w:cs="宋体"/>
          <w:color w:val="auto"/>
          <w:highlight w:val="none"/>
        </w:rPr>
      </w:pPr>
    </w:p>
    <w:p w14:paraId="106F9E2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DFCACF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3" w:name="_Toc44700107"/>
      <w:bookmarkStart w:id="374" w:name="_Toc12748"/>
      <w:r>
        <w:rPr>
          <w:rFonts w:hint="eastAsia" w:ascii="宋体" w:hAnsi="宋体" w:eastAsia="宋体" w:cs="宋体"/>
          <w:b/>
          <w:color w:val="auto"/>
          <w:kern w:val="0"/>
          <w:sz w:val="36"/>
          <w:szCs w:val="21"/>
          <w:highlight w:val="none"/>
          <w:lang w:val="en-US" w:eastAsia="zh-CN"/>
        </w:rPr>
        <w:t>★8.9磋商保证金凭证</w:t>
      </w:r>
      <w:bookmarkEnd w:id="373"/>
      <w:bookmarkEnd w:id="374"/>
    </w:p>
    <w:p w14:paraId="0B179DBE">
      <w:pPr>
        <w:spacing w:line="360" w:lineRule="auto"/>
        <w:ind w:firstLine="420" w:firstLineChars="200"/>
        <w:rPr>
          <w:rFonts w:hint="eastAsia" w:ascii="宋体" w:hAnsi="宋体" w:eastAsia="宋体" w:cs="宋体"/>
          <w:color w:val="auto"/>
          <w:highlight w:val="none"/>
        </w:rPr>
      </w:pPr>
    </w:p>
    <w:p w14:paraId="241B6AA4">
      <w:pPr>
        <w:spacing w:line="360" w:lineRule="auto"/>
        <w:ind w:firstLine="420" w:firstLineChars="200"/>
        <w:rPr>
          <w:rFonts w:hint="eastAsia" w:ascii="宋体" w:hAnsi="宋体" w:eastAsia="宋体" w:cs="宋体"/>
          <w:color w:val="auto"/>
          <w:highlight w:val="none"/>
        </w:rPr>
      </w:pPr>
    </w:p>
    <w:p w14:paraId="5A6F79B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加盖单位公章</w:t>
      </w:r>
      <w:r>
        <w:rPr>
          <w:rFonts w:hint="eastAsia" w:ascii="宋体" w:hAnsi="宋体" w:eastAsia="宋体" w:cs="宋体"/>
          <w:color w:val="auto"/>
          <w:highlight w:val="none"/>
          <w:lang w:val="en-US" w:eastAsia="zh-CN"/>
        </w:rPr>
        <w:t>或电子章</w:t>
      </w:r>
    </w:p>
    <w:p w14:paraId="0516CCBE">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kern w:val="0"/>
          <w:sz w:val="20"/>
          <w:highlight w:val="none"/>
        </w:rPr>
        <w:br w:type="page"/>
      </w:r>
      <w:bookmarkStart w:id="375" w:name="_Toc44700108"/>
      <w:bookmarkStart w:id="376" w:name="_Toc11797"/>
      <w:r>
        <w:rPr>
          <w:rFonts w:hint="eastAsia" w:ascii="宋体" w:hAnsi="宋体" w:eastAsia="宋体" w:cs="宋体"/>
          <w:b/>
          <w:color w:val="auto"/>
          <w:kern w:val="0"/>
          <w:sz w:val="36"/>
          <w:szCs w:val="21"/>
          <w:highlight w:val="none"/>
          <w:lang w:val="en-US" w:eastAsia="zh-CN"/>
        </w:rPr>
        <w:t>8.10供应商基本情况表</w:t>
      </w:r>
      <w:bookmarkEnd w:id="375"/>
      <w:bookmarkEnd w:id="376"/>
    </w:p>
    <w:p w14:paraId="4C458086">
      <w:pPr>
        <w:autoSpaceDE w:val="0"/>
        <w:autoSpaceDN w:val="0"/>
        <w:adjustRightInd w:val="0"/>
        <w:spacing w:line="360" w:lineRule="auto"/>
        <w:ind w:right="105" w:rightChars="50" w:firstLine="602" w:firstLineChars="200"/>
        <w:jc w:val="center"/>
        <w:rPr>
          <w:rFonts w:hint="eastAsia" w:ascii="宋体" w:hAnsi="宋体" w:eastAsia="宋体" w:cs="宋体"/>
          <w:b/>
          <w:color w:val="auto"/>
          <w:kern w:val="0"/>
          <w:sz w:val="30"/>
          <w:szCs w:val="30"/>
          <w:highlight w:val="none"/>
          <w:lang w:val="zh-CN"/>
        </w:rPr>
      </w:pPr>
      <w:bookmarkStart w:id="377" w:name="_Toc387414793"/>
      <w:r>
        <w:rPr>
          <w:rFonts w:hint="eastAsia" w:ascii="宋体" w:hAnsi="宋体" w:eastAsia="宋体" w:cs="宋体"/>
          <w:b/>
          <w:color w:val="auto"/>
          <w:kern w:val="0"/>
          <w:sz w:val="30"/>
          <w:szCs w:val="30"/>
          <w:highlight w:val="none"/>
          <w:lang w:val="zh-CN"/>
        </w:rPr>
        <w:t>供应商基本情况表</w:t>
      </w:r>
      <w:bookmarkEnd w:id="377"/>
    </w:p>
    <w:p w14:paraId="4A8FE3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（必须包括以下内容，可以扩充；）</w:t>
      </w:r>
    </w:p>
    <w:tbl>
      <w:tblPr>
        <w:tblStyle w:val="53"/>
        <w:tblW w:w="0" w:type="auto"/>
        <w:jc w:val="center"/>
        <w:tblLayout w:type="fixed"/>
        <w:tblCellMar>
          <w:top w:w="0" w:type="dxa"/>
          <w:left w:w="108" w:type="dxa"/>
          <w:bottom w:w="0" w:type="dxa"/>
          <w:right w:w="108" w:type="dxa"/>
        </w:tblCellMar>
      </w:tblPr>
      <w:tblGrid>
        <w:gridCol w:w="996"/>
        <w:gridCol w:w="3388"/>
        <w:gridCol w:w="4410"/>
      </w:tblGrid>
      <w:tr w14:paraId="248D637B">
        <w:tblPrEx>
          <w:tblCellMar>
            <w:top w:w="0" w:type="dxa"/>
            <w:left w:w="108" w:type="dxa"/>
            <w:bottom w:w="0" w:type="dxa"/>
            <w:right w:w="108" w:type="dxa"/>
          </w:tblCellMar>
        </w:tblPrEx>
        <w:trPr>
          <w:trHeight w:val="649" w:hRule="atLeast"/>
          <w:jc w:val="center"/>
        </w:trPr>
        <w:tc>
          <w:tcPr>
            <w:tcW w:w="4384" w:type="dxa"/>
            <w:gridSpan w:val="2"/>
            <w:tcBorders>
              <w:top w:val="single" w:color="auto" w:sz="8" w:space="0"/>
              <w:left w:val="single" w:color="auto" w:sz="8" w:space="0"/>
              <w:bottom w:val="nil"/>
              <w:right w:val="nil"/>
            </w:tcBorders>
            <w:noWrap w:val="0"/>
            <w:vAlign w:val="center"/>
          </w:tcPr>
          <w:p w14:paraId="147D095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供应商名称</w:t>
            </w:r>
          </w:p>
        </w:tc>
        <w:tc>
          <w:tcPr>
            <w:tcW w:w="4410" w:type="dxa"/>
            <w:tcBorders>
              <w:top w:val="single" w:color="auto" w:sz="8" w:space="0"/>
              <w:left w:val="single" w:color="auto" w:sz="8" w:space="0"/>
              <w:bottom w:val="nil"/>
              <w:right w:val="single" w:color="auto" w:sz="8" w:space="0"/>
            </w:tcBorders>
            <w:noWrap w:val="0"/>
            <w:vAlign w:val="center"/>
          </w:tcPr>
          <w:p w14:paraId="666A096C">
            <w:pPr>
              <w:widowControl/>
              <w:spacing w:line="360" w:lineRule="auto"/>
              <w:jc w:val="center"/>
              <w:rPr>
                <w:rFonts w:hint="eastAsia" w:ascii="宋体" w:hAnsi="宋体" w:eastAsia="宋体" w:cs="宋体"/>
                <w:color w:val="auto"/>
                <w:kern w:val="0"/>
                <w:szCs w:val="21"/>
                <w:highlight w:val="none"/>
              </w:rPr>
            </w:pPr>
          </w:p>
        </w:tc>
      </w:tr>
      <w:tr w14:paraId="540A81F1">
        <w:tblPrEx>
          <w:tblCellMar>
            <w:top w:w="0" w:type="dxa"/>
            <w:left w:w="108" w:type="dxa"/>
            <w:bottom w:w="0" w:type="dxa"/>
            <w:right w:w="108" w:type="dxa"/>
          </w:tblCellMar>
        </w:tblPrEx>
        <w:trPr>
          <w:trHeight w:val="559" w:hRule="atLeast"/>
          <w:jc w:val="center"/>
        </w:trPr>
        <w:tc>
          <w:tcPr>
            <w:tcW w:w="996" w:type="dxa"/>
            <w:vMerge w:val="restart"/>
            <w:tcBorders>
              <w:top w:val="single" w:color="auto" w:sz="8" w:space="0"/>
              <w:left w:val="single" w:color="auto" w:sz="8" w:space="0"/>
              <w:right w:val="single" w:color="auto" w:sz="4" w:space="0"/>
            </w:tcBorders>
            <w:noWrap w:val="0"/>
            <w:vAlign w:val="center"/>
          </w:tcPr>
          <w:p w14:paraId="3E91736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供应商基本情况</w:t>
            </w:r>
          </w:p>
        </w:tc>
        <w:tc>
          <w:tcPr>
            <w:tcW w:w="3388" w:type="dxa"/>
            <w:tcBorders>
              <w:top w:val="single" w:color="auto" w:sz="8" w:space="0"/>
              <w:left w:val="nil"/>
              <w:bottom w:val="single" w:color="auto" w:sz="4" w:space="0"/>
              <w:right w:val="nil"/>
            </w:tcBorders>
            <w:noWrap w:val="0"/>
            <w:vAlign w:val="center"/>
          </w:tcPr>
          <w:p w14:paraId="439A87F2">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4410" w:type="dxa"/>
            <w:tcBorders>
              <w:top w:val="single" w:color="auto" w:sz="8" w:space="0"/>
              <w:left w:val="single" w:color="auto" w:sz="8" w:space="0"/>
              <w:bottom w:val="single" w:color="auto" w:sz="4" w:space="0"/>
              <w:right w:val="single" w:color="auto" w:sz="8" w:space="0"/>
            </w:tcBorders>
            <w:noWrap w:val="0"/>
            <w:vAlign w:val="center"/>
          </w:tcPr>
          <w:p w14:paraId="48E2FC67">
            <w:pPr>
              <w:widowControl/>
              <w:spacing w:line="360" w:lineRule="auto"/>
              <w:jc w:val="center"/>
              <w:rPr>
                <w:rFonts w:hint="eastAsia" w:ascii="宋体" w:hAnsi="宋体" w:eastAsia="宋体" w:cs="宋体"/>
                <w:color w:val="auto"/>
                <w:kern w:val="0"/>
                <w:szCs w:val="21"/>
                <w:highlight w:val="none"/>
              </w:rPr>
            </w:pPr>
          </w:p>
        </w:tc>
      </w:tr>
      <w:tr w14:paraId="0621C755">
        <w:tblPrEx>
          <w:tblCellMar>
            <w:top w:w="0" w:type="dxa"/>
            <w:left w:w="108" w:type="dxa"/>
            <w:bottom w:w="0" w:type="dxa"/>
            <w:right w:w="108" w:type="dxa"/>
          </w:tblCellMar>
        </w:tblPrEx>
        <w:trPr>
          <w:trHeight w:val="605" w:hRule="atLeast"/>
          <w:jc w:val="center"/>
        </w:trPr>
        <w:tc>
          <w:tcPr>
            <w:tcW w:w="996" w:type="dxa"/>
            <w:vMerge w:val="continue"/>
            <w:tcBorders>
              <w:left w:val="single" w:color="auto" w:sz="8" w:space="0"/>
              <w:right w:val="single" w:color="auto" w:sz="4" w:space="0"/>
            </w:tcBorders>
            <w:noWrap w:val="0"/>
            <w:vAlign w:val="center"/>
          </w:tcPr>
          <w:p w14:paraId="0C62289C">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7151BCC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注册地点</w:t>
            </w:r>
          </w:p>
        </w:tc>
        <w:tc>
          <w:tcPr>
            <w:tcW w:w="4410" w:type="dxa"/>
            <w:tcBorders>
              <w:top w:val="nil"/>
              <w:left w:val="single" w:color="auto" w:sz="8" w:space="0"/>
              <w:bottom w:val="single" w:color="auto" w:sz="4" w:space="0"/>
              <w:right w:val="single" w:color="auto" w:sz="8" w:space="0"/>
            </w:tcBorders>
            <w:noWrap w:val="0"/>
            <w:vAlign w:val="center"/>
          </w:tcPr>
          <w:p w14:paraId="48EBCACF">
            <w:pPr>
              <w:widowControl/>
              <w:spacing w:line="360" w:lineRule="auto"/>
              <w:jc w:val="center"/>
              <w:rPr>
                <w:rFonts w:hint="eastAsia" w:ascii="宋体" w:hAnsi="宋体" w:eastAsia="宋体" w:cs="宋体"/>
                <w:color w:val="auto"/>
                <w:kern w:val="0"/>
                <w:szCs w:val="21"/>
                <w:highlight w:val="none"/>
              </w:rPr>
            </w:pPr>
          </w:p>
        </w:tc>
      </w:tr>
      <w:tr w14:paraId="5AFE1C76">
        <w:tblPrEx>
          <w:tblCellMar>
            <w:top w:w="0" w:type="dxa"/>
            <w:left w:w="108" w:type="dxa"/>
            <w:bottom w:w="0" w:type="dxa"/>
            <w:right w:w="108" w:type="dxa"/>
          </w:tblCellMar>
        </w:tblPrEx>
        <w:trPr>
          <w:trHeight w:val="613" w:hRule="atLeast"/>
          <w:jc w:val="center"/>
        </w:trPr>
        <w:tc>
          <w:tcPr>
            <w:tcW w:w="996" w:type="dxa"/>
            <w:vMerge w:val="continue"/>
            <w:tcBorders>
              <w:left w:val="single" w:color="auto" w:sz="8" w:space="0"/>
              <w:right w:val="single" w:color="auto" w:sz="4" w:space="0"/>
            </w:tcBorders>
            <w:noWrap w:val="0"/>
            <w:vAlign w:val="center"/>
          </w:tcPr>
          <w:p w14:paraId="068789E5">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30A1F99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4410" w:type="dxa"/>
            <w:tcBorders>
              <w:top w:val="nil"/>
              <w:left w:val="single" w:color="auto" w:sz="8" w:space="0"/>
              <w:bottom w:val="single" w:color="auto" w:sz="4" w:space="0"/>
              <w:right w:val="single" w:color="auto" w:sz="8" w:space="0"/>
            </w:tcBorders>
            <w:noWrap w:val="0"/>
            <w:vAlign w:val="center"/>
          </w:tcPr>
          <w:p w14:paraId="770B8C7F">
            <w:pPr>
              <w:widowControl/>
              <w:spacing w:line="360" w:lineRule="auto"/>
              <w:jc w:val="center"/>
              <w:rPr>
                <w:rFonts w:hint="eastAsia" w:ascii="宋体" w:hAnsi="宋体" w:eastAsia="宋体" w:cs="宋体"/>
                <w:color w:val="auto"/>
                <w:kern w:val="0"/>
                <w:szCs w:val="21"/>
                <w:highlight w:val="none"/>
              </w:rPr>
            </w:pPr>
          </w:p>
        </w:tc>
      </w:tr>
      <w:tr w14:paraId="73C516AD">
        <w:tblPrEx>
          <w:tblCellMar>
            <w:top w:w="0" w:type="dxa"/>
            <w:left w:w="108" w:type="dxa"/>
            <w:bottom w:w="0" w:type="dxa"/>
            <w:right w:w="108" w:type="dxa"/>
          </w:tblCellMar>
        </w:tblPrEx>
        <w:trPr>
          <w:trHeight w:val="621" w:hRule="atLeast"/>
          <w:jc w:val="center"/>
        </w:trPr>
        <w:tc>
          <w:tcPr>
            <w:tcW w:w="996" w:type="dxa"/>
            <w:vMerge w:val="continue"/>
            <w:tcBorders>
              <w:left w:val="single" w:color="auto" w:sz="8" w:space="0"/>
              <w:right w:val="single" w:color="auto" w:sz="4" w:space="0"/>
            </w:tcBorders>
            <w:noWrap w:val="0"/>
            <w:vAlign w:val="center"/>
          </w:tcPr>
          <w:p w14:paraId="30828EF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5950085D">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股份构成</w:t>
            </w:r>
          </w:p>
        </w:tc>
        <w:tc>
          <w:tcPr>
            <w:tcW w:w="4410" w:type="dxa"/>
            <w:tcBorders>
              <w:top w:val="nil"/>
              <w:left w:val="single" w:color="auto" w:sz="8" w:space="0"/>
              <w:bottom w:val="single" w:color="auto" w:sz="4" w:space="0"/>
              <w:right w:val="single" w:color="auto" w:sz="8" w:space="0"/>
            </w:tcBorders>
            <w:noWrap w:val="0"/>
            <w:vAlign w:val="center"/>
          </w:tcPr>
          <w:p w14:paraId="7F804AD2">
            <w:pPr>
              <w:widowControl/>
              <w:spacing w:line="360" w:lineRule="auto"/>
              <w:jc w:val="center"/>
              <w:rPr>
                <w:rFonts w:hint="eastAsia" w:ascii="宋体" w:hAnsi="宋体" w:eastAsia="宋体" w:cs="宋体"/>
                <w:color w:val="auto"/>
                <w:kern w:val="0"/>
                <w:szCs w:val="21"/>
                <w:highlight w:val="none"/>
              </w:rPr>
            </w:pPr>
          </w:p>
        </w:tc>
      </w:tr>
      <w:tr w14:paraId="08583C72">
        <w:tblPrEx>
          <w:tblCellMar>
            <w:top w:w="0" w:type="dxa"/>
            <w:left w:w="108" w:type="dxa"/>
            <w:bottom w:w="0" w:type="dxa"/>
            <w:right w:w="108" w:type="dxa"/>
          </w:tblCellMar>
        </w:tblPrEx>
        <w:trPr>
          <w:trHeight w:val="614" w:hRule="atLeast"/>
          <w:jc w:val="center"/>
        </w:trPr>
        <w:tc>
          <w:tcPr>
            <w:tcW w:w="996" w:type="dxa"/>
            <w:vMerge w:val="continue"/>
            <w:tcBorders>
              <w:left w:val="single" w:color="auto" w:sz="8" w:space="0"/>
              <w:right w:val="single" w:color="auto" w:sz="4" w:space="0"/>
            </w:tcBorders>
            <w:noWrap w:val="0"/>
            <w:vAlign w:val="center"/>
          </w:tcPr>
          <w:p w14:paraId="53B6299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143601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4410" w:type="dxa"/>
            <w:tcBorders>
              <w:top w:val="nil"/>
              <w:left w:val="single" w:color="auto" w:sz="8" w:space="0"/>
              <w:bottom w:val="single" w:color="auto" w:sz="4" w:space="0"/>
              <w:right w:val="single" w:color="auto" w:sz="8" w:space="0"/>
            </w:tcBorders>
            <w:noWrap w:val="0"/>
            <w:vAlign w:val="center"/>
          </w:tcPr>
          <w:p w14:paraId="4083CF18">
            <w:pPr>
              <w:widowControl/>
              <w:spacing w:line="360" w:lineRule="auto"/>
              <w:jc w:val="center"/>
              <w:rPr>
                <w:rFonts w:hint="eastAsia" w:ascii="宋体" w:hAnsi="宋体" w:eastAsia="宋体" w:cs="宋体"/>
                <w:color w:val="auto"/>
                <w:kern w:val="0"/>
                <w:szCs w:val="21"/>
                <w:highlight w:val="none"/>
              </w:rPr>
            </w:pPr>
          </w:p>
        </w:tc>
      </w:tr>
      <w:tr w14:paraId="08B5D744">
        <w:tblPrEx>
          <w:tblCellMar>
            <w:top w:w="0" w:type="dxa"/>
            <w:left w:w="108" w:type="dxa"/>
            <w:bottom w:w="0" w:type="dxa"/>
            <w:right w:w="108" w:type="dxa"/>
          </w:tblCellMar>
        </w:tblPrEx>
        <w:trPr>
          <w:trHeight w:val="608" w:hRule="atLeast"/>
          <w:jc w:val="center"/>
        </w:trPr>
        <w:tc>
          <w:tcPr>
            <w:tcW w:w="996" w:type="dxa"/>
            <w:vMerge w:val="continue"/>
            <w:tcBorders>
              <w:left w:val="single" w:color="auto" w:sz="8" w:space="0"/>
              <w:right w:val="single" w:color="auto" w:sz="4" w:space="0"/>
            </w:tcBorders>
            <w:noWrap w:val="0"/>
            <w:vAlign w:val="center"/>
          </w:tcPr>
          <w:p w14:paraId="346B55E6">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799EBEC">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资质认证</w:t>
            </w:r>
          </w:p>
        </w:tc>
        <w:tc>
          <w:tcPr>
            <w:tcW w:w="4410" w:type="dxa"/>
            <w:tcBorders>
              <w:top w:val="nil"/>
              <w:left w:val="single" w:color="auto" w:sz="8" w:space="0"/>
              <w:bottom w:val="single" w:color="auto" w:sz="4" w:space="0"/>
              <w:right w:val="single" w:color="auto" w:sz="8" w:space="0"/>
            </w:tcBorders>
            <w:noWrap w:val="0"/>
            <w:vAlign w:val="center"/>
          </w:tcPr>
          <w:p w14:paraId="6911D4E6">
            <w:pPr>
              <w:widowControl/>
              <w:spacing w:line="360" w:lineRule="auto"/>
              <w:jc w:val="center"/>
              <w:rPr>
                <w:rFonts w:hint="eastAsia" w:ascii="宋体" w:hAnsi="宋体" w:eastAsia="宋体" w:cs="宋体"/>
                <w:color w:val="auto"/>
                <w:kern w:val="0"/>
                <w:szCs w:val="21"/>
                <w:highlight w:val="none"/>
              </w:rPr>
            </w:pPr>
          </w:p>
        </w:tc>
      </w:tr>
      <w:tr w14:paraId="7FD5FB50">
        <w:tblPrEx>
          <w:tblCellMar>
            <w:top w:w="0" w:type="dxa"/>
            <w:left w:w="108" w:type="dxa"/>
            <w:bottom w:w="0" w:type="dxa"/>
            <w:right w:w="108" w:type="dxa"/>
          </w:tblCellMar>
        </w:tblPrEx>
        <w:trPr>
          <w:trHeight w:val="616" w:hRule="atLeast"/>
          <w:jc w:val="center"/>
        </w:trPr>
        <w:tc>
          <w:tcPr>
            <w:tcW w:w="996" w:type="dxa"/>
            <w:vMerge w:val="continue"/>
            <w:tcBorders>
              <w:left w:val="single" w:color="auto" w:sz="8" w:space="0"/>
              <w:right w:val="single" w:color="auto" w:sz="4" w:space="0"/>
            </w:tcBorders>
            <w:noWrap w:val="0"/>
            <w:vAlign w:val="center"/>
          </w:tcPr>
          <w:p w14:paraId="083DDCD7">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72DB7E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员工总人数及学历分布情况</w:t>
            </w:r>
          </w:p>
        </w:tc>
        <w:tc>
          <w:tcPr>
            <w:tcW w:w="4410" w:type="dxa"/>
            <w:tcBorders>
              <w:top w:val="nil"/>
              <w:left w:val="single" w:color="auto" w:sz="8" w:space="0"/>
              <w:bottom w:val="single" w:color="auto" w:sz="4" w:space="0"/>
              <w:right w:val="single" w:color="auto" w:sz="8" w:space="0"/>
            </w:tcBorders>
            <w:noWrap w:val="0"/>
            <w:vAlign w:val="center"/>
          </w:tcPr>
          <w:p w14:paraId="222FD928">
            <w:pPr>
              <w:widowControl/>
              <w:spacing w:line="360" w:lineRule="auto"/>
              <w:jc w:val="center"/>
              <w:rPr>
                <w:rFonts w:hint="eastAsia" w:ascii="宋体" w:hAnsi="宋体" w:eastAsia="宋体" w:cs="宋体"/>
                <w:color w:val="auto"/>
                <w:kern w:val="0"/>
                <w:szCs w:val="21"/>
                <w:highlight w:val="none"/>
              </w:rPr>
            </w:pPr>
          </w:p>
        </w:tc>
      </w:tr>
      <w:tr w14:paraId="6BD31229">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right w:val="single" w:color="auto" w:sz="4" w:space="0"/>
            </w:tcBorders>
            <w:noWrap w:val="0"/>
            <w:vAlign w:val="center"/>
          </w:tcPr>
          <w:p w14:paraId="1161A3B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EF62EB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人员分布情况</w:t>
            </w:r>
          </w:p>
        </w:tc>
        <w:tc>
          <w:tcPr>
            <w:tcW w:w="4410" w:type="dxa"/>
            <w:tcBorders>
              <w:top w:val="nil"/>
              <w:left w:val="single" w:color="auto" w:sz="8" w:space="0"/>
              <w:bottom w:val="single" w:color="auto" w:sz="4" w:space="0"/>
              <w:right w:val="single" w:color="auto" w:sz="8" w:space="0"/>
            </w:tcBorders>
            <w:noWrap w:val="0"/>
            <w:vAlign w:val="center"/>
          </w:tcPr>
          <w:p w14:paraId="21098D2C">
            <w:pPr>
              <w:widowControl/>
              <w:spacing w:line="360" w:lineRule="auto"/>
              <w:jc w:val="center"/>
              <w:rPr>
                <w:rFonts w:hint="eastAsia" w:ascii="宋体" w:hAnsi="宋体" w:eastAsia="宋体" w:cs="宋体"/>
                <w:color w:val="auto"/>
                <w:kern w:val="0"/>
                <w:szCs w:val="21"/>
                <w:highlight w:val="none"/>
              </w:rPr>
            </w:pPr>
          </w:p>
        </w:tc>
      </w:tr>
      <w:tr w14:paraId="28B614A4">
        <w:tblPrEx>
          <w:tblCellMar>
            <w:top w:w="0" w:type="dxa"/>
            <w:left w:w="108" w:type="dxa"/>
            <w:bottom w:w="0" w:type="dxa"/>
            <w:right w:w="108" w:type="dxa"/>
          </w:tblCellMar>
        </w:tblPrEx>
        <w:trPr>
          <w:trHeight w:val="772"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6024752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single" w:color="auto" w:sz="4" w:space="0"/>
            </w:tcBorders>
            <w:noWrap w:val="0"/>
            <w:vAlign w:val="center"/>
          </w:tcPr>
          <w:p w14:paraId="25800728">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最近三年国内外业绩简介</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1789E384">
            <w:pPr>
              <w:widowControl/>
              <w:spacing w:line="360" w:lineRule="auto"/>
              <w:jc w:val="center"/>
              <w:rPr>
                <w:rFonts w:hint="eastAsia" w:ascii="宋体" w:hAnsi="宋体" w:eastAsia="宋体" w:cs="宋体"/>
                <w:color w:val="auto"/>
                <w:kern w:val="0"/>
                <w:szCs w:val="21"/>
                <w:highlight w:val="none"/>
              </w:rPr>
            </w:pPr>
          </w:p>
        </w:tc>
      </w:tr>
      <w:tr w14:paraId="10D8B9C6">
        <w:tblPrEx>
          <w:tblCellMar>
            <w:top w:w="0" w:type="dxa"/>
            <w:left w:w="108" w:type="dxa"/>
            <w:bottom w:w="0" w:type="dxa"/>
            <w:right w:w="108" w:type="dxa"/>
          </w:tblCellMar>
        </w:tblPrEx>
        <w:trPr>
          <w:trHeight w:val="700" w:hRule="atLeast"/>
          <w:jc w:val="center"/>
        </w:trPr>
        <w:tc>
          <w:tcPr>
            <w:tcW w:w="996" w:type="dxa"/>
            <w:vMerge w:val="restart"/>
            <w:tcBorders>
              <w:top w:val="nil"/>
              <w:left w:val="single" w:color="auto" w:sz="8" w:space="0"/>
              <w:right w:val="single" w:color="auto" w:sz="4" w:space="0"/>
            </w:tcBorders>
            <w:noWrap w:val="0"/>
            <w:vAlign w:val="center"/>
          </w:tcPr>
          <w:p w14:paraId="5672606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近</w:t>
            </w:r>
          </w:p>
          <w:p w14:paraId="48C609F3">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3年的经营情况</w:t>
            </w:r>
          </w:p>
        </w:tc>
        <w:tc>
          <w:tcPr>
            <w:tcW w:w="3388" w:type="dxa"/>
            <w:tcBorders>
              <w:top w:val="single" w:color="auto" w:sz="4" w:space="0"/>
              <w:left w:val="nil"/>
              <w:bottom w:val="single" w:color="auto" w:sz="4" w:space="0"/>
              <w:right w:val="single" w:color="auto" w:sz="4" w:space="0"/>
            </w:tcBorders>
            <w:noWrap w:val="0"/>
            <w:vAlign w:val="center"/>
          </w:tcPr>
          <w:p w14:paraId="79B482C3">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50148A19">
            <w:pPr>
              <w:widowControl/>
              <w:spacing w:line="360" w:lineRule="auto"/>
              <w:jc w:val="center"/>
              <w:rPr>
                <w:rFonts w:hint="eastAsia" w:ascii="宋体" w:hAnsi="宋体" w:eastAsia="宋体" w:cs="宋体"/>
                <w:color w:val="auto"/>
                <w:kern w:val="0"/>
                <w:szCs w:val="21"/>
                <w:highlight w:val="none"/>
              </w:rPr>
            </w:pPr>
          </w:p>
          <w:p w14:paraId="7E9FD6D5">
            <w:pPr>
              <w:widowControl/>
              <w:spacing w:line="360" w:lineRule="auto"/>
              <w:rPr>
                <w:rFonts w:hint="eastAsia" w:ascii="宋体" w:hAnsi="宋体" w:eastAsia="宋体" w:cs="宋体"/>
                <w:color w:val="auto"/>
                <w:kern w:val="0"/>
                <w:szCs w:val="21"/>
                <w:highlight w:val="none"/>
              </w:rPr>
            </w:pPr>
          </w:p>
        </w:tc>
      </w:tr>
      <w:tr w14:paraId="019209BE">
        <w:tblPrEx>
          <w:tblCellMar>
            <w:top w:w="0" w:type="dxa"/>
            <w:left w:w="108" w:type="dxa"/>
            <w:bottom w:w="0" w:type="dxa"/>
            <w:right w:w="108" w:type="dxa"/>
          </w:tblCellMar>
        </w:tblPrEx>
        <w:trPr>
          <w:trHeight w:val="870" w:hRule="atLeast"/>
          <w:jc w:val="center"/>
        </w:trPr>
        <w:tc>
          <w:tcPr>
            <w:tcW w:w="996" w:type="dxa"/>
            <w:vMerge w:val="continue"/>
            <w:tcBorders>
              <w:left w:val="single" w:color="auto" w:sz="8" w:space="0"/>
              <w:right w:val="single" w:color="auto" w:sz="4" w:space="0"/>
            </w:tcBorders>
            <w:noWrap w:val="0"/>
            <w:vAlign w:val="center"/>
          </w:tcPr>
          <w:p w14:paraId="3E42C96B">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661456E9">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412AF279">
            <w:pPr>
              <w:widowControl/>
              <w:spacing w:line="360" w:lineRule="auto"/>
              <w:rPr>
                <w:rFonts w:hint="eastAsia" w:ascii="宋体" w:hAnsi="宋体" w:eastAsia="宋体" w:cs="宋体"/>
                <w:color w:val="auto"/>
                <w:kern w:val="0"/>
                <w:szCs w:val="21"/>
                <w:highlight w:val="none"/>
              </w:rPr>
            </w:pPr>
          </w:p>
        </w:tc>
      </w:tr>
      <w:tr w14:paraId="5F8DB5F2">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4A73966C">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39F6ED14">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r>
              <w:rPr>
                <w:rFonts w:hint="eastAsia" w:ascii="宋体" w:hAnsi="宋体" w:eastAsia="宋体" w:cs="宋体"/>
                <w:bCs/>
                <w:color w:val="auto"/>
                <w:kern w:val="0"/>
                <w:sz w:val="24"/>
                <w:szCs w:val="24"/>
                <w:highlight w:val="none"/>
                <w:lang w:val="en-US" w:eastAsia="zh-CN"/>
              </w:rPr>
              <w:t>22</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6E1FFC26">
            <w:pPr>
              <w:widowControl/>
              <w:spacing w:line="360" w:lineRule="auto"/>
              <w:rPr>
                <w:rFonts w:hint="eastAsia" w:ascii="宋体" w:hAnsi="宋体" w:eastAsia="宋体" w:cs="宋体"/>
                <w:color w:val="auto"/>
                <w:kern w:val="0"/>
                <w:szCs w:val="21"/>
                <w:highlight w:val="none"/>
              </w:rPr>
            </w:pPr>
          </w:p>
        </w:tc>
      </w:tr>
    </w:tbl>
    <w:p w14:paraId="22AF968E">
      <w:pPr>
        <w:tabs>
          <w:tab w:val="left" w:pos="4860"/>
        </w:tabs>
        <w:ind w:right="1560"/>
        <w:rPr>
          <w:rFonts w:hint="eastAsia" w:ascii="宋体" w:hAnsi="宋体" w:eastAsia="宋体" w:cs="宋体"/>
          <w:b/>
          <w:color w:val="auto"/>
          <w:sz w:val="10"/>
          <w:szCs w:val="10"/>
          <w:highlight w:val="none"/>
        </w:rPr>
      </w:pPr>
    </w:p>
    <w:p w14:paraId="4362DDC6">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color w:val="auto"/>
          <w:sz w:val="24"/>
          <w:szCs w:val="24"/>
          <w:highlight w:val="none"/>
        </w:rPr>
        <w:br w:type="page"/>
      </w:r>
      <w:bookmarkStart w:id="378" w:name="_Toc44700109"/>
      <w:bookmarkStart w:id="379" w:name="_Toc22140"/>
      <w:r>
        <w:rPr>
          <w:rFonts w:hint="eastAsia" w:ascii="宋体" w:hAnsi="宋体" w:eastAsia="宋体" w:cs="宋体"/>
          <w:b/>
          <w:color w:val="auto"/>
          <w:kern w:val="0"/>
          <w:sz w:val="36"/>
          <w:szCs w:val="21"/>
          <w:highlight w:val="none"/>
          <w:lang w:val="en-US" w:eastAsia="zh-CN"/>
        </w:rPr>
        <w:t>8.11近三年内类似项目情况表及用户证明</w:t>
      </w:r>
      <w:bookmarkEnd w:id="378"/>
      <w:bookmarkEnd w:id="379"/>
    </w:p>
    <w:p w14:paraId="2439B79F">
      <w:pPr>
        <w:spacing w:before="97" w:line="240" w:lineRule="auto"/>
        <w:ind w:left="2247"/>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rPr>
        <w:t>拟派往本项目的项目人员情况</w:t>
      </w:r>
    </w:p>
    <w:p w14:paraId="2DB13BF8">
      <w:pPr>
        <w:spacing w:before="5" w:line="240" w:lineRule="auto"/>
        <w:rPr>
          <w:rFonts w:hint="eastAsia" w:ascii="宋体" w:hAnsi="宋体" w:eastAsia="宋体" w:cs="宋体"/>
          <w:smallCaps w:val="0"/>
          <w:color w:val="auto"/>
          <w:spacing w:val="0"/>
          <w:highlight w:val="none"/>
        </w:rPr>
      </w:pPr>
    </w:p>
    <w:tbl>
      <w:tblPr>
        <w:tblStyle w:val="222"/>
        <w:tblW w:w="91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0"/>
        <w:gridCol w:w="1540"/>
        <w:gridCol w:w="980"/>
        <w:gridCol w:w="1119"/>
        <w:gridCol w:w="1399"/>
        <w:gridCol w:w="1541"/>
        <w:gridCol w:w="1408"/>
      </w:tblGrid>
      <w:tr w14:paraId="09E6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30" w:type="dxa"/>
            <w:tcBorders>
              <w:top w:val="single" w:color="000000" w:sz="2" w:space="0"/>
              <w:left w:val="single" w:color="000000" w:sz="2" w:space="0"/>
              <w:bottom w:val="single" w:color="000000" w:sz="2" w:space="0"/>
              <w:right w:val="single" w:color="000000" w:sz="2" w:space="0"/>
            </w:tcBorders>
            <w:noWrap w:val="0"/>
            <w:vAlign w:val="top"/>
          </w:tcPr>
          <w:p w14:paraId="6F041C0C">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1540" w:type="dxa"/>
            <w:tcBorders>
              <w:top w:val="single" w:color="000000" w:sz="2" w:space="0"/>
              <w:left w:val="single" w:color="000000" w:sz="2" w:space="0"/>
              <w:bottom w:val="single" w:color="000000" w:sz="2" w:space="0"/>
              <w:right w:val="single" w:color="000000" w:sz="2" w:space="0"/>
            </w:tcBorders>
            <w:noWrap w:val="0"/>
            <w:vAlign w:val="top"/>
          </w:tcPr>
          <w:p w14:paraId="1446F30A">
            <w:pPr>
              <w:pStyle w:val="223"/>
              <w:spacing w:before="209"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姓名</w:t>
            </w:r>
          </w:p>
        </w:tc>
        <w:tc>
          <w:tcPr>
            <w:tcW w:w="980" w:type="dxa"/>
            <w:tcBorders>
              <w:top w:val="single" w:color="000000" w:sz="2" w:space="0"/>
              <w:left w:val="single" w:color="000000" w:sz="2" w:space="0"/>
              <w:bottom w:val="single" w:color="000000" w:sz="2" w:space="0"/>
              <w:right w:val="single" w:color="000000" w:sz="2" w:space="0"/>
            </w:tcBorders>
            <w:noWrap w:val="0"/>
            <w:vAlign w:val="top"/>
          </w:tcPr>
          <w:p w14:paraId="660DF8BA">
            <w:pPr>
              <w:pStyle w:val="223"/>
              <w:spacing w:before="209" w:line="240" w:lineRule="auto"/>
              <w:ind w:left="25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年龄</w:t>
            </w:r>
          </w:p>
        </w:tc>
        <w:tc>
          <w:tcPr>
            <w:tcW w:w="1119" w:type="dxa"/>
            <w:tcBorders>
              <w:top w:val="single" w:color="000000" w:sz="2" w:space="0"/>
              <w:left w:val="single" w:color="000000" w:sz="2" w:space="0"/>
              <w:bottom w:val="single" w:color="000000" w:sz="2" w:space="0"/>
              <w:right w:val="single" w:color="000000" w:sz="2" w:space="0"/>
            </w:tcBorders>
            <w:noWrap w:val="0"/>
            <w:vAlign w:val="top"/>
          </w:tcPr>
          <w:p w14:paraId="5B930892">
            <w:pPr>
              <w:pStyle w:val="223"/>
              <w:spacing w:before="209" w:line="240" w:lineRule="auto"/>
              <w:ind w:left="32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专业</w:t>
            </w:r>
          </w:p>
        </w:tc>
        <w:tc>
          <w:tcPr>
            <w:tcW w:w="1399" w:type="dxa"/>
            <w:tcBorders>
              <w:top w:val="single" w:color="000000" w:sz="2" w:space="0"/>
              <w:left w:val="single" w:color="000000" w:sz="2" w:space="0"/>
              <w:bottom w:val="single" w:color="000000" w:sz="2" w:space="0"/>
              <w:right w:val="single" w:color="000000" w:sz="2" w:space="0"/>
            </w:tcBorders>
            <w:noWrap w:val="0"/>
            <w:vAlign w:val="top"/>
          </w:tcPr>
          <w:p w14:paraId="744944BC">
            <w:pPr>
              <w:pStyle w:val="223"/>
              <w:spacing w:before="209" w:line="240" w:lineRule="auto"/>
              <w:ind w:left="47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学历</w:t>
            </w:r>
          </w:p>
        </w:tc>
        <w:tc>
          <w:tcPr>
            <w:tcW w:w="1541" w:type="dxa"/>
            <w:tcBorders>
              <w:top w:val="single" w:color="000000" w:sz="2" w:space="0"/>
              <w:left w:val="single" w:color="000000" w:sz="2" w:space="0"/>
              <w:bottom w:val="single" w:color="000000" w:sz="2" w:space="0"/>
              <w:right w:val="single" w:color="000000" w:sz="2" w:space="0"/>
            </w:tcBorders>
            <w:noWrap w:val="0"/>
            <w:vAlign w:val="top"/>
          </w:tcPr>
          <w:p w14:paraId="3A7234DD">
            <w:pPr>
              <w:pStyle w:val="223"/>
              <w:spacing w:before="210" w:line="240" w:lineRule="auto"/>
              <w:ind w:left="54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职称</w:t>
            </w:r>
          </w:p>
        </w:tc>
        <w:tc>
          <w:tcPr>
            <w:tcW w:w="1408" w:type="dxa"/>
            <w:tcBorders>
              <w:top w:val="single" w:color="000000" w:sz="2" w:space="0"/>
              <w:left w:val="single" w:color="000000" w:sz="2" w:space="0"/>
              <w:bottom w:val="single" w:color="000000" w:sz="2" w:space="0"/>
              <w:right w:val="single" w:color="000000" w:sz="2" w:space="0"/>
            </w:tcBorders>
            <w:noWrap w:val="0"/>
            <w:vAlign w:val="top"/>
          </w:tcPr>
          <w:p w14:paraId="35A1B5E8">
            <w:pPr>
              <w:pStyle w:val="223"/>
              <w:spacing w:before="209" w:line="240" w:lineRule="auto"/>
              <w:ind w:left="47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备注</w:t>
            </w:r>
          </w:p>
        </w:tc>
      </w:tr>
      <w:tr w14:paraId="1AF2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130" w:type="dxa"/>
            <w:tcBorders>
              <w:top w:val="single" w:color="000000" w:sz="2" w:space="0"/>
            </w:tcBorders>
            <w:noWrap w:val="0"/>
            <w:vAlign w:val="top"/>
          </w:tcPr>
          <w:p w14:paraId="3F63AC05">
            <w:pPr>
              <w:spacing w:line="240" w:lineRule="auto"/>
              <w:rPr>
                <w:rFonts w:hint="eastAsia" w:ascii="宋体" w:hAnsi="宋体" w:eastAsia="宋体" w:cs="宋体"/>
                <w:smallCaps w:val="0"/>
                <w:color w:val="auto"/>
                <w:spacing w:val="0"/>
                <w:sz w:val="21"/>
                <w:highlight w:val="none"/>
              </w:rPr>
            </w:pPr>
          </w:p>
        </w:tc>
        <w:tc>
          <w:tcPr>
            <w:tcW w:w="1540" w:type="dxa"/>
            <w:tcBorders>
              <w:top w:val="single" w:color="000000" w:sz="2" w:space="0"/>
            </w:tcBorders>
            <w:noWrap w:val="0"/>
            <w:vAlign w:val="top"/>
          </w:tcPr>
          <w:p w14:paraId="26A4E261">
            <w:pPr>
              <w:spacing w:line="240" w:lineRule="auto"/>
              <w:rPr>
                <w:rFonts w:hint="eastAsia" w:ascii="宋体" w:hAnsi="宋体" w:eastAsia="宋体" w:cs="宋体"/>
                <w:smallCaps w:val="0"/>
                <w:color w:val="auto"/>
                <w:spacing w:val="0"/>
                <w:sz w:val="21"/>
                <w:highlight w:val="none"/>
              </w:rPr>
            </w:pPr>
          </w:p>
        </w:tc>
        <w:tc>
          <w:tcPr>
            <w:tcW w:w="980" w:type="dxa"/>
            <w:tcBorders>
              <w:top w:val="single" w:color="000000" w:sz="2" w:space="0"/>
            </w:tcBorders>
            <w:noWrap w:val="0"/>
            <w:vAlign w:val="top"/>
          </w:tcPr>
          <w:p w14:paraId="7463892F">
            <w:pPr>
              <w:spacing w:line="240" w:lineRule="auto"/>
              <w:rPr>
                <w:rFonts w:hint="eastAsia" w:ascii="宋体" w:hAnsi="宋体" w:eastAsia="宋体" w:cs="宋体"/>
                <w:smallCaps w:val="0"/>
                <w:color w:val="auto"/>
                <w:spacing w:val="0"/>
                <w:sz w:val="21"/>
                <w:highlight w:val="none"/>
              </w:rPr>
            </w:pPr>
          </w:p>
        </w:tc>
        <w:tc>
          <w:tcPr>
            <w:tcW w:w="1119" w:type="dxa"/>
            <w:tcBorders>
              <w:top w:val="single" w:color="000000" w:sz="2" w:space="0"/>
            </w:tcBorders>
            <w:noWrap w:val="0"/>
            <w:vAlign w:val="top"/>
          </w:tcPr>
          <w:p w14:paraId="7C5DB85C">
            <w:pPr>
              <w:spacing w:line="240" w:lineRule="auto"/>
              <w:rPr>
                <w:rFonts w:hint="eastAsia" w:ascii="宋体" w:hAnsi="宋体" w:eastAsia="宋体" w:cs="宋体"/>
                <w:smallCaps w:val="0"/>
                <w:color w:val="auto"/>
                <w:spacing w:val="0"/>
                <w:sz w:val="21"/>
                <w:highlight w:val="none"/>
              </w:rPr>
            </w:pPr>
          </w:p>
        </w:tc>
        <w:tc>
          <w:tcPr>
            <w:tcW w:w="1399" w:type="dxa"/>
            <w:tcBorders>
              <w:top w:val="single" w:color="000000" w:sz="2" w:space="0"/>
            </w:tcBorders>
            <w:noWrap w:val="0"/>
            <w:vAlign w:val="top"/>
          </w:tcPr>
          <w:p w14:paraId="6A4AE464">
            <w:pPr>
              <w:spacing w:line="240" w:lineRule="auto"/>
              <w:rPr>
                <w:rFonts w:hint="eastAsia" w:ascii="宋体" w:hAnsi="宋体" w:eastAsia="宋体" w:cs="宋体"/>
                <w:smallCaps w:val="0"/>
                <w:color w:val="auto"/>
                <w:spacing w:val="0"/>
                <w:sz w:val="21"/>
                <w:highlight w:val="none"/>
              </w:rPr>
            </w:pPr>
          </w:p>
        </w:tc>
        <w:tc>
          <w:tcPr>
            <w:tcW w:w="1541" w:type="dxa"/>
            <w:tcBorders>
              <w:top w:val="single" w:color="000000" w:sz="2" w:space="0"/>
            </w:tcBorders>
            <w:noWrap w:val="0"/>
            <w:vAlign w:val="top"/>
          </w:tcPr>
          <w:p w14:paraId="08D28219">
            <w:pPr>
              <w:spacing w:line="240" w:lineRule="auto"/>
              <w:rPr>
                <w:rFonts w:hint="eastAsia" w:ascii="宋体" w:hAnsi="宋体" w:eastAsia="宋体" w:cs="宋体"/>
                <w:smallCaps w:val="0"/>
                <w:color w:val="auto"/>
                <w:spacing w:val="0"/>
                <w:sz w:val="21"/>
                <w:highlight w:val="none"/>
              </w:rPr>
            </w:pPr>
          </w:p>
        </w:tc>
        <w:tc>
          <w:tcPr>
            <w:tcW w:w="1408" w:type="dxa"/>
            <w:tcBorders>
              <w:top w:val="single" w:color="000000" w:sz="2" w:space="0"/>
            </w:tcBorders>
            <w:noWrap w:val="0"/>
            <w:vAlign w:val="top"/>
          </w:tcPr>
          <w:p w14:paraId="2C35DB61">
            <w:pPr>
              <w:spacing w:line="240" w:lineRule="auto"/>
              <w:rPr>
                <w:rFonts w:hint="eastAsia" w:ascii="宋体" w:hAnsi="宋体" w:eastAsia="宋体" w:cs="宋体"/>
                <w:smallCaps w:val="0"/>
                <w:color w:val="auto"/>
                <w:spacing w:val="0"/>
                <w:sz w:val="21"/>
                <w:highlight w:val="none"/>
              </w:rPr>
            </w:pPr>
          </w:p>
        </w:tc>
      </w:tr>
      <w:tr w14:paraId="5776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23A720C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DB6523C">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C575802">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07B4ED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436D680E">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7A8762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0D498080">
            <w:pPr>
              <w:spacing w:line="240" w:lineRule="auto"/>
              <w:rPr>
                <w:rFonts w:hint="eastAsia" w:ascii="宋体" w:hAnsi="宋体" w:eastAsia="宋体" w:cs="宋体"/>
                <w:smallCaps w:val="0"/>
                <w:color w:val="auto"/>
                <w:spacing w:val="0"/>
                <w:sz w:val="21"/>
                <w:highlight w:val="none"/>
              </w:rPr>
            </w:pPr>
          </w:p>
        </w:tc>
      </w:tr>
      <w:tr w14:paraId="1B4E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8E3AA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6A0AE134">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862D8A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077EEBB2">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D8DAA1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04A32FE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829C84B">
            <w:pPr>
              <w:spacing w:line="240" w:lineRule="auto"/>
              <w:rPr>
                <w:rFonts w:hint="eastAsia" w:ascii="宋体" w:hAnsi="宋体" w:eastAsia="宋体" w:cs="宋体"/>
                <w:smallCaps w:val="0"/>
                <w:color w:val="auto"/>
                <w:spacing w:val="0"/>
                <w:sz w:val="21"/>
                <w:highlight w:val="none"/>
              </w:rPr>
            </w:pPr>
          </w:p>
        </w:tc>
      </w:tr>
      <w:tr w14:paraId="1FFD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14957BCB">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5A7A9703">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7CEF8E5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66A98EB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5C5EFA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85A1F3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10774D4F">
            <w:pPr>
              <w:spacing w:line="240" w:lineRule="auto"/>
              <w:rPr>
                <w:rFonts w:hint="eastAsia" w:ascii="宋体" w:hAnsi="宋体" w:eastAsia="宋体" w:cs="宋体"/>
                <w:smallCaps w:val="0"/>
                <w:color w:val="auto"/>
                <w:spacing w:val="0"/>
                <w:sz w:val="21"/>
                <w:highlight w:val="none"/>
              </w:rPr>
            </w:pPr>
          </w:p>
        </w:tc>
      </w:tr>
      <w:tr w14:paraId="6B31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25CB4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CFA1F60">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C5069BC">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1ED04121">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097CA37">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79B2C7F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F81DEE2">
            <w:pPr>
              <w:spacing w:line="240" w:lineRule="auto"/>
              <w:rPr>
                <w:rFonts w:hint="eastAsia" w:ascii="宋体" w:hAnsi="宋体" w:eastAsia="宋体" w:cs="宋体"/>
                <w:smallCaps w:val="0"/>
                <w:color w:val="auto"/>
                <w:spacing w:val="0"/>
                <w:sz w:val="21"/>
                <w:highlight w:val="none"/>
              </w:rPr>
            </w:pPr>
          </w:p>
        </w:tc>
      </w:tr>
      <w:tr w14:paraId="31E7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4F3F43E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704CA0EF">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6D9672AD">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5097497">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5677A83">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C7BCB6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C15A72C">
            <w:pPr>
              <w:spacing w:line="240" w:lineRule="auto"/>
              <w:rPr>
                <w:rFonts w:hint="eastAsia" w:ascii="宋体" w:hAnsi="宋体" w:eastAsia="宋体" w:cs="宋体"/>
                <w:smallCaps w:val="0"/>
                <w:color w:val="auto"/>
                <w:spacing w:val="0"/>
                <w:sz w:val="21"/>
                <w:highlight w:val="none"/>
              </w:rPr>
            </w:pPr>
          </w:p>
        </w:tc>
      </w:tr>
      <w:tr w14:paraId="2685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130" w:type="dxa"/>
            <w:noWrap w:val="0"/>
            <w:vAlign w:val="top"/>
          </w:tcPr>
          <w:p w14:paraId="25797198">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3DA72E9B">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E305215">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12AEAFC">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34922C54">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58AC443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B94C0B4">
            <w:pPr>
              <w:spacing w:line="240" w:lineRule="auto"/>
              <w:rPr>
                <w:rFonts w:hint="eastAsia" w:ascii="宋体" w:hAnsi="宋体" w:eastAsia="宋体" w:cs="宋体"/>
                <w:smallCaps w:val="0"/>
                <w:color w:val="auto"/>
                <w:spacing w:val="0"/>
                <w:sz w:val="21"/>
                <w:highlight w:val="none"/>
              </w:rPr>
            </w:pPr>
          </w:p>
        </w:tc>
      </w:tr>
    </w:tbl>
    <w:p w14:paraId="1432F959">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注：后附项目组成员资格证书等资料</w:t>
      </w:r>
    </w:p>
    <w:p w14:paraId="58803C26">
      <w:pPr>
        <w:pStyle w:val="223"/>
        <w:spacing w:before="209" w:line="240" w:lineRule="auto"/>
        <w:ind w:left="330"/>
        <w:rPr>
          <w:rFonts w:hint="eastAsia" w:ascii="宋体" w:hAnsi="宋体" w:eastAsia="宋体" w:cs="宋体"/>
          <w:smallCaps w:val="0"/>
          <w:color w:val="auto"/>
          <w:spacing w:val="0"/>
          <w:highlight w:val="none"/>
        </w:rPr>
      </w:pPr>
    </w:p>
    <w:p w14:paraId="6B9E5A8C">
      <w:pPr>
        <w:pStyle w:val="223"/>
        <w:spacing w:before="209" w:line="240" w:lineRule="auto"/>
        <w:ind w:left="330"/>
        <w:rPr>
          <w:rFonts w:hint="eastAsia" w:ascii="宋体" w:hAnsi="宋体" w:eastAsia="宋体" w:cs="宋体"/>
          <w:smallCaps w:val="0"/>
          <w:color w:val="auto"/>
          <w:spacing w:val="0"/>
          <w:highlight w:val="none"/>
        </w:rPr>
      </w:pPr>
    </w:p>
    <w:p w14:paraId="5E0411C6">
      <w:pPr>
        <w:pStyle w:val="223"/>
        <w:spacing w:before="209" w:line="240" w:lineRule="auto"/>
        <w:ind w:left="330"/>
        <w:rPr>
          <w:rFonts w:hint="eastAsia" w:ascii="宋体" w:hAnsi="宋体" w:eastAsia="宋体" w:cs="宋体"/>
          <w:smallCaps w:val="0"/>
          <w:color w:val="auto"/>
          <w:spacing w:val="0"/>
          <w:highlight w:val="none"/>
        </w:rPr>
      </w:pPr>
    </w:p>
    <w:p w14:paraId="5BEB4EA6">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CFAB78D">
      <w:pPr>
        <w:pStyle w:val="20"/>
        <w:spacing w:line="360" w:lineRule="auto"/>
        <w:rPr>
          <w:rFonts w:hint="eastAsia" w:ascii="宋体" w:hAnsi="宋体" w:eastAsia="宋体" w:cs="宋体"/>
          <w:color w:val="auto"/>
          <w:highlight w:val="none"/>
        </w:rPr>
      </w:pPr>
    </w:p>
    <w:p w14:paraId="0E70EF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1966F255">
      <w:pPr>
        <w:pStyle w:val="20"/>
        <w:spacing w:line="360" w:lineRule="auto"/>
        <w:rPr>
          <w:rFonts w:hint="eastAsia" w:ascii="宋体" w:hAnsi="宋体" w:eastAsia="宋体" w:cs="宋体"/>
          <w:color w:val="auto"/>
          <w:highlight w:val="none"/>
        </w:rPr>
      </w:pPr>
    </w:p>
    <w:p w14:paraId="0C936FBE">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ACCC30">
      <w:pPr>
        <w:pStyle w:val="223"/>
        <w:spacing w:before="209" w:line="240" w:lineRule="auto"/>
        <w:ind w:left="330"/>
        <w:rPr>
          <w:rFonts w:hint="eastAsia" w:ascii="宋体" w:hAnsi="宋体" w:eastAsia="宋体" w:cs="宋体"/>
          <w:smallCaps w:val="0"/>
          <w:color w:val="auto"/>
          <w:spacing w:val="0"/>
          <w:highlight w:val="none"/>
        </w:rPr>
        <w:sectPr>
          <w:footerReference r:id="rId14" w:type="default"/>
          <w:pgSz w:w="11905" w:h="16839"/>
          <w:pgMar w:top="1440" w:right="1800" w:bottom="1440" w:left="1800" w:header="0" w:footer="871" w:gutter="0"/>
          <w:cols w:space="720" w:num="1"/>
        </w:sectPr>
      </w:pPr>
    </w:p>
    <w:p w14:paraId="3DE2616C">
      <w:pPr>
        <w:spacing w:line="360" w:lineRule="auto"/>
        <w:jc w:val="center"/>
        <w:rPr>
          <w:rFonts w:hint="eastAsia" w:ascii="宋体" w:hAnsi="宋体" w:eastAsia="宋体" w:cs="宋体"/>
          <w:b/>
          <w:color w:val="auto"/>
          <w:sz w:val="24"/>
          <w:szCs w:val="24"/>
          <w:highlight w:val="none"/>
        </w:rPr>
      </w:pPr>
    </w:p>
    <w:p w14:paraId="15EAAF7B">
      <w:pPr>
        <w:spacing w:line="360" w:lineRule="auto"/>
        <w:jc w:val="center"/>
        <w:rPr>
          <w:rFonts w:hint="eastAsia" w:ascii="宋体" w:hAnsi="宋体" w:eastAsia="宋体" w:cs="宋体"/>
          <w:b/>
          <w:color w:val="auto"/>
          <w:sz w:val="24"/>
          <w:szCs w:val="24"/>
          <w:highlight w:val="none"/>
        </w:rPr>
      </w:pPr>
    </w:p>
    <w:p w14:paraId="632C3FE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近三年内（20</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年至今）类似项目情况表</w:t>
      </w:r>
    </w:p>
    <w:p w14:paraId="3B0A9955">
      <w:pPr>
        <w:jc w:val="center"/>
        <w:rPr>
          <w:rFonts w:hint="eastAsia" w:ascii="宋体" w:hAnsi="宋体" w:eastAsia="宋体" w:cs="宋体"/>
          <w:b/>
          <w:color w:val="auto"/>
          <w:sz w:val="24"/>
          <w:szCs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872"/>
        <w:gridCol w:w="1262"/>
        <w:gridCol w:w="1262"/>
        <w:gridCol w:w="1262"/>
        <w:gridCol w:w="1430"/>
      </w:tblGrid>
      <w:tr w14:paraId="7B6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09" w:type="dxa"/>
            <w:noWrap w:val="0"/>
            <w:vAlign w:val="center"/>
          </w:tcPr>
          <w:p w14:paraId="00F3BB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noWrap w:val="0"/>
            <w:vAlign w:val="center"/>
          </w:tcPr>
          <w:p w14:paraId="739D16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1872" w:type="dxa"/>
            <w:noWrap w:val="0"/>
            <w:vAlign w:val="center"/>
          </w:tcPr>
          <w:p w14:paraId="2E95FE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62" w:type="dxa"/>
            <w:noWrap w:val="0"/>
            <w:vAlign w:val="center"/>
          </w:tcPr>
          <w:p w14:paraId="430B6F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62" w:type="dxa"/>
            <w:noWrap w:val="0"/>
            <w:vAlign w:val="center"/>
          </w:tcPr>
          <w:p w14:paraId="08CAD5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62" w:type="dxa"/>
            <w:noWrap w:val="0"/>
            <w:vAlign w:val="center"/>
          </w:tcPr>
          <w:p w14:paraId="3A8808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完成情况</w:t>
            </w:r>
          </w:p>
        </w:tc>
        <w:tc>
          <w:tcPr>
            <w:tcW w:w="1430" w:type="dxa"/>
            <w:noWrap w:val="0"/>
            <w:vAlign w:val="center"/>
          </w:tcPr>
          <w:p w14:paraId="13CFAD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是否有用户反馈情况</w:t>
            </w:r>
          </w:p>
        </w:tc>
      </w:tr>
      <w:tr w14:paraId="32EF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6E9218">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4B2EE6D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37021EA3">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DB5391">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1B136A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ABDD53F">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4FF66366">
            <w:pPr>
              <w:spacing w:line="360" w:lineRule="auto"/>
              <w:jc w:val="center"/>
              <w:rPr>
                <w:rFonts w:hint="eastAsia" w:ascii="宋体" w:hAnsi="宋体" w:eastAsia="宋体" w:cs="宋体"/>
                <w:color w:val="auto"/>
                <w:sz w:val="24"/>
                <w:szCs w:val="24"/>
                <w:highlight w:val="none"/>
              </w:rPr>
            </w:pPr>
          </w:p>
        </w:tc>
      </w:tr>
      <w:tr w14:paraId="457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4863D36D">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2272B8F">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7A04681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CAE210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117ED8">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1973DFC">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379CF239">
            <w:pPr>
              <w:spacing w:line="360" w:lineRule="auto"/>
              <w:jc w:val="center"/>
              <w:rPr>
                <w:rFonts w:hint="eastAsia" w:ascii="宋体" w:hAnsi="宋体" w:eastAsia="宋体" w:cs="宋体"/>
                <w:color w:val="auto"/>
                <w:sz w:val="24"/>
                <w:szCs w:val="24"/>
                <w:highlight w:val="none"/>
              </w:rPr>
            </w:pPr>
          </w:p>
        </w:tc>
      </w:tr>
      <w:tr w14:paraId="6819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18B004">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5136568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1267E4BB">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8D05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3D2D08C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AF073C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05879947">
            <w:pPr>
              <w:spacing w:line="360" w:lineRule="auto"/>
              <w:jc w:val="center"/>
              <w:rPr>
                <w:rFonts w:hint="eastAsia" w:ascii="宋体" w:hAnsi="宋体" w:eastAsia="宋体" w:cs="宋体"/>
                <w:color w:val="auto"/>
                <w:sz w:val="24"/>
                <w:szCs w:val="24"/>
                <w:highlight w:val="none"/>
              </w:rPr>
            </w:pPr>
          </w:p>
        </w:tc>
      </w:tr>
      <w:tr w14:paraId="3FAD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366C615">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6DB6EA59">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09CC77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F4A8C1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6A86D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A4C3BD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121D6655">
            <w:pPr>
              <w:spacing w:line="360" w:lineRule="auto"/>
              <w:jc w:val="center"/>
              <w:rPr>
                <w:rFonts w:hint="eastAsia" w:ascii="宋体" w:hAnsi="宋体" w:eastAsia="宋体" w:cs="宋体"/>
                <w:color w:val="auto"/>
                <w:sz w:val="24"/>
                <w:szCs w:val="24"/>
                <w:highlight w:val="none"/>
              </w:rPr>
            </w:pPr>
          </w:p>
        </w:tc>
      </w:tr>
      <w:tr w14:paraId="307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0653F302">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975C5F3">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B989639">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7FA60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701531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EACF4C8">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77E23FDE">
            <w:pPr>
              <w:spacing w:line="360" w:lineRule="auto"/>
              <w:jc w:val="center"/>
              <w:rPr>
                <w:rFonts w:hint="eastAsia" w:ascii="宋体" w:hAnsi="宋体" w:eastAsia="宋体" w:cs="宋体"/>
                <w:color w:val="auto"/>
                <w:sz w:val="24"/>
                <w:szCs w:val="24"/>
                <w:highlight w:val="none"/>
              </w:rPr>
            </w:pPr>
          </w:p>
        </w:tc>
      </w:tr>
    </w:tbl>
    <w:p w14:paraId="4EB0CAE0">
      <w:pPr>
        <w:spacing w:line="360" w:lineRule="auto"/>
        <w:rPr>
          <w:rFonts w:hint="eastAsia" w:ascii="宋体" w:hAnsi="宋体" w:eastAsia="宋体" w:cs="宋体"/>
          <w:color w:val="auto"/>
          <w:sz w:val="24"/>
          <w:szCs w:val="24"/>
          <w:highlight w:val="none"/>
        </w:rPr>
      </w:pPr>
    </w:p>
    <w:p w14:paraId="3C4197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注：1、供应商必须提供能够证明上述案例真实性的合同，合同复印件中必须至少包括合同的甲乙双方，合同详细标的和双方签章及生效时间；</w:t>
      </w:r>
    </w:p>
    <w:p w14:paraId="34EE1473">
      <w:pPr>
        <w:numPr>
          <w:ilvl w:val="0"/>
          <w:numId w:val="1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如供应商成立日期不足</w:t>
      </w:r>
      <w:r>
        <w:rPr>
          <w:rFonts w:hint="eastAsia" w:ascii="宋体" w:hAnsi="宋体" w:eastAsia="宋体" w:cs="宋体"/>
          <w:b/>
          <w:color w:val="auto"/>
          <w:sz w:val="24"/>
          <w:szCs w:val="24"/>
          <w:highlight w:val="none"/>
        </w:rPr>
        <w:t>三</w:t>
      </w:r>
      <w:r>
        <w:rPr>
          <w:rFonts w:hint="eastAsia" w:ascii="宋体" w:hAnsi="宋体" w:eastAsia="宋体" w:cs="宋体"/>
          <w:color w:val="auto"/>
          <w:sz w:val="24"/>
          <w:highlight w:val="none"/>
        </w:rPr>
        <w:t>年，请提供自成立之日至递交响应文件之日的同类项目业绩；</w:t>
      </w:r>
    </w:p>
    <w:p w14:paraId="37E6C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3、所有复印件应清晰，并由供应商单位加盖公章；</w:t>
      </w:r>
    </w:p>
    <w:p w14:paraId="3B72C3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4、不提供复印件的业绩，评分阶段不予以考虑。</w:t>
      </w:r>
    </w:p>
    <w:p w14:paraId="548CC340">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917DB73">
      <w:pPr>
        <w:pStyle w:val="20"/>
        <w:spacing w:line="360" w:lineRule="auto"/>
        <w:rPr>
          <w:rFonts w:hint="eastAsia" w:ascii="宋体" w:hAnsi="宋体" w:eastAsia="宋体" w:cs="宋体"/>
          <w:color w:val="auto"/>
          <w:highlight w:val="none"/>
        </w:rPr>
      </w:pPr>
    </w:p>
    <w:p w14:paraId="50814952">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7CC91B49">
      <w:pPr>
        <w:pStyle w:val="20"/>
        <w:spacing w:line="360" w:lineRule="auto"/>
        <w:rPr>
          <w:rFonts w:hint="eastAsia" w:ascii="宋体" w:hAnsi="宋体" w:eastAsia="宋体" w:cs="宋体"/>
          <w:color w:val="auto"/>
          <w:highlight w:val="none"/>
        </w:rPr>
      </w:pPr>
    </w:p>
    <w:p w14:paraId="02776F7A">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1B934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u w:val="single"/>
        </w:rPr>
        <w:br w:type="page"/>
      </w:r>
      <w:bookmarkStart w:id="380" w:name="_Toc16175"/>
      <w:bookmarkStart w:id="381" w:name="_Toc44700110"/>
      <w:r>
        <w:rPr>
          <w:rFonts w:hint="eastAsia" w:ascii="宋体" w:hAnsi="宋体" w:eastAsia="宋体" w:cs="宋体"/>
          <w:b/>
          <w:color w:val="auto"/>
          <w:kern w:val="0"/>
          <w:sz w:val="36"/>
          <w:szCs w:val="21"/>
          <w:highlight w:val="none"/>
          <w:lang w:val="en-US" w:eastAsia="zh-CN"/>
        </w:rPr>
        <w:t>8.12技术方案</w:t>
      </w:r>
      <w:bookmarkEnd w:id="380"/>
      <w:bookmarkEnd w:id="381"/>
    </w:p>
    <w:p w14:paraId="0E55EFE3">
      <w:pPr>
        <w:spacing w:line="360" w:lineRule="auto"/>
        <w:ind w:left="178"/>
        <w:jc w:val="center"/>
        <w:rPr>
          <w:rFonts w:hint="eastAsia" w:ascii="宋体" w:hAnsi="宋体" w:eastAsia="宋体" w:cs="宋体"/>
          <w:color w:val="auto"/>
          <w:highlight w:val="none"/>
        </w:rPr>
      </w:pPr>
      <w:r>
        <w:rPr>
          <w:rFonts w:hint="eastAsia" w:ascii="宋体" w:hAnsi="宋体" w:eastAsia="宋体" w:cs="宋体"/>
          <w:color w:val="auto"/>
          <w:sz w:val="24"/>
          <w:highlight w:val="none"/>
        </w:rPr>
        <w:t>(参照评标办法（格式内容自拟）)</w:t>
      </w:r>
    </w:p>
    <w:p w14:paraId="52471550">
      <w:pPr>
        <w:spacing w:line="360" w:lineRule="auto"/>
        <w:ind w:firstLine="480" w:firstLineChars="200"/>
        <w:rPr>
          <w:rFonts w:hint="eastAsia" w:ascii="宋体" w:hAnsi="宋体" w:eastAsia="宋体" w:cs="宋体"/>
          <w:color w:val="auto"/>
          <w:sz w:val="24"/>
          <w:szCs w:val="24"/>
          <w:highlight w:val="none"/>
        </w:rPr>
      </w:pPr>
    </w:p>
    <w:p w14:paraId="0370CCF2">
      <w:pPr>
        <w:spacing w:line="360" w:lineRule="auto"/>
        <w:ind w:firstLine="435"/>
        <w:rPr>
          <w:rFonts w:hint="eastAsia" w:ascii="宋体" w:hAnsi="宋体" w:eastAsia="宋体" w:cs="宋体"/>
          <w:color w:val="auto"/>
          <w:sz w:val="24"/>
          <w:szCs w:val="24"/>
          <w:highlight w:val="none"/>
        </w:rPr>
      </w:pPr>
    </w:p>
    <w:p w14:paraId="787561A0">
      <w:pPr>
        <w:spacing w:line="360" w:lineRule="auto"/>
        <w:ind w:firstLine="435"/>
        <w:rPr>
          <w:rFonts w:hint="eastAsia" w:ascii="宋体" w:hAnsi="宋体" w:eastAsia="宋体" w:cs="宋体"/>
          <w:color w:val="auto"/>
          <w:sz w:val="24"/>
          <w:szCs w:val="24"/>
          <w:highlight w:val="none"/>
        </w:rPr>
      </w:pPr>
    </w:p>
    <w:p w14:paraId="377B916F">
      <w:pPr>
        <w:spacing w:line="360" w:lineRule="auto"/>
        <w:ind w:firstLine="435"/>
        <w:rPr>
          <w:rFonts w:hint="eastAsia" w:ascii="宋体" w:hAnsi="宋体" w:eastAsia="宋体" w:cs="宋体"/>
          <w:color w:val="auto"/>
          <w:sz w:val="24"/>
          <w:szCs w:val="24"/>
          <w:highlight w:val="none"/>
        </w:rPr>
      </w:pPr>
    </w:p>
    <w:p w14:paraId="1750E549">
      <w:pPr>
        <w:spacing w:line="360" w:lineRule="auto"/>
        <w:ind w:firstLine="435"/>
        <w:rPr>
          <w:rFonts w:hint="eastAsia" w:ascii="宋体" w:hAnsi="宋体" w:eastAsia="宋体" w:cs="宋体"/>
          <w:color w:val="auto"/>
          <w:sz w:val="24"/>
          <w:szCs w:val="24"/>
          <w:highlight w:val="none"/>
        </w:rPr>
      </w:pPr>
    </w:p>
    <w:p w14:paraId="0F00B20B">
      <w:pPr>
        <w:spacing w:line="360" w:lineRule="auto"/>
        <w:ind w:firstLine="435"/>
        <w:rPr>
          <w:rFonts w:hint="eastAsia" w:ascii="宋体" w:hAnsi="宋体" w:eastAsia="宋体" w:cs="宋体"/>
          <w:color w:val="auto"/>
          <w:sz w:val="24"/>
          <w:szCs w:val="24"/>
          <w:highlight w:val="none"/>
        </w:rPr>
      </w:pPr>
    </w:p>
    <w:p w14:paraId="5F856322">
      <w:pPr>
        <w:spacing w:line="360" w:lineRule="auto"/>
        <w:ind w:firstLine="435"/>
        <w:rPr>
          <w:rFonts w:hint="eastAsia" w:ascii="宋体" w:hAnsi="宋体" w:eastAsia="宋体" w:cs="宋体"/>
          <w:color w:val="auto"/>
          <w:sz w:val="24"/>
          <w:szCs w:val="24"/>
          <w:highlight w:val="none"/>
        </w:rPr>
      </w:pPr>
    </w:p>
    <w:p w14:paraId="4D1612FF">
      <w:pPr>
        <w:spacing w:line="360" w:lineRule="auto"/>
        <w:ind w:firstLine="435"/>
        <w:rPr>
          <w:rFonts w:hint="eastAsia" w:ascii="宋体" w:hAnsi="宋体" w:eastAsia="宋体" w:cs="宋体"/>
          <w:color w:val="auto"/>
          <w:sz w:val="24"/>
          <w:szCs w:val="24"/>
          <w:highlight w:val="none"/>
        </w:rPr>
      </w:pPr>
    </w:p>
    <w:p w14:paraId="45439047">
      <w:pPr>
        <w:spacing w:line="360" w:lineRule="auto"/>
        <w:ind w:firstLine="435"/>
        <w:rPr>
          <w:rFonts w:hint="eastAsia" w:ascii="宋体" w:hAnsi="宋体" w:eastAsia="宋体" w:cs="宋体"/>
          <w:color w:val="auto"/>
          <w:sz w:val="24"/>
          <w:szCs w:val="24"/>
          <w:highlight w:val="none"/>
        </w:rPr>
      </w:pPr>
    </w:p>
    <w:p w14:paraId="59FAFC99">
      <w:pPr>
        <w:spacing w:line="360" w:lineRule="auto"/>
        <w:rPr>
          <w:rFonts w:hint="eastAsia" w:ascii="宋体" w:hAnsi="宋体" w:eastAsia="宋体" w:cs="宋体"/>
          <w:color w:val="auto"/>
          <w:sz w:val="24"/>
          <w:szCs w:val="24"/>
          <w:highlight w:val="none"/>
        </w:rPr>
      </w:pPr>
    </w:p>
    <w:p w14:paraId="5C4175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76E8B345">
      <w:pPr>
        <w:pStyle w:val="20"/>
        <w:spacing w:line="360" w:lineRule="auto"/>
        <w:rPr>
          <w:rFonts w:hint="eastAsia" w:ascii="宋体" w:hAnsi="宋体" w:eastAsia="宋体" w:cs="宋体"/>
          <w:color w:val="auto"/>
          <w:highlight w:val="none"/>
        </w:rPr>
      </w:pPr>
    </w:p>
    <w:p w14:paraId="6B84F0F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3E9133F">
      <w:pPr>
        <w:pStyle w:val="20"/>
        <w:spacing w:line="360" w:lineRule="auto"/>
        <w:rPr>
          <w:rFonts w:hint="eastAsia" w:ascii="宋体" w:hAnsi="宋体" w:eastAsia="宋体" w:cs="宋体"/>
          <w:color w:val="auto"/>
          <w:highlight w:val="none"/>
        </w:rPr>
      </w:pPr>
    </w:p>
    <w:p w14:paraId="1BE458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6B116CF">
      <w:pPr>
        <w:spacing w:line="360" w:lineRule="auto"/>
        <w:jc w:val="right"/>
        <w:rPr>
          <w:rFonts w:hint="eastAsia" w:ascii="宋体" w:hAnsi="宋体" w:eastAsia="宋体" w:cs="宋体"/>
          <w:color w:val="auto"/>
          <w:sz w:val="24"/>
          <w:szCs w:val="24"/>
          <w:highlight w:val="none"/>
        </w:rPr>
      </w:pPr>
    </w:p>
    <w:p w14:paraId="20047709">
      <w:pPr>
        <w:rPr>
          <w:rFonts w:hint="eastAsia" w:ascii="宋体" w:hAnsi="宋体" w:eastAsia="宋体" w:cs="宋体"/>
          <w:color w:val="auto"/>
          <w:highlight w:val="none"/>
        </w:rPr>
      </w:pPr>
    </w:p>
    <w:p w14:paraId="1FEBD856">
      <w:pPr>
        <w:rPr>
          <w:rFonts w:hint="eastAsia" w:ascii="宋体" w:hAnsi="宋体" w:eastAsia="宋体" w:cs="宋体"/>
          <w:color w:val="auto"/>
          <w:highlight w:val="none"/>
        </w:rPr>
      </w:pPr>
    </w:p>
    <w:p w14:paraId="19DA3CB1">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highlight w:val="none"/>
        </w:rPr>
        <w:br w:type="page"/>
      </w:r>
      <w:bookmarkStart w:id="382" w:name="_Toc44700111"/>
      <w:bookmarkStart w:id="383" w:name="_Toc29262"/>
      <w:r>
        <w:rPr>
          <w:rFonts w:hint="eastAsia" w:ascii="宋体" w:hAnsi="宋体" w:eastAsia="宋体" w:cs="宋体"/>
          <w:b/>
          <w:color w:val="auto"/>
          <w:kern w:val="0"/>
          <w:sz w:val="36"/>
          <w:szCs w:val="21"/>
          <w:highlight w:val="none"/>
          <w:lang w:val="en-US" w:eastAsia="zh-CN"/>
        </w:rPr>
        <w:t>★8.13中小企业声明函</w:t>
      </w:r>
      <w:bookmarkEnd w:id="382"/>
      <w:bookmarkEnd w:id="383"/>
    </w:p>
    <w:p w14:paraId="21BE3656">
      <w:pPr>
        <w:pStyle w:val="4"/>
        <w:shd w:val="clear" w:color="auto" w:fill="auto"/>
        <w:spacing w:before="0" w:after="0" w:line="480" w:lineRule="auto"/>
        <w:ind w:firstLine="2276" w:firstLineChars="900"/>
        <w:outlineLvl w:val="9"/>
        <w:rPr>
          <w:rFonts w:hint="eastAsia" w:ascii="宋体" w:hAnsi="宋体" w:eastAsia="宋体" w:cs="宋体"/>
          <w:bCs w:val="0"/>
          <w:color w:val="auto"/>
          <w:kern w:val="0"/>
          <w:sz w:val="24"/>
          <w:szCs w:val="24"/>
          <w:highlight w:val="none"/>
        </w:rPr>
      </w:pPr>
      <w:bookmarkStart w:id="384" w:name="_Toc17028"/>
      <w:bookmarkStart w:id="385" w:name="_Toc14119"/>
      <w:bookmarkStart w:id="386" w:name="_Toc1168"/>
      <w:r>
        <w:rPr>
          <w:rFonts w:hint="eastAsia" w:ascii="宋体" w:hAnsi="宋体" w:eastAsia="宋体" w:cs="宋体"/>
          <w:bCs w:val="0"/>
          <w:color w:val="auto"/>
          <w:spacing w:val="6"/>
          <w:sz w:val="24"/>
          <w:szCs w:val="20"/>
          <w:highlight w:val="none"/>
          <w:shd w:val="clear" w:color="auto" w:fill="FFFFFF"/>
        </w:rPr>
        <w:t>中小企业声明函（工程、服务）</w:t>
      </w:r>
      <w:bookmarkEnd w:id="384"/>
      <w:bookmarkEnd w:id="385"/>
      <w:bookmarkEnd w:id="386"/>
    </w:p>
    <w:p w14:paraId="6C38D85E">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87" w:name="_Toc4256"/>
      <w:bookmarkStart w:id="388" w:name="_Toc19249"/>
      <w:bookmarkStart w:id="389" w:name="_Toc15301"/>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bookmarkEnd w:id="387"/>
      <w:bookmarkEnd w:id="388"/>
      <w:bookmarkEnd w:id="389"/>
    </w:p>
    <w:p w14:paraId="05E2B7E8">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0" w:name="_Toc16339"/>
      <w:bookmarkStart w:id="391" w:name="_Toc8151"/>
      <w:bookmarkStart w:id="392" w:name="_Toc32607"/>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bookmarkEnd w:id="390"/>
      <w:bookmarkEnd w:id="391"/>
      <w:bookmarkEnd w:id="392"/>
    </w:p>
    <w:p w14:paraId="0BFB1F6A">
      <w:pPr>
        <w:pStyle w:val="4"/>
        <w:shd w:val="clear" w:color="auto" w:fill="auto"/>
        <w:spacing w:line="360" w:lineRule="auto"/>
        <w:ind w:left="210" w:leftChars="100" w:firstLine="240" w:firstLineChars="100"/>
        <w:outlineLvl w:val="9"/>
        <w:rPr>
          <w:rFonts w:hint="eastAsia" w:ascii="宋体" w:hAnsi="宋体" w:eastAsia="宋体" w:cs="宋体"/>
          <w:b w:val="0"/>
          <w:bCs w:val="0"/>
          <w:color w:val="auto"/>
          <w:sz w:val="24"/>
          <w:szCs w:val="24"/>
          <w:highlight w:val="none"/>
          <w:u w:val="single"/>
        </w:rPr>
      </w:pPr>
      <w:bookmarkStart w:id="393" w:name="_Toc24278"/>
      <w:bookmarkStart w:id="394" w:name="_Toc30139"/>
      <w:bookmarkStart w:id="395" w:name="_Toc31206"/>
      <w:r>
        <w:rPr>
          <w:rFonts w:hint="eastAsia" w:ascii="宋体" w:hAnsi="宋体" w:eastAsia="宋体" w:cs="宋体"/>
          <w:b w:val="0"/>
          <w:bCs w:val="0"/>
          <w:color w:val="auto"/>
          <w:sz w:val="24"/>
          <w:szCs w:val="24"/>
          <w:highlight w:val="none"/>
        </w:rPr>
        <w:t xml:space="preserve">2.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bookmarkEnd w:id="393"/>
      <w:bookmarkEnd w:id="394"/>
      <w:bookmarkEnd w:id="395"/>
    </w:p>
    <w:p w14:paraId="1EB002C1">
      <w:pPr>
        <w:pStyle w:val="4"/>
        <w:shd w:val="clear" w:color="auto" w:fill="auto"/>
        <w:outlineLvl w:val="9"/>
        <w:rPr>
          <w:rFonts w:hint="eastAsia" w:ascii="宋体" w:hAnsi="宋体" w:eastAsia="宋体" w:cs="宋体"/>
          <w:b w:val="0"/>
          <w:bCs w:val="0"/>
          <w:color w:val="auto"/>
          <w:sz w:val="24"/>
          <w:szCs w:val="24"/>
          <w:highlight w:val="none"/>
        </w:rPr>
      </w:pPr>
      <w:bookmarkStart w:id="396" w:name="_Toc18362"/>
      <w:bookmarkStart w:id="397" w:name="_Toc9769"/>
      <w:bookmarkStart w:id="398" w:name="_Toc11"/>
      <w:r>
        <w:rPr>
          <w:rFonts w:hint="eastAsia" w:ascii="宋体" w:hAnsi="宋体" w:eastAsia="宋体" w:cs="宋体"/>
          <w:b w:val="0"/>
          <w:bCs w:val="0"/>
          <w:color w:val="auto"/>
          <w:sz w:val="24"/>
          <w:szCs w:val="24"/>
          <w:highlight w:val="none"/>
        </w:rPr>
        <w:t>……</w:t>
      </w:r>
      <w:bookmarkEnd w:id="396"/>
      <w:bookmarkEnd w:id="397"/>
      <w:bookmarkEnd w:id="398"/>
    </w:p>
    <w:p w14:paraId="03ADA732">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9" w:name="_Toc9457"/>
      <w:bookmarkStart w:id="400" w:name="_Toc7071"/>
      <w:bookmarkStart w:id="401" w:name="_Toc2177"/>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bookmarkEnd w:id="399"/>
      <w:bookmarkEnd w:id="400"/>
      <w:bookmarkEnd w:id="401"/>
    </w:p>
    <w:p w14:paraId="4CB4D936">
      <w:pPr>
        <w:pStyle w:val="4"/>
        <w:shd w:val="clear" w:color="auto" w:fill="auto"/>
        <w:ind w:left="210" w:leftChars="100" w:firstLine="240" w:firstLineChars="100"/>
        <w:outlineLvl w:val="9"/>
        <w:rPr>
          <w:rFonts w:hint="eastAsia" w:ascii="宋体" w:hAnsi="宋体" w:eastAsia="宋体" w:cs="宋体"/>
          <w:b w:val="0"/>
          <w:bCs w:val="0"/>
          <w:color w:val="auto"/>
          <w:sz w:val="24"/>
          <w:szCs w:val="24"/>
          <w:highlight w:val="none"/>
        </w:rPr>
      </w:pPr>
      <w:bookmarkStart w:id="402" w:name="_Toc18576"/>
      <w:bookmarkStart w:id="403" w:name="_Toc20812"/>
      <w:bookmarkStart w:id="404" w:name="_Toc10431"/>
      <w:r>
        <w:rPr>
          <w:rFonts w:hint="eastAsia" w:ascii="宋体" w:hAnsi="宋体" w:eastAsia="宋体" w:cs="宋体"/>
          <w:b w:val="0"/>
          <w:bCs w:val="0"/>
          <w:color w:val="auto"/>
          <w:sz w:val="24"/>
          <w:szCs w:val="24"/>
          <w:highlight w:val="none"/>
        </w:rPr>
        <w:t>本企业对上述声明内容的真实性负责。如有虚假，将依法承担相应责任。</w:t>
      </w:r>
      <w:bookmarkEnd w:id="402"/>
      <w:bookmarkEnd w:id="403"/>
      <w:bookmarkEnd w:id="404"/>
    </w:p>
    <w:p w14:paraId="4A814FBD">
      <w:pPr>
        <w:pStyle w:val="4"/>
        <w:shd w:val="clear" w:color="auto" w:fil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405" w:name="_Toc19359"/>
      <w:bookmarkStart w:id="406" w:name="_Toc25367"/>
      <w:bookmarkStart w:id="407" w:name="_Toc8117"/>
      <w:r>
        <w:rPr>
          <w:rFonts w:hint="eastAsia" w:ascii="宋体" w:hAnsi="宋体" w:eastAsia="宋体" w:cs="宋体"/>
          <w:b w:val="0"/>
          <w:bCs w:val="0"/>
          <w:color w:val="auto"/>
          <w:sz w:val="24"/>
          <w:szCs w:val="24"/>
          <w:highlight w:val="none"/>
        </w:rPr>
        <w:t>企业名称（盖章）：</w:t>
      </w:r>
      <w:bookmarkEnd w:id="405"/>
      <w:bookmarkEnd w:id="406"/>
      <w:bookmarkEnd w:id="407"/>
    </w:p>
    <w:p w14:paraId="2C047AFB">
      <w:pPr>
        <w:pStyle w:val="4"/>
        <w:shd w:val="clear" w:color="auto" w:fill="auto"/>
        <w:outlineLvl w:val="9"/>
        <w:rPr>
          <w:rFonts w:hint="eastAsia" w:ascii="宋体" w:hAnsi="宋体" w:eastAsia="宋体" w:cs="宋体"/>
          <w:b w:val="0"/>
          <w:bCs w:val="0"/>
          <w:color w:val="auto"/>
          <w:sz w:val="24"/>
          <w:szCs w:val="24"/>
          <w:highlight w:val="none"/>
        </w:rPr>
      </w:pPr>
      <w:bookmarkStart w:id="408" w:name="_Toc3097"/>
      <w:bookmarkStart w:id="409" w:name="_Toc7623"/>
      <w:bookmarkStart w:id="410" w:name="_Toc3045"/>
      <w:r>
        <w:rPr>
          <w:rFonts w:hint="eastAsia" w:ascii="宋体" w:hAnsi="宋体" w:eastAsia="宋体" w:cs="宋体"/>
          <w:b w:val="0"/>
          <w:bCs w:val="0"/>
          <w:color w:val="auto"/>
          <w:sz w:val="24"/>
          <w:szCs w:val="24"/>
          <w:highlight w:val="none"/>
        </w:rPr>
        <w:t>日 期：</w:t>
      </w:r>
      <w:bookmarkEnd w:id="408"/>
      <w:bookmarkEnd w:id="409"/>
      <w:bookmarkEnd w:id="410"/>
    </w:p>
    <w:p w14:paraId="3C31B2C1">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p>
    <w:p w14:paraId="5C2C7640">
      <w:pPr>
        <w:pStyle w:val="4"/>
        <w:shd w:val="clear" w:color="auto" w:fill="auto"/>
        <w:spacing w:line="360" w:lineRule="auto"/>
        <w:ind w:firstLine="482" w:firstLineChars="200"/>
        <w:outlineLvl w:val="9"/>
        <w:rPr>
          <w:rFonts w:hint="eastAsia" w:ascii="宋体" w:hAnsi="宋体" w:eastAsia="宋体" w:cs="宋体"/>
          <w:bCs w:val="0"/>
          <w:color w:val="auto"/>
          <w:sz w:val="24"/>
          <w:szCs w:val="24"/>
          <w:highlight w:val="none"/>
        </w:rPr>
      </w:pPr>
      <w:bookmarkStart w:id="411" w:name="_Toc30038"/>
      <w:bookmarkStart w:id="412" w:name="_Toc16284"/>
      <w:bookmarkStart w:id="413" w:name="_Toc3653"/>
      <w:r>
        <w:rPr>
          <w:rFonts w:hint="eastAsia" w:ascii="宋体" w:hAnsi="宋体" w:eastAsia="宋体" w:cs="宋体"/>
          <w:bCs w:val="0"/>
          <w:color w:val="auto"/>
          <w:sz w:val="24"/>
          <w:szCs w:val="24"/>
          <w:highlight w:val="none"/>
        </w:rPr>
        <w:t>注：从业人员、营业收入、资产总额填报上一年度数据，无上度数据的新成立企业可不填报</w:t>
      </w:r>
      <w:bookmarkEnd w:id="411"/>
      <w:bookmarkEnd w:id="412"/>
      <w:bookmarkEnd w:id="413"/>
    </w:p>
    <w:p w14:paraId="14495D5E">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9A9661">
      <w:pPr>
        <w:keepNext/>
        <w:keepLines/>
        <w:outlineLvl w:val="1"/>
        <w:rPr>
          <w:rFonts w:hint="eastAsia" w:ascii="宋体" w:hAnsi="宋体" w:eastAsia="宋体" w:cs="宋体"/>
          <w:b/>
          <w:color w:val="auto"/>
          <w:kern w:val="0"/>
          <w:sz w:val="36"/>
          <w:szCs w:val="21"/>
          <w:highlight w:val="none"/>
          <w:lang w:val="en-US" w:eastAsia="zh-CN"/>
        </w:rPr>
      </w:pPr>
      <w:bookmarkStart w:id="414" w:name="_Toc44700112"/>
      <w:bookmarkStart w:id="415" w:name="_Toc6265"/>
      <w:r>
        <w:rPr>
          <w:rFonts w:hint="eastAsia" w:ascii="宋体" w:hAnsi="宋体" w:eastAsia="宋体" w:cs="宋体"/>
          <w:b/>
          <w:color w:val="auto"/>
          <w:kern w:val="0"/>
          <w:sz w:val="36"/>
          <w:szCs w:val="21"/>
          <w:highlight w:val="none"/>
          <w:lang w:val="en-US" w:eastAsia="zh-CN"/>
        </w:rPr>
        <w:t>8.14残疾人福利性单位声明函（格式，不符合条件无须提交）</w:t>
      </w:r>
      <w:bookmarkEnd w:id="414"/>
      <w:bookmarkEnd w:id="415"/>
    </w:p>
    <w:p w14:paraId="29D576A1">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pacing w:val="6"/>
          <w:kern w:val="0"/>
          <w:sz w:val="24"/>
          <w:highlight w:val="none"/>
        </w:rPr>
        <w:t>根据《财政部民政部中国残疾人联合会关于促进残疾人就业政府采购政策的通知》（财库</w:t>
      </w:r>
      <w:r>
        <w:rPr>
          <w:rFonts w:hint="eastAsia" w:ascii="宋体" w:hAnsi="宋体" w:eastAsia="宋体" w:cs="宋体"/>
          <w:color w:val="auto"/>
          <w:kern w:val="0"/>
          <w:sz w:val="24"/>
          <w:highlight w:val="none"/>
        </w:rPr>
        <w:t>〔2017〕141</w:t>
      </w:r>
      <w:r>
        <w:rPr>
          <w:rFonts w:hint="eastAsia" w:ascii="宋体" w:hAnsi="宋体" w:eastAsia="宋体" w:cs="宋体"/>
          <w:color w:val="auto"/>
          <w:spacing w:val="6"/>
          <w:kern w:val="0"/>
          <w:sz w:val="24"/>
          <w:highlight w:val="none"/>
        </w:rPr>
        <w:t>号）的规定，</w:t>
      </w:r>
      <w:r>
        <w:rPr>
          <w:rFonts w:hint="eastAsia" w:ascii="宋体" w:hAnsi="宋体" w:eastAsia="宋体" w:cs="宋体"/>
          <w:color w:val="auto"/>
          <w:kern w:val="0"/>
          <w:sz w:val="24"/>
          <w:highlight w:val="none"/>
        </w:rPr>
        <w:t>符合条件的残疾人福利性单位在参加政府采购活动时，应当提供通知规定的《残疾人福利性单位声明函》，并对声明的真实性负责。</w:t>
      </w:r>
    </w:p>
    <w:p w14:paraId="27B2B26D">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2、成交供应商为残疾人福利性单位的，其《残疾人福利性单位声明函》将随成交结果同时公告，接受社会监督。</w:t>
      </w:r>
    </w:p>
    <w:p w14:paraId="26D00E97">
      <w:pPr>
        <w:spacing w:before="240" w:beforeLines="100" w:line="480" w:lineRule="exact"/>
        <w:ind w:left="1359" w:leftChars="257" w:hanging="819" w:hangingChars="325"/>
        <w:jc w:val="center"/>
        <w:rPr>
          <w:rFonts w:hint="eastAsia" w:ascii="宋体" w:hAnsi="宋体" w:eastAsia="宋体" w:cs="宋体"/>
          <w:color w:val="auto"/>
          <w:spacing w:val="6"/>
          <w:sz w:val="24"/>
          <w:highlight w:val="none"/>
        </w:rPr>
      </w:pPr>
    </w:p>
    <w:p w14:paraId="22AA5475">
      <w:pPr>
        <w:spacing w:before="240" w:beforeLines="100" w:line="480" w:lineRule="exact"/>
        <w:ind w:left="1323" w:leftChars="257" w:hanging="783" w:hangingChars="325"/>
        <w:jc w:val="center"/>
        <w:rPr>
          <w:rFonts w:hint="eastAsia" w:ascii="宋体" w:hAnsi="宋体" w:eastAsia="宋体" w:cs="宋体"/>
          <w:b/>
          <w:color w:val="auto"/>
          <w:spacing w:val="6"/>
          <w:sz w:val="28"/>
          <w:szCs w:val="32"/>
          <w:highlight w:val="none"/>
        </w:rPr>
      </w:pPr>
      <w:r>
        <w:rPr>
          <w:rFonts w:hint="eastAsia" w:ascii="宋体" w:hAnsi="宋体" w:eastAsia="宋体" w:cs="宋体"/>
          <w:b/>
          <w:color w:val="auto"/>
          <w:kern w:val="0"/>
          <w:sz w:val="24"/>
          <w:highlight w:val="none"/>
        </w:rPr>
        <w:t>残疾人福利性单位声明函</w:t>
      </w:r>
    </w:p>
    <w:p w14:paraId="4961CF75">
      <w:pPr>
        <w:spacing w:line="588" w:lineRule="exact"/>
        <w:rPr>
          <w:rFonts w:hint="eastAsia" w:ascii="宋体" w:hAnsi="宋体" w:eastAsia="宋体" w:cs="宋体"/>
          <w:b/>
          <w:color w:val="auto"/>
          <w:spacing w:val="6"/>
          <w:sz w:val="30"/>
          <w:szCs w:val="30"/>
          <w:highlight w:val="none"/>
        </w:rPr>
      </w:pPr>
    </w:p>
    <w:p w14:paraId="26437AD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65DC7">
      <w:pPr>
        <w:widowControl/>
        <w:spacing w:before="240" w:beforeLines="100" w:after="100" w:afterAutospacing="1" w:line="48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6815979">
      <w:pPr>
        <w:spacing w:line="588" w:lineRule="exact"/>
        <w:ind w:firstLine="624" w:firstLineChars="200"/>
        <w:rPr>
          <w:rFonts w:hint="eastAsia" w:ascii="宋体" w:hAnsi="宋体" w:eastAsia="宋体" w:cs="宋体"/>
          <w:color w:val="auto"/>
          <w:spacing w:val="6"/>
          <w:sz w:val="30"/>
          <w:szCs w:val="30"/>
          <w:highlight w:val="none"/>
        </w:rPr>
      </w:pPr>
    </w:p>
    <w:p w14:paraId="5315D9DD">
      <w:pPr>
        <w:spacing w:line="588" w:lineRule="exact"/>
        <w:ind w:firstLine="624" w:firstLineChars="200"/>
        <w:rPr>
          <w:rFonts w:hint="eastAsia" w:ascii="宋体" w:hAnsi="宋体" w:eastAsia="宋体" w:cs="宋体"/>
          <w:color w:val="auto"/>
          <w:spacing w:val="6"/>
          <w:sz w:val="30"/>
          <w:szCs w:val="30"/>
          <w:highlight w:val="none"/>
        </w:rPr>
      </w:pPr>
    </w:p>
    <w:p w14:paraId="401E4411">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79752125">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C5AE61D">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6" w:name="_Toc44700113"/>
      <w:bookmarkStart w:id="417" w:name="_Toc4562"/>
      <w:r>
        <w:rPr>
          <w:rFonts w:hint="eastAsia" w:ascii="宋体" w:hAnsi="宋体" w:eastAsia="宋体" w:cs="宋体"/>
          <w:b/>
          <w:color w:val="auto"/>
          <w:kern w:val="0"/>
          <w:sz w:val="36"/>
          <w:szCs w:val="21"/>
          <w:highlight w:val="none"/>
          <w:lang w:val="en-US" w:eastAsia="zh-CN"/>
        </w:rPr>
        <w:t>8.15监狱企业证明文件（如适用）</w:t>
      </w:r>
      <w:bookmarkEnd w:id="416"/>
      <w:bookmarkEnd w:id="417"/>
    </w:p>
    <w:p w14:paraId="6B1F19ED">
      <w:pPr>
        <w:spacing w:line="420" w:lineRule="exac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如供应商是监狱企业时，须提供由省级以上监狱管理局、戒毒管理局(含新疆生产建设兵团)出具的属于监狱企业的证明文件。</w:t>
      </w:r>
    </w:p>
    <w:p w14:paraId="47E61C3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8" w:name="_Toc8941"/>
      <w:bookmarkStart w:id="419" w:name="_Toc44700114"/>
      <w:r>
        <w:rPr>
          <w:rFonts w:hint="eastAsia" w:ascii="宋体" w:hAnsi="宋体" w:eastAsia="宋体" w:cs="宋体"/>
          <w:b/>
          <w:color w:val="auto"/>
          <w:kern w:val="0"/>
          <w:sz w:val="36"/>
          <w:szCs w:val="21"/>
          <w:highlight w:val="none"/>
          <w:lang w:val="en-US" w:eastAsia="zh-CN"/>
        </w:rPr>
        <w:t>8.16节能产品、环境标志产品、信息安全产品证明材料（如适用）</w:t>
      </w:r>
      <w:bookmarkEnd w:id="418"/>
      <w:bookmarkEnd w:id="419"/>
    </w:p>
    <w:p w14:paraId="31895F2E">
      <w:pPr>
        <w:spacing w:line="360" w:lineRule="auto"/>
        <w:rPr>
          <w:rFonts w:hint="eastAsia" w:ascii="宋体" w:hAnsi="宋体" w:eastAsia="宋体" w:cs="宋体"/>
          <w:b/>
          <w:color w:val="auto"/>
          <w:szCs w:val="21"/>
          <w:highlight w:val="none"/>
        </w:rPr>
      </w:pPr>
    </w:p>
    <w:p w14:paraId="64A02BE1">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w:t>
      </w:r>
      <w:bookmarkStart w:id="420" w:name="OLE_LINK10"/>
      <w:r>
        <w:rPr>
          <w:rFonts w:hint="eastAsia" w:ascii="宋体" w:hAnsi="宋体" w:eastAsia="宋体" w:cs="宋体"/>
          <w:color w:val="auto"/>
          <w:sz w:val="24"/>
          <w:szCs w:val="22"/>
          <w:highlight w:val="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w:t>
      </w:r>
      <w:bookmarkEnd w:id="420"/>
      <w:r>
        <w:rPr>
          <w:rFonts w:hint="eastAsia" w:ascii="宋体" w:hAnsi="宋体" w:eastAsia="宋体" w:cs="宋体"/>
          <w:color w:val="auto"/>
          <w:sz w:val="24"/>
          <w:szCs w:val="24"/>
          <w:highlight w:val="none"/>
        </w:rPr>
        <w:t>为</w:t>
      </w:r>
      <w:r>
        <w:rPr>
          <w:rFonts w:hint="eastAsia" w:ascii="宋体" w:hAnsi="宋体" w:eastAsia="宋体" w:cs="宋体"/>
          <w:b/>
          <w:color w:val="auto"/>
          <w:sz w:val="24"/>
          <w:szCs w:val="24"/>
          <w:highlight w:val="none"/>
        </w:rPr>
        <w:t>政府强制采购节能产品</w:t>
      </w:r>
      <w:r>
        <w:rPr>
          <w:rFonts w:hint="eastAsia" w:ascii="宋体" w:hAnsi="宋体" w:eastAsia="宋体" w:cs="宋体"/>
          <w:color w:val="auto"/>
          <w:sz w:val="24"/>
          <w:szCs w:val="24"/>
          <w:highlight w:val="none"/>
        </w:rPr>
        <w:t>。</w:t>
      </w:r>
    </w:p>
    <w:p w14:paraId="042B224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台式计算机产品性能参数须与节能产品政府采购清单台式计算机性能参数的附件一致，凡与附件所列性能参数不一致的产品，不得参加政府采购活动。</w:t>
      </w:r>
    </w:p>
    <w:p w14:paraId="7A932577">
      <w:pPr>
        <w:spacing w:line="360" w:lineRule="auto"/>
        <w:ind w:firstLine="600" w:firstLineChars="250"/>
        <w:rPr>
          <w:rFonts w:hint="eastAsia" w:ascii="宋体" w:hAnsi="宋体" w:eastAsia="宋体" w:cs="宋体"/>
          <w:color w:val="auto"/>
          <w:sz w:val="24"/>
          <w:szCs w:val="24"/>
          <w:highlight w:val="none"/>
        </w:rPr>
      </w:pPr>
    </w:p>
    <w:p w14:paraId="07F2C9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1B16ACC4">
      <w:pPr>
        <w:spacing w:line="360" w:lineRule="auto"/>
        <w:ind w:left="240" w:hanging="240" w:hangingChars="100"/>
        <w:rPr>
          <w:rFonts w:hint="eastAsia" w:ascii="宋体" w:hAnsi="宋体" w:eastAsia="宋体" w:cs="宋体"/>
          <w:color w:val="auto"/>
          <w:sz w:val="24"/>
          <w:szCs w:val="24"/>
          <w:highlight w:val="none"/>
        </w:rPr>
      </w:pPr>
    </w:p>
    <w:p w14:paraId="4B5F41BD">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14:paraId="66999E8F">
      <w:pPr>
        <w:spacing w:line="360" w:lineRule="auto"/>
        <w:ind w:left="240" w:hanging="240" w:hangingChars="100"/>
        <w:rPr>
          <w:rFonts w:hint="eastAsia" w:ascii="宋体" w:hAnsi="宋体" w:eastAsia="宋体" w:cs="宋体"/>
          <w:color w:val="auto"/>
          <w:sz w:val="24"/>
          <w:szCs w:val="24"/>
          <w:highlight w:val="none"/>
          <w:lang w:eastAsia="zh-CN"/>
        </w:rPr>
      </w:pPr>
    </w:p>
    <w:p w14:paraId="320A275E">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14:paraId="0337C8D0">
      <w:pPr>
        <w:spacing w:line="360" w:lineRule="auto"/>
        <w:rPr>
          <w:rFonts w:hint="eastAsia" w:ascii="宋体" w:hAnsi="宋体" w:eastAsia="宋体" w:cs="宋体"/>
          <w:color w:val="auto"/>
          <w:sz w:val="24"/>
          <w:szCs w:val="24"/>
          <w:highlight w:val="none"/>
        </w:rPr>
      </w:pPr>
    </w:p>
    <w:p w14:paraId="1909C6C0">
      <w:pPr>
        <w:spacing w:line="360" w:lineRule="auto"/>
        <w:ind w:left="241" w:hanging="241" w:hanging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信息安全产品</w:t>
      </w:r>
    </w:p>
    <w:p w14:paraId="43713DD0">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信息安全产品应提供由中国信息安全认证中心按国家标准认证颁发的有效认证证书。</w:t>
      </w:r>
    </w:p>
    <w:p w14:paraId="73FBB88E">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注：1.在本处提供的证明材料如与供应商所投产品内容（品牌、型号、规格等）不符，视为无效。</w:t>
      </w:r>
    </w:p>
    <w:p w14:paraId="3FBCF2BA">
      <w:pPr>
        <w:ind w:firstLine="480" w:firstLineChars="200"/>
        <w:rPr>
          <w:rFonts w:hint="eastAsia" w:ascii="宋体" w:hAnsi="宋体" w:eastAsia="宋体" w:cs="宋体"/>
          <w:b/>
          <w:color w:val="auto"/>
          <w:sz w:val="32"/>
          <w:szCs w:val="22"/>
          <w:highlight w:val="none"/>
        </w:rPr>
      </w:pPr>
      <w:r>
        <w:rPr>
          <w:rFonts w:hint="eastAsia" w:ascii="宋体" w:hAnsi="宋体" w:eastAsia="宋体" w:cs="宋体"/>
          <w:color w:val="auto"/>
          <w:sz w:val="24"/>
          <w:szCs w:val="24"/>
          <w:highlight w:val="none"/>
        </w:rPr>
        <w:t>2.如提供虚假材料，供应商须承担相应法律责任。</w:t>
      </w:r>
    </w:p>
    <w:p w14:paraId="13B35BA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21" w:name="_Toc44700115"/>
      <w:bookmarkStart w:id="422" w:name="_Toc30232"/>
      <w:r>
        <w:rPr>
          <w:rFonts w:hint="eastAsia" w:ascii="宋体" w:hAnsi="宋体" w:eastAsia="宋体" w:cs="宋体"/>
          <w:b/>
          <w:color w:val="auto"/>
          <w:kern w:val="0"/>
          <w:sz w:val="36"/>
          <w:szCs w:val="21"/>
          <w:highlight w:val="none"/>
          <w:lang w:val="en-US" w:eastAsia="zh-CN"/>
        </w:rPr>
        <w:t>8.17磋商文件要求的其它文件及供应商认为有必要提供的其它文件</w:t>
      </w:r>
      <w:bookmarkEnd w:id="354"/>
      <w:bookmarkEnd w:id="355"/>
      <w:bookmarkEnd w:id="421"/>
      <w:bookmarkEnd w:id="422"/>
    </w:p>
    <w:p w14:paraId="545D5C5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1"/>
          <w:highlight w:val="none"/>
        </w:rPr>
        <w:br w:type="page"/>
      </w:r>
      <w:bookmarkStart w:id="423" w:name="_Toc12116"/>
      <w:bookmarkStart w:id="424" w:name="_Toc44700116"/>
      <w:r>
        <w:rPr>
          <w:rFonts w:hint="eastAsia" w:ascii="宋体" w:hAnsi="宋体" w:eastAsia="宋体" w:cs="宋体"/>
          <w:b/>
          <w:color w:val="auto"/>
          <w:kern w:val="0"/>
          <w:sz w:val="36"/>
          <w:szCs w:val="21"/>
          <w:highlight w:val="none"/>
          <w:lang w:val="en-US" w:eastAsia="zh-CN"/>
        </w:rPr>
        <w:t>8.18关于中小企业、监狱企业、残疾人福利性单位的相关规定</w:t>
      </w:r>
      <w:bookmarkEnd w:id="423"/>
      <w:bookmarkEnd w:id="424"/>
    </w:p>
    <w:p w14:paraId="27212B87">
      <w:pPr>
        <w:spacing w:line="360" w:lineRule="auto"/>
        <w:ind w:firstLine="50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1.</w:t>
      </w:r>
      <w:r>
        <w:rPr>
          <w:rFonts w:hint="eastAsia" w:ascii="宋体" w:hAnsi="宋体" w:eastAsia="宋体" w:cs="宋体"/>
          <w:color w:val="auto"/>
          <w:spacing w:val="6"/>
          <w:sz w:val="24"/>
          <w:szCs w:val="24"/>
          <w:highlight w:val="none"/>
        </w:rPr>
        <w:t>政府采购促进中小企业发展管理办法</w:t>
      </w:r>
    </w:p>
    <w:p w14:paraId="76E706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第一条为了发挥政府采购的政策功能，促进中小企业健康发展，根据《中华人民共和国政府采购法》、《中华人民共和国中小企业促进法》等有关法律法规，制定本办法。</w:t>
      </w:r>
    </w:p>
    <w:p w14:paraId="526EE93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第二条本办法所称中小企业，是指在中华人民共和国</w:t>
      </w:r>
    </w:p>
    <w:p w14:paraId="5705CA7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境内依法设立，依据国务院批准的中小企业划分标准确定的中型企业、小型企业和微型企业，但与大企业的负责人为同一人，或者与大企业存在直接控股、管理关系的除外。</w:t>
      </w:r>
    </w:p>
    <w:p w14:paraId="35E79B4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符合中小企业划分标准的个体工商户，在政府采购活动中视同中小企业。</w:t>
      </w:r>
    </w:p>
    <w:p w14:paraId="6C825D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第三条采购人在政府采购活动中应当通过加强采购需求管理，落实预留采购份额、价格评审优惠、优先采购等措施，提高中小企业在政府采购中的份额，支持中小企业发展。</w:t>
      </w:r>
    </w:p>
    <w:p w14:paraId="2ABF72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第四条在政府采购活动中，供应商提供的货物、工程或者服务符合下列情形的，享受本办法规定的中小企业扶持政策：</w:t>
      </w:r>
    </w:p>
    <w:p w14:paraId="2C685A1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（一）在货物采购项目中，货物由中小企业制造，即货物由中小企业生产且使用该中小企业商号或者注册商标；</w:t>
      </w:r>
    </w:p>
    <w:p w14:paraId="3640C08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（二）在工程采购项目中，工程由中小企业承建，即工程施工单位为中小企业；</w:t>
      </w:r>
    </w:p>
    <w:p w14:paraId="004EEF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（三）在服务采购项目中，服务由中小企业承接，即提</w:t>
      </w:r>
    </w:p>
    <w:p w14:paraId="23DF7F9E">
      <w:pPr>
        <w:spacing w:line="360" w:lineRule="auto"/>
        <w:ind w:firstLine="504" w:firstLineChars="200"/>
        <w:jc w:val="left"/>
        <w:rPr>
          <w:rFonts w:hint="eastAsia" w:ascii="宋体" w:hAnsi="宋体" w:eastAsia="宋体" w:cs="宋体"/>
          <w:color w:val="auto"/>
          <w:spacing w:val="6"/>
          <w:sz w:val="24"/>
          <w:szCs w:val="24"/>
          <w:highlight w:val="none"/>
        </w:rPr>
      </w:pPr>
    </w:p>
    <w:p w14:paraId="1355749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供服务的人员为中小企业依照《中华人民共和国劳动合同法》订立劳动合同的从业人员。</w:t>
      </w:r>
    </w:p>
    <w:p w14:paraId="2B8FE7F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在货物采购项目中，供应商提供的货物既有中小企业制造货物，也有大型企业制造货物的，不享受本办法规定的中小企业扶持政策。</w:t>
      </w:r>
    </w:p>
    <w:p w14:paraId="6DCC115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以联合体形式参加政府采购活动，联合体各方均为中小企业的，联合体视同中小企业。其中，联合体各方均为小微企业的，联合体视同小微企业。</w:t>
      </w:r>
    </w:p>
    <w:p w14:paraId="485B94B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51B36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1F22C1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符合下列情形之一的，可不专门面向中小企业预留采购</w:t>
      </w:r>
    </w:p>
    <w:p w14:paraId="673FE88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份额：</w:t>
      </w:r>
    </w:p>
    <w:p w14:paraId="02A87BF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（一）法律法规和国家有关政策明确规定优先或者应当面向事业单位、社会组织等非企业主体采购的；</w:t>
      </w:r>
    </w:p>
    <w:p w14:paraId="131AC1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（二）因确需使用不可替代的专利、专有技术，基础设施限制，或者提供特定公共服务等原因，只能从中小企业之外的供应商处采购的；</w:t>
      </w:r>
    </w:p>
    <w:p w14:paraId="6D523C7B">
      <w:pPr>
        <w:spacing w:line="360" w:lineRule="auto"/>
        <w:ind w:firstLine="504" w:firstLineChars="200"/>
        <w:jc w:val="left"/>
        <w:rPr>
          <w:rFonts w:hint="eastAsia" w:ascii="宋体" w:hAnsi="宋体" w:eastAsia="宋体" w:cs="宋体"/>
          <w:color w:val="auto"/>
          <w:spacing w:val="6"/>
          <w:sz w:val="24"/>
          <w:szCs w:val="24"/>
          <w:highlight w:val="none"/>
        </w:rPr>
      </w:pPr>
    </w:p>
    <w:p w14:paraId="7801923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（三）按照本办法规定预留采购份额无法确保充分供应、充分竞争，或者存在可能影响政府采购目标实现的情形；</w:t>
      </w:r>
    </w:p>
    <w:p w14:paraId="50B9EB0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（四）框架协议采购项目；</w:t>
      </w:r>
    </w:p>
    <w:p w14:paraId="362E709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（五）省级以上人民政府财政部门规定的其他情形。除上述情形外，其他均为适宜由中小企业提供的情形。第七条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采购限额标准以上，200万元以下的货物和服</w:t>
      </w:r>
    </w:p>
    <w:p w14:paraId="6D6D084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务采购项目、400万元以下的工程采购项目，适宜由中小企业提供的，采购人应当专门面向中小企业采购。</w:t>
      </w:r>
    </w:p>
    <w:p w14:paraId="5438F85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C821EBE">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（一）将采购项目整体或者设置采购包专门面向中小企业采购；</w:t>
      </w:r>
    </w:p>
    <w:p w14:paraId="789227E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（二）要求供应商以联合体形式参加采购活动，且联合体中中小企业承担的部分达到一定比例；</w:t>
      </w:r>
    </w:p>
    <w:p w14:paraId="580C4C0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（三）要求获得采购合同的供应商将采购项目中的一定比例分包给一家或者多家中小企业。</w:t>
      </w:r>
    </w:p>
    <w:p w14:paraId="2AC450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组成联合体或者接受分包合同的中小企业与联合体内其他企业、分包企业之间不得存在直接控股、管理关系。</w:t>
      </w:r>
    </w:p>
    <w:p w14:paraId="1D36766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对于经主管预算单位统筹后未预留份额专门面向中小企业采购的采购项目，以及预留份额项目中的非预留部分采购包，采购人、采购代理机构应当对符合本办法规定的小微企业报价给予6%—10%（工程项目为3%—5%）的</w:t>
      </w:r>
    </w:p>
    <w:p w14:paraId="48FF1E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73F20DD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5EC6409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价格扣除比例或者价格分加分比例对小型企业和微型</w:t>
      </w:r>
    </w:p>
    <w:p w14:paraId="421CE56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企业同等对待，不作区分。具体采购项目的价格扣除比例或者价格分加分比例，由采购人根据采购标的相关行业平均利润率、市场竞争状况等，在本办法规定的幅度内确定。</w:t>
      </w:r>
    </w:p>
    <w:p w14:paraId="6A4E1C0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w:t>
      </w:r>
    </w:p>
    <w:p w14:paraId="0EB12D7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第九条有关规定重新组织采购活动。</w:t>
      </w:r>
    </w:p>
    <w:p w14:paraId="5A0C5A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14:paraId="4446FB8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第十二条采购项目涉及中小企业采购的，采购文件应当明确以下内容：</w:t>
      </w:r>
    </w:p>
    <w:p w14:paraId="5CDDA0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（一）预留份额的采购项目或者采购包，明确该项目或相关采购包专门面向中小企业采购，以及相关标的及预算金额；</w:t>
      </w:r>
    </w:p>
    <w:p w14:paraId="0F2A05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（二）要求以联合体形式参加或者合同分包的，明确联</w:t>
      </w:r>
    </w:p>
    <w:p w14:paraId="2BE72A3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合协议或者分包意向协议中中小企业合同金额应当达到的比例，并作为供应商资格条件；</w:t>
      </w:r>
    </w:p>
    <w:p w14:paraId="6D0330E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（三）非预留份额的采购项目或者采购包，明确有关价格扣除比例或者价格分加分比例；</w:t>
      </w:r>
    </w:p>
    <w:p w14:paraId="365F1C8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（四）规定依据本办法规定享受扶持政策获得政府采购合同的，小微企业不得将合同分包给大中型企业，中型企业不得将合同分包给大型企业；</w:t>
      </w:r>
    </w:p>
    <w:p w14:paraId="12A3367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（五）采购人认为具备相关条件的，明确对中小企业在资金支付期限、预付款比例等方面的优惠措施；</w:t>
      </w:r>
    </w:p>
    <w:p w14:paraId="33B015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（六）明确采购标的对应的中小企业划分标准所属行业；</w:t>
      </w:r>
    </w:p>
    <w:p w14:paraId="06E3C4A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（七）法律法规和省级以上人民政府财政部门规定的其他事项。</w:t>
      </w:r>
    </w:p>
    <w:p w14:paraId="1064AC2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第十三条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中标、成交供应商享受本办法规定的中小企业扶持政策的，采购人、采购代理机构应当随中标、成交结果公开中标、成交供应商的《中小企业声明函》。</w:t>
      </w:r>
    </w:p>
    <w:p w14:paraId="74FEF4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适用招标投标法的政府采购工程建设项目，应当在公示中标候选人时公开中标候选人的《中小企业声明函》。</w:t>
      </w:r>
    </w:p>
    <w:p w14:paraId="30F96A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ECDA2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6F9E0F5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第十六条政府采购监督检查、投诉处理及政府采购行政处罚中对中小企业的认定，由货物制造商或者工程、服务供应商注册登记所在地的县级以上人民政府中小企业主管部门负责。</w:t>
      </w:r>
    </w:p>
    <w:p w14:paraId="6F4A57C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中小企业主管部门应当在收到财政部门或者有关招标投标行政监督部门关于协助开展中小企业认定函后10个工作日内做出书面答复。</w:t>
      </w:r>
    </w:p>
    <w:p w14:paraId="5319B4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1377219">
      <w:pPr>
        <w:spacing w:line="360" w:lineRule="auto"/>
        <w:ind w:firstLine="504" w:firstLineChars="200"/>
        <w:jc w:val="left"/>
        <w:rPr>
          <w:rFonts w:hint="eastAsia" w:ascii="宋体" w:hAnsi="宋体" w:eastAsia="宋体" w:cs="宋体"/>
          <w:color w:val="auto"/>
          <w:spacing w:val="6"/>
          <w:sz w:val="24"/>
          <w:szCs w:val="24"/>
          <w:highlight w:val="none"/>
        </w:rPr>
      </w:pPr>
    </w:p>
    <w:p w14:paraId="56F89431">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第十八条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第十九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采购人未按本办法规定为中小企业预留采</w:t>
      </w:r>
    </w:p>
    <w:p w14:paraId="12CE6AE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购份额，采购人、采购代理机构未按照本办法规定要求实施价格扣除或者价格分加分的，属于未按照规定执行政府采购政策，依照《中华人民共和国政府采购法》等国家有关规定追究法律责任。</w:t>
      </w:r>
    </w:p>
    <w:p w14:paraId="5A91271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第二十条供应商按照本办法规定提供声明函内容不实的，属于提供虚假材料谋取、成交，依照《中华人民共和国政府采购法》等国家有关规定追究相应责任。</w:t>
      </w:r>
    </w:p>
    <w:p w14:paraId="51DDEC1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适用招标投标法的政府采购工程建设项目，供应商按照本办法规定提供声明函内容不实的，属于弄虚作假骗取中标，依照《中华人民共和国招标投标法》等国家有关规定追究相应责任。</w:t>
      </w:r>
    </w:p>
    <w:p w14:paraId="0A4EF59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4A70C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第二十二条对外援助项目、国家相关资格或者资质管</w:t>
      </w:r>
    </w:p>
    <w:p w14:paraId="414FFC4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理制度另有规定的项目，不适用本办法。</w:t>
      </w:r>
    </w:p>
    <w:p w14:paraId="2CCBD678">
      <w:pPr>
        <w:spacing w:line="360" w:lineRule="auto"/>
        <w:ind w:firstLine="504" w:firstLineChars="200"/>
        <w:jc w:val="left"/>
        <w:rPr>
          <w:rFonts w:hint="eastAsia" w:ascii="宋体" w:hAnsi="宋体" w:eastAsia="宋体" w:cs="宋体"/>
          <w:color w:val="auto"/>
          <w:spacing w:val="6"/>
          <w:sz w:val="24"/>
          <w:szCs w:val="24"/>
          <w:highlight w:val="none"/>
        </w:rPr>
      </w:pPr>
    </w:p>
    <w:p w14:paraId="59C2ABE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第二十三条关于视同中小企业的其他主体的政府采购扶持政策，由财政部会同有关部门另行规定。</w:t>
      </w:r>
    </w:p>
    <w:p w14:paraId="7677FD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第二十四条省级财政部门可以会同中小企业主管部门根据本办法的规定制定具体实施办法。</w:t>
      </w:r>
    </w:p>
    <w:p w14:paraId="6EFB27D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第二十五条本办法自2021年1月1日起施行。《财政部工业和信息化部关于印发〈政府采购促进中小企业发展暂行办法〉的通知》（财库﹝2011﹞181号）同时废止。</w:t>
      </w:r>
    </w:p>
    <w:p w14:paraId="7B57ADA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w:t>
      </w:r>
      <w:r>
        <w:rPr>
          <w:rStyle w:val="56"/>
          <w:rFonts w:hint="eastAsia" w:ascii="宋体" w:hAnsi="宋体" w:eastAsia="宋体" w:cs="宋体"/>
          <w:color w:val="auto"/>
          <w:sz w:val="24"/>
          <w:highlight w:val="none"/>
        </w:rPr>
        <w:t>中小企业划型标准规定</w:t>
      </w:r>
    </w:p>
    <w:p w14:paraId="40DECF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一、根据《中华人民共和国中小企业促进法》和《国务院关于进一步促进中小企业发展的若干意见》(国发〔2009〕36号)，制定本规定。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四、各行业划型标准为：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五、企业类型的划分以统计部门的统计数据为依据。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九、本规定由工业和信息化部、国家统计局会同有关部门负责解释。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7159FE2E">
      <w:pPr>
        <w:spacing w:line="360" w:lineRule="auto"/>
        <w:rPr>
          <w:rFonts w:hint="eastAsia" w:ascii="宋体" w:hAnsi="宋体" w:eastAsia="宋体" w:cs="宋体"/>
          <w:color w:val="auto"/>
          <w:sz w:val="24"/>
          <w:szCs w:val="24"/>
          <w:highlight w:val="none"/>
        </w:rPr>
      </w:pPr>
    </w:p>
    <w:p w14:paraId="674FACC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工业和信息化部国家统计局</w:t>
      </w:r>
    </w:p>
    <w:p w14:paraId="3BBE90D7">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国家发展和改革委员会财政部</w:t>
      </w:r>
    </w:p>
    <w:p w14:paraId="74E7A49B">
      <w:pPr>
        <w:spacing w:line="360" w:lineRule="auto"/>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二〇一一年六月十八日</w:t>
      </w:r>
    </w:p>
    <w:p w14:paraId="2CE11552">
      <w:pPr>
        <w:spacing w:line="360" w:lineRule="auto"/>
        <w:ind w:firstLine="506"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r>
        <w:rPr>
          <w:rFonts w:hint="eastAsia" w:ascii="宋体" w:hAnsi="宋体" w:eastAsia="宋体" w:cs="宋体"/>
          <w:b/>
          <w:color w:val="auto"/>
          <w:spacing w:val="6"/>
          <w:sz w:val="24"/>
          <w:szCs w:val="24"/>
          <w:highlight w:val="none"/>
        </w:rPr>
        <w:t>3.关于政府采购支持监狱企业发展有关问题的通知</w:t>
      </w:r>
    </w:p>
    <w:p w14:paraId="7B7663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010B2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425" w:name="OLE_LINK1"/>
      <w:r>
        <w:rPr>
          <w:rFonts w:hint="eastAsia" w:ascii="宋体" w:hAnsi="宋体" w:eastAsia="宋体" w:cs="宋体"/>
          <w:color w:val="auto"/>
          <w:kern w:val="0"/>
          <w:sz w:val="24"/>
          <w:szCs w:val="24"/>
          <w:highlight w:val="none"/>
        </w:rPr>
        <w:t>监狱企业</w:t>
      </w:r>
      <w:bookmarkEnd w:id="425"/>
      <w:r>
        <w:rPr>
          <w:rFonts w:hint="eastAsia" w:ascii="宋体" w:hAnsi="宋体" w:eastAsia="宋体" w:cs="宋体"/>
          <w:color w:val="auto"/>
          <w:kern w:val="0"/>
          <w:sz w:val="24"/>
          <w:szCs w:val="24"/>
          <w:highlight w:val="none"/>
        </w:rPr>
        <w:t>发展的作用，现就有关事项通知如下:</w:t>
      </w:r>
    </w:p>
    <w:p w14:paraId="4B443B1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4"/>
          <w:highlight w:val="none"/>
        </w:rPr>
        <w:t>。</w:t>
      </w:r>
    </w:p>
    <w:p w14:paraId="0ABC19D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4B7F62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FC092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5B3A259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7A69E34">
      <w:pPr>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财政部司法部</w:t>
      </w:r>
    </w:p>
    <w:p w14:paraId="5DF554E1">
      <w:pPr>
        <w:spacing w:line="360" w:lineRule="auto"/>
        <w:jc w:val="righ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2014年6月10日</w:t>
      </w:r>
    </w:p>
    <w:p w14:paraId="359E06F7">
      <w:pPr>
        <w:spacing w:line="360" w:lineRule="auto"/>
        <w:ind w:right="1928"/>
        <w:rPr>
          <w:rFonts w:hint="eastAsia" w:ascii="宋体" w:hAnsi="宋体" w:eastAsia="宋体" w:cs="宋体"/>
          <w:color w:val="auto"/>
          <w:sz w:val="24"/>
          <w:szCs w:val="24"/>
          <w:highlight w:val="none"/>
        </w:rPr>
      </w:pPr>
    </w:p>
    <w:sectPr>
      <w:headerReference r:id="rId15" w:type="default"/>
      <w:footerReference r:id="rId16" w:type="default"/>
      <w:pgSz w:w="11907" w:h="16840"/>
      <w:pgMar w:top="1418" w:right="1418" w:bottom="1247" w:left="1418" w:header="964"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F216">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FC48">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BDC5">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BBDF">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EB2FA">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410EB2FA">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0FF4">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8121">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444C7">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0D1444C7">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ED9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D914F">
                          <w:pPr>
                            <w:pStyle w:val="3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14:paraId="7BFD914F">
                    <w:pPr>
                      <w:pStyle w:val="3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DAA9">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0982">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5F4F">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7702">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4E01">
    <w:pPr>
      <w:pStyle w:val="34"/>
      <w:jc w:val="center"/>
      <w:rPr>
        <w:rFonts w:hint="eastAsia" w:ascii="宋体" w:hAnsi="宋体"/>
        <w:b/>
        <w:bCs/>
        <w:color w:val="000000"/>
        <w:sz w:val="21"/>
        <w:szCs w:val="21"/>
        <w:lang w:eastAsia="zh-CN"/>
      </w:rPr>
    </w:pPr>
  </w:p>
  <w:p w14:paraId="7708990C">
    <w:pPr>
      <w:pStyle w:val="34"/>
      <w:jc w:val="center"/>
      <w:rPr>
        <w:rFonts w:hint="eastAsia" w:ascii="宋体" w:hAnsi="宋体"/>
        <w:b/>
        <w:bCs/>
        <w:color w:val="000000"/>
        <w:sz w:val="21"/>
        <w:szCs w:val="21"/>
        <w:lang w:eastAsia="zh-CN"/>
      </w:rPr>
    </w:pPr>
  </w:p>
  <w:p w14:paraId="460BAE02">
    <w:pPr>
      <w:pStyle w:val="34"/>
      <w:jc w:val="center"/>
      <w:rPr>
        <w:rFonts w:hint="eastAsia" w:ascii="宋体" w:hAnsi="宋体"/>
        <w:b/>
        <w:bCs/>
        <w:color w:val="000000"/>
        <w:sz w:val="21"/>
        <w:szCs w:val="21"/>
        <w:lang w:eastAsia="zh-CN"/>
      </w:rPr>
    </w:pPr>
  </w:p>
  <w:p w14:paraId="6265FBA4">
    <w:pPr>
      <w:pStyle w:val="34"/>
      <w:jc w:val="center"/>
      <w:rPr>
        <w:rFonts w:hint="eastAsia" w:ascii="宋体" w:hAnsi="宋体"/>
        <w:b/>
        <w:bCs/>
        <w:color w:val="000000"/>
        <w:sz w:val="21"/>
        <w:szCs w:val="21"/>
        <w:lang w:eastAsia="zh-CN"/>
      </w:rPr>
    </w:pPr>
  </w:p>
  <w:p w14:paraId="38E2999C">
    <w:pPr>
      <w:pStyle w:val="34"/>
      <w:jc w:val="center"/>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433F">
    <w:pPr>
      <w:pStyle w:val="34"/>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B645">
    <w:pPr>
      <w:pStyle w:val="34"/>
      <w:rPr>
        <w:rFonts w:hint="eastAsia" w:eastAsia="宋体"/>
        <w:sz w:val="21"/>
        <w:szCs w:val="21"/>
        <w:lang w:eastAsia="zh-CN"/>
      </w:rPr>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D579"/>
    <w:multiLevelType w:val="singleLevel"/>
    <w:tmpl w:val="8B4ED579"/>
    <w:lvl w:ilvl="0" w:tentative="0">
      <w:start w:val="1"/>
      <w:numFmt w:val="decimal"/>
      <w:lvlText w:val="%1."/>
      <w:lvlJc w:val="left"/>
      <w:pPr>
        <w:ind w:left="425" w:hanging="425"/>
      </w:pPr>
      <w:rPr>
        <w:rFonts w:hint="default"/>
      </w:rPr>
    </w:lvl>
  </w:abstractNum>
  <w:abstractNum w:abstractNumId="1">
    <w:nsid w:val="ABCCBE8D"/>
    <w:multiLevelType w:val="singleLevel"/>
    <w:tmpl w:val="ABCCBE8D"/>
    <w:lvl w:ilvl="0" w:tentative="0">
      <w:start w:val="4"/>
      <w:numFmt w:val="chineseCounting"/>
      <w:suff w:val="space"/>
      <w:lvlText w:val="第%1章"/>
      <w:lvlJc w:val="left"/>
      <w:rPr>
        <w:rFonts w:hint="eastAsia"/>
      </w:rPr>
    </w:lvl>
  </w:abstractNum>
  <w:abstractNum w:abstractNumId="2">
    <w:nsid w:val="00000009"/>
    <w:multiLevelType w:val="multilevel"/>
    <w:tmpl w:val="00000009"/>
    <w:lvl w:ilvl="0" w:tentative="0">
      <w:start w:val="1"/>
      <w:numFmt w:val="decimal"/>
      <w:lvlText w:val="%1）"/>
      <w:lvlJc w:val="left"/>
      <w:pPr>
        <w:tabs>
          <w:tab w:val="left" w:pos="502"/>
        </w:tabs>
        <w:ind w:left="502" w:hanging="36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11"/>
    <w:multiLevelType w:val="multilevel"/>
    <w:tmpl w:val="00000011"/>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3E16671"/>
    <w:multiLevelType w:val="singleLevel"/>
    <w:tmpl w:val="03E16671"/>
    <w:lvl w:ilvl="0" w:tentative="0">
      <w:start w:val="2"/>
      <w:numFmt w:val="chineseCounting"/>
      <w:suff w:val="nothing"/>
      <w:lvlText w:val="%1、"/>
      <w:lvlJc w:val="left"/>
      <w:rPr>
        <w:rFonts w:hint="eastAsia"/>
      </w:rPr>
    </w:lvl>
  </w:abstractNum>
  <w:abstractNum w:abstractNumId="7">
    <w:nsid w:val="2A800D46"/>
    <w:multiLevelType w:val="singleLevel"/>
    <w:tmpl w:val="2A800D46"/>
    <w:lvl w:ilvl="0" w:tentative="0">
      <w:start w:val="5"/>
      <w:numFmt w:val="decimal"/>
      <w:suff w:val="space"/>
      <w:lvlText w:val="%1)"/>
      <w:lvlJc w:val="left"/>
    </w:lvl>
  </w:abstractNum>
  <w:abstractNum w:abstractNumId="8">
    <w:nsid w:val="322E2208"/>
    <w:multiLevelType w:val="singleLevel"/>
    <w:tmpl w:val="322E2208"/>
    <w:lvl w:ilvl="0" w:tentative="0">
      <w:start w:val="1"/>
      <w:numFmt w:val="decimal"/>
      <w:suff w:val="nothing"/>
      <w:lvlText w:val="%1、"/>
      <w:lvlJc w:val="left"/>
      <w:pPr>
        <w:ind w:left="880" w:firstLine="0"/>
      </w:pPr>
    </w:lvl>
  </w:abstractNum>
  <w:abstractNum w:abstractNumId="9">
    <w:nsid w:val="40582A62"/>
    <w:multiLevelType w:val="multilevel"/>
    <w:tmpl w:val="40582A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5"/>
  </w:num>
  <w:num w:numId="4">
    <w:abstractNumId w:val="7"/>
  </w:num>
  <w:num w:numId="5">
    <w:abstractNumId w:val="9"/>
  </w:num>
  <w:num w:numId="6">
    <w:abstractNumId w:val="0"/>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DA3MTE0ZWM3M2YyOWMzYzBlZDYwOTkyN2YzOGUifQ=="/>
  </w:docVars>
  <w:rsids>
    <w:rsidRoot w:val="00172A27"/>
    <w:rsid w:val="000011FE"/>
    <w:rsid w:val="00001BEF"/>
    <w:rsid w:val="000025E6"/>
    <w:rsid w:val="000029DE"/>
    <w:rsid w:val="0000435B"/>
    <w:rsid w:val="00004EF9"/>
    <w:rsid w:val="0000566B"/>
    <w:rsid w:val="00005684"/>
    <w:rsid w:val="00005927"/>
    <w:rsid w:val="00006F89"/>
    <w:rsid w:val="000072E7"/>
    <w:rsid w:val="00010445"/>
    <w:rsid w:val="00012DB4"/>
    <w:rsid w:val="00013C32"/>
    <w:rsid w:val="00014A34"/>
    <w:rsid w:val="00016097"/>
    <w:rsid w:val="000161A8"/>
    <w:rsid w:val="000175CA"/>
    <w:rsid w:val="00017FE4"/>
    <w:rsid w:val="0002189E"/>
    <w:rsid w:val="00023622"/>
    <w:rsid w:val="000236A0"/>
    <w:rsid w:val="00024BF2"/>
    <w:rsid w:val="00025022"/>
    <w:rsid w:val="000256E1"/>
    <w:rsid w:val="00025876"/>
    <w:rsid w:val="000258F9"/>
    <w:rsid w:val="00026749"/>
    <w:rsid w:val="00027976"/>
    <w:rsid w:val="000303B5"/>
    <w:rsid w:val="00031018"/>
    <w:rsid w:val="00032342"/>
    <w:rsid w:val="000324DE"/>
    <w:rsid w:val="00032805"/>
    <w:rsid w:val="00034286"/>
    <w:rsid w:val="0003490D"/>
    <w:rsid w:val="00034B27"/>
    <w:rsid w:val="00035617"/>
    <w:rsid w:val="000358A5"/>
    <w:rsid w:val="000359A5"/>
    <w:rsid w:val="0003700C"/>
    <w:rsid w:val="000376A9"/>
    <w:rsid w:val="00037CDD"/>
    <w:rsid w:val="00040DBA"/>
    <w:rsid w:val="00042ABA"/>
    <w:rsid w:val="00042AED"/>
    <w:rsid w:val="00043D57"/>
    <w:rsid w:val="000447F1"/>
    <w:rsid w:val="00044B38"/>
    <w:rsid w:val="000459A1"/>
    <w:rsid w:val="0004663D"/>
    <w:rsid w:val="00051C54"/>
    <w:rsid w:val="00052124"/>
    <w:rsid w:val="00052E49"/>
    <w:rsid w:val="0005358F"/>
    <w:rsid w:val="00053BD5"/>
    <w:rsid w:val="00060285"/>
    <w:rsid w:val="0006047D"/>
    <w:rsid w:val="00060781"/>
    <w:rsid w:val="00061445"/>
    <w:rsid w:val="000619C6"/>
    <w:rsid w:val="00062207"/>
    <w:rsid w:val="000624E1"/>
    <w:rsid w:val="000625D6"/>
    <w:rsid w:val="00062C4E"/>
    <w:rsid w:val="00062F04"/>
    <w:rsid w:val="0006369E"/>
    <w:rsid w:val="00063E52"/>
    <w:rsid w:val="00065153"/>
    <w:rsid w:val="00067810"/>
    <w:rsid w:val="000678F3"/>
    <w:rsid w:val="000701E0"/>
    <w:rsid w:val="00070D1C"/>
    <w:rsid w:val="00071459"/>
    <w:rsid w:val="00072A88"/>
    <w:rsid w:val="00073988"/>
    <w:rsid w:val="00073CB9"/>
    <w:rsid w:val="00074564"/>
    <w:rsid w:val="00075C68"/>
    <w:rsid w:val="000769CE"/>
    <w:rsid w:val="00080C51"/>
    <w:rsid w:val="00081268"/>
    <w:rsid w:val="000819B3"/>
    <w:rsid w:val="00081AF7"/>
    <w:rsid w:val="00083DBC"/>
    <w:rsid w:val="0008630D"/>
    <w:rsid w:val="00090F1E"/>
    <w:rsid w:val="000916AC"/>
    <w:rsid w:val="00092263"/>
    <w:rsid w:val="000942C1"/>
    <w:rsid w:val="00094A1D"/>
    <w:rsid w:val="00097C36"/>
    <w:rsid w:val="000A25EE"/>
    <w:rsid w:val="000A2DC1"/>
    <w:rsid w:val="000A5728"/>
    <w:rsid w:val="000A7BD1"/>
    <w:rsid w:val="000B01A3"/>
    <w:rsid w:val="000B0FAB"/>
    <w:rsid w:val="000B18EB"/>
    <w:rsid w:val="000B25EE"/>
    <w:rsid w:val="000B2AD8"/>
    <w:rsid w:val="000B4874"/>
    <w:rsid w:val="000B4BFE"/>
    <w:rsid w:val="000B5A17"/>
    <w:rsid w:val="000B6887"/>
    <w:rsid w:val="000C32C3"/>
    <w:rsid w:val="000C4884"/>
    <w:rsid w:val="000C5166"/>
    <w:rsid w:val="000C6871"/>
    <w:rsid w:val="000D0CD2"/>
    <w:rsid w:val="000D2E8E"/>
    <w:rsid w:val="000D5047"/>
    <w:rsid w:val="000D514A"/>
    <w:rsid w:val="000D600B"/>
    <w:rsid w:val="000D6332"/>
    <w:rsid w:val="000E0F2D"/>
    <w:rsid w:val="000E11A1"/>
    <w:rsid w:val="000E37A4"/>
    <w:rsid w:val="000E4305"/>
    <w:rsid w:val="000E5CA6"/>
    <w:rsid w:val="000E63CA"/>
    <w:rsid w:val="000E787D"/>
    <w:rsid w:val="000E7885"/>
    <w:rsid w:val="000F0D10"/>
    <w:rsid w:val="000F10FD"/>
    <w:rsid w:val="000F28E6"/>
    <w:rsid w:val="000F2BED"/>
    <w:rsid w:val="000F2E49"/>
    <w:rsid w:val="000F2F8F"/>
    <w:rsid w:val="000F4F58"/>
    <w:rsid w:val="000F61E5"/>
    <w:rsid w:val="000F6630"/>
    <w:rsid w:val="00100057"/>
    <w:rsid w:val="00100369"/>
    <w:rsid w:val="00100C75"/>
    <w:rsid w:val="00101063"/>
    <w:rsid w:val="00101187"/>
    <w:rsid w:val="00101611"/>
    <w:rsid w:val="00102A87"/>
    <w:rsid w:val="00102E86"/>
    <w:rsid w:val="0010416B"/>
    <w:rsid w:val="001049BF"/>
    <w:rsid w:val="0010509E"/>
    <w:rsid w:val="001111A6"/>
    <w:rsid w:val="00111460"/>
    <w:rsid w:val="00112565"/>
    <w:rsid w:val="00112691"/>
    <w:rsid w:val="00112CD2"/>
    <w:rsid w:val="00112D51"/>
    <w:rsid w:val="00114594"/>
    <w:rsid w:val="00114AA3"/>
    <w:rsid w:val="00116BBD"/>
    <w:rsid w:val="00117862"/>
    <w:rsid w:val="001219B1"/>
    <w:rsid w:val="0012273C"/>
    <w:rsid w:val="001227E5"/>
    <w:rsid w:val="00123228"/>
    <w:rsid w:val="0012370C"/>
    <w:rsid w:val="001244F3"/>
    <w:rsid w:val="00126A1B"/>
    <w:rsid w:val="00127EB5"/>
    <w:rsid w:val="00130809"/>
    <w:rsid w:val="001325EA"/>
    <w:rsid w:val="00133C9C"/>
    <w:rsid w:val="00134970"/>
    <w:rsid w:val="00140BDB"/>
    <w:rsid w:val="001413E7"/>
    <w:rsid w:val="001438D3"/>
    <w:rsid w:val="00143914"/>
    <w:rsid w:val="00143C50"/>
    <w:rsid w:val="0014455D"/>
    <w:rsid w:val="00144F88"/>
    <w:rsid w:val="0014529B"/>
    <w:rsid w:val="00145494"/>
    <w:rsid w:val="001455C3"/>
    <w:rsid w:val="00145CD8"/>
    <w:rsid w:val="00146211"/>
    <w:rsid w:val="00146792"/>
    <w:rsid w:val="00146FD3"/>
    <w:rsid w:val="001507AB"/>
    <w:rsid w:val="001507CC"/>
    <w:rsid w:val="00150A31"/>
    <w:rsid w:val="0015196B"/>
    <w:rsid w:val="001527C8"/>
    <w:rsid w:val="00153C38"/>
    <w:rsid w:val="001552C7"/>
    <w:rsid w:val="00155598"/>
    <w:rsid w:val="00155670"/>
    <w:rsid w:val="001566B9"/>
    <w:rsid w:val="00156780"/>
    <w:rsid w:val="00157A52"/>
    <w:rsid w:val="0016000B"/>
    <w:rsid w:val="0016212B"/>
    <w:rsid w:val="0016295A"/>
    <w:rsid w:val="00164215"/>
    <w:rsid w:val="0016454B"/>
    <w:rsid w:val="001649A6"/>
    <w:rsid w:val="00167456"/>
    <w:rsid w:val="00167C35"/>
    <w:rsid w:val="00167E6A"/>
    <w:rsid w:val="00167F28"/>
    <w:rsid w:val="00171329"/>
    <w:rsid w:val="0017139B"/>
    <w:rsid w:val="00172243"/>
    <w:rsid w:val="00172562"/>
    <w:rsid w:val="00175CDA"/>
    <w:rsid w:val="0017682A"/>
    <w:rsid w:val="001774B6"/>
    <w:rsid w:val="00180059"/>
    <w:rsid w:val="00180094"/>
    <w:rsid w:val="00180A31"/>
    <w:rsid w:val="001811F6"/>
    <w:rsid w:val="00183AB7"/>
    <w:rsid w:val="0018401C"/>
    <w:rsid w:val="00185C42"/>
    <w:rsid w:val="001861E7"/>
    <w:rsid w:val="001871D2"/>
    <w:rsid w:val="00190120"/>
    <w:rsid w:val="00190329"/>
    <w:rsid w:val="001927C0"/>
    <w:rsid w:val="0019322F"/>
    <w:rsid w:val="001936B9"/>
    <w:rsid w:val="0019431D"/>
    <w:rsid w:val="001945AC"/>
    <w:rsid w:val="00194AE2"/>
    <w:rsid w:val="00196D65"/>
    <w:rsid w:val="00197480"/>
    <w:rsid w:val="00197FBD"/>
    <w:rsid w:val="001A3291"/>
    <w:rsid w:val="001A3597"/>
    <w:rsid w:val="001A4152"/>
    <w:rsid w:val="001A5083"/>
    <w:rsid w:val="001A56B9"/>
    <w:rsid w:val="001A5BBA"/>
    <w:rsid w:val="001A6262"/>
    <w:rsid w:val="001A6D33"/>
    <w:rsid w:val="001B0234"/>
    <w:rsid w:val="001B0BF2"/>
    <w:rsid w:val="001B3057"/>
    <w:rsid w:val="001B5405"/>
    <w:rsid w:val="001B5938"/>
    <w:rsid w:val="001B5DAB"/>
    <w:rsid w:val="001B641C"/>
    <w:rsid w:val="001B6B21"/>
    <w:rsid w:val="001C0674"/>
    <w:rsid w:val="001C15A8"/>
    <w:rsid w:val="001C1B73"/>
    <w:rsid w:val="001C2215"/>
    <w:rsid w:val="001C4451"/>
    <w:rsid w:val="001C61ED"/>
    <w:rsid w:val="001C70DA"/>
    <w:rsid w:val="001D02EC"/>
    <w:rsid w:val="001D0E8D"/>
    <w:rsid w:val="001D11C2"/>
    <w:rsid w:val="001D1F72"/>
    <w:rsid w:val="001D21DB"/>
    <w:rsid w:val="001D46E9"/>
    <w:rsid w:val="001D47F0"/>
    <w:rsid w:val="001D6D56"/>
    <w:rsid w:val="001E00A4"/>
    <w:rsid w:val="001E0571"/>
    <w:rsid w:val="001E2E78"/>
    <w:rsid w:val="001E362C"/>
    <w:rsid w:val="001E40EA"/>
    <w:rsid w:val="001E5555"/>
    <w:rsid w:val="001E64A4"/>
    <w:rsid w:val="001E6CC6"/>
    <w:rsid w:val="001E717A"/>
    <w:rsid w:val="001E7C64"/>
    <w:rsid w:val="001F0727"/>
    <w:rsid w:val="001F09E9"/>
    <w:rsid w:val="001F297B"/>
    <w:rsid w:val="001F2D8A"/>
    <w:rsid w:val="001F323F"/>
    <w:rsid w:val="001F370B"/>
    <w:rsid w:val="001F43A0"/>
    <w:rsid w:val="001F51A0"/>
    <w:rsid w:val="001F63D1"/>
    <w:rsid w:val="001F6A4F"/>
    <w:rsid w:val="001F767D"/>
    <w:rsid w:val="001F790C"/>
    <w:rsid w:val="00201EB2"/>
    <w:rsid w:val="00202521"/>
    <w:rsid w:val="00202B35"/>
    <w:rsid w:val="00202F71"/>
    <w:rsid w:val="00203738"/>
    <w:rsid w:val="0020386D"/>
    <w:rsid w:val="00205301"/>
    <w:rsid w:val="00205C34"/>
    <w:rsid w:val="00206522"/>
    <w:rsid w:val="0020696D"/>
    <w:rsid w:val="002070D9"/>
    <w:rsid w:val="00210D9E"/>
    <w:rsid w:val="002114AE"/>
    <w:rsid w:val="00212258"/>
    <w:rsid w:val="00212E61"/>
    <w:rsid w:val="0021624A"/>
    <w:rsid w:val="00216D0B"/>
    <w:rsid w:val="00221413"/>
    <w:rsid w:val="00221F10"/>
    <w:rsid w:val="00222996"/>
    <w:rsid w:val="00222FD0"/>
    <w:rsid w:val="00224C1B"/>
    <w:rsid w:val="002300D0"/>
    <w:rsid w:val="00231027"/>
    <w:rsid w:val="0023140B"/>
    <w:rsid w:val="00233406"/>
    <w:rsid w:val="002346CF"/>
    <w:rsid w:val="00234FC9"/>
    <w:rsid w:val="00235113"/>
    <w:rsid w:val="0023522D"/>
    <w:rsid w:val="00236B04"/>
    <w:rsid w:val="002401C7"/>
    <w:rsid w:val="00240708"/>
    <w:rsid w:val="00240AEB"/>
    <w:rsid w:val="00240BB7"/>
    <w:rsid w:val="00242FBA"/>
    <w:rsid w:val="002444A3"/>
    <w:rsid w:val="00245075"/>
    <w:rsid w:val="00245C03"/>
    <w:rsid w:val="00246320"/>
    <w:rsid w:val="00246944"/>
    <w:rsid w:val="002471E3"/>
    <w:rsid w:val="00250D0E"/>
    <w:rsid w:val="00250EA5"/>
    <w:rsid w:val="00251AFB"/>
    <w:rsid w:val="002523E2"/>
    <w:rsid w:val="00252DE5"/>
    <w:rsid w:val="00254108"/>
    <w:rsid w:val="00254BE3"/>
    <w:rsid w:val="00254C89"/>
    <w:rsid w:val="002555F3"/>
    <w:rsid w:val="00255B38"/>
    <w:rsid w:val="00255BC4"/>
    <w:rsid w:val="0025618B"/>
    <w:rsid w:val="0025725C"/>
    <w:rsid w:val="00257668"/>
    <w:rsid w:val="002600BE"/>
    <w:rsid w:val="00260B54"/>
    <w:rsid w:val="00260FFF"/>
    <w:rsid w:val="00263EAA"/>
    <w:rsid w:val="0026654D"/>
    <w:rsid w:val="0026679C"/>
    <w:rsid w:val="002674A8"/>
    <w:rsid w:val="00267FB1"/>
    <w:rsid w:val="002703E1"/>
    <w:rsid w:val="00272CC0"/>
    <w:rsid w:val="0027331A"/>
    <w:rsid w:val="00273B55"/>
    <w:rsid w:val="00273BC6"/>
    <w:rsid w:val="002753A0"/>
    <w:rsid w:val="00276478"/>
    <w:rsid w:val="00277BCA"/>
    <w:rsid w:val="00281965"/>
    <w:rsid w:val="002829FE"/>
    <w:rsid w:val="00283CD5"/>
    <w:rsid w:val="00283DEC"/>
    <w:rsid w:val="002843D1"/>
    <w:rsid w:val="00284F05"/>
    <w:rsid w:val="002851D1"/>
    <w:rsid w:val="002854F0"/>
    <w:rsid w:val="00286420"/>
    <w:rsid w:val="00287627"/>
    <w:rsid w:val="00287868"/>
    <w:rsid w:val="00287C49"/>
    <w:rsid w:val="00290743"/>
    <w:rsid w:val="00291274"/>
    <w:rsid w:val="00291D0E"/>
    <w:rsid w:val="0029253E"/>
    <w:rsid w:val="0029362B"/>
    <w:rsid w:val="00293DFE"/>
    <w:rsid w:val="00293E86"/>
    <w:rsid w:val="00294476"/>
    <w:rsid w:val="00295A60"/>
    <w:rsid w:val="002961EA"/>
    <w:rsid w:val="00297078"/>
    <w:rsid w:val="00297576"/>
    <w:rsid w:val="00297F69"/>
    <w:rsid w:val="002A0C40"/>
    <w:rsid w:val="002A1465"/>
    <w:rsid w:val="002A35FA"/>
    <w:rsid w:val="002A4A12"/>
    <w:rsid w:val="002A4BD5"/>
    <w:rsid w:val="002A654F"/>
    <w:rsid w:val="002A6CB7"/>
    <w:rsid w:val="002A7095"/>
    <w:rsid w:val="002B0CD4"/>
    <w:rsid w:val="002B0D3C"/>
    <w:rsid w:val="002B195C"/>
    <w:rsid w:val="002B38B5"/>
    <w:rsid w:val="002B3DBA"/>
    <w:rsid w:val="002B46C3"/>
    <w:rsid w:val="002B5518"/>
    <w:rsid w:val="002B5954"/>
    <w:rsid w:val="002B5B14"/>
    <w:rsid w:val="002B680E"/>
    <w:rsid w:val="002C28C0"/>
    <w:rsid w:val="002C393E"/>
    <w:rsid w:val="002C3D46"/>
    <w:rsid w:val="002C3DFA"/>
    <w:rsid w:val="002C43AA"/>
    <w:rsid w:val="002D1911"/>
    <w:rsid w:val="002D229E"/>
    <w:rsid w:val="002D2A1E"/>
    <w:rsid w:val="002D2CD9"/>
    <w:rsid w:val="002D3733"/>
    <w:rsid w:val="002D3762"/>
    <w:rsid w:val="002D3860"/>
    <w:rsid w:val="002D3B42"/>
    <w:rsid w:val="002D3EFA"/>
    <w:rsid w:val="002D470D"/>
    <w:rsid w:val="002D4B42"/>
    <w:rsid w:val="002D56AA"/>
    <w:rsid w:val="002D752A"/>
    <w:rsid w:val="002E0795"/>
    <w:rsid w:val="002E09D7"/>
    <w:rsid w:val="002E0DCA"/>
    <w:rsid w:val="002E1E87"/>
    <w:rsid w:val="002E3F54"/>
    <w:rsid w:val="002E5EBE"/>
    <w:rsid w:val="002E619C"/>
    <w:rsid w:val="002E6589"/>
    <w:rsid w:val="002E6DBA"/>
    <w:rsid w:val="002E792F"/>
    <w:rsid w:val="002F04CC"/>
    <w:rsid w:val="002F17C7"/>
    <w:rsid w:val="002F1C85"/>
    <w:rsid w:val="002F269D"/>
    <w:rsid w:val="002F29FF"/>
    <w:rsid w:val="002F3CA4"/>
    <w:rsid w:val="002F6B5A"/>
    <w:rsid w:val="002F6F9D"/>
    <w:rsid w:val="002F7499"/>
    <w:rsid w:val="002F7592"/>
    <w:rsid w:val="00301185"/>
    <w:rsid w:val="003016A8"/>
    <w:rsid w:val="00301B17"/>
    <w:rsid w:val="003027CD"/>
    <w:rsid w:val="00304848"/>
    <w:rsid w:val="00304FBA"/>
    <w:rsid w:val="00305B8F"/>
    <w:rsid w:val="003073DC"/>
    <w:rsid w:val="00310411"/>
    <w:rsid w:val="003108C9"/>
    <w:rsid w:val="00311DD8"/>
    <w:rsid w:val="003120D1"/>
    <w:rsid w:val="0031463B"/>
    <w:rsid w:val="00317F61"/>
    <w:rsid w:val="00321EF3"/>
    <w:rsid w:val="00322E30"/>
    <w:rsid w:val="0032381E"/>
    <w:rsid w:val="00324A16"/>
    <w:rsid w:val="00325B9F"/>
    <w:rsid w:val="0032601D"/>
    <w:rsid w:val="003268C0"/>
    <w:rsid w:val="003273B3"/>
    <w:rsid w:val="00330267"/>
    <w:rsid w:val="0033043F"/>
    <w:rsid w:val="00330934"/>
    <w:rsid w:val="003314B9"/>
    <w:rsid w:val="003322F9"/>
    <w:rsid w:val="00332D72"/>
    <w:rsid w:val="00332E44"/>
    <w:rsid w:val="003340A3"/>
    <w:rsid w:val="00334B7E"/>
    <w:rsid w:val="00335895"/>
    <w:rsid w:val="003360F6"/>
    <w:rsid w:val="003366ED"/>
    <w:rsid w:val="0033705D"/>
    <w:rsid w:val="00341BB8"/>
    <w:rsid w:val="00341EB5"/>
    <w:rsid w:val="003423CF"/>
    <w:rsid w:val="00342B00"/>
    <w:rsid w:val="00342E81"/>
    <w:rsid w:val="003438EF"/>
    <w:rsid w:val="0034577F"/>
    <w:rsid w:val="00345F80"/>
    <w:rsid w:val="003472D8"/>
    <w:rsid w:val="0035011F"/>
    <w:rsid w:val="003516BA"/>
    <w:rsid w:val="00351EEA"/>
    <w:rsid w:val="00352599"/>
    <w:rsid w:val="00354ACD"/>
    <w:rsid w:val="00355F2C"/>
    <w:rsid w:val="00357EFD"/>
    <w:rsid w:val="0036143E"/>
    <w:rsid w:val="00362C72"/>
    <w:rsid w:val="003646E0"/>
    <w:rsid w:val="00364C7E"/>
    <w:rsid w:val="00367544"/>
    <w:rsid w:val="0037061B"/>
    <w:rsid w:val="00370A4E"/>
    <w:rsid w:val="00372B85"/>
    <w:rsid w:val="00373448"/>
    <w:rsid w:val="0037368F"/>
    <w:rsid w:val="00373D4B"/>
    <w:rsid w:val="00374296"/>
    <w:rsid w:val="00374B4B"/>
    <w:rsid w:val="00375796"/>
    <w:rsid w:val="00375C25"/>
    <w:rsid w:val="00376C9A"/>
    <w:rsid w:val="00377CF5"/>
    <w:rsid w:val="00377EE1"/>
    <w:rsid w:val="003806B8"/>
    <w:rsid w:val="003817E0"/>
    <w:rsid w:val="00382C2A"/>
    <w:rsid w:val="00383EF1"/>
    <w:rsid w:val="00384898"/>
    <w:rsid w:val="003848EE"/>
    <w:rsid w:val="00385627"/>
    <w:rsid w:val="00386EC9"/>
    <w:rsid w:val="00387654"/>
    <w:rsid w:val="00387C6C"/>
    <w:rsid w:val="0039004E"/>
    <w:rsid w:val="003903E9"/>
    <w:rsid w:val="003905DB"/>
    <w:rsid w:val="00390CE3"/>
    <w:rsid w:val="00391880"/>
    <w:rsid w:val="0039262F"/>
    <w:rsid w:val="003938CF"/>
    <w:rsid w:val="00393A70"/>
    <w:rsid w:val="00394DBE"/>
    <w:rsid w:val="003950F3"/>
    <w:rsid w:val="00395B8D"/>
    <w:rsid w:val="00397276"/>
    <w:rsid w:val="00397614"/>
    <w:rsid w:val="003A10D8"/>
    <w:rsid w:val="003A3207"/>
    <w:rsid w:val="003A377A"/>
    <w:rsid w:val="003A42DE"/>
    <w:rsid w:val="003A45B1"/>
    <w:rsid w:val="003A5880"/>
    <w:rsid w:val="003A68AD"/>
    <w:rsid w:val="003A6979"/>
    <w:rsid w:val="003A6AA6"/>
    <w:rsid w:val="003A755E"/>
    <w:rsid w:val="003B038E"/>
    <w:rsid w:val="003B0C04"/>
    <w:rsid w:val="003B2DBA"/>
    <w:rsid w:val="003B34C7"/>
    <w:rsid w:val="003B36CC"/>
    <w:rsid w:val="003B38B8"/>
    <w:rsid w:val="003B3CCA"/>
    <w:rsid w:val="003B57B8"/>
    <w:rsid w:val="003B73EC"/>
    <w:rsid w:val="003C343F"/>
    <w:rsid w:val="003C448A"/>
    <w:rsid w:val="003C52DD"/>
    <w:rsid w:val="003C79D7"/>
    <w:rsid w:val="003C7C29"/>
    <w:rsid w:val="003D062D"/>
    <w:rsid w:val="003D33E3"/>
    <w:rsid w:val="003D37B7"/>
    <w:rsid w:val="003D3A62"/>
    <w:rsid w:val="003D4388"/>
    <w:rsid w:val="003D4619"/>
    <w:rsid w:val="003D49D0"/>
    <w:rsid w:val="003D4FF2"/>
    <w:rsid w:val="003D5BEA"/>
    <w:rsid w:val="003D70AD"/>
    <w:rsid w:val="003D72A6"/>
    <w:rsid w:val="003E0D27"/>
    <w:rsid w:val="003E2686"/>
    <w:rsid w:val="003E29C0"/>
    <w:rsid w:val="003E2D8D"/>
    <w:rsid w:val="003E3003"/>
    <w:rsid w:val="003E3499"/>
    <w:rsid w:val="003E34C6"/>
    <w:rsid w:val="003E4DE0"/>
    <w:rsid w:val="003E56D5"/>
    <w:rsid w:val="003E71FB"/>
    <w:rsid w:val="003E7D91"/>
    <w:rsid w:val="003E7FCD"/>
    <w:rsid w:val="003F0C37"/>
    <w:rsid w:val="003F1595"/>
    <w:rsid w:val="003F16DA"/>
    <w:rsid w:val="003F193E"/>
    <w:rsid w:val="003F215F"/>
    <w:rsid w:val="003F26E5"/>
    <w:rsid w:val="003F45F4"/>
    <w:rsid w:val="003F4F22"/>
    <w:rsid w:val="003F5C6B"/>
    <w:rsid w:val="003F6425"/>
    <w:rsid w:val="003F6F2B"/>
    <w:rsid w:val="0040032B"/>
    <w:rsid w:val="00401279"/>
    <w:rsid w:val="004020CF"/>
    <w:rsid w:val="004022AE"/>
    <w:rsid w:val="004023D0"/>
    <w:rsid w:val="004026D1"/>
    <w:rsid w:val="00402D98"/>
    <w:rsid w:val="00403296"/>
    <w:rsid w:val="00406441"/>
    <w:rsid w:val="0040647A"/>
    <w:rsid w:val="00407282"/>
    <w:rsid w:val="00407307"/>
    <w:rsid w:val="00407C95"/>
    <w:rsid w:val="004102FA"/>
    <w:rsid w:val="004110BF"/>
    <w:rsid w:val="004128B8"/>
    <w:rsid w:val="00412F77"/>
    <w:rsid w:val="0041313B"/>
    <w:rsid w:val="004136A2"/>
    <w:rsid w:val="00414E0F"/>
    <w:rsid w:val="0041680D"/>
    <w:rsid w:val="004207CF"/>
    <w:rsid w:val="00422BC4"/>
    <w:rsid w:val="00423466"/>
    <w:rsid w:val="004238B4"/>
    <w:rsid w:val="004254AF"/>
    <w:rsid w:val="004277C9"/>
    <w:rsid w:val="00431BC8"/>
    <w:rsid w:val="00431D10"/>
    <w:rsid w:val="00434B87"/>
    <w:rsid w:val="00435C72"/>
    <w:rsid w:val="00435E0C"/>
    <w:rsid w:val="00435FDB"/>
    <w:rsid w:val="00437244"/>
    <w:rsid w:val="00437A6C"/>
    <w:rsid w:val="004412A1"/>
    <w:rsid w:val="004414AB"/>
    <w:rsid w:val="00443671"/>
    <w:rsid w:val="00443B5E"/>
    <w:rsid w:val="00444832"/>
    <w:rsid w:val="00444A97"/>
    <w:rsid w:val="00445093"/>
    <w:rsid w:val="00445FE8"/>
    <w:rsid w:val="0044670B"/>
    <w:rsid w:val="0044795F"/>
    <w:rsid w:val="00447A12"/>
    <w:rsid w:val="00450821"/>
    <w:rsid w:val="004526CC"/>
    <w:rsid w:val="00453884"/>
    <w:rsid w:val="00453A8C"/>
    <w:rsid w:val="00453C5A"/>
    <w:rsid w:val="00460186"/>
    <w:rsid w:val="00460F8C"/>
    <w:rsid w:val="004615D1"/>
    <w:rsid w:val="00463DD7"/>
    <w:rsid w:val="00463E0E"/>
    <w:rsid w:val="00463F06"/>
    <w:rsid w:val="0046482B"/>
    <w:rsid w:val="00464C1D"/>
    <w:rsid w:val="00465308"/>
    <w:rsid w:val="004660F8"/>
    <w:rsid w:val="00466F30"/>
    <w:rsid w:val="004734C9"/>
    <w:rsid w:val="00475078"/>
    <w:rsid w:val="00477055"/>
    <w:rsid w:val="0047752C"/>
    <w:rsid w:val="00477E15"/>
    <w:rsid w:val="00481BED"/>
    <w:rsid w:val="0048353D"/>
    <w:rsid w:val="00484036"/>
    <w:rsid w:val="004845F1"/>
    <w:rsid w:val="0049016F"/>
    <w:rsid w:val="004909C0"/>
    <w:rsid w:val="0049178E"/>
    <w:rsid w:val="004918E4"/>
    <w:rsid w:val="00494A08"/>
    <w:rsid w:val="00496223"/>
    <w:rsid w:val="00496CD6"/>
    <w:rsid w:val="004A12B7"/>
    <w:rsid w:val="004A1933"/>
    <w:rsid w:val="004A28C9"/>
    <w:rsid w:val="004A3B94"/>
    <w:rsid w:val="004A41A4"/>
    <w:rsid w:val="004A5819"/>
    <w:rsid w:val="004A5EFE"/>
    <w:rsid w:val="004A6DAC"/>
    <w:rsid w:val="004A7833"/>
    <w:rsid w:val="004A7F57"/>
    <w:rsid w:val="004B0310"/>
    <w:rsid w:val="004B1B75"/>
    <w:rsid w:val="004B2192"/>
    <w:rsid w:val="004B5513"/>
    <w:rsid w:val="004B5EF5"/>
    <w:rsid w:val="004C0371"/>
    <w:rsid w:val="004C04AF"/>
    <w:rsid w:val="004C0699"/>
    <w:rsid w:val="004C12A0"/>
    <w:rsid w:val="004C1FE6"/>
    <w:rsid w:val="004C316A"/>
    <w:rsid w:val="004C3ABB"/>
    <w:rsid w:val="004C57E2"/>
    <w:rsid w:val="004C585D"/>
    <w:rsid w:val="004C631B"/>
    <w:rsid w:val="004C6427"/>
    <w:rsid w:val="004C67DE"/>
    <w:rsid w:val="004C681C"/>
    <w:rsid w:val="004C7E44"/>
    <w:rsid w:val="004D3ED0"/>
    <w:rsid w:val="004E08B1"/>
    <w:rsid w:val="004E47CD"/>
    <w:rsid w:val="004E7026"/>
    <w:rsid w:val="004E74D1"/>
    <w:rsid w:val="004E7905"/>
    <w:rsid w:val="004E7A47"/>
    <w:rsid w:val="004F02AB"/>
    <w:rsid w:val="004F064E"/>
    <w:rsid w:val="004F0B42"/>
    <w:rsid w:val="004F13C1"/>
    <w:rsid w:val="004F27F3"/>
    <w:rsid w:val="004F4AE2"/>
    <w:rsid w:val="004F4C69"/>
    <w:rsid w:val="004F5480"/>
    <w:rsid w:val="004F6A62"/>
    <w:rsid w:val="004F7D9A"/>
    <w:rsid w:val="00500261"/>
    <w:rsid w:val="005004A8"/>
    <w:rsid w:val="00501D0F"/>
    <w:rsid w:val="00501DFD"/>
    <w:rsid w:val="005023E3"/>
    <w:rsid w:val="00502455"/>
    <w:rsid w:val="0050250C"/>
    <w:rsid w:val="0050334B"/>
    <w:rsid w:val="00503D6D"/>
    <w:rsid w:val="00505FA6"/>
    <w:rsid w:val="005106BC"/>
    <w:rsid w:val="00510BB3"/>
    <w:rsid w:val="00512A37"/>
    <w:rsid w:val="00513358"/>
    <w:rsid w:val="0051556E"/>
    <w:rsid w:val="0051627B"/>
    <w:rsid w:val="005170A1"/>
    <w:rsid w:val="0052017C"/>
    <w:rsid w:val="005205A5"/>
    <w:rsid w:val="005205E7"/>
    <w:rsid w:val="005214BD"/>
    <w:rsid w:val="00521DB4"/>
    <w:rsid w:val="00524CEE"/>
    <w:rsid w:val="00525E1A"/>
    <w:rsid w:val="005270F9"/>
    <w:rsid w:val="00527454"/>
    <w:rsid w:val="0053064C"/>
    <w:rsid w:val="0053113D"/>
    <w:rsid w:val="005327D7"/>
    <w:rsid w:val="00532B61"/>
    <w:rsid w:val="005333E1"/>
    <w:rsid w:val="00533718"/>
    <w:rsid w:val="00535289"/>
    <w:rsid w:val="005363B9"/>
    <w:rsid w:val="00536969"/>
    <w:rsid w:val="005369C6"/>
    <w:rsid w:val="00536E6C"/>
    <w:rsid w:val="00536E75"/>
    <w:rsid w:val="00537D2C"/>
    <w:rsid w:val="00540CD5"/>
    <w:rsid w:val="005412A7"/>
    <w:rsid w:val="00541BA5"/>
    <w:rsid w:val="00541C9E"/>
    <w:rsid w:val="00542708"/>
    <w:rsid w:val="00542A22"/>
    <w:rsid w:val="00542BC9"/>
    <w:rsid w:val="00543194"/>
    <w:rsid w:val="0054358D"/>
    <w:rsid w:val="0054446D"/>
    <w:rsid w:val="00545298"/>
    <w:rsid w:val="00545724"/>
    <w:rsid w:val="00546B48"/>
    <w:rsid w:val="00546EA0"/>
    <w:rsid w:val="00547494"/>
    <w:rsid w:val="005475A5"/>
    <w:rsid w:val="00547A66"/>
    <w:rsid w:val="00547AED"/>
    <w:rsid w:val="0055145F"/>
    <w:rsid w:val="005525CF"/>
    <w:rsid w:val="00553916"/>
    <w:rsid w:val="005547F9"/>
    <w:rsid w:val="00556633"/>
    <w:rsid w:val="0055708B"/>
    <w:rsid w:val="00560173"/>
    <w:rsid w:val="005622A9"/>
    <w:rsid w:val="00562DD9"/>
    <w:rsid w:val="00564565"/>
    <w:rsid w:val="00564D3A"/>
    <w:rsid w:val="0056598F"/>
    <w:rsid w:val="00565ECE"/>
    <w:rsid w:val="00565F08"/>
    <w:rsid w:val="005660C4"/>
    <w:rsid w:val="005660F9"/>
    <w:rsid w:val="00567F76"/>
    <w:rsid w:val="00570A9B"/>
    <w:rsid w:val="0057396F"/>
    <w:rsid w:val="00573E2A"/>
    <w:rsid w:val="0057461B"/>
    <w:rsid w:val="00574FAD"/>
    <w:rsid w:val="005755E9"/>
    <w:rsid w:val="00576257"/>
    <w:rsid w:val="00576CA0"/>
    <w:rsid w:val="00576EF9"/>
    <w:rsid w:val="00580AC1"/>
    <w:rsid w:val="0058147C"/>
    <w:rsid w:val="0058203F"/>
    <w:rsid w:val="00582613"/>
    <w:rsid w:val="00583BF8"/>
    <w:rsid w:val="005841A0"/>
    <w:rsid w:val="005847DA"/>
    <w:rsid w:val="00585A20"/>
    <w:rsid w:val="00586410"/>
    <w:rsid w:val="00591D18"/>
    <w:rsid w:val="00593DAE"/>
    <w:rsid w:val="005947F6"/>
    <w:rsid w:val="00594C1F"/>
    <w:rsid w:val="00596840"/>
    <w:rsid w:val="00597051"/>
    <w:rsid w:val="00597867"/>
    <w:rsid w:val="005A05E3"/>
    <w:rsid w:val="005A0E6B"/>
    <w:rsid w:val="005A1005"/>
    <w:rsid w:val="005A1D49"/>
    <w:rsid w:val="005A58E2"/>
    <w:rsid w:val="005A5ACF"/>
    <w:rsid w:val="005A5BDB"/>
    <w:rsid w:val="005A60D6"/>
    <w:rsid w:val="005A6567"/>
    <w:rsid w:val="005A726F"/>
    <w:rsid w:val="005A782F"/>
    <w:rsid w:val="005B1528"/>
    <w:rsid w:val="005B1E60"/>
    <w:rsid w:val="005B3691"/>
    <w:rsid w:val="005B508A"/>
    <w:rsid w:val="005B5EA1"/>
    <w:rsid w:val="005B6E1C"/>
    <w:rsid w:val="005B75A7"/>
    <w:rsid w:val="005C2E29"/>
    <w:rsid w:val="005C33CC"/>
    <w:rsid w:val="005C561B"/>
    <w:rsid w:val="005C6348"/>
    <w:rsid w:val="005C77B6"/>
    <w:rsid w:val="005C788E"/>
    <w:rsid w:val="005C7DA3"/>
    <w:rsid w:val="005C7ED4"/>
    <w:rsid w:val="005D0CF5"/>
    <w:rsid w:val="005D1656"/>
    <w:rsid w:val="005D190A"/>
    <w:rsid w:val="005D41FA"/>
    <w:rsid w:val="005D62C0"/>
    <w:rsid w:val="005D63C4"/>
    <w:rsid w:val="005D72A3"/>
    <w:rsid w:val="005D7FC6"/>
    <w:rsid w:val="005E1218"/>
    <w:rsid w:val="005E2400"/>
    <w:rsid w:val="005E28B7"/>
    <w:rsid w:val="005E3947"/>
    <w:rsid w:val="005E4132"/>
    <w:rsid w:val="005E62AE"/>
    <w:rsid w:val="005E6C0F"/>
    <w:rsid w:val="005E70CD"/>
    <w:rsid w:val="005E780A"/>
    <w:rsid w:val="005F0A50"/>
    <w:rsid w:val="005F0ED3"/>
    <w:rsid w:val="005F35C8"/>
    <w:rsid w:val="005F3C22"/>
    <w:rsid w:val="005F3CD6"/>
    <w:rsid w:val="005F3D44"/>
    <w:rsid w:val="005F4367"/>
    <w:rsid w:val="005F5E23"/>
    <w:rsid w:val="005F72B1"/>
    <w:rsid w:val="0060084E"/>
    <w:rsid w:val="00601498"/>
    <w:rsid w:val="00603EA6"/>
    <w:rsid w:val="00604337"/>
    <w:rsid w:val="00605AF8"/>
    <w:rsid w:val="006071D5"/>
    <w:rsid w:val="00610836"/>
    <w:rsid w:val="006132D2"/>
    <w:rsid w:val="00613407"/>
    <w:rsid w:val="00613663"/>
    <w:rsid w:val="00614203"/>
    <w:rsid w:val="00615683"/>
    <w:rsid w:val="00616F94"/>
    <w:rsid w:val="00620E69"/>
    <w:rsid w:val="00621296"/>
    <w:rsid w:val="00623BBD"/>
    <w:rsid w:val="00624957"/>
    <w:rsid w:val="00624B27"/>
    <w:rsid w:val="00625084"/>
    <w:rsid w:val="006260AE"/>
    <w:rsid w:val="006306F5"/>
    <w:rsid w:val="006309A1"/>
    <w:rsid w:val="00631773"/>
    <w:rsid w:val="0063188B"/>
    <w:rsid w:val="006319AE"/>
    <w:rsid w:val="00631B18"/>
    <w:rsid w:val="00632F43"/>
    <w:rsid w:val="0063319A"/>
    <w:rsid w:val="00633277"/>
    <w:rsid w:val="0063385F"/>
    <w:rsid w:val="006356BD"/>
    <w:rsid w:val="00635ACE"/>
    <w:rsid w:val="0063661D"/>
    <w:rsid w:val="00636A84"/>
    <w:rsid w:val="006370DF"/>
    <w:rsid w:val="006376E9"/>
    <w:rsid w:val="00637C30"/>
    <w:rsid w:val="00640365"/>
    <w:rsid w:val="00641508"/>
    <w:rsid w:val="00641801"/>
    <w:rsid w:val="0064249C"/>
    <w:rsid w:val="00644795"/>
    <w:rsid w:val="00644BEE"/>
    <w:rsid w:val="0064532F"/>
    <w:rsid w:val="00647504"/>
    <w:rsid w:val="006475A4"/>
    <w:rsid w:val="00647DCA"/>
    <w:rsid w:val="006507F6"/>
    <w:rsid w:val="006518CE"/>
    <w:rsid w:val="00651FE9"/>
    <w:rsid w:val="00652682"/>
    <w:rsid w:val="00653AF0"/>
    <w:rsid w:val="00653CA2"/>
    <w:rsid w:val="00654092"/>
    <w:rsid w:val="00656ED7"/>
    <w:rsid w:val="00657726"/>
    <w:rsid w:val="00660210"/>
    <w:rsid w:val="006619C4"/>
    <w:rsid w:val="00662E7D"/>
    <w:rsid w:val="00663C15"/>
    <w:rsid w:val="00665473"/>
    <w:rsid w:val="00666B3A"/>
    <w:rsid w:val="00667C1D"/>
    <w:rsid w:val="00667ED3"/>
    <w:rsid w:val="00667F8E"/>
    <w:rsid w:val="00670B57"/>
    <w:rsid w:val="0067186F"/>
    <w:rsid w:val="00672399"/>
    <w:rsid w:val="0067445E"/>
    <w:rsid w:val="00675BA5"/>
    <w:rsid w:val="00675D03"/>
    <w:rsid w:val="00675F37"/>
    <w:rsid w:val="00676D45"/>
    <w:rsid w:val="00676E0E"/>
    <w:rsid w:val="00676FB6"/>
    <w:rsid w:val="00677631"/>
    <w:rsid w:val="006804E7"/>
    <w:rsid w:val="00680936"/>
    <w:rsid w:val="006832F2"/>
    <w:rsid w:val="0068490A"/>
    <w:rsid w:val="006854FB"/>
    <w:rsid w:val="00685FBB"/>
    <w:rsid w:val="00687275"/>
    <w:rsid w:val="006875F6"/>
    <w:rsid w:val="006875F8"/>
    <w:rsid w:val="00692AE4"/>
    <w:rsid w:val="00692BB7"/>
    <w:rsid w:val="00693753"/>
    <w:rsid w:val="00696618"/>
    <w:rsid w:val="00696B4D"/>
    <w:rsid w:val="006A06D5"/>
    <w:rsid w:val="006A08D0"/>
    <w:rsid w:val="006A09F2"/>
    <w:rsid w:val="006A2C63"/>
    <w:rsid w:val="006A38AA"/>
    <w:rsid w:val="006A41FE"/>
    <w:rsid w:val="006A438C"/>
    <w:rsid w:val="006A4D8A"/>
    <w:rsid w:val="006A52D5"/>
    <w:rsid w:val="006A5A27"/>
    <w:rsid w:val="006A5F58"/>
    <w:rsid w:val="006A5F5B"/>
    <w:rsid w:val="006A6B13"/>
    <w:rsid w:val="006A760D"/>
    <w:rsid w:val="006B12D3"/>
    <w:rsid w:val="006B1D83"/>
    <w:rsid w:val="006B25A7"/>
    <w:rsid w:val="006B3744"/>
    <w:rsid w:val="006B4EFC"/>
    <w:rsid w:val="006B4FD0"/>
    <w:rsid w:val="006B50B1"/>
    <w:rsid w:val="006B614C"/>
    <w:rsid w:val="006B6FEE"/>
    <w:rsid w:val="006C0386"/>
    <w:rsid w:val="006C0B15"/>
    <w:rsid w:val="006C1E3B"/>
    <w:rsid w:val="006C1F8C"/>
    <w:rsid w:val="006C25B9"/>
    <w:rsid w:val="006C2B55"/>
    <w:rsid w:val="006C30DB"/>
    <w:rsid w:val="006C315B"/>
    <w:rsid w:val="006C3398"/>
    <w:rsid w:val="006C3763"/>
    <w:rsid w:val="006C4680"/>
    <w:rsid w:val="006C5830"/>
    <w:rsid w:val="006C59A0"/>
    <w:rsid w:val="006C5A68"/>
    <w:rsid w:val="006C60DD"/>
    <w:rsid w:val="006C6990"/>
    <w:rsid w:val="006D0F60"/>
    <w:rsid w:val="006D3C32"/>
    <w:rsid w:val="006D4830"/>
    <w:rsid w:val="006D4AD9"/>
    <w:rsid w:val="006D6F47"/>
    <w:rsid w:val="006D70AF"/>
    <w:rsid w:val="006D7681"/>
    <w:rsid w:val="006E28CF"/>
    <w:rsid w:val="006E2AE8"/>
    <w:rsid w:val="006E3FB7"/>
    <w:rsid w:val="006E43FE"/>
    <w:rsid w:val="006E4B92"/>
    <w:rsid w:val="006E5A6A"/>
    <w:rsid w:val="006E6123"/>
    <w:rsid w:val="006E66DE"/>
    <w:rsid w:val="006E717E"/>
    <w:rsid w:val="006E78BF"/>
    <w:rsid w:val="006E7E69"/>
    <w:rsid w:val="006F0FAE"/>
    <w:rsid w:val="006F1F25"/>
    <w:rsid w:val="006F1F66"/>
    <w:rsid w:val="006F2747"/>
    <w:rsid w:val="006F2AD1"/>
    <w:rsid w:val="006F3693"/>
    <w:rsid w:val="006F47C4"/>
    <w:rsid w:val="006F55BB"/>
    <w:rsid w:val="006F5E19"/>
    <w:rsid w:val="006F6C2D"/>
    <w:rsid w:val="006F6F2E"/>
    <w:rsid w:val="006F73F9"/>
    <w:rsid w:val="006F7FC4"/>
    <w:rsid w:val="0070009E"/>
    <w:rsid w:val="00700792"/>
    <w:rsid w:val="00700D47"/>
    <w:rsid w:val="007014BE"/>
    <w:rsid w:val="00701F47"/>
    <w:rsid w:val="00702557"/>
    <w:rsid w:val="00702962"/>
    <w:rsid w:val="00704289"/>
    <w:rsid w:val="0070462B"/>
    <w:rsid w:val="00704D14"/>
    <w:rsid w:val="00705375"/>
    <w:rsid w:val="0070668C"/>
    <w:rsid w:val="00706AE6"/>
    <w:rsid w:val="007072CB"/>
    <w:rsid w:val="00707F68"/>
    <w:rsid w:val="00711194"/>
    <w:rsid w:val="00712734"/>
    <w:rsid w:val="00712913"/>
    <w:rsid w:val="00712F13"/>
    <w:rsid w:val="0071398D"/>
    <w:rsid w:val="00713E65"/>
    <w:rsid w:val="00713EB9"/>
    <w:rsid w:val="00714E08"/>
    <w:rsid w:val="00714F81"/>
    <w:rsid w:val="00715B11"/>
    <w:rsid w:val="00715F5B"/>
    <w:rsid w:val="007160E3"/>
    <w:rsid w:val="00717282"/>
    <w:rsid w:val="00717A68"/>
    <w:rsid w:val="00717A92"/>
    <w:rsid w:val="00720281"/>
    <w:rsid w:val="00720963"/>
    <w:rsid w:val="00722057"/>
    <w:rsid w:val="00722A3F"/>
    <w:rsid w:val="00722BA4"/>
    <w:rsid w:val="007236CA"/>
    <w:rsid w:val="007239FF"/>
    <w:rsid w:val="00723D4D"/>
    <w:rsid w:val="007247BE"/>
    <w:rsid w:val="00724C95"/>
    <w:rsid w:val="0072539E"/>
    <w:rsid w:val="00725DF4"/>
    <w:rsid w:val="00727176"/>
    <w:rsid w:val="007300AF"/>
    <w:rsid w:val="00730F8F"/>
    <w:rsid w:val="00732829"/>
    <w:rsid w:val="00732DD8"/>
    <w:rsid w:val="0073336A"/>
    <w:rsid w:val="00733AE1"/>
    <w:rsid w:val="00733F4C"/>
    <w:rsid w:val="0073462B"/>
    <w:rsid w:val="00735548"/>
    <w:rsid w:val="007366DB"/>
    <w:rsid w:val="00736EC8"/>
    <w:rsid w:val="00736F23"/>
    <w:rsid w:val="00737CFE"/>
    <w:rsid w:val="00740CC5"/>
    <w:rsid w:val="00742B38"/>
    <w:rsid w:val="00742D1C"/>
    <w:rsid w:val="00742E5F"/>
    <w:rsid w:val="007439F6"/>
    <w:rsid w:val="00745BCA"/>
    <w:rsid w:val="00746108"/>
    <w:rsid w:val="00746281"/>
    <w:rsid w:val="00747351"/>
    <w:rsid w:val="0075082E"/>
    <w:rsid w:val="0075095C"/>
    <w:rsid w:val="007512D3"/>
    <w:rsid w:val="00751D28"/>
    <w:rsid w:val="00753103"/>
    <w:rsid w:val="007532D3"/>
    <w:rsid w:val="00753B86"/>
    <w:rsid w:val="0075647B"/>
    <w:rsid w:val="00760596"/>
    <w:rsid w:val="007615C4"/>
    <w:rsid w:val="00761719"/>
    <w:rsid w:val="00761E94"/>
    <w:rsid w:val="00763159"/>
    <w:rsid w:val="00763D7A"/>
    <w:rsid w:val="007642CF"/>
    <w:rsid w:val="00764570"/>
    <w:rsid w:val="007665C7"/>
    <w:rsid w:val="00766C71"/>
    <w:rsid w:val="00770C3B"/>
    <w:rsid w:val="007716C4"/>
    <w:rsid w:val="00771DA7"/>
    <w:rsid w:val="00772381"/>
    <w:rsid w:val="00772B5E"/>
    <w:rsid w:val="00772DA4"/>
    <w:rsid w:val="00773050"/>
    <w:rsid w:val="00773DF1"/>
    <w:rsid w:val="007741D4"/>
    <w:rsid w:val="00774459"/>
    <w:rsid w:val="00774C3C"/>
    <w:rsid w:val="007754A8"/>
    <w:rsid w:val="007766FA"/>
    <w:rsid w:val="0077768D"/>
    <w:rsid w:val="007806CE"/>
    <w:rsid w:val="00781A26"/>
    <w:rsid w:val="00782FAF"/>
    <w:rsid w:val="00783232"/>
    <w:rsid w:val="007845F6"/>
    <w:rsid w:val="007858E7"/>
    <w:rsid w:val="0078608D"/>
    <w:rsid w:val="00787A83"/>
    <w:rsid w:val="00787C8E"/>
    <w:rsid w:val="0079006D"/>
    <w:rsid w:val="007920BA"/>
    <w:rsid w:val="007930EA"/>
    <w:rsid w:val="00793298"/>
    <w:rsid w:val="0079395C"/>
    <w:rsid w:val="007948B7"/>
    <w:rsid w:val="00795321"/>
    <w:rsid w:val="00795FE3"/>
    <w:rsid w:val="00796734"/>
    <w:rsid w:val="00796962"/>
    <w:rsid w:val="00797188"/>
    <w:rsid w:val="0079732D"/>
    <w:rsid w:val="00797925"/>
    <w:rsid w:val="00797F9D"/>
    <w:rsid w:val="007A00B3"/>
    <w:rsid w:val="007A0210"/>
    <w:rsid w:val="007A09A1"/>
    <w:rsid w:val="007A1BA2"/>
    <w:rsid w:val="007A2868"/>
    <w:rsid w:val="007A4E6A"/>
    <w:rsid w:val="007A4F1E"/>
    <w:rsid w:val="007A6601"/>
    <w:rsid w:val="007A6740"/>
    <w:rsid w:val="007A6F80"/>
    <w:rsid w:val="007B0BA6"/>
    <w:rsid w:val="007B28F7"/>
    <w:rsid w:val="007B46E7"/>
    <w:rsid w:val="007B5FF8"/>
    <w:rsid w:val="007B7035"/>
    <w:rsid w:val="007C07B6"/>
    <w:rsid w:val="007C0A51"/>
    <w:rsid w:val="007C1010"/>
    <w:rsid w:val="007C584D"/>
    <w:rsid w:val="007C5E31"/>
    <w:rsid w:val="007C7C64"/>
    <w:rsid w:val="007D21BA"/>
    <w:rsid w:val="007D434C"/>
    <w:rsid w:val="007D5B7C"/>
    <w:rsid w:val="007D6559"/>
    <w:rsid w:val="007D6658"/>
    <w:rsid w:val="007D7841"/>
    <w:rsid w:val="007D7DEF"/>
    <w:rsid w:val="007E0EA9"/>
    <w:rsid w:val="007E220F"/>
    <w:rsid w:val="007E2835"/>
    <w:rsid w:val="007E4727"/>
    <w:rsid w:val="007E590E"/>
    <w:rsid w:val="007E69B1"/>
    <w:rsid w:val="007F2F20"/>
    <w:rsid w:val="007F3302"/>
    <w:rsid w:val="007F4346"/>
    <w:rsid w:val="007F49DF"/>
    <w:rsid w:val="007F577F"/>
    <w:rsid w:val="007F588F"/>
    <w:rsid w:val="007F64C1"/>
    <w:rsid w:val="007F66A1"/>
    <w:rsid w:val="007F6893"/>
    <w:rsid w:val="007F6D7C"/>
    <w:rsid w:val="007F6DDE"/>
    <w:rsid w:val="007F6EF1"/>
    <w:rsid w:val="007F7DC6"/>
    <w:rsid w:val="007F7EFA"/>
    <w:rsid w:val="008025DF"/>
    <w:rsid w:val="00802A1A"/>
    <w:rsid w:val="00802D92"/>
    <w:rsid w:val="008037B7"/>
    <w:rsid w:val="00803C1F"/>
    <w:rsid w:val="0080425C"/>
    <w:rsid w:val="00804BAE"/>
    <w:rsid w:val="00805A54"/>
    <w:rsid w:val="00805AEA"/>
    <w:rsid w:val="00806184"/>
    <w:rsid w:val="008061F4"/>
    <w:rsid w:val="00806283"/>
    <w:rsid w:val="008064CC"/>
    <w:rsid w:val="00806964"/>
    <w:rsid w:val="00807B09"/>
    <w:rsid w:val="008101C3"/>
    <w:rsid w:val="008101F6"/>
    <w:rsid w:val="0081305F"/>
    <w:rsid w:val="00813DE5"/>
    <w:rsid w:val="00813E08"/>
    <w:rsid w:val="0081648F"/>
    <w:rsid w:val="008169D1"/>
    <w:rsid w:val="00816C5E"/>
    <w:rsid w:val="0081731F"/>
    <w:rsid w:val="00817C74"/>
    <w:rsid w:val="00817D4B"/>
    <w:rsid w:val="008205A8"/>
    <w:rsid w:val="00820FCA"/>
    <w:rsid w:val="00821035"/>
    <w:rsid w:val="00822195"/>
    <w:rsid w:val="008239A2"/>
    <w:rsid w:val="00825D27"/>
    <w:rsid w:val="008266D6"/>
    <w:rsid w:val="00826C32"/>
    <w:rsid w:val="00827521"/>
    <w:rsid w:val="00827923"/>
    <w:rsid w:val="008340ED"/>
    <w:rsid w:val="00834289"/>
    <w:rsid w:val="008417F1"/>
    <w:rsid w:val="00841880"/>
    <w:rsid w:val="008423A2"/>
    <w:rsid w:val="0084403B"/>
    <w:rsid w:val="008460AD"/>
    <w:rsid w:val="00847347"/>
    <w:rsid w:val="00847BE4"/>
    <w:rsid w:val="00851EF0"/>
    <w:rsid w:val="0085424E"/>
    <w:rsid w:val="0085709F"/>
    <w:rsid w:val="0085711E"/>
    <w:rsid w:val="00860022"/>
    <w:rsid w:val="008610F4"/>
    <w:rsid w:val="0086194C"/>
    <w:rsid w:val="00863A95"/>
    <w:rsid w:val="00864022"/>
    <w:rsid w:val="008644D9"/>
    <w:rsid w:val="0086660B"/>
    <w:rsid w:val="00871C98"/>
    <w:rsid w:val="00872015"/>
    <w:rsid w:val="0087285D"/>
    <w:rsid w:val="008731E8"/>
    <w:rsid w:val="00873F57"/>
    <w:rsid w:val="008748DB"/>
    <w:rsid w:val="00876A22"/>
    <w:rsid w:val="00876B84"/>
    <w:rsid w:val="00881A8B"/>
    <w:rsid w:val="008839EF"/>
    <w:rsid w:val="00884C6D"/>
    <w:rsid w:val="00885865"/>
    <w:rsid w:val="00887F23"/>
    <w:rsid w:val="0089268E"/>
    <w:rsid w:val="008956B1"/>
    <w:rsid w:val="00895A07"/>
    <w:rsid w:val="00896C1A"/>
    <w:rsid w:val="008A0A8B"/>
    <w:rsid w:val="008A0D15"/>
    <w:rsid w:val="008A2392"/>
    <w:rsid w:val="008A3FC2"/>
    <w:rsid w:val="008A41BE"/>
    <w:rsid w:val="008A53AD"/>
    <w:rsid w:val="008A5CFD"/>
    <w:rsid w:val="008A630A"/>
    <w:rsid w:val="008B16A5"/>
    <w:rsid w:val="008B1F1B"/>
    <w:rsid w:val="008B773A"/>
    <w:rsid w:val="008C1A3E"/>
    <w:rsid w:val="008C3B60"/>
    <w:rsid w:val="008C3D27"/>
    <w:rsid w:val="008C4304"/>
    <w:rsid w:val="008C5117"/>
    <w:rsid w:val="008C5780"/>
    <w:rsid w:val="008C6226"/>
    <w:rsid w:val="008C6BF2"/>
    <w:rsid w:val="008D0B99"/>
    <w:rsid w:val="008D1940"/>
    <w:rsid w:val="008D2245"/>
    <w:rsid w:val="008D23EB"/>
    <w:rsid w:val="008D3C5B"/>
    <w:rsid w:val="008D445C"/>
    <w:rsid w:val="008D6A4E"/>
    <w:rsid w:val="008D6E69"/>
    <w:rsid w:val="008D74D3"/>
    <w:rsid w:val="008D777E"/>
    <w:rsid w:val="008E058F"/>
    <w:rsid w:val="008E120B"/>
    <w:rsid w:val="008E3A2D"/>
    <w:rsid w:val="008E4148"/>
    <w:rsid w:val="008E44F3"/>
    <w:rsid w:val="008E5457"/>
    <w:rsid w:val="008F238C"/>
    <w:rsid w:val="008F245C"/>
    <w:rsid w:val="008F3028"/>
    <w:rsid w:val="008F335C"/>
    <w:rsid w:val="008F3B48"/>
    <w:rsid w:val="008F3CEC"/>
    <w:rsid w:val="008F460B"/>
    <w:rsid w:val="008F46F3"/>
    <w:rsid w:val="008F54B3"/>
    <w:rsid w:val="00900614"/>
    <w:rsid w:val="00900986"/>
    <w:rsid w:val="0090392B"/>
    <w:rsid w:val="00904713"/>
    <w:rsid w:val="009058C0"/>
    <w:rsid w:val="009070B9"/>
    <w:rsid w:val="00912692"/>
    <w:rsid w:val="00914238"/>
    <w:rsid w:val="009148B7"/>
    <w:rsid w:val="00916A14"/>
    <w:rsid w:val="00916D2F"/>
    <w:rsid w:val="00920910"/>
    <w:rsid w:val="009222EE"/>
    <w:rsid w:val="00923BFF"/>
    <w:rsid w:val="009260DC"/>
    <w:rsid w:val="0092622C"/>
    <w:rsid w:val="00926AE1"/>
    <w:rsid w:val="009274F4"/>
    <w:rsid w:val="009305BB"/>
    <w:rsid w:val="00933A3F"/>
    <w:rsid w:val="00933B7F"/>
    <w:rsid w:val="0093426C"/>
    <w:rsid w:val="009343EC"/>
    <w:rsid w:val="009357D1"/>
    <w:rsid w:val="0093595D"/>
    <w:rsid w:val="00936628"/>
    <w:rsid w:val="00936C55"/>
    <w:rsid w:val="009400AD"/>
    <w:rsid w:val="00942BAE"/>
    <w:rsid w:val="00943785"/>
    <w:rsid w:val="00943E85"/>
    <w:rsid w:val="00944245"/>
    <w:rsid w:val="00944852"/>
    <w:rsid w:val="009448FE"/>
    <w:rsid w:val="00945D6A"/>
    <w:rsid w:val="00945FFE"/>
    <w:rsid w:val="00950E57"/>
    <w:rsid w:val="00951894"/>
    <w:rsid w:val="00951FFD"/>
    <w:rsid w:val="00955C1F"/>
    <w:rsid w:val="009566A9"/>
    <w:rsid w:val="0095791C"/>
    <w:rsid w:val="00960A66"/>
    <w:rsid w:val="00960B97"/>
    <w:rsid w:val="00961E78"/>
    <w:rsid w:val="0096247A"/>
    <w:rsid w:val="00970363"/>
    <w:rsid w:val="00970570"/>
    <w:rsid w:val="00970847"/>
    <w:rsid w:val="00971681"/>
    <w:rsid w:val="00971DB3"/>
    <w:rsid w:val="009764F0"/>
    <w:rsid w:val="00976ACC"/>
    <w:rsid w:val="00980318"/>
    <w:rsid w:val="009805F1"/>
    <w:rsid w:val="009815C6"/>
    <w:rsid w:val="00981D26"/>
    <w:rsid w:val="00982F41"/>
    <w:rsid w:val="00983AF6"/>
    <w:rsid w:val="00985C9A"/>
    <w:rsid w:val="009863F7"/>
    <w:rsid w:val="00986ECA"/>
    <w:rsid w:val="00987902"/>
    <w:rsid w:val="00987A5E"/>
    <w:rsid w:val="00987B57"/>
    <w:rsid w:val="0099004E"/>
    <w:rsid w:val="009909DA"/>
    <w:rsid w:val="00991617"/>
    <w:rsid w:val="009921EF"/>
    <w:rsid w:val="00992BD7"/>
    <w:rsid w:val="009934D8"/>
    <w:rsid w:val="00993573"/>
    <w:rsid w:val="009A0745"/>
    <w:rsid w:val="009A0E8F"/>
    <w:rsid w:val="009A1592"/>
    <w:rsid w:val="009A1B6A"/>
    <w:rsid w:val="009A2180"/>
    <w:rsid w:val="009A22DF"/>
    <w:rsid w:val="009A37D1"/>
    <w:rsid w:val="009A3F99"/>
    <w:rsid w:val="009A43BA"/>
    <w:rsid w:val="009A50E0"/>
    <w:rsid w:val="009A57B7"/>
    <w:rsid w:val="009A6D6A"/>
    <w:rsid w:val="009A6D6D"/>
    <w:rsid w:val="009A7DE2"/>
    <w:rsid w:val="009B1FB3"/>
    <w:rsid w:val="009B3CFA"/>
    <w:rsid w:val="009B3D21"/>
    <w:rsid w:val="009B4046"/>
    <w:rsid w:val="009B560F"/>
    <w:rsid w:val="009C0265"/>
    <w:rsid w:val="009C1C25"/>
    <w:rsid w:val="009C1D51"/>
    <w:rsid w:val="009C1FF2"/>
    <w:rsid w:val="009C2202"/>
    <w:rsid w:val="009C3AEE"/>
    <w:rsid w:val="009C3BD5"/>
    <w:rsid w:val="009C536D"/>
    <w:rsid w:val="009C68A5"/>
    <w:rsid w:val="009D054E"/>
    <w:rsid w:val="009D05F3"/>
    <w:rsid w:val="009D1DBA"/>
    <w:rsid w:val="009D1E0E"/>
    <w:rsid w:val="009D2BA1"/>
    <w:rsid w:val="009D3FC8"/>
    <w:rsid w:val="009D411C"/>
    <w:rsid w:val="009D41DB"/>
    <w:rsid w:val="009D4DAF"/>
    <w:rsid w:val="009D53AA"/>
    <w:rsid w:val="009D5EA2"/>
    <w:rsid w:val="009D608C"/>
    <w:rsid w:val="009D734F"/>
    <w:rsid w:val="009D7DCE"/>
    <w:rsid w:val="009E083D"/>
    <w:rsid w:val="009E19D5"/>
    <w:rsid w:val="009E1F38"/>
    <w:rsid w:val="009E3C77"/>
    <w:rsid w:val="009E438C"/>
    <w:rsid w:val="009E489B"/>
    <w:rsid w:val="009E5438"/>
    <w:rsid w:val="009E59B9"/>
    <w:rsid w:val="009E6DBF"/>
    <w:rsid w:val="009E7648"/>
    <w:rsid w:val="009F00C3"/>
    <w:rsid w:val="009F0398"/>
    <w:rsid w:val="009F1700"/>
    <w:rsid w:val="009F37BB"/>
    <w:rsid w:val="009F5E41"/>
    <w:rsid w:val="00A0005B"/>
    <w:rsid w:val="00A00883"/>
    <w:rsid w:val="00A02546"/>
    <w:rsid w:val="00A02B8B"/>
    <w:rsid w:val="00A037D9"/>
    <w:rsid w:val="00A03AA9"/>
    <w:rsid w:val="00A03ED8"/>
    <w:rsid w:val="00A045A4"/>
    <w:rsid w:val="00A05723"/>
    <w:rsid w:val="00A059E7"/>
    <w:rsid w:val="00A071D7"/>
    <w:rsid w:val="00A10B90"/>
    <w:rsid w:val="00A13B5E"/>
    <w:rsid w:val="00A13D16"/>
    <w:rsid w:val="00A148FB"/>
    <w:rsid w:val="00A20790"/>
    <w:rsid w:val="00A238B3"/>
    <w:rsid w:val="00A238E7"/>
    <w:rsid w:val="00A246A0"/>
    <w:rsid w:val="00A2530C"/>
    <w:rsid w:val="00A269BB"/>
    <w:rsid w:val="00A2708D"/>
    <w:rsid w:val="00A2746B"/>
    <w:rsid w:val="00A3181B"/>
    <w:rsid w:val="00A31D9E"/>
    <w:rsid w:val="00A31F90"/>
    <w:rsid w:val="00A32735"/>
    <w:rsid w:val="00A37812"/>
    <w:rsid w:val="00A37FFC"/>
    <w:rsid w:val="00A40E68"/>
    <w:rsid w:val="00A41F0A"/>
    <w:rsid w:val="00A43322"/>
    <w:rsid w:val="00A43A50"/>
    <w:rsid w:val="00A4584D"/>
    <w:rsid w:val="00A45F57"/>
    <w:rsid w:val="00A4771F"/>
    <w:rsid w:val="00A509AC"/>
    <w:rsid w:val="00A51AA4"/>
    <w:rsid w:val="00A5290A"/>
    <w:rsid w:val="00A537E5"/>
    <w:rsid w:val="00A539AB"/>
    <w:rsid w:val="00A53DDD"/>
    <w:rsid w:val="00A55AB0"/>
    <w:rsid w:val="00A57170"/>
    <w:rsid w:val="00A57D95"/>
    <w:rsid w:val="00A57FD7"/>
    <w:rsid w:val="00A60A6D"/>
    <w:rsid w:val="00A62890"/>
    <w:rsid w:val="00A62CA6"/>
    <w:rsid w:val="00A63690"/>
    <w:rsid w:val="00A63CCB"/>
    <w:rsid w:val="00A63F60"/>
    <w:rsid w:val="00A65356"/>
    <w:rsid w:val="00A667EB"/>
    <w:rsid w:val="00A67CCA"/>
    <w:rsid w:val="00A704C9"/>
    <w:rsid w:val="00A708F2"/>
    <w:rsid w:val="00A71212"/>
    <w:rsid w:val="00A719D7"/>
    <w:rsid w:val="00A7304F"/>
    <w:rsid w:val="00A73502"/>
    <w:rsid w:val="00A75D72"/>
    <w:rsid w:val="00A76EFC"/>
    <w:rsid w:val="00A76FB2"/>
    <w:rsid w:val="00A77377"/>
    <w:rsid w:val="00A77CDC"/>
    <w:rsid w:val="00A77DD8"/>
    <w:rsid w:val="00A8073D"/>
    <w:rsid w:val="00A83596"/>
    <w:rsid w:val="00A83FD1"/>
    <w:rsid w:val="00A856BD"/>
    <w:rsid w:val="00A85BE6"/>
    <w:rsid w:val="00A876E8"/>
    <w:rsid w:val="00A92936"/>
    <w:rsid w:val="00A92E7F"/>
    <w:rsid w:val="00A93874"/>
    <w:rsid w:val="00A94EBF"/>
    <w:rsid w:val="00A9515B"/>
    <w:rsid w:val="00A95D3D"/>
    <w:rsid w:val="00A96AC2"/>
    <w:rsid w:val="00A9793F"/>
    <w:rsid w:val="00A97C5D"/>
    <w:rsid w:val="00AA1207"/>
    <w:rsid w:val="00AA2812"/>
    <w:rsid w:val="00AA33B1"/>
    <w:rsid w:val="00AA415E"/>
    <w:rsid w:val="00AA5021"/>
    <w:rsid w:val="00AA5945"/>
    <w:rsid w:val="00AA7857"/>
    <w:rsid w:val="00AB0524"/>
    <w:rsid w:val="00AB0683"/>
    <w:rsid w:val="00AB4C80"/>
    <w:rsid w:val="00AB65C0"/>
    <w:rsid w:val="00AB703F"/>
    <w:rsid w:val="00AB739B"/>
    <w:rsid w:val="00AC010F"/>
    <w:rsid w:val="00AC0697"/>
    <w:rsid w:val="00AC2305"/>
    <w:rsid w:val="00AC2720"/>
    <w:rsid w:val="00AC328E"/>
    <w:rsid w:val="00AC418D"/>
    <w:rsid w:val="00AC5CEA"/>
    <w:rsid w:val="00AC5EDB"/>
    <w:rsid w:val="00AD23C9"/>
    <w:rsid w:val="00AD2C10"/>
    <w:rsid w:val="00AD437A"/>
    <w:rsid w:val="00AD52DC"/>
    <w:rsid w:val="00AD543B"/>
    <w:rsid w:val="00AD6F23"/>
    <w:rsid w:val="00AD79E7"/>
    <w:rsid w:val="00AD7A7F"/>
    <w:rsid w:val="00AE0A91"/>
    <w:rsid w:val="00AE0C90"/>
    <w:rsid w:val="00AE19D4"/>
    <w:rsid w:val="00AE2FDE"/>
    <w:rsid w:val="00AE4084"/>
    <w:rsid w:val="00AE4BAB"/>
    <w:rsid w:val="00AE4BB4"/>
    <w:rsid w:val="00AE7B02"/>
    <w:rsid w:val="00AF1B60"/>
    <w:rsid w:val="00AF1E8E"/>
    <w:rsid w:val="00AF2003"/>
    <w:rsid w:val="00AF3E42"/>
    <w:rsid w:val="00AF50AF"/>
    <w:rsid w:val="00AF50E9"/>
    <w:rsid w:val="00B04EA1"/>
    <w:rsid w:val="00B051C8"/>
    <w:rsid w:val="00B0521C"/>
    <w:rsid w:val="00B06412"/>
    <w:rsid w:val="00B06997"/>
    <w:rsid w:val="00B126C5"/>
    <w:rsid w:val="00B130E1"/>
    <w:rsid w:val="00B14B62"/>
    <w:rsid w:val="00B16E3A"/>
    <w:rsid w:val="00B215E0"/>
    <w:rsid w:val="00B220D6"/>
    <w:rsid w:val="00B227DE"/>
    <w:rsid w:val="00B230A0"/>
    <w:rsid w:val="00B230B5"/>
    <w:rsid w:val="00B23278"/>
    <w:rsid w:val="00B25C90"/>
    <w:rsid w:val="00B269F2"/>
    <w:rsid w:val="00B2752B"/>
    <w:rsid w:val="00B31CB6"/>
    <w:rsid w:val="00B3239C"/>
    <w:rsid w:val="00B32AB4"/>
    <w:rsid w:val="00B3380A"/>
    <w:rsid w:val="00B34296"/>
    <w:rsid w:val="00B34D3F"/>
    <w:rsid w:val="00B3534F"/>
    <w:rsid w:val="00B357CA"/>
    <w:rsid w:val="00B358FF"/>
    <w:rsid w:val="00B37A95"/>
    <w:rsid w:val="00B37C1B"/>
    <w:rsid w:val="00B40442"/>
    <w:rsid w:val="00B41BA4"/>
    <w:rsid w:val="00B41D4A"/>
    <w:rsid w:val="00B43AF4"/>
    <w:rsid w:val="00B44975"/>
    <w:rsid w:val="00B44EAA"/>
    <w:rsid w:val="00B45D61"/>
    <w:rsid w:val="00B47EB3"/>
    <w:rsid w:val="00B51641"/>
    <w:rsid w:val="00B543CD"/>
    <w:rsid w:val="00B548DC"/>
    <w:rsid w:val="00B557AB"/>
    <w:rsid w:val="00B55BD9"/>
    <w:rsid w:val="00B57246"/>
    <w:rsid w:val="00B57745"/>
    <w:rsid w:val="00B60FAF"/>
    <w:rsid w:val="00B62387"/>
    <w:rsid w:val="00B63EE3"/>
    <w:rsid w:val="00B644BB"/>
    <w:rsid w:val="00B64DCF"/>
    <w:rsid w:val="00B65C42"/>
    <w:rsid w:val="00B661AE"/>
    <w:rsid w:val="00B66AAF"/>
    <w:rsid w:val="00B670CC"/>
    <w:rsid w:val="00B678E7"/>
    <w:rsid w:val="00B703A7"/>
    <w:rsid w:val="00B70B7A"/>
    <w:rsid w:val="00B7227B"/>
    <w:rsid w:val="00B722F6"/>
    <w:rsid w:val="00B727E7"/>
    <w:rsid w:val="00B72A5E"/>
    <w:rsid w:val="00B72B5A"/>
    <w:rsid w:val="00B749EC"/>
    <w:rsid w:val="00B75BCC"/>
    <w:rsid w:val="00B75E7F"/>
    <w:rsid w:val="00B76673"/>
    <w:rsid w:val="00B76890"/>
    <w:rsid w:val="00B771AF"/>
    <w:rsid w:val="00B82E58"/>
    <w:rsid w:val="00B831E5"/>
    <w:rsid w:val="00B85E0C"/>
    <w:rsid w:val="00B85E4A"/>
    <w:rsid w:val="00B86D0F"/>
    <w:rsid w:val="00B90337"/>
    <w:rsid w:val="00B91ACB"/>
    <w:rsid w:val="00B9217B"/>
    <w:rsid w:val="00B92630"/>
    <w:rsid w:val="00B92940"/>
    <w:rsid w:val="00B93C9A"/>
    <w:rsid w:val="00B9497C"/>
    <w:rsid w:val="00B94B04"/>
    <w:rsid w:val="00B95E74"/>
    <w:rsid w:val="00B969F4"/>
    <w:rsid w:val="00B9763F"/>
    <w:rsid w:val="00B97DBF"/>
    <w:rsid w:val="00BA1DED"/>
    <w:rsid w:val="00BA23D9"/>
    <w:rsid w:val="00BA56B2"/>
    <w:rsid w:val="00BA5768"/>
    <w:rsid w:val="00BA5C06"/>
    <w:rsid w:val="00BA6578"/>
    <w:rsid w:val="00BA6EAF"/>
    <w:rsid w:val="00BA7FD2"/>
    <w:rsid w:val="00BB05CF"/>
    <w:rsid w:val="00BB12FF"/>
    <w:rsid w:val="00BB139E"/>
    <w:rsid w:val="00BB2CE0"/>
    <w:rsid w:val="00BB385A"/>
    <w:rsid w:val="00BB38E4"/>
    <w:rsid w:val="00BB3D7F"/>
    <w:rsid w:val="00BB3EA2"/>
    <w:rsid w:val="00BB3FD1"/>
    <w:rsid w:val="00BB519C"/>
    <w:rsid w:val="00BB5254"/>
    <w:rsid w:val="00BB719B"/>
    <w:rsid w:val="00BC05D7"/>
    <w:rsid w:val="00BC085F"/>
    <w:rsid w:val="00BC0D0B"/>
    <w:rsid w:val="00BC0DF5"/>
    <w:rsid w:val="00BC0DF6"/>
    <w:rsid w:val="00BC1BF8"/>
    <w:rsid w:val="00BC2947"/>
    <w:rsid w:val="00BC3118"/>
    <w:rsid w:val="00BC3382"/>
    <w:rsid w:val="00BC4018"/>
    <w:rsid w:val="00BC65D1"/>
    <w:rsid w:val="00BC7033"/>
    <w:rsid w:val="00BC7C85"/>
    <w:rsid w:val="00BC7D08"/>
    <w:rsid w:val="00BD01A1"/>
    <w:rsid w:val="00BD0324"/>
    <w:rsid w:val="00BD0368"/>
    <w:rsid w:val="00BD1070"/>
    <w:rsid w:val="00BD1ABD"/>
    <w:rsid w:val="00BD25F5"/>
    <w:rsid w:val="00BD49F6"/>
    <w:rsid w:val="00BD5596"/>
    <w:rsid w:val="00BD64AE"/>
    <w:rsid w:val="00BE00C3"/>
    <w:rsid w:val="00BE0660"/>
    <w:rsid w:val="00BE1283"/>
    <w:rsid w:val="00BE19CD"/>
    <w:rsid w:val="00BE1A0A"/>
    <w:rsid w:val="00BE27FA"/>
    <w:rsid w:val="00BE5645"/>
    <w:rsid w:val="00BE583E"/>
    <w:rsid w:val="00BE786B"/>
    <w:rsid w:val="00BE7D3B"/>
    <w:rsid w:val="00BF0680"/>
    <w:rsid w:val="00BF0D0A"/>
    <w:rsid w:val="00BF0D46"/>
    <w:rsid w:val="00BF199C"/>
    <w:rsid w:val="00BF1A5A"/>
    <w:rsid w:val="00BF326E"/>
    <w:rsid w:val="00BF3BDA"/>
    <w:rsid w:val="00BF5359"/>
    <w:rsid w:val="00BF6E28"/>
    <w:rsid w:val="00BF7734"/>
    <w:rsid w:val="00C00149"/>
    <w:rsid w:val="00C00D45"/>
    <w:rsid w:val="00C01BAB"/>
    <w:rsid w:val="00C01F21"/>
    <w:rsid w:val="00C02F2B"/>
    <w:rsid w:val="00C0353C"/>
    <w:rsid w:val="00C03DBE"/>
    <w:rsid w:val="00C05806"/>
    <w:rsid w:val="00C06478"/>
    <w:rsid w:val="00C06C45"/>
    <w:rsid w:val="00C06C8A"/>
    <w:rsid w:val="00C06D4A"/>
    <w:rsid w:val="00C0717E"/>
    <w:rsid w:val="00C07784"/>
    <w:rsid w:val="00C10601"/>
    <w:rsid w:val="00C10762"/>
    <w:rsid w:val="00C10A26"/>
    <w:rsid w:val="00C10FC1"/>
    <w:rsid w:val="00C112EF"/>
    <w:rsid w:val="00C11673"/>
    <w:rsid w:val="00C117FC"/>
    <w:rsid w:val="00C122D6"/>
    <w:rsid w:val="00C1247E"/>
    <w:rsid w:val="00C12618"/>
    <w:rsid w:val="00C12B3D"/>
    <w:rsid w:val="00C13016"/>
    <w:rsid w:val="00C132BC"/>
    <w:rsid w:val="00C138D9"/>
    <w:rsid w:val="00C13F69"/>
    <w:rsid w:val="00C14A39"/>
    <w:rsid w:val="00C15C84"/>
    <w:rsid w:val="00C16CE0"/>
    <w:rsid w:val="00C2159C"/>
    <w:rsid w:val="00C21735"/>
    <w:rsid w:val="00C22516"/>
    <w:rsid w:val="00C22A3A"/>
    <w:rsid w:val="00C238EF"/>
    <w:rsid w:val="00C246B7"/>
    <w:rsid w:val="00C24A39"/>
    <w:rsid w:val="00C26005"/>
    <w:rsid w:val="00C269CE"/>
    <w:rsid w:val="00C30E25"/>
    <w:rsid w:val="00C311DD"/>
    <w:rsid w:val="00C34E56"/>
    <w:rsid w:val="00C362C8"/>
    <w:rsid w:val="00C403E7"/>
    <w:rsid w:val="00C407ED"/>
    <w:rsid w:val="00C40BB2"/>
    <w:rsid w:val="00C40C39"/>
    <w:rsid w:val="00C40DCE"/>
    <w:rsid w:val="00C4144F"/>
    <w:rsid w:val="00C41921"/>
    <w:rsid w:val="00C44AA0"/>
    <w:rsid w:val="00C45B08"/>
    <w:rsid w:val="00C45EB9"/>
    <w:rsid w:val="00C46983"/>
    <w:rsid w:val="00C46CEB"/>
    <w:rsid w:val="00C50F46"/>
    <w:rsid w:val="00C536DF"/>
    <w:rsid w:val="00C53A28"/>
    <w:rsid w:val="00C53CBC"/>
    <w:rsid w:val="00C54D02"/>
    <w:rsid w:val="00C55626"/>
    <w:rsid w:val="00C57396"/>
    <w:rsid w:val="00C57401"/>
    <w:rsid w:val="00C57B23"/>
    <w:rsid w:val="00C600DC"/>
    <w:rsid w:val="00C601BE"/>
    <w:rsid w:val="00C6029B"/>
    <w:rsid w:val="00C60F27"/>
    <w:rsid w:val="00C6222D"/>
    <w:rsid w:val="00C62677"/>
    <w:rsid w:val="00C629AF"/>
    <w:rsid w:val="00C63CA0"/>
    <w:rsid w:val="00C65988"/>
    <w:rsid w:val="00C6629A"/>
    <w:rsid w:val="00C673CE"/>
    <w:rsid w:val="00C70FF4"/>
    <w:rsid w:val="00C71617"/>
    <w:rsid w:val="00C71938"/>
    <w:rsid w:val="00C73E23"/>
    <w:rsid w:val="00C74092"/>
    <w:rsid w:val="00C74567"/>
    <w:rsid w:val="00C75866"/>
    <w:rsid w:val="00C758DB"/>
    <w:rsid w:val="00C76499"/>
    <w:rsid w:val="00C766C6"/>
    <w:rsid w:val="00C767DA"/>
    <w:rsid w:val="00C805B1"/>
    <w:rsid w:val="00C80FBF"/>
    <w:rsid w:val="00C8118B"/>
    <w:rsid w:val="00C81267"/>
    <w:rsid w:val="00C81BCC"/>
    <w:rsid w:val="00C8312F"/>
    <w:rsid w:val="00C832EA"/>
    <w:rsid w:val="00C85AA4"/>
    <w:rsid w:val="00C85B1B"/>
    <w:rsid w:val="00C85F9F"/>
    <w:rsid w:val="00C86308"/>
    <w:rsid w:val="00C917FC"/>
    <w:rsid w:val="00C92F08"/>
    <w:rsid w:val="00C9309D"/>
    <w:rsid w:val="00C9322E"/>
    <w:rsid w:val="00C942F3"/>
    <w:rsid w:val="00C946F9"/>
    <w:rsid w:val="00C94D0A"/>
    <w:rsid w:val="00C95426"/>
    <w:rsid w:val="00C9577E"/>
    <w:rsid w:val="00C95D32"/>
    <w:rsid w:val="00C9621C"/>
    <w:rsid w:val="00C97819"/>
    <w:rsid w:val="00C97B97"/>
    <w:rsid w:val="00CA180D"/>
    <w:rsid w:val="00CA2C0F"/>
    <w:rsid w:val="00CA37C8"/>
    <w:rsid w:val="00CA4BD9"/>
    <w:rsid w:val="00CA70F0"/>
    <w:rsid w:val="00CB0488"/>
    <w:rsid w:val="00CB1328"/>
    <w:rsid w:val="00CB2B5E"/>
    <w:rsid w:val="00CB2D52"/>
    <w:rsid w:val="00CB3BD4"/>
    <w:rsid w:val="00CB4BCD"/>
    <w:rsid w:val="00CB5229"/>
    <w:rsid w:val="00CB5634"/>
    <w:rsid w:val="00CB5B86"/>
    <w:rsid w:val="00CB7478"/>
    <w:rsid w:val="00CC00E9"/>
    <w:rsid w:val="00CC1DEC"/>
    <w:rsid w:val="00CC32EE"/>
    <w:rsid w:val="00CC354C"/>
    <w:rsid w:val="00CC4211"/>
    <w:rsid w:val="00CC50EA"/>
    <w:rsid w:val="00CC5225"/>
    <w:rsid w:val="00CC7938"/>
    <w:rsid w:val="00CD018E"/>
    <w:rsid w:val="00CD0CAA"/>
    <w:rsid w:val="00CD11C5"/>
    <w:rsid w:val="00CD3615"/>
    <w:rsid w:val="00CD6D21"/>
    <w:rsid w:val="00CD6DD1"/>
    <w:rsid w:val="00CE0BC4"/>
    <w:rsid w:val="00CE0DC3"/>
    <w:rsid w:val="00CE25A5"/>
    <w:rsid w:val="00CE2C68"/>
    <w:rsid w:val="00CE37BE"/>
    <w:rsid w:val="00CE5117"/>
    <w:rsid w:val="00CE58E3"/>
    <w:rsid w:val="00CE66F9"/>
    <w:rsid w:val="00CE7A52"/>
    <w:rsid w:val="00CF02C6"/>
    <w:rsid w:val="00CF0D4C"/>
    <w:rsid w:val="00CF111E"/>
    <w:rsid w:val="00CF1BDC"/>
    <w:rsid w:val="00CF1F5E"/>
    <w:rsid w:val="00CF22E4"/>
    <w:rsid w:val="00CF2943"/>
    <w:rsid w:val="00CF2EEB"/>
    <w:rsid w:val="00CF37D8"/>
    <w:rsid w:val="00CF45E3"/>
    <w:rsid w:val="00CF4C1A"/>
    <w:rsid w:val="00CF549B"/>
    <w:rsid w:val="00CF5A7B"/>
    <w:rsid w:val="00CF5B8B"/>
    <w:rsid w:val="00CF72CC"/>
    <w:rsid w:val="00CF7463"/>
    <w:rsid w:val="00CF7930"/>
    <w:rsid w:val="00D00C8E"/>
    <w:rsid w:val="00D03D68"/>
    <w:rsid w:val="00D04086"/>
    <w:rsid w:val="00D0436E"/>
    <w:rsid w:val="00D07B72"/>
    <w:rsid w:val="00D11A3A"/>
    <w:rsid w:val="00D12041"/>
    <w:rsid w:val="00D1240D"/>
    <w:rsid w:val="00D128B9"/>
    <w:rsid w:val="00D12951"/>
    <w:rsid w:val="00D12FC0"/>
    <w:rsid w:val="00D13040"/>
    <w:rsid w:val="00D14D8C"/>
    <w:rsid w:val="00D15631"/>
    <w:rsid w:val="00D1792A"/>
    <w:rsid w:val="00D20EC5"/>
    <w:rsid w:val="00D22138"/>
    <w:rsid w:val="00D2298A"/>
    <w:rsid w:val="00D23051"/>
    <w:rsid w:val="00D23920"/>
    <w:rsid w:val="00D23F49"/>
    <w:rsid w:val="00D24832"/>
    <w:rsid w:val="00D24853"/>
    <w:rsid w:val="00D262EC"/>
    <w:rsid w:val="00D266D0"/>
    <w:rsid w:val="00D26AC9"/>
    <w:rsid w:val="00D27B83"/>
    <w:rsid w:val="00D306E3"/>
    <w:rsid w:val="00D31C2B"/>
    <w:rsid w:val="00D32C3B"/>
    <w:rsid w:val="00D32D3E"/>
    <w:rsid w:val="00D33895"/>
    <w:rsid w:val="00D341A0"/>
    <w:rsid w:val="00D34E80"/>
    <w:rsid w:val="00D352EE"/>
    <w:rsid w:val="00D36927"/>
    <w:rsid w:val="00D36F2C"/>
    <w:rsid w:val="00D411BD"/>
    <w:rsid w:val="00D4122D"/>
    <w:rsid w:val="00D4152E"/>
    <w:rsid w:val="00D41E5E"/>
    <w:rsid w:val="00D42766"/>
    <w:rsid w:val="00D43E6A"/>
    <w:rsid w:val="00D44D66"/>
    <w:rsid w:val="00D45CBB"/>
    <w:rsid w:val="00D46381"/>
    <w:rsid w:val="00D4723D"/>
    <w:rsid w:val="00D47309"/>
    <w:rsid w:val="00D50A8A"/>
    <w:rsid w:val="00D5169A"/>
    <w:rsid w:val="00D5264E"/>
    <w:rsid w:val="00D5267A"/>
    <w:rsid w:val="00D5390F"/>
    <w:rsid w:val="00D53A7E"/>
    <w:rsid w:val="00D53C4F"/>
    <w:rsid w:val="00D53FB6"/>
    <w:rsid w:val="00D54A7B"/>
    <w:rsid w:val="00D54C24"/>
    <w:rsid w:val="00D5671D"/>
    <w:rsid w:val="00D5690E"/>
    <w:rsid w:val="00D613E1"/>
    <w:rsid w:val="00D61DB6"/>
    <w:rsid w:val="00D62707"/>
    <w:rsid w:val="00D62CC3"/>
    <w:rsid w:val="00D62ECC"/>
    <w:rsid w:val="00D6470F"/>
    <w:rsid w:val="00D64C09"/>
    <w:rsid w:val="00D6506E"/>
    <w:rsid w:val="00D6516B"/>
    <w:rsid w:val="00D66755"/>
    <w:rsid w:val="00D66EB6"/>
    <w:rsid w:val="00D67058"/>
    <w:rsid w:val="00D6726E"/>
    <w:rsid w:val="00D674A2"/>
    <w:rsid w:val="00D67758"/>
    <w:rsid w:val="00D67806"/>
    <w:rsid w:val="00D67ACA"/>
    <w:rsid w:val="00D67BCC"/>
    <w:rsid w:val="00D702E0"/>
    <w:rsid w:val="00D704E9"/>
    <w:rsid w:val="00D710C3"/>
    <w:rsid w:val="00D73425"/>
    <w:rsid w:val="00D736E1"/>
    <w:rsid w:val="00D74534"/>
    <w:rsid w:val="00D80258"/>
    <w:rsid w:val="00D81619"/>
    <w:rsid w:val="00D8201C"/>
    <w:rsid w:val="00D82EB2"/>
    <w:rsid w:val="00D83A75"/>
    <w:rsid w:val="00D844AB"/>
    <w:rsid w:val="00D8578F"/>
    <w:rsid w:val="00D8615F"/>
    <w:rsid w:val="00D86287"/>
    <w:rsid w:val="00D876CD"/>
    <w:rsid w:val="00D90272"/>
    <w:rsid w:val="00D9163C"/>
    <w:rsid w:val="00D95CDD"/>
    <w:rsid w:val="00D9708D"/>
    <w:rsid w:val="00D978B9"/>
    <w:rsid w:val="00DA03E4"/>
    <w:rsid w:val="00DA0776"/>
    <w:rsid w:val="00DA12EF"/>
    <w:rsid w:val="00DA2747"/>
    <w:rsid w:val="00DA40FD"/>
    <w:rsid w:val="00DA5869"/>
    <w:rsid w:val="00DA5E7C"/>
    <w:rsid w:val="00DA642E"/>
    <w:rsid w:val="00DA7700"/>
    <w:rsid w:val="00DA7A0B"/>
    <w:rsid w:val="00DB112F"/>
    <w:rsid w:val="00DB1253"/>
    <w:rsid w:val="00DB21CC"/>
    <w:rsid w:val="00DB2706"/>
    <w:rsid w:val="00DB2DB8"/>
    <w:rsid w:val="00DB57DB"/>
    <w:rsid w:val="00DB6098"/>
    <w:rsid w:val="00DB6588"/>
    <w:rsid w:val="00DB7BCB"/>
    <w:rsid w:val="00DC0071"/>
    <w:rsid w:val="00DC05E5"/>
    <w:rsid w:val="00DC09A5"/>
    <w:rsid w:val="00DC16A9"/>
    <w:rsid w:val="00DC18E2"/>
    <w:rsid w:val="00DC36D6"/>
    <w:rsid w:val="00DC4EDF"/>
    <w:rsid w:val="00DC4F0B"/>
    <w:rsid w:val="00DC6009"/>
    <w:rsid w:val="00DC6483"/>
    <w:rsid w:val="00DC6BB0"/>
    <w:rsid w:val="00DC7E26"/>
    <w:rsid w:val="00DD10CB"/>
    <w:rsid w:val="00DD1F14"/>
    <w:rsid w:val="00DD249A"/>
    <w:rsid w:val="00DD2AF1"/>
    <w:rsid w:val="00DD3448"/>
    <w:rsid w:val="00DD493D"/>
    <w:rsid w:val="00DD4999"/>
    <w:rsid w:val="00DD499F"/>
    <w:rsid w:val="00DD50DD"/>
    <w:rsid w:val="00DD54BC"/>
    <w:rsid w:val="00DD5D23"/>
    <w:rsid w:val="00DD5F0D"/>
    <w:rsid w:val="00DD73F5"/>
    <w:rsid w:val="00DD7F34"/>
    <w:rsid w:val="00DE02EC"/>
    <w:rsid w:val="00DE0B0E"/>
    <w:rsid w:val="00DE24F7"/>
    <w:rsid w:val="00DE2D2F"/>
    <w:rsid w:val="00DE48AE"/>
    <w:rsid w:val="00DE499F"/>
    <w:rsid w:val="00DE4E49"/>
    <w:rsid w:val="00DE507A"/>
    <w:rsid w:val="00DE6A43"/>
    <w:rsid w:val="00DF1399"/>
    <w:rsid w:val="00DF291D"/>
    <w:rsid w:val="00DF34C5"/>
    <w:rsid w:val="00DF3609"/>
    <w:rsid w:val="00DF64A1"/>
    <w:rsid w:val="00DF70DD"/>
    <w:rsid w:val="00DF74C7"/>
    <w:rsid w:val="00E00EE3"/>
    <w:rsid w:val="00E00EED"/>
    <w:rsid w:val="00E010A8"/>
    <w:rsid w:val="00E01C5A"/>
    <w:rsid w:val="00E02980"/>
    <w:rsid w:val="00E0330C"/>
    <w:rsid w:val="00E048F9"/>
    <w:rsid w:val="00E05BB2"/>
    <w:rsid w:val="00E05FA6"/>
    <w:rsid w:val="00E0690A"/>
    <w:rsid w:val="00E07086"/>
    <w:rsid w:val="00E07949"/>
    <w:rsid w:val="00E1106D"/>
    <w:rsid w:val="00E11247"/>
    <w:rsid w:val="00E11DC0"/>
    <w:rsid w:val="00E11E4B"/>
    <w:rsid w:val="00E13FAF"/>
    <w:rsid w:val="00E14544"/>
    <w:rsid w:val="00E16A87"/>
    <w:rsid w:val="00E16CED"/>
    <w:rsid w:val="00E172C9"/>
    <w:rsid w:val="00E20A7C"/>
    <w:rsid w:val="00E23DC3"/>
    <w:rsid w:val="00E24C10"/>
    <w:rsid w:val="00E260FA"/>
    <w:rsid w:val="00E264E1"/>
    <w:rsid w:val="00E269CA"/>
    <w:rsid w:val="00E27E95"/>
    <w:rsid w:val="00E34936"/>
    <w:rsid w:val="00E34C7F"/>
    <w:rsid w:val="00E36118"/>
    <w:rsid w:val="00E40F47"/>
    <w:rsid w:val="00E425EE"/>
    <w:rsid w:val="00E45322"/>
    <w:rsid w:val="00E51434"/>
    <w:rsid w:val="00E53236"/>
    <w:rsid w:val="00E54396"/>
    <w:rsid w:val="00E54865"/>
    <w:rsid w:val="00E55188"/>
    <w:rsid w:val="00E55883"/>
    <w:rsid w:val="00E57E48"/>
    <w:rsid w:val="00E61B08"/>
    <w:rsid w:val="00E63293"/>
    <w:rsid w:val="00E6352F"/>
    <w:rsid w:val="00E63C4E"/>
    <w:rsid w:val="00E66576"/>
    <w:rsid w:val="00E67A0B"/>
    <w:rsid w:val="00E71661"/>
    <w:rsid w:val="00E71D8B"/>
    <w:rsid w:val="00E71F4D"/>
    <w:rsid w:val="00E72B1D"/>
    <w:rsid w:val="00E72E86"/>
    <w:rsid w:val="00E74B4C"/>
    <w:rsid w:val="00E75400"/>
    <w:rsid w:val="00E764E4"/>
    <w:rsid w:val="00E800C6"/>
    <w:rsid w:val="00E80D90"/>
    <w:rsid w:val="00E81490"/>
    <w:rsid w:val="00E82B65"/>
    <w:rsid w:val="00E83359"/>
    <w:rsid w:val="00E8374F"/>
    <w:rsid w:val="00E846CB"/>
    <w:rsid w:val="00E847E9"/>
    <w:rsid w:val="00E84F06"/>
    <w:rsid w:val="00E85856"/>
    <w:rsid w:val="00E85B64"/>
    <w:rsid w:val="00E85C17"/>
    <w:rsid w:val="00E86DA6"/>
    <w:rsid w:val="00E87F70"/>
    <w:rsid w:val="00E906EA"/>
    <w:rsid w:val="00E90F77"/>
    <w:rsid w:val="00E92687"/>
    <w:rsid w:val="00E9332C"/>
    <w:rsid w:val="00E95C0A"/>
    <w:rsid w:val="00E96A72"/>
    <w:rsid w:val="00E96F25"/>
    <w:rsid w:val="00E97A95"/>
    <w:rsid w:val="00EA02E7"/>
    <w:rsid w:val="00EA195A"/>
    <w:rsid w:val="00EA2171"/>
    <w:rsid w:val="00EA21D0"/>
    <w:rsid w:val="00EA3B6A"/>
    <w:rsid w:val="00EA3BAE"/>
    <w:rsid w:val="00EA45F7"/>
    <w:rsid w:val="00EA5AEA"/>
    <w:rsid w:val="00EA5C09"/>
    <w:rsid w:val="00EA6343"/>
    <w:rsid w:val="00EA6871"/>
    <w:rsid w:val="00EA74F6"/>
    <w:rsid w:val="00EA7BEF"/>
    <w:rsid w:val="00EB073F"/>
    <w:rsid w:val="00EB07A6"/>
    <w:rsid w:val="00EB1108"/>
    <w:rsid w:val="00EB20D4"/>
    <w:rsid w:val="00EB32C5"/>
    <w:rsid w:val="00EB353E"/>
    <w:rsid w:val="00EB37F4"/>
    <w:rsid w:val="00EB3882"/>
    <w:rsid w:val="00EB5C84"/>
    <w:rsid w:val="00EB5CDB"/>
    <w:rsid w:val="00EB61C4"/>
    <w:rsid w:val="00EB75F1"/>
    <w:rsid w:val="00EB7740"/>
    <w:rsid w:val="00EB7A53"/>
    <w:rsid w:val="00EC0005"/>
    <w:rsid w:val="00EC1753"/>
    <w:rsid w:val="00EC1C31"/>
    <w:rsid w:val="00EC1E65"/>
    <w:rsid w:val="00EC2DCB"/>
    <w:rsid w:val="00EC2FFA"/>
    <w:rsid w:val="00EC3E9D"/>
    <w:rsid w:val="00EC4A2F"/>
    <w:rsid w:val="00EC5535"/>
    <w:rsid w:val="00EC5669"/>
    <w:rsid w:val="00EC587A"/>
    <w:rsid w:val="00EC5AAD"/>
    <w:rsid w:val="00ED00A4"/>
    <w:rsid w:val="00ED026F"/>
    <w:rsid w:val="00ED29F2"/>
    <w:rsid w:val="00ED3D5F"/>
    <w:rsid w:val="00ED4BB3"/>
    <w:rsid w:val="00ED4CDB"/>
    <w:rsid w:val="00ED5248"/>
    <w:rsid w:val="00ED5500"/>
    <w:rsid w:val="00ED6F3A"/>
    <w:rsid w:val="00EE08B5"/>
    <w:rsid w:val="00EE1201"/>
    <w:rsid w:val="00EE227E"/>
    <w:rsid w:val="00EE4498"/>
    <w:rsid w:val="00EE48A9"/>
    <w:rsid w:val="00EE4A93"/>
    <w:rsid w:val="00EE4AA0"/>
    <w:rsid w:val="00EE5CE2"/>
    <w:rsid w:val="00EE6573"/>
    <w:rsid w:val="00EE70FD"/>
    <w:rsid w:val="00EE7910"/>
    <w:rsid w:val="00EF09E2"/>
    <w:rsid w:val="00EF10FD"/>
    <w:rsid w:val="00EF11AE"/>
    <w:rsid w:val="00EF25BD"/>
    <w:rsid w:val="00EF3670"/>
    <w:rsid w:val="00EF3F7E"/>
    <w:rsid w:val="00EF7448"/>
    <w:rsid w:val="00F010C7"/>
    <w:rsid w:val="00F01138"/>
    <w:rsid w:val="00F018CE"/>
    <w:rsid w:val="00F01AD0"/>
    <w:rsid w:val="00F0301F"/>
    <w:rsid w:val="00F04984"/>
    <w:rsid w:val="00F04D0E"/>
    <w:rsid w:val="00F05183"/>
    <w:rsid w:val="00F0555B"/>
    <w:rsid w:val="00F06087"/>
    <w:rsid w:val="00F077BD"/>
    <w:rsid w:val="00F07838"/>
    <w:rsid w:val="00F07ADD"/>
    <w:rsid w:val="00F07B71"/>
    <w:rsid w:val="00F12B5E"/>
    <w:rsid w:val="00F13918"/>
    <w:rsid w:val="00F13B0A"/>
    <w:rsid w:val="00F14CE7"/>
    <w:rsid w:val="00F15F73"/>
    <w:rsid w:val="00F2059D"/>
    <w:rsid w:val="00F20786"/>
    <w:rsid w:val="00F20E4E"/>
    <w:rsid w:val="00F211C8"/>
    <w:rsid w:val="00F2153B"/>
    <w:rsid w:val="00F2419E"/>
    <w:rsid w:val="00F242C9"/>
    <w:rsid w:val="00F24403"/>
    <w:rsid w:val="00F24F14"/>
    <w:rsid w:val="00F25A5A"/>
    <w:rsid w:val="00F306DF"/>
    <w:rsid w:val="00F306FB"/>
    <w:rsid w:val="00F3097B"/>
    <w:rsid w:val="00F3118C"/>
    <w:rsid w:val="00F3298F"/>
    <w:rsid w:val="00F3394D"/>
    <w:rsid w:val="00F35431"/>
    <w:rsid w:val="00F36725"/>
    <w:rsid w:val="00F40142"/>
    <w:rsid w:val="00F415CE"/>
    <w:rsid w:val="00F418CF"/>
    <w:rsid w:val="00F41B2D"/>
    <w:rsid w:val="00F4211F"/>
    <w:rsid w:val="00F429F1"/>
    <w:rsid w:val="00F4394C"/>
    <w:rsid w:val="00F44441"/>
    <w:rsid w:val="00F44C9A"/>
    <w:rsid w:val="00F45016"/>
    <w:rsid w:val="00F46BA8"/>
    <w:rsid w:val="00F50478"/>
    <w:rsid w:val="00F50AAE"/>
    <w:rsid w:val="00F51D96"/>
    <w:rsid w:val="00F52127"/>
    <w:rsid w:val="00F52DBD"/>
    <w:rsid w:val="00F53385"/>
    <w:rsid w:val="00F5361F"/>
    <w:rsid w:val="00F56490"/>
    <w:rsid w:val="00F56E47"/>
    <w:rsid w:val="00F5797D"/>
    <w:rsid w:val="00F60A3A"/>
    <w:rsid w:val="00F60A63"/>
    <w:rsid w:val="00F63AA7"/>
    <w:rsid w:val="00F64794"/>
    <w:rsid w:val="00F66689"/>
    <w:rsid w:val="00F6678E"/>
    <w:rsid w:val="00F70C0E"/>
    <w:rsid w:val="00F716FA"/>
    <w:rsid w:val="00F73356"/>
    <w:rsid w:val="00F7677B"/>
    <w:rsid w:val="00F773F4"/>
    <w:rsid w:val="00F80166"/>
    <w:rsid w:val="00F816FC"/>
    <w:rsid w:val="00F82637"/>
    <w:rsid w:val="00F8471B"/>
    <w:rsid w:val="00F84A06"/>
    <w:rsid w:val="00F85036"/>
    <w:rsid w:val="00F851E4"/>
    <w:rsid w:val="00F87941"/>
    <w:rsid w:val="00F902BB"/>
    <w:rsid w:val="00F908C3"/>
    <w:rsid w:val="00F915AC"/>
    <w:rsid w:val="00F92B37"/>
    <w:rsid w:val="00F943CB"/>
    <w:rsid w:val="00F949EF"/>
    <w:rsid w:val="00F97B74"/>
    <w:rsid w:val="00F97D69"/>
    <w:rsid w:val="00FA2FE3"/>
    <w:rsid w:val="00FA3038"/>
    <w:rsid w:val="00FA33D3"/>
    <w:rsid w:val="00FA37AD"/>
    <w:rsid w:val="00FA38A3"/>
    <w:rsid w:val="00FA4FD4"/>
    <w:rsid w:val="00FA6E6A"/>
    <w:rsid w:val="00FA781A"/>
    <w:rsid w:val="00FA78B9"/>
    <w:rsid w:val="00FA7F48"/>
    <w:rsid w:val="00FB00AF"/>
    <w:rsid w:val="00FB0E85"/>
    <w:rsid w:val="00FB3AFE"/>
    <w:rsid w:val="00FB3F4B"/>
    <w:rsid w:val="00FB44D1"/>
    <w:rsid w:val="00FB54FF"/>
    <w:rsid w:val="00FB5C67"/>
    <w:rsid w:val="00FB5D20"/>
    <w:rsid w:val="00FC021B"/>
    <w:rsid w:val="00FC1A97"/>
    <w:rsid w:val="00FC24F7"/>
    <w:rsid w:val="00FC2C47"/>
    <w:rsid w:val="00FC540C"/>
    <w:rsid w:val="00FC5ADB"/>
    <w:rsid w:val="00FC5F7C"/>
    <w:rsid w:val="00FD1138"/>
    <w:rsid w:val="00FD1C00"/>
    <w:rsid w:val="00FD3166"/>
    <w:rsid w:val="00FD3A88"/>
    <w:rsid w:val="00FD4AD1"/>
    <w:rsid w:val="00FD60B7"/>
    <w:rsid w:val="00FD6C98"/>
    <w:rsid w:val="00FD748A"/>
    <w:rsid w:val="00FD7A46"/>
    <w:rsid w:val="00FE08BD"/>
    <w:rsid w:val="00FE28E6"/>
    <w:rsid w:val="00FE4140"/>
    <w:rsid w:val="00FE6727"/>
    <w:rsid w:val="00FF0D3F"/>
    <w:rsid w:val="00FF2D32"/>
    <w:rsid w:val="00FF2FE0"/>
    <w:rsid w:val="00FF4313"/>
    <w:rsid w:val="00FF560B"/>
    <w:rsid w:val="00FF5680"/>
    <w:rsid w:val="00FF60C4"/>
    <w:rsid w:val="00FF6F46"/>
    <w:rsid w:val="0105505F"/>
    <w:rsid w:val="010672C1"/>
    <w:rsid w:val="01186DD4"/>
    <w:rsid w:val="012A0545"/>
    <w:rsid w:val="01563749"/>
    <w:rsid w:val="015D0D5E"/>
    <w:rsid w:val="01797145"/>
    <w:rsid w:val="01864822"/>
    <w:rsid w:val="019C46CE"/>
    <w:rsid w:val="01A00C4B"/>
    <w:rsid w:val="01C715DA"/>
    <w:rsid w:val="023B1D7D"/>
    <w:rsid w:val="023C4B8F"/>
    <w:rsid w:val="02423867"/>
    <w:rsid w:val="024E65D4"/>
    <w:rsid w:val="02AC12A0"/>
    <w:rsid w:val="02C32B34"/>
    <w:rsid w:val="02C34EEF"/>
    <w:rsid w:val="02DB1D15"/>
    <w:rsid w:val="02E8355E"/>
    <w:rsid w:val="03160F43"/>
    <w:rsid w:val="031C522D"/>
    <w:rsid w:val="033426E3"/>
    <w:rsid w:val="036F6C29"/>
    <w:rsid w:val="037C514D"/>
    <w:rsid w:val="03872C93"/>
    <w:rsid w:val="03E07041"/>
    <w:rsid w:val="03E276F8"/>
    <w:rsid w:val="03F26091"/>
    <w:rsid w:val="03F86B1C"/>
    <w:rsid w:val="040E27E3"/>
    <w:rsid w:val="04455BB0"/>
    <w:rsid w:val="04571E35"/>
    <w:rsid w:val="049F482A"/>
    <w:rsid w:val="04C73219"/>
    <w:rsid w:val="04D24FE8"/>
    <w:rsid w:val="04FE1116"/>
    <w:rsid w:val="052557DD"/>
    <w:rsid w:val="05295A8E"/>
    <w:rsid w:val="053343CC"/>
    <w:rsid w:val="053A13B6"/>
    <w:rsid w:val="05622C55"/>
    <w:rsid w:val="05746676"/>
    <w:rsid w:val="05752765"/>
    <w:rsid w:val="05861E93"/>
    <w:rsid w:val="05876656"/>
    <w:rsid w:val="05AD43EF"/>
    <w:rsid w:val="05C57460"/>
    <w:rsid w:val="05CB4ED1"/>
    <w:rsid w:val="05CD665D"/>
    <w:rsid w:val="06074019"/>
    <w:rsid w:val="06296392"/>
    <w:rsid w:val="06304C93"/>
    <w:rsid w:val="064F18FD"/>
    <w:rsid w:val="066A1381"/>
    <w:rsid w:val="066C2FCB"/>
    <w:rsid w:val="06740725"/>
    <w:rsid w:val="06A8302D"/>
    <w:rsid w:val="06AD7ECB"/>
    <w:rsid w:val="06B97CE7"/>
    <w:rsid w:val="06BA1EED"/>
    <w:rsid w:val="06C72FFA"/>
    <w:rsid w:val="06C93A9D"/>
    <w:rsid w:val="06D54CFF"/>
    <w:rsid w:val="06E9224E"/>
    <w:rsid w:val="06F63309"/>
    <w:rsid w:val="06FA27D4"/>
    <w:rsid w:val="070E2AFA"/>
    <w:rsid w:val="071F233A"/>
    <w:rsid w:val="07200809"/>
    <w:rsid w:val="07227DF4"/>
    <w:rsid w:val="07373517"/>
    <w:rsid w:val="074719FC"/>
    <w:rsid w:val="075E2ADB"/>
    <w:rsid w:val="076935CA"/>
    <w:rsid w:val="076D78B8"/>
    <w:rsid w:val="07816301"/>
    <w:rsid w:val="07911952"/>
    <w:rsid w:val="079B438E"/>
    <w:rsid w:val="07A061A4"/>
    <w:rsid w:val="07B56195"/>
    <w:rsid w:val="07BE225E"/>
    <w:rsid w:val="07C47B47"/>
    <w:rsid w:val="07D82121"/>
    <w:rsid w:val="07DC3475"/>
    <w:rsid w:val="07E53733"/>
    <w:rsid w:val="07EC2B3E"/>
    <w:rsid w:val="07F570E3"/>
    <w:rsid w:val="07FF149A"/>
    <w:rsid w:val="081E1951"/>
    <w:rsid w:val="083B0AA1"/>
    <w:rsid w:val="083B2E38"/>
    <w:rsid w:val="084942E8"/>
    <w:rsid w:val="08650A2C"/>
    <w:rsid w:val="08704243"/>
    <w:rsid w:val="0878614C"/>
    <w:rsid w:val="087D3B8F"/>
    <w:rsid w:val="0889737B"/>
    <w:rsid w:val="088C3CD7"/>
    <w:rsid w:val="089B216C"/>
    <w:rsid w:val="089E2E5D"/>
    <w:rsid w:val="08A25FF9"/>
    <w:rsid w:val="08D611DD"/>
    <w:rsid w:val="08D67052"/>
    <w:rsid w:val="08D9482C"/>
    <w:rsid w:val="08DF3D86"/>
    <w:rsid w:val="08E1469A"/>
    <w:rsid w:val="08E37B4B"/>
    <w:rsid w:val="08EA7362"/>
    <w:rsid w:val="09075A53"/>
    <w:rsid w:val="091B514F"/>
    <w:rsid w:val="09331037"/>
    <w:rsid w:val="09580CD5"/>
    <w:rsid w:val="09654793"/>
    <w:rsid w:val="09812F4D"/>
    <w:rsid w:val="099336B0"/>
    <w:rsid w:val="09981FF0"/>
    <w:rsid w:val="09A96FFA"/>
    <w:rsid w:val="09AF1C11"/>
    <w:rsid w:val="09AF66F9"/>
    <w:rsid w:val="09CA4081"/>
    <w:rsid w:val="09CB3712"/>
    <w:rsid w:val="09F45FD8"/>
    <w:rsid w:val="0A0A12D9"/>
    <w:rsid w:val="0A0A7596"/>
    <w:rsid w:val="0A152311"/>
    <w:rsid w:val="0A330DCA"/>
    <w:rsid w:val="0A4F471E"/>
    <w:rsid w:val="0A5A68C7"/>
    <w:rsid w:val="0A636EFA"/>
    <w:rsid w:val="0A7C092D"/>
    <w:rsid w:val="0A8362CF"/>
    <w:rsid w:val="0A87565D"/>
    <w:rsid w:val="0A92645A"/>
    <w:rsid w:val="0AA10AD1"/>
    <w:rsid w:val="0AC64C05"/>
    <w:rsid w:val="0ACB31DC"/>
    <w:rsid w:val="0AF60FD2"/>
    <w:rsid w:val="0AF76376"/>
    <w:rsid w:val="0B1D42B0"/>
    <w:rsid w:val="0B38120E"/>
    <w:rsid w:val="0B5D195B"/>
    <w:rsid w:val="0B666A61"/>
    <w:rsid w:val="0B6F1D79"/>
    <w:rsid w:val="0B717BC8"/>
    <w:rsid w:val="0B8016B5"/>
    <w:rsid w:val="0B92390C"/>
    <w:rsid w:val="0BB377CC"/>
    <w:rsid w:val="0BB4630F"/>
    <w:rsid w:val="0BD47E6F"/>
    <w:rsid w:val="0C3B4206"/>
    <w:rsid w:val="0C4B036F"/>
    <w:rsid w:val="0C517711"/>
    <w:rsid w:val="0C555D02"/>
    <w:rsid w:val="0C5C1EF4"/>
    <w:rsid w:val="0C7613D7"/>
    <w:rsid w:val="0C921148"/>
    <w:rsid w:val="0CDE27B8"/>
    <w:rsid w:val="0D357CA3"/>
    <w:rsid w:val="0D404A68"/>
    <w:rsid w:val="0D4C39B2"/>
    <w:rsid w:val="0D55508E"/>
    <w:rsid w:val="0D6A30EF"/>
    <w:rsid w:val="0D933771"/>
    <w:rsid w:val="0DA33F9D"/>
    <w:rsid w:val="0DB14B9F"/>
    <w:rsid w:val="0DC33F6E"/>
    <w:rsid w:val="0DC81D2F"/>
    <w:rsid w:val="0DC940F3"/>
    <w:rsid w:val="0DD41AD5"/>
    <w:rsid w:val="0DD759F4"/>
    <w:rsid w:val="0E02742F"/>
    <w:rsid w:val="0E210DB4"/>
    <w:rsid w:val="0E547F9C"/>
    <w:rsid w:val="0E70252E"/>
    <w:rsid w:val="0E880155"/>
    <w:rsid w:val="0E882366"/>
    <w:rsid w:val="0E924011"/>
    <w:rsid w:val="0EB2020F"/>
    <w:rsid w:val="0EB61AAE"/>
    <w:rsid w:val="0ED67878"/>
    <w:rsid w:val="0EE4486D"/>
    <w:rsid w:val="0F000F7B"/>
    <w:rsid w:val="0F2A5FF8"/>
    <w:rsid w:val="0F4838E1"/>
    <w:rsid w:val="0F521A4C"/>
    <w:rsid w:val="0F593239"/>
    <w:rsid w:val="0F6558E1"/>
    <w:rsid w:val="0F6F18C9"/>
    <w:rsid w:val="0F910284"/>
    <w:rsid w:val="0F933B9D"/>
    <w:rsid w:val="0F9C52F8"/>
    <w:rsid w:val="0FC101EF"/>
    <w:rsid w:val="0FFF62CC"/>
    <w:rsid w:val="103B7CCB"/>
    <w:rsid w:val="10406802"/>
    <w:rsid w:val="10611392"/>
    <w:rsid w:val="10694C8E"/>
    <w:rsid w:val="10AC3791"/>
    <w:rsid w:val="10B96175"/>
    <w:rsid w:val="10BD35C7"/>
    <w:rsid w:val="10E36E09"/>
    <w:rsid w:val="10FD7E68"/>
    <w:rsid w:val="110C3C07"/>
    <w:rsid w:val="112927F0"/>
    <w:rsid w:val="113D64B6"/>
    <w:rsid w:val="114E1FA7"/>
    <w:rsid w:val="11632707"/>
    <w:rsid w:val="11E87475"/>
    <w:rsid w:val="11FF551A"/>
    <w:rsid w:val="1224113F"/>
    <w:rsid w:val="12241424"/>
    <w:rsid w:val="123847D2"/>
    <w:rsid w:val="12487ECE"/>
    <w:rsid w:val="125A0FB4"/>
    <w:rsid w:val="128B35FF"/>
    <w:rsid w:val="128F6F5E"/>
    <w:rsid w:val="129D43BC"/>
    <w:rsid w:val="12A07FC9"/>
    <w:rsid w:val="12CF4E4F"/>
    <w:rsid w:val="12FE0301"/>
    <w:rsid w:val="1316696E"/>
    <w:rsid w:val="132873D1"/>
    <w:rsid w:val="132A0CBC"/>
    <w:rsid w:val="13405356"/>
    <w:rsid w:val="13443932"/>
    <w:rsid w:val="135C7DC7"/>
    <w:rsid w:val="1362691C"/>
    <w:rsid w:val="13643AC4"/>
    <w:rsid w:val="136E6ED9"/>
    <w:rsid w:val="137A27C4"/>
    <w:rsid w:val="13A33C48"/>
    <w:rsid w:val="13A51CC5"/>
    <w:rsid w:val="13B13B7C"/>
    <w:rsid w:val="13D0615B"/>
    <w:rsid w:val="13EE1298"/>
    <w:rsid w:val="141D36AF"/>
    <w:rsid w:val="145F4142"/>
    <w:rsid w:val="14642F45"/>
    <w:rsid w:val="146D0E60"/>
    <w:rsid w:val="146D6400"/>
    <w:rsid w:val="148F633F"/>
    <w:rsid w:val="14A4637A"/>
    <w:rsid w:val="14CC63C7"/>
    <w:rsid w:val="14F0383F"/>
    <w:rsid w:val="14F4344C"/>
    <w:rsid w:val="150F2941"/>
    <w:rsid w:val="15366EA0"/>
    <w:rsid w:val="15386514"/>
    <w:rsid w:val="1548496F"/>
    <w:rsid w:val="154A7E87"/>
    <w:rsid w:val="155969A0"/>
    <w:rsid w:val="15B07C04"/>
    <w:rsid w:val="15C53946"/>
    <w:rsid w:val="15D13D22"/>
    <w:rsid w:val="15EF1E88"/>
    <w:rsid w:val="15FD7FC2"/>
    <w:rsid w:val="16005D04"/>
    <w:rsid w:val="16045B27"/>
    <w:rsid w:val="160550C9"/>
    <w:rsid w:val="161B48EC"/>
    <w:rsid w:val="16210154"/>
    <w:rsid w:val="16405699"/>
    <w:rsid w:val="164139FC"/>
    <w:rsid w:val="16453962"/>
    <w:rsid w:val="166C5148"/>
    <w:rsid w:val="16830681"/>
    <w:rsid w:val="168A5BF8"/>
    <w:rsid w:val="16BA6792"/>
    <w:rsid w:val="16C64A6B"/>
    <w:rsid w:val="16CE404C"/>
    <w:rsid w:val="16E02FB7"/>
    <w:rsid w:val="16E469DE"/>
    <w:rsid w:val="16F413FC"/>
    <w:rsid w:val="16F54B2D"/>
    <w:rsid w:val="170136FC"/>
    <w:rsid w:val="17343966"/>
    <w:rsid w:val="17434ECF"/>
    <w:rsid w:val="17805E3B"/>
    <w:rsid w:val="17842718"/>
    <w:rsid w:val="17A51112"/>
    <w:rsid w:val="17A70B2D"/>
    <w:rsid w:val="17B21DCB"/>
    <w:rsid w:val="17B2302E"/>
    <w:rsid w:val="17B736B1"/>
    <w:rsid w:val="17B84125"/>
    <w:rsid w:val="17CA43F9"/>
    <w:rsid w:val="17D02B9E"/>
    <w:rsid w:val="17DE1F7B"/>
    <w:rsid w:val="17EB3D68"/>
    <w:rsid w:val="17F50149"/>
    <w:rsid w:val="17FE0B8F"/>
    <w:rsid w:val="181D45F4"/>
    <w:rsid w:val="18324341"/>
    <w:rsid w:val="1867767C"/>
    <w:rsid w:val="18A56033"/>
    <w:rsid w:val="18A71443"/>
    <w:rsid w:val="18B07D0B"/>
    <w:rsid w:val="18FA6A3B"/>
    <w:rsid w:val="18FE29CF"/>
    <w:rsid w:val="19463714"/>
    <w:rsid w:val="19533DA4"/>
    <w:rsid w:val="198129D4"/>
    <w:rsid w:val="1990355E"/>
    <w:rsid w:val="199C0759"/>
    <w:rsid w:val="19A370D2"/>
    <w:rsid w:val="19B83939"/>
    <w:rsid w:val="19B9064A"/>
    <w:rsid w:val="19CE2B59"/>
    <w:rsid w:val="1A1A0090"/>
    <w:rsid w:val="1A301F5F"/>
    <w:rsid w:val="1A3B2AF0"/>
    <w:rsid w:val="1A5A3DEF"/>
    <w:rsid w:val="1A657C6D"/>
    <w:rsid w:val="1A663406"/>
    <w:rsid w:val="1AC954E4"/>
    <w:rsid w:val="1AD4512B"/>
    <w:rsid w:val="1ADF10FE"/>
    <w:rsid w:val="1AEE4DCF"/>
    <w:rsid w:val="1AF24BAD"/>
    <w:rsid w:val="1AF903A2"/>
    <w:rsid w:val="1AFC0E66"/>
    <w:rsid w:val="1B3D7FDF"/>
    <w:rsid w:val="1B4903A2"/>
    <w:rsid w:val="1B4C56F7"/>
    <w:rsid w:val="1B5927BC"/>
    <w:rsid w:val="1B5E1503"/>
    <w:rsid w:val="1B770817"/>
    <w:rsid w:val="1B8711E3"/>
    <w:rsid w:val="1B8A325B"/>
    <w:rsid w:val="1B8F758F"/>
    <w:rsid w:val="1B9405AB"/>
    <w:rsid w:val="1B9852A9"/>
    <w:rsid w:val="1BDA71D0"/>
    <w:rsid w:val="1C075F5D"/>
    <w:rsid w:val="1C0D3EAF"/>
    <w:rsid w:val="1C164C4B"/>
    <w:rsid w:val="1C18671C"/>
    <w:rsid w:val="1C1918CE"/>
    <w:rsid w:val="1C2431B3"/>
    <w:rsid w:val="1C2A5A2D"/>
    <w:rsid w:val="1C316C17"/>
    <w:rsid w:val="1C8F74B0"/>
    <w:rsid w:val="1CB61746"/>
    <w:rsid w:val="1CB82E95"/>
    <w:rsid w:val="1CDD1FA4"/>
    <w:rsid w:val="1CFC75AC"/>
    <w:rsid w:val="1D061E52"/>
    <w:rsid w:val="1D1E5C45"/>
    <w:rsid w:val="1D221E21"/>
    <w:rsid w:val="1D274825"/>
    <w:rsid w:val="1D2E61D3"/>
    <w:rsid w:val="1D306ECF"/>
    <w:rsid w:val="1D59141F"/>
    <w:rsid w:val="1D597759"/>
    <w:rsid w:val="1D705297"/>
    <w:rsid w:val="1D74500E"/>
    <w:rsid w:val="1D9A0C30"/>
    <w:rsid w:val="1DA73DBC"/>
    <w:rsid w:val="1DAE3AA1"/>
    <w:rsid w:val="1DC9132E"/>
    <w:rsid w:val="1DCB1B90"/>
    <w:rsid w:val="1DDA60E7"/>
    <w:rsid w:val="1E227B2A"/>
    <w:rsid w:val="1E3D270E"/>
    <w:rsid w:val="1E480531"/>
    <w:rsid w:val="1E505322"/>
    <w:rsid w:val="1E91495A"/>
    <w:rsid w:val="1EAC6A29"/>
    <w:rsid w:val="1EAE52F0"/>
    <w:rsid w:val="1EC2345A"/>
    <w:rsid w:val="1ED66200"/>
    <w:rsid w:val="1F020C41"/>
    <w:rsid w:val="1F1F1647"/>
    <w:rsid w:val="1F37222C"/>
    <w:rsid w:val="1F4E1E02"/>
    <w:rsid w:val="1F5A7E8B"/>
    <w:rsid w:val="1F6B0CE4"/>
    <w:rsid w:val="1F8B4967"/>
    <w:rsid w:val="1FAD2130"/>
    <w:rsid w:val="1FC80998"/>
    <w:rsid w:val="1FDC3F4F"/>
    <w:rsid w:val="1FE47C51"/>
    <w:rsid w:val="1FED44E2"/>
    <w:rsid w:val="20110608"/>
    <w:rsid w:val="2035761C"/>
    <w:rsid w:val="20563899"/>
    <w:rsid w:val="2060779B"/>
    <w:rsid w:val="20711CD8"/>
    <w:rsid w:val="207C2063"/>
    <w:rsid w:val="20B42A49"/>
    <w:rsid w:val="20C125FE"/>
    <w:rsid w:val="20DB1602"/>
    <w:rsid w:val="20E37F84"/>
    <w:rsid w:val="210E58AE"/>
    <w:rsid w:val="211F4D25"/>
    <w:rsid w:val="212F279E"/>
    <w:rsid w:val="212F703F"/>
    <w:rsid w:val="215F7F35"/>
    <w:rsid w:val="216527C0"/>
    <w:rsid w:val="21892A8E"/>
    <w:rsid w:val="21C93DC0"/>
    <w:rsid w:val="21CD7BCA"/>
    <w:rsid w:val="221943D6"/>
    <w:rsid w:val="22263E2A"/>
    <w:rsid w:val="22504A84"/>
    <w:rsid w:val="225141ED"/>
    <w:rsid w:val="2277018B"/>
    <w:rsid w:val="22823719"/>
    <w:rsid w:val="22D2011B"/>
    <w:rsid w:val="22D203C7"/>
    <w:rsid w:val="22E61C01"/>
    <w:rsid w:val="22F47531"/>
    <w:rsid w:val="23232B2D"/>
    <w:rsid w:val="232410A6"/>
    <w:rsid w:val="23347540"/>
    <w:rsid w:val="233774DA"/>
    <w:rsid w:val="234B5430"/>
    <w:rsid w:val="235C2A1B"/>
    <w:rsid w:val="23B708EE"/>
    <w:rsid w:val="23DF57AE"/>
    <w:rsid w:val="23E67B58"/>
    <w:rsid w:val="23F351BD"/>
    <w:rsid w:val="240B4692"/>
    <w:rsid w:val="241A2229"/>
    <w:rsid w:val="243A55A9"/>
    <w:rsid w:val="244D480A"/>
    <w:rsid w:val="24602324"/>
    <w:rsid w:val="24637B8A"/>
    <w:rsid w:val="246762B0"/>
    <w:rsid w:val="24840EF0"/>
    <w:rsid w:val="24876A43"/>
    <w:rsid w:val="2488596C"/>
    <w:rsid w:val="248D6D09"/>
    <w:rsid w:val="248E4DCE"/>
    <w:rsid w:val="248F6BD1"/>
    <w:rsid w:val="24993BB4"/>
    <w:rsid w:val="249D2051"/>
    <w:rsid w:val="24A14412"/>
    <w:rsid w:val="24C543C1"/>
    <w:rsid w:val="24E50894"/>
    <w:rsid w:val="24F643FC"/>
    <w:rsid w:val="24FB5A31"/>
    <w:rsid w:val="25036C42"/>
    <w:rsid w:val="252217F3"/>
    <w:rsid w:val="252F58D4"/>
    <w:rsid w:val="25324530"/>
    <w:rsid w:val="25335F8E"/>
    <w:rsid w:val="255A4217"/>
    <w:rsid w:val="257C22E0"/>
    <w:rsid w:val="259A75DB"/>
    <w:rsid w:val="259D3E73"/>
    <w:rsid w:val="25A601BF"/>
    <w:rsid w:val="25A95A70"/>
    <w:rsid w:val="25CF4697"/>
    <w:rsid w:val="25D20B7A"/>
    <w:rsid w:val="25D3404A"/>
    <w:rsid w:val="25D5682F"/>
    <w:rsid w:val="25D93016"/>
    <w:rsid w:val="25E1143B"/>
    <w:rsid w:val="25EE7927"/>
    <w:rsid w:val="25F62CC2"/>
    <w:rsid w:val="25FF2B7F"/>
    <w:rsid w:val="2610789E"/>
    <w:rsid w:val="263A35EE"/>
    <w:rsid w:val="26420D15"/>
    <w:rsid w:val="26524F0B"/>
    <w:rsid w:val="26654D7A"/>
    <w:rsid w:val="26660F79"/>
    <w:rsid w:val="268E70C3"/>
    <w:rsid w:val="26BB6460"/>
    <w:rsid w:val="26C31AC6"/>
    <w:rsid w:val="26CE3700"/>
    <w:rsid w:val="26CF59AB"/>
    <w:rsid w:val="26EC03CC"/>
    <w:rsid w:val="270337B1"/>
    <w:rsid w:val="272524D7"/>
    <w:rsid w:val="27333DFF"/>
    <w:rsid w:val="27392E24"/>
    <w:rsid w:val="273C2EE6"/>
    <w:rsid w:val="27405259"/>
    <w:rsid w:val="2751223D"/>
    <w:rsid w:val="27856B06"/>
    <w:rsid w:val="2786250D"/>
    <w:rsid w:val="278937F4"/>
    <w:rsid w:val="279058FD"/>
    <w:rsid w:val="2794633F"/>
    <w:rsid w:val="27992E60"/>
    <w:rsid w:val="279A0E7D"/>
    <w:rsid w:val="27A037F9"/>
    <w:rsid w:val="27AB7A4E"/>
    <w:rsid w:val="27C808CF"/>
    <w:rsid w:val="27EE163A"/>
    <w:rsid w:val="28042538"/>
    <w:rsid w:val="280C2212"/>
    <w:rsid w:val="280D678A"/>
    <w:rsid w:val="2814396F"/>
    <w:rsid w:val="2815563F"/>
    <w:rsid w:val="283A6B09"/>
    <w:rsid w:val="284E71B2"/>
    <w:rsid w:val="285640EB"/>
    <w:rsid w:val="285D2B42"/>
    <w:rsid w:val="288E455E"/>
    <w:rsid w:val="28A075FF"/>
    <w:rsid w:val="28C536C0"/>
    <w:rsid w:val="28D64267"/>
    <w:rsid w:val="28D7787A"/>
    <w:rsid w:val="28E6165B"/>
    <w:rsid w:val="28E76FDC"/>
    <w:rsid w:val="291835DD"/>
    <w:rsid w:val="29214016"/>
    <w:rsid w:val="292627E9"/>
    <w:rsid w:val="292A6B2B"/>
    <w:rsid w:val="29310257"/>
    <w:rsid w:val="29375CEB"/>
    <w:rsid w:val="293B10D5"/>
    <w:rsid w:val="294066EC"/>
    <w:rsid w:val="29565008"/>
    <w:rsid w:val="29714639"/>
    <w:rsid w:val="29823491"/>
    <w:rsid w:val="298827EE"/>
    <w:rsid w:val="29D35FD2"/>
    <w:rsid w:val="29D6541E"/>
    <w:rsid w:val="29DA3610"/>
    <w:rsid w:val="29E320AA"/>
    <w:rsid w:val="29E81E81"/>
    <w:rsid w:val="29E95E43"/>
    <w:rsid w:val="29EF1EF3"/>
    <w:rsid w:val="2A07087A"/>
    <w:rsid w:val="2A0C4545"/>
    <w:rsid w:val="2A19409E"/>
    <w:rsid w:val="2A1A53A7"/>
    <w:rsid w:val="2A223A3E"/>
    <w:rsid w:val="2A4449F5"/>
    <w:rsid w:val="2A6A76DB"/>
    <w:rsid w:val="2A6C52BE"/>
    <w:rsid w:val="2A7811F7"/>
    <w:rsid w:val="2A7F0A79"/>
    <w:rsid w:val="2A9C5BA4"/>
    <w:rsid w:val="2AB231CB"/>
    <w:rsid w:val="2AC57D40"/>
    <w:rsid w:val="2AC86999"/>
    <w:rsid w:val="2B0F281A"/>
    <w:rsid w:val="2B1862B4"/>
    <w:rsid w:val="2B351FF1"/>
    <w:rsid w:val="2B491FE1"/>
    <w:rsid w:val="2B5D17D7"/>
    <w:rsid w:val="2B643A4A"/>
    <w:rsid w:val="2B792DE6"/>
    <w:rsid w:val="2B974C47"/>
    <w:rsid w:val="2BA36BB8"/>
    <w:rsid w:val="2BA927B7"/>
    <w:rsid w:val="2BD86485"/>
    <w:rsid w:val="2BE44FEB"/>
    <w:rsid w:val="2BF3473C"/>
    <w:rsid w:val="2C025787"/>
    <w:rsid w:val="2C0348D8"/>
    <w:rsid w:val="2C0C0F54"/>
    <w:rsid w:val="2C271604"/>
    <w:rsid w:val="2C5569DF"/>
    <w:rsid w:val="2C5A2B3F"/>
    <w:rsid w:val="2C757574"/>
    <w:rsid w:val="2C805346"/>
    <w:rsid w:val="2CA824E3"/>
    <w:rsid w:val="2CC7433D"/>
    <w:rsid w:val="2CC8377F"/>
    <w:rsid w:val="2CD049DA"/>
    <w:rsid w:val="2CD21C92"/>
    <w:rsid w:val="2CF9108B"/>
    <w:rsid w:val="2D026EC5"/>
    <w:rsid w:val="2D0A7975"/>
    <w:rsid w:val="2D1741FA"/>
    <w:rsid w:val="2D1E6C41"/>
    <w:rsid w:val="2D285E15"/>
    <w:rsid w:val="2D286470"/>
    <w:rsid w:val="2D4615F9"/>
    <w:rsid w:val="2D742E08"/>
    <w:rsid w:val="2D9301D6"/>
    <w:rsid w:val="2D941796"/>
    <w:rsid w:val="2DA05899"/>
    <w:rsid w:val="2DB17BB8"/>
    <w:rsid w:val="2DBE1984"/>
    <w:rsid w:val="2DD83397"/>
    <w:rsid w:val="2DEC3781"/>
    <w:rsid w:val="2E020414"/>
    <w:rsid w:val="2E291E44"/>
    <w:rsid w:val="2E313734"/>
    <w:rsid w:val="2E4D2EE9"/>
    <w:rsid w:val="2E543552"/>
    <w:rsid w:val="2E70635A"/>
    <w:rsid w:val="2E7256E4"/>
    <w:rsid w:val="2E754F71"/>
    <w:rsid w:val="2E844C27"/>
    <w:rsid w:val="2E90573F"/>
    <w:rsid w:val="2E9279E9"/>
    <w:rsid w:val="2EA86897"/>
    <w:rsid w:val="2EB9692C"/>
    <w:rsid w:val="2EE922E4"/>
    <w:rsid w:val="2F06561F"/>
    <w:rsid w:val="2F0A7C8C"/>
    <w:rsid w:val="2F20265F"/>
    <w:rsid w:val="2F2820FC"/>
    <w:rsid w:val="2F285C58"/>
    <w:rsid w:val="2F3436AE"/>
    <w:rsid w:val="2F3B7993"/>
    <w:rsid w:val="2F3E6F8A"/>
    <w:rsid w:val="2F756F35"/>
    <w:rsid w:val="2F961AA2"/>
    <w:rsid w:val="2FD73064"/>
    <w:rsid w:val="2FE95EC9"/>
    <w:rsid w:val="302F08F7"/>
    <w:rsid w:val="30340007"/>
    <w:rsid w:val="3078702D"/>
    <w:rsid w:val="307A685F"/>
    <w:rsid w:val="307D6477"/>
    <w:rsid w:val="30934FB5"/>
    <w:rsid w:val="30A01083"/>
    <w:rsid w:val="30A752A2"/>
    <w:rsid w:val="30A9692D"/>
    <w:rsid w:val="30B70C56"/>
    <w:rsid w:val="30C25A54"/>
    <w:rsid w:val="30C3032E"/>
    <w:rsid w:val="30C51B92"/>
    <w:rsid w:val="31093B9F"/>
    <w:rsid w:val="31096094"/>
    <w:rsid w:val="311807C7"/>
    <w:rsid w:val="31190ACD"/>
    <w:rsid w:val="311968F7"/>
    <w:rsid w:val="311F308B"/>
    <w:rsid w:val="311F3919"/>
    <w:rsid w:val="313221AD"/>
    <w:rsid w:val="313E1763"/>
    <w:rsid w:val="313E5176"/>
    <w:rsid w:val="31522AEA"/>
    <w:rsid w:val="315C47F1"/>
    <w:rsid w:val="317A153E"/>
    <w:rsid w:val="31825DC0"/>
    <w:rsid w:val="319121DA"/>
    <w:rsid w:val="31B656DD"/>
    <w:rsid w:val="31CE7167"/>
    <w:rsid w:val="31DC2ED2"/>
    <w:rsid w:val="31DD71CE"/>
    <w:rsid w:val="320162F9"/>
    <w:rsid w:val="32097509"/>
    <w:rsid w:val="321264C9"/>
    <w:rsid w:val="3215472D"/>
    <w:rsid w:val="32185E38"/>
    <w:rsid w:val="321E3012"/>
    <w:rsid w:val="324A05DB"/>
    <w:rsid w:val="3257514F"/>
    <w:rsid w:val="325C63C7"/>
    <w:rsid w:val="327A0EC0"/>
    <w:rsid w:val="32BA306B"/>
    <w:rsid w:val="32CF6916"/>
    <w:rsid w:val="32D4250E"/>
    <w:rsid w:val="32D8090C"/>
    <w:rsid w:val="32E11FEC"/>
    <w:rsid w:val="32E321DD"/>
    <w:rsid w:val="32EF7B75"/>
    <w:rsid w:val="33305A23"/>
    <w:rsid w:val="33367C13"/>
    <w:rsid w:val="333A2E3D"/>
    <w:rsid w:val="334A547D"/>
    <w:rsid w:val="334D6658"/>
    <w:rsid w:val="334E0556"/>
    <w:rsid w:val="337049AD"/>
    <w:rsid w:val="33713485"/>
    <w:rsid w:val="33997124"/>
    <w:rsid w:val="33B74A6B"/>
    <w:rsid w:val="33BC47DA"/>
    <w:rsid w:val="33CA17CC"/>
    <w:rsid w:val="33D4374A"/>
    <w:rsid w:val="33E72BDD"/>
    <w:rsid w:val="34235597"/>
    <w:rsid w:val="34632250"/>
    <w:rsid w:val="34753F7E"/>
    <w:rsid w:val="34A97988"/>
    <w:rsid w:val="34E2275F"/>
    <w:rsid w:val="34E645EB"/>
    <w:rsid w:val="34F15BCD"/>
    <w:rsid w:val="34F51C8B"/>
    <w:rsid w:val="34FD1C7E"/>
    <w:rsid w:val="350D1D4E"/>
    <w:rsid w:val="352259EE"/>
    <w:rsid w:val="353B08D6"/>
    <w:rsid w:val="353F06C4"/>
    <w:rsid w:val="354172A9"/>
    <w:rsid w:val="35482318"/>
    <w:rsid w:val="356C0C5D"/>
    <w:rsid w:val="357779AA"/>
    <w:rsid w:val="357E7FE7"/>
    <w:rsid w:val="358C4E25"/>
    <w:rsid w:val="35952708"/>
    <w:rsid w:val="35AB1E03"/>
    <w:rsid w:val="35BC2938"/>
    <w:rsid w:val="35F5121D"/>
    <w:rsid w:val="35FA1366"/>
    <w:rsid w:val="35FF472B"/>
    <w:rsid w:val="360D23FE"/>
    <w:rsid w:val="36105698"/>
    <w:rsid w:val="36113044"/>
    <w:rsid w:val="361515AF"/>
    <w:rsid w:val="361618DA"/>
    <w:rsid w:val="361B4D83"/>
    <w:rsid w:val="362B7BE4"/>
    <w:rsid w:val="363377EA"/>
    <w:rsid w:val="367C0076"/>
    <w:rsid w:val="368E4F3A"/>
    <w:rsid w:val="36AA4C91"/>
    <w:rsid w:val="36B00545"/>
    <w:rsid w:val="36BB7C5E"/>
    <w:rsid w:val="36C51C5F"/>
    <w:rsid w:val="36CF279A"/>
    <w:rsid w:val="36DD42E6"/>
    <w:rsid w:val="36EF52AD"/>
    <w:rsid w:val="37161AB6"/>
    <w:rsid w:val="37172028"/>
    <w:rsid w:val="37174B90"/>
    <w:rsid w:val="37275D88"/>
    <w:rsid w:val="374D3DCD"/>
    <w:rsid w:val="375D5FA6"/>
    <w:rsid w:val="378118EA"/>
    <w:rsid w:val="37817D86"/>
    <w:rsid w:val="37996423"/>
    <w:rsid w:val="37A02B15"/>
    <w:rsid w:val="37A662B4"/>
    <w:rsid w:val="37AB3120"/>
    <w:rsid w:val="37CB0036"/>
    <w:rsid w:val="37FA6822"/>
    <w:rsid w:val="381532D1"/>
    <w:rsid w:val="381C6172"/>
    <w:rsid w:val="381D6436"/>
    <w:rsid w:val="382628F2"/>
    <w:rsid w:val="382B0F00"/>
    <w:rsid w:val="383C4EAE"/>
    <w:rsid w:val="38415A34"/>
    <w:rsid w:val="384358B1"/>
    <w:rsid w:val="384C0B1E"/>
    <w:rsid w:val="384D07CF"/>
    <w:rsid w:val="385334AA"/>
    <w:rsid w:val="385F4328"/>
    <w:rsid w:val="386A1350"/>
    <w:rsid w:val="38754D19"/>
    <w:rsid w:val="387A57B2"/>
    <w:rsid w:val="387D0D44"/>
    <w:rsid w:val="38AB5592"/>
    <w:rsid w:val="38CC77A0"/>
    <w:rsid w:val="39475D07"/>
    <w:rsid w:val="39593F0D"/>
    <w:rsid w:val="395A5325"/>
    <w:rsid w:val="3976659A"/>
    <w:rsid w:val="398D4134"/>
    <w:rsid w:val="3990384D"/>
    <w:rsid w:val="39944B91"/>
    <w:rsid w:val="39AB7A8F"/>
    <w:rsid w:val="39B5302E"/>
    <w:rsid w:val="39C66DF2"/>
    <w:rsid w:val="39E74AFE"/>
    <w:rsid w:val="3A096920"/>
    <w:rsid w:val="3A1A39E2"/>
    <w:rsid w:val="3A240D62"/>
    <w:rsid w:val="3A454AEE"/>
    <w:rsid w:val="3A5C534F"/>
    <w:rsid w:val="3A6164A0"/>
    <w:rsid w:val="3A6F463D"/>
    <w:rsid w:val="3A712118"/>
    <w:rsid w:val="3A7E6928"/>
    <w:rsid w:val="3A96260F"/>
    <w:rsid w:val="3AC511A1"/>
    <w:rsid w:val="3ACC042A"/>
    <w:rsid w:val="3AD43138"/>
    <w:rsid w:val="3AD43689"/>
    <w:rsid w:val="3AED5FA8"/>
    <w:rsid w:val="3AF11EF8"/>
    <w:rsid w:val="3B1123CC"/>
    <w:rsid w:val="3B201ED9"/>
    <w:rsid w:val="3B242B7F"/>
    <w:rsid w:val="3B4249B9"/>
    <w:rsid w:val="3BBB4FDD"/>
    <w:rsid w:val="3BBB7E54"/>
    <w:rsid w:val="3BF27D19"/>
    <w:rsid w:val="3C153A08"/>
    <w:rsid w:val="3C251135"/>
    <w:rsid w:val="3C592773"/>
    <w:rsid w:val="3C5F6B62"/>
    <w:rsid w:val="3C75673F"/>
    <w:rsid w:val="3C7A7C8B"/>
    <w:rsid w:val="3CA54D50"/>
    <w:rsid w:val="3CC467E5"/>
    <w:rsid w:val="3CC601CB"/>
    <w:rsid w:val="3CCB5D50"/>
    <w:rsid w:val="3CD10B7B"/>
    <w:rsid w:val="3CE26EC2"/>
    <w:rsid w:val="3CF81B37"/>
    <w:rsid w:val="3D031AB2"/>
    <w:rsid w:val="3D193A7A"/>
    <w:rsid w:val="3D1B0EB9"/>
    <w:rsid w:val="3D3876E8"/>
    <w:rsid w:val="3D3E1DDD"/>
    <w:rsid w:val="3D420A04"/>
    <w:rsid w:val="3D502FFC"/>
    <w:rsid w:val="3D5268AA"/>
    <w:rsid w:val="3D577CBC"/>
    <w:rsid w:val="3D6649FF"/>
    <w:rsid w:val="3D6A6F06"/>
    <w:rsid w:val="3DB80AEF"/>
    <w:rsid w:val="3DBC449B"/>
    <w:rsid w:val="3DBE5A3F"/>
    <w:rsid w:val="3DBF1E7D"/>
    <w:rsid w:val="3DDA5794"/>
    <w:rsid w:val="3DF81922"/>
    <w:rsid w:val="3E174EC3"/>
    <w:rsid w:val="3E421531"/>
    <w:rsid w:val="3E625F01"/>
    <w:rsid w:val="3E6B3DB3"/>
    <w:rsid w:val="3E8054C5"/>
    <w:rsid w:val="3E946E66"/>
    <w:rsid w:val="3EC3774B"/>
    <w:rsid w:val="3EC60FE9"/>
    <w:rsid w:val="3ECC48C2"/>
    <w:rsid w:val="3EF4422E"/>
    <w:rsid w:val="3F070815"/>
    <w:rsid w:val="3F0C1A64"/>
    <w:rsid w:val="3F16625D"/>
    <w:rsid w:val="3F2542DB"/>
    <w:rsid w:val="3F312907"/>
    <w:rsid w:val="3F3E5A91"/>
    <w:rsid w:val="3F6B601D"/>
    <w:rsid w:val="3F6F04EB"/>
    <w:rsid w:val="3F7444AA"/>
    <w:rsid w:val="3F7A64EB"/>
    <w:rsid w:val="3F8F17B0"/>
    <w:rsid w:val="3FAE3489"/>
    <w:rsid w:val="3FB452E6"/>
    <w:rsid w:val="3FD14D83"/>
    <w:rsid w:val="3FE0423D"/>
    <w:rsid w:val="3FE34482"/>
    <w:rsid w:val="3FE95549"/>
    <w:rsid w:val="400670CB"/>
    <w:rsid w:val="402700DD"/>
    <w:rsid w:val="40491ED2"/>
    <w:rsid w:val="40547F05"/>
    <w:rsid w:val="405C467E"/>
    <w:rsid w:val="406E5DB0"/>
    <w:rsid w:val="40903C4C"/>
    <w:rsid w:val="40936E75"/>
    <w:rsid w:val="409E73A7"/>
    <w:rsid w:val="40BA61E5"/>
    <w:rsid w:val="40CA30C4"/>
    <w:rsid w:val="40CD3961"/>
    <w:rsid w:val="40D808BE"/>
    <w:rsid w:val="40D91D7B"/>
    <w:rsid w:val="40F12DA5"/>
    <w:rsid w:val="410C5ECA"/>
    <w:rsid w:val="412E4C40"/>
    <w:rsid w:val="4136731B"/>
    <w:rsid w:val="41616BD4"/>
    <w:rsid w:val="4162149D"/>
    <w:rsid w:val="41664660"/>
    <w:rsid w:val="4175243E"/>
    <w:rsid w:val="41872CB2"/>
    <w:rsid w:val="41AC0B23"/>
    <w:rsid w:val="41B16B29"/>
    <w:rsid w:val="41B22101"/>
    <w:rsid w:val="41F50F36"/>
    <w:rsid w:val="42091FB6"/>
    <w:rsid w:val="42116A20"/>
    <w:rsid w:val="42281967"/>
    <w:rsid w:val="42415557"/>
    <w:rsid w:val="42456961"/>
    <w:rsid w:val="42461AD9"/>
    <w:rsid w:val="425E589B"/>
    <w:rsid w:val="42772D26"/>
    <w:rsid w:val="4277583B"/>
    <w:rsid w:val="429A2FD3"/>
    <w:rsid w:val="429F5722"/>
    <w:rsid w:val="42B86F5D"/>
    <w:rsid w:val="42BD6F18"/>
    <w:rsid w:val="42CB7090"/>
    <w:rsid w:val="42E57F38"/>
    <w:rsid w:val="42F12B1B"/>
    <w:rsid w:val="43505326"/>
    <w:rsid w:val="43611ED9"/>
    <w:rsid w:val="43865B08"/>
    <w:rsid w:val="43A25373"/>
    <w:rsid w:val="43AF4742"/>
    <w:rsid w:val="43C72D21"/>
    <w:rsid w:val="44361F41"/>
    <w:rsid w:val="44493ACA"/>
    <w:rsid w:val="444C0567"/>
    <w:rsid w:val="4476700E"/>
    <w:rsid w:val="44801D0D"/>
    <w:rsid w:val="44AC31FF"/>
    <w:rsid w:val="44B47B0A"/>
    <w:rsid w:val="44CA41A5"/>
    <w:rsid w:val="44D97CC8"/>
    <w:rsid w:val="44E056A3"/>
    <w:rsid w:val="4506587D"/>
    <w:rsid w:val="450F4A95"/>
    <w:rsid w:val="4517434D"/>
    <w:rsid w:val="451B0EA1"/>
    <w:rsid w:val="451B1BAD"/>
    <w:rsid w:val="453E0023"/>
    <w:rsid w:val="4559015B"/>
    <w:rsid w:val="456D3E09"/>
    <w:rsid w:val="458635A7"/>
    <w:rsid w:val="45874347"/>
    <w:rsid w:val="45921C25"/>
    <w:rsid w:val="45950911"/>
    <w:rsid w:val="45A42F6E"/>
    <w:rsid w:val="46205483"/>
    <w:rsid w:val="46332E6A"/>
    <w:rsid w:val="46511F23"/>
    <w:rsid w:val="46533091"/>
    <w:rsid w:val="4670055E"/>
    <w:rsid w:val="46775A91"/>
    <w:rsid w:val="467E52F8"/>
    <w:rsid w:val="4698326B"/>
    <w:rsid w:val="46AC6D17"/>
    <w:rsid w:val="46B53E1D"/>
    <w:rsid w:val="4706199C"/>
    <w:rsid w:val="470A0A25"/>
    <w:rsid w:val="471050E8"/>
    <w:rsid w:val="472E1EAA"/>
    <w:rsid w:val="47307948"/>
    <w:rsid w:val="473716BC"/>
    <w:rsid w:val="47536EB2"/>
    <w:rsid w:val="47574C62"/>
    <w:rsid w:val="475F0927"/>
    <w:rsid w:val="476365DE"/>
    <w:rsid w:val="47662D9E"/>
    <w:rsid w:val="47AE2EFB"/>
    <w:rsid w:val="47B93AA0"/>
    <w:rsid w:val="47BE6D02"/>
    <w:rsid w:val="47CB19CA"/>
    <w:rsid w:val="47D96D2D"/>
    <w:rsid w:val="47F96523"/>
    <w:rsid w:val="480E17B4"/>
    <w:rsid w:val="482573B4"/>
    <w:rsid w:val="483759B6"/>
    <w:rsid w:val="484B6B98"/>
    <w:rsid w:val="48624793"/>
    <w:rsid w:val="486828B7"/>
    <w:rsid w:val="4897682B"/>
    <w:rsid w:val="48AE237C"/>
    <w:rsid w:val="48C47089"/>
    <w:rsid w:val="48C554C9"/>
    <w:rsid w:val="48DB38F5"/>
    <w:rsid w:val="48DF5182"/>
    <w:rsid w:val="490C04DE"/>
    <w:rsid w:val="4918196D"/>
    <w:rsid w:val="493019BF"/>
    <w:rsid w:val="49417BEA"/>
    <w:rsid w:val="4953551A"/>
    <w:rsid w:val="495A5459"/>
    <w:rsid w:val="49701AE3"/>
    <w:rsid w:val="49715AC0"/>
    <w:rsid w:val="497C1D54"/>
    <w:rsid w:val="498A0EAA"/>
    <w:rsid w:val="49A27CCC"/>
    <w:rsid w:val="49BB739A"/>
    <w:rsid w:val="49CB1BAA"/>
    <w:rsid w:val="49D266B9"/>
    <w:rsid w:val="49D40682"/>
    <w:rsid w:val="49E31C02"/>
    <w:rsid w:val="49E8337F"/>
    <w:rsid w:val="49EC5CCB"/>
    <w:rsid w:val="49F569FB"/>
    <w:rsid w:val="4A174DEF"/>
    <w:rsid w:val="4A3B1463"/>
    <w:rsid w:val="4A404346"/>
    <w:rsid w:val="4A5E6EB3"/>
    <w:rsid w:val="4A6931F1"/>
    <w:rsid w:val="4A78588E"/>
    <w:rsid w:val="4A8F0528"/>
    <w:rsid w:val="4A923BAA"/>
    <w:rsid w:val="4A9B3185"/>
    <w:rsid w:val="4AA30431"/>
    <w:rsid w:val="4AAA4495"/>
    <w:rsid w:val="4AE262F1"/>
    <w:rsid w:val="4AFF3FA4"/>
    <w:rsid w:val="4B0237E2"/>
    <w:rsid w:val="4B1E4AC4"/>
    <w:rsid w:val="4B1F2500"/>
    <w:rsid w:val="4B225CD9"/>
    <w:rsid w:val="4B9D30D2"/>
    <w:rsid w:val="4BB019F5"/>
    <w:rsid w:val="4BBD5522"/>
    <w:rsid w:val="4BC74D44"/>
    <w:rsid w:val="4BE203D9"/>
    <w:rsid w:val="4BF47877"/>
    <w:rsid w:val="4BF74FA1"/>
    <w:rsid w:val="4C0C0983"/>
    <w:rsid w:val="4C6A38FC"/>
    <w:rsid w:val="4C76404F"/>
    <w:rsid w:val="4C7C26A9"/>
    <w:rsid w:val="4C833733"/>
    <w:rsid w:val="4C8814D1"/>
    <w:rsid w:val="4C9509F5"/>
    <w:rsid w:val="4CE013F4"/>
    <w:rsid w:val="4CF27858"/>
    <w:rsid w:val="4CFC1A9D"/>
    <w:rsid w:val="4D160F70"/>
    <w:rsid w:val="4D177792"/>
    <w:rsid w:val="4D1D34E8"/>
    <w:rsid w:val="4D41311B"/>
    <w:rsid w:val="4D5C5BEA"/>
    <w:rsid w:val="4D5D6998"/>
    <w:rsid w:val="4D7F702D"/>
    <w:rsid w:val="4D881488"/>
    <w:rsid w:val="4DA665C5"/>
    <w:rsid w:val="4DA92205"/>
    <w:rsid w:val="4DC3327C"/>
    <w:rsid w:val="4DE6351B"/>
    <w:rsid w:val="4DE913C7"/>
    <w:rsid w:val="4DF01BDF"/>
    <w:rsid w:val="4DFB3D4C"/>
    <w:rsid w:val="4DFF1E22"/>
    <w:rsid w:val="4E1D0A71"/>
    <w:rsid w:val="4E696A27"/>
    <w:rsid w:val="4E7740AE"/>
    <w:rsid w:val="4E7F64CC"/>
    <w:rsid w:val="4E802F63"/>
    <w:rsid w:val="4EAA7868"/>
    <w:rsid w:val="4ED955AF"/>
    <w:rsid w:val="4EF474AD"/>
    <w:rsid w:val="4EF72911"/>
    <w:rsid w:val="4F18319B"/>
    <w:rsid w:val="4F2B11B8"/>
    <w:rsid w:val="4F4E3061"/>
    <w:rsid w:val="4F673E76"/>
    <w:rsid w:val="4F6B31AC"/>
    <w:rsid w:val="4F8D1DDB"/>
    <w:rsid w:val="4FA25ECB"/>
    <w:rsid w:val="4FDD5303"/>
    <w:rsid w:val="4FE74261"/>
    <w:rsid w:val="4FF82FCD"/>
    <w:rsid w:val="4FF97471"/>
    <w:rsid w:val="5012426B"/>
    <w:rsid w:val="502446A6"/>
    <w:rsid w:val="508B2B3D"/>
    <w:rsid w:val="508D5E0B"/>
    <w:rsid w:val="50952F67"/>
    <w:rsid w:val="50C01E74"/>
    <w:rsid w:val="50C17863"/>
    <w:rsid w:val="50DB4CB5"/>
    <w:rsid w:val="50E0418D"/>
    <w:rsid w:val="50EB1E21"/>
    <w:rsid w:val="50EC788D"/>
    <w:rsid w:val="510E28ED"/>
    <w:rsid w:val="51124957"/>
    <w:rsid w:val="511D4C2B"/>
    <w:rsid w:val="51287594"/>
    <w:rsid w:val="512B1415"/>
    <w:rsid w:val="512E5737"/>
    <w:rsid w:val="51542A08"/>
    <w:rsid w:val="5164007B"/>
    <w:rsid w:val="51707292"/>
    <w:rsid w:val="51730B5D"/>
    <w:rsid w:val="51875EE4"/>
    <w:rsid w:val="51910D87"/>
    <w:rsid w:val="519B00B4"/>
    <w:rsid w:val="51A12521"/>
    <w:rsid w:val="51A63DC1"/>
    <w:rsid w:val="51B82603"/>
    <w:rsid w:val="51B85D8F"/>
    <w:rsid w:val="52063F26"/>
    <w:rsid w:val="52072E18"/>
    <w:rsid w:val="521C733B"/>
    <w:rsid w:val="52214A5D"/>
    <w:rsid w:val="52216A68"/>
    <w:rsid w:val="52226E61"/>
    <w:rsid w:val="52232583"/>
    <w:rsid w:val="524339BD"/>
    <w:rsid w:val="525E5BEE"/>
    <w:rsid w:val="527A416D"/>
    <w:rsid w:val="527E6986"/>
    <w:rsid w:val="528409C9"/>
    <w:rsid w:val="528A0145"/>
    <w:rsid w:val="529053E3"/>
    <w:rsid w:val="529D6135"/>
    <w:rsid w:val="52A23107"/>
    <w:rsid w:val="52B23125"/>
    <w:rsid w:val="52D70DA4"/>
    <w:rsid w:val="52D916B6"/>
    <w:rsid w:val="52FF3756"/>
    <w:rsid w:val="53316F22"/>
    <w:rsid w:val="53372B46"/>
    <w:rsid w:val="5348103D"/>
    <w:rsid w:val="535248BD"/>
    <w:rsid w:val="53A82D87"/>
    <w:rsid w:val="53DF3567"/>
    <w:rsid w:val="53FD1C59"/>
    <w:rsid w:val="540D5111"/>
    <w:rsid w:val="54132B5C"/>
    <w:rsid w:val="5417524C"/>
    <w:rsid w:val="5417743E"/>
    <w:rsid w:val="542579E2"/>
    <w:rsid w:val="54275582"/>
    <w:rsid w:val="54352307"/>
    <w:rsid w:val="543B6B00"/>
    <w:rsid w:val="543D1071"/>
    <w:rsid w:val="548412D3"/>
    <w:rsid w:val="549436E6"/>
    <w:rsid w:val="54A11E85"/>
    <w:rsid w:val="54B90F7D"/>
    <w:rsid w:val="54C526F8"/>
    <w:rsid w:val="54CA676B"/>
    <w:rsid w:val="54D124B5"/>
    <w:rsid w:val="54FC7658"/>
    <w:rsid w:val="55087255"/>
    <w:rsid w:val="55175745"/>
    <w:rsid w:val="5535736D"/>
    <w:rsid w:val="553A028A"/>
    <w:rsid w:val="556E764D"/>
    <w:rsid w:val="557913D0"/>
    <w:rsid w:val="558868BF"/>
    <w:rsid w:val="55A21A11"/>
    <w:rsid w:val="55BB246A"/>
    <w:rsid w:val="55CF657E"/>
    <w:rsid w:val="56243888"/>
    <w:rsid w:val="564B32F4"/>
    <w:rsid w:val="56517F37"/>
    <w:rsid w:val="566C201F"/>
    <w:rsid w:val="567333AD"/>
    <w:rsid w:val="56757125"/>
    <w:rsid w:val="56903053"/>
    <w:rsid w:val="56995020"/>
    <w:rsid w:val="56996534"/>
    <w:rsid w:val="56B95056"/>
    <w:rsid w:val="56BC545A"/>
    <w:rsid w:val="56D25F88"/>
    <w:rsid w:val="57532BEE"/>
    <w:rsid w:val="575A7EE6"/>
    <w:rsid w:val="577E602D"/>
    <w:rsid w:val="57831D16"/>
    <w:rsid w:val="57881AB5"/>
    <w:rsid w:val="57A25887"/>
    <w:rsid w:val="57A37CC2"/>
    <w:rsid w:val="57E21A3E"/>
    <w:rsid w:val="57EB169B"/>
    <w:rsid w:val="57FD4A4A"/>
    <w:rsid w:val="580321AD"/>
    <w:rsid w:val="580A370A"/>
    <w:rsid w:val="582726A1"/>
    <w:rsid w:val="582B36AC"/>
    <w:rsid w:val="582D7422"/>
    <w:rsid w:val="58356871"/>
    <w:rsid w:val="585C7F9A"/>
    <w:rsid w:val="586D47B8"/>
    <w:rsid w:val="58743CBA"/>
    <w:rsid w:val="5886561A"/>
    <w:rsid w:val="588C69A8"/>
    <w:rsid w:val="588E2720"/>
    <w:rsid w:val="58AD477B"/>
    <w:rsid w:val="58C34194"/>
    <w:rsid w:val="58C674AE"/>
    <w:rsid w:val="58CF092A"/>
    <w:rsid w:val="58F3649C"/>
    <w:rsid w:val="58FC58DC"/>
    <w:rsid w:val="58FD1741"/>
    <w:rsid w:val="59232E69"/>
    <w:rsid w:val="5954100D"/>
    <w:rsid w:val="599155BE"/>
    <w:rsid w:val="59973E3F"/>
    <w:rsid w:val="59CE23FF"/>
    <w:rsid w:val="59DD3F60"/>
    <w:rsid w:val="5A054C64"/>
    <w:rsid w:val="5A160BEA"/>
    <w:rsid w:val="5A1A1946"/>
    <w:rsid w:val="5A250E62"/>
    <w:rsid w:val="5A354818"/>
    <w:rsid w:val="5A3F29E6"/>
    <w:rsid w:val="5A410416"/>
    <w:rsid w:val="5A565C87"/>
    <w:rsid w:val="5A7A11AE"/>
    <w:rsid w:val="5A7A6A80"/>
    <w:rsid w:val="5A820F19"/>
    <w:rsid w:val="5A847DF0"/>
    <w:rsid w:val="5A8F5128"/>
    <w:rsid w:val="5A92474A"/>
    <w:rsid w:val="5A9402B8"/>
    <w:rsid w:val="5A951835"/>
    <w:rsid w:val="5AA1673B"/>
    <w:rsid w:val="5AA95508"/>
    <w:rsid w:val="5AAA4997"/>
    <w:rsid w:val="5ABC0AA6"/>
    <w:rsid w:val="5AF34F41"/>
    <w:rsid w:val="5B1F28C5"/>
    <w:rsid w:val="5B215ACE"/>
    <w:rsid w:val="5B24707B"/>
    <w:rsid w:val="5B2A1279"/>
    <w:rsid w:val="5B493FCC"/>
    <w:rsid w:val="5B4A02E3"/>
    <w:rsid w:val="5B841779"/>
    <w:rsid w:val="5B8E3C6F"/>
    <w:rsid w:val="5B9242D5"/>
    <w:rsid w:val="5B961680"/>
    <w:rsid w:val="5BAE2921"/>
    <w:rsid w:val="5BD348A5"/>
    <w:rsid w:val="5BD60666"/>
    <w:rsid w:val="5BDD49CC"/>
    <w:rsid w:val="5BF24007"/>
    <w:rsid w:val="5C065DDC"/>
    <w:rsid w:val="5C085895"/>
    <w:rsid w:val="5C0F610F"/>
    <w:rsid w:val="5C2B0FDF"/>
    <w:rsid w:val="5C312A7E"/>
    <w:rsid w:val="5C462465"/>
    <w:rsid w:val="5C6E4B2D"/>
    <w:rsid w:val="5C781F43"/>
    <w:rsid w:val="5C8171D7"/>
    <w:rsid w:val="5C865455"/>
    <w:rsid w:val="5C893F80"/>
    <w:rsid w:val="5CAF2C65"/>
    <w:rsid w:val="5CF56E9E"/>
    <w:rsid w:val="5D096819"/>
    <w:rsid w:val="5D184CAE"/>
    <w:rsid w:val="5D296EBB"/>
    <w:rsid w:val="5D380EAD"/>
    <w:rsid w:val="5D3A0A28"/>
    <w:rsid w:val="5D6B3FAD"/>
    <w:rsid w:val="5D6F2B20"/>
    <w:rsid w:val="5D8501B7"/>
    <w:rsid w:val="5DB524FD"/>
    <w:rsid w:val="5DCA1629"/>
    <w:rsid w:val="5DD075DE"/>
    <w:rsid w:val="5DD14D10"/>
    <w:rsid w:val="5DDF41B7"/>
    <w:rsid w:val="5E0966EA"/>
    <w:rsid w:val="5E153B5E"/>
    <w:rsid w:val="5E23390B"/>
    <w:rsid w:val="5E262220"/>
    <w:rsid w:val="5E32757F"/>
    <w:rsid w:val="5E4C277E"/>
    <w:rsid w:val="5E5143CF"/>
    <w:rsid w:val="5E7B54F5"/>
    <w:rsid w:val="5E9443A0"/>
    <w:rsid w:val="5EBB78E8"/>
    <w:rsid w:val="5ECB046E"/>
    <w:rsid w:val="5ED27BFF"/>
    <w:rsid w:val="5EDD7F5D"/>
    <w:rsid w:val="5EDE0417"/>
    <w:rsid w:val="5EE300FC"/>
    <w:rsid w:val="5EE412EC"/>
    <w:rsid w:val="5EF62940"/>
    <w:rsid w:val="5F1804D2"/>
    <w:rsid w:val="5F245B8C"/>
    <w:rsid w:val="5F397ECE"/>
    <w:rsid w:val="5F3C4C84"/>
    <w:rsid w:val="5F45763D"/>
    <w:rsid w:val="5F5C11EF"/>
    <w:rsid w:val="5F67708B"/>
    <w:rsid w:val="5F774782"/>
    <w:rsid w:val="5F8613C2"/>
    <w:rsid w:val="5F9048F7"/>
    <w:rsid w:val="5FA91D42"/>
    <w:rsid w:val="5FF81F86"/>
    <w:rsid w:val="60065292"/>
    <w:rsid w:val="600E3729"/>
    <w:rsid w:val="60164322"/>
    <w:rsid w:val="602A0E6D"/>
    <w:rsid w:val="602B16DA"/>
    <w:rsid w:val="6062696C"/>
    <w:rsid w:val="6084462E"/>
    <w:rsid w:val="60904069"/>
    <w:rsid w:val="60A70161"/>
    <w:rsid w:val="60B74989"/>
    <w:rsid w:val="60B77EAA"/>
    <w:rsid w:val="60DD5F31"/>
    <w:rsid w:val="60F7367D"/>
    <w:rsid w:val="61070139"/>
    <w:rsid w:val="61075D41"/>
    <w:rsid w:val="610E4379"/>
    <w:rsid w:val="611C2FBF"/>
    <w:rsid w:val="61237AA5"/>
    <w:rsid w:val="612E7379"/>
    <w:rsid w:val="61406361"/>
    <w:rsid w:val="61662A70"/>
    <w:rsid w:val="61741D64"/>
    <w:rsid w:val="61741F13"/>
    <w:rsid w:val="618B1EF3"/>
    <w:rsid w:val="61B2168A"/>
    <w:rsid w:val="61C13B66"/>
    <w:rsid w:val="61E138C1"/>
    <w:rsid w:val="61E60EF6"/>
    <w:rsid w:val="61EE6A76"/>
    <w:rsid w:val="61F21FBB"/>
    <w:rsid w:val="61FC2584"/>
    <w:rsid w:val="62084F4C"/>
    <w:rsid w:val="62285EAA"/>
    <w:rsid w:val="622E192C"/>
    <w:rsid w:val="62326099"/>
    <w:rsid w:val="62597FB3"/>
    <w:rsid w:val="62665ABF"/>
    <w:rsid w:val="626F1F56"/>
    <w:rsid w:val="627741E3"/>
    <w:rsid w:val="62961CE2"/>
    <w:rsid w:val="62971044"/>
    <w:rsid w:val="62A63A93"/>
    <w:rsid w:val="62A759D9"/>
    <w:rsid w:val="62E4258D"/>
    <w:rsid w:val="630C68B4"/>
    <w:rsid w:val="6323075D"/>
    <w:rsid w:val="63462420"/>
    <w:rsid w:val="636C2555"/>
    <w:rsid w:val="637C30F1"/>
    <w:rsid w:val="637D69CE"/>
    <w:rsid w:val="638E15EE"/>
    <w:rsid w:val="639130C5"/>
    <w:rsid w:val="63A252D2"/>
    <w:rsid w:val="63A97BC5"/>
    <w:rsid w:val="63B71183"/>
    <w:rsid w:val="63BB046D"/>
    <w:rsid w:val="63BF124D"/>
    <w:rsid w:val="63C67212"/>
    <w:rsid w:val="63E4765C"/>
    <w:rsid w:val="63EA73A4"/>
    <w:rsid w:val="63F37308"/>
    <w:rsid w:val="64001603"/>
    <w:rsid w:val="6401649C"/>
    <w:rsid w:val="6414730D"/>
    <w:rsid w:val="64187FA9"/>
    <w:rsid w:val="642D7981"/>
    <w:rsid w:val="645F4D79"/>
    <w:rsid w:val="647F4AB3"/>
    <w:rsid w:val="64A84E85"/>
    <w:rsid w:val="64C661A0"/>
    <w:rsid w:val="64D140C0"/>
    <w:rsid w:val="64DE67DD"/>
    <w:rsid w:val="64E41ED7"/>
    <w:rsid w:val="64E50B45"/>
    <w:rsid w:val="65222D91"/>
    <w:rsid w:val="652A1A23"/>
    <w:rsid w:val="65476131"/>
    <w:rsid w:val="654F3C76"/>
    <w:rsid w:val="655214B8"/>
    <w:rsid w:val="656016D2"/>
    <w:rsid w:val="6561663B"/>
    <w:rsid w:val="658D78E4"/>
    <w:rsid w:val="6598010F"/>
    <w:rsid w:val="65B437B9"/>
    <w:rsid w:val="65C81635"/>
    <w:rsid w:val="65CF1F5D"/>
    <w:rsid w:val="65D8147F"/>
    <w:rsid w:val="65E6134E"/>
    <w:rsid w:val="65FB2A63"/>
    <w:rsid w:val="65FC7D01"/>
    <w:rsid w:val="663B4702"/>
    <w:rsid w:val="665A2773"/>
    <w:rsid w:val="666101DB"/>
    <w:rsid w:val="669B4986"/>
    <w:rsid w:val="669C449A"/>
    <w:rsid w:val="66A84459"/>
    <w:rsid w:val="66BF5746"/>
    <w:rsid w:val="66C37A39"/>
    <w:rsid w:val="66D376F6"/>
    <w:rsid w:val="66DA17A5"/>
    <w:rsid w:val="66DA5CAB"/>
    <w:rsid w:val="67220C03"/>
    <w:rsid w:val="672D574D"/>
    <w:rsid w:val="67394E12"/>
    <w:rsid w:val="67613E8E"/>
    <w:rsid w:val="676978A6"/>
    <w:rsid w:val="676C36CF"/>
    <w:rsid w:val="67AA388A"/>
    <w:rsid w:val="67AB161D"/>
    <w:rsid w:val="67DE407D"/>
    <w:rsid w:val="67E53349"/>
    <w:rsid w:val="67F2492C"/>
    <w:rsid w:val="67F53A83"/>
    <w:rsid w:val="680040E3"/>
    <w:rsid w:val="68233958"/>
    <w:rsid w:val="683218A2"/>
    <w:rsid w:val="6837358A"/>
    <w:rsid w:val="687207B3"/>
    <w:rsid w:val="68AD09A1"/>
    <w:rsid w:val="68D85DC4"/>
    <w:rsid w:val="68DC3A58"/>
    <w:rsid w:val="68DE5D4B"/>
    <w:rsid w:val="68E311A8"/>
    <w:rsid w:val="68F24E7E"/>
    <w:rsid w:val="68F65778"/>
    <w:rsid w:val="691D0E8B"/>
    <w:rsid w:val="693115D2"/>
    <w:rsid w:val="693D1D24"/>
    <w:rsid w:val="69491553"/>
    <w:rsid w:val="697E3CB3"/>
    <w:rsid w:val="697F058F"/>
    <w:rsid w:val="69AD562E"/>
    <w:rsid w:val="69B74D2D"/>
    <w:rsid w:val="69CB37D4"/>
    <w:rsid w:val="69E96FD8"/>
    <w:rsid w:val="6A1567FD"/>
    <w:rsid w:val="6A176492"/>
    <w:rsid w:val="6A3F2257"/>
    <w:rsid w:val="6A434F94"/>
    <w:rsid w:val="6A4C0455"/>
    <w:rsid w:val="6A537326"/>
    <w:rsid w:val="6A5406CE"/>
    <w:rsid w:val="6A6E23B2"/>
    <w:rsid w:val="6A6F750E"/>
    <w:rsid w:val="6A837C0B"/>
    <w:rsid w:val="6AA02011"/>
    <w:rsid w:val="6AA455B4"/>
    <w:rsid w:val="6ABB19EC"/>
    <w:rsid w:val="6AC50223"/>
    <w:rsid w:val="6ACB0F57"/>
    <w:rsid w:val="6AE207C5"/>
    <w:rsid w:val="6B045E53"/>
    <w:rsid w:val="6B144B1B"/>
    <w:rsid w:val="6B2B3D96"/>
    <w:rsid w:val="6B2D7739"/>
    <w:rsid w:val="6B7B2FD8"/>
    <w:rsid w:val="6B7C46CC"/>
    <w:rsid w:val="6B826114"/>
    <w:rsid w:val="6B9C7E4E"/>
    <w:rsid w:val="6BBD3F4C"/>
    <w:rsid w:val="6BBD6FDB"/>
    <w:rsid w:val="6BD72F65"/>
    <w:rsid w:val="6BEF58C9"/>
    <w:rsid w:val="6C043B4B"/>
    <w:rsid w:val="6C08200D"/>
    <w:rsid w:val="6C1E253F"/>
    <w:rsid w:val="6C2E0AE8"/>
    <w:rsid w:val="6C347027"/>
    <w:rsid w:val="6C3B18FB"/>
    <w:rsid w:val="6C3B60CC"/>
    <w:rsid w:val="6C6E14B3"/>
    <w:rsid w:val="6C8B6E80"/>
    <w:rsid w:val="6C951280"/>
    <w:rsid w:val="6CA200F0"/>
    <w:rsid w:val="6CDE3FB8"/>
    <w:rsid w:val="6CFC3FBE"/>
    <w:rsid w:val="6D14194F"/>
    <w:rsid w:val="6D1A24AB"/>
    <w:rsid w:val="6D3231D7"/>
    <w:rsid w:val="6D554A12"/>
    <w:rsid w:val="6D9739CD"/>
    <w:rsid w:val="6DBB590E"/>
    <w:rsid w:val="6E0C2943"/>
    <w:rsid w:val="6E0F394F"/>
    <w:rsid w:val="6E120B56"/>
    <w:rsid w:val="6E2419C1"/>
    <w:rsid w:val="6E2B2A93"/>
    <w:rsid w:val="6E3D39E7"/>
    <w:rsid w:val="6E3F209B"/>
    <w:rsid w:val="6E60181E"/>
    <w:rsid w:val="6E647D53"/>
    <w:rsid w:val="6E7D0E15"/>
    <w:rsid w:val="6E850B46"/>
    <w:rsid w:val="6EC83387"/>
    <w:rsid w:val="6ED60767"/>
    <w:rsid w:val="6F0A1473"/>
    <w:rsid w:val="6F1B2B08"/>
    <w:rsid w:val="6F1C062E"/>
    <w:rsid w:val="6F1D19CF"/>
    <w:rsid w:val="6F2E04AE"/>
    <w:rsid w:val="6F332177"/>
    <w:rsid w:val="6F455360"/>
    <w:rsid w:val="6F4E7789"/>
    <w:rsid w:val="6F571666"/>
    <w:rsid w:val="6F5F0599"/>
    <w:rsid w:val="6F653F7C"/>
    <w:rsid w:val="6F687E8A"/>
    <w:rsid w:val="6F7A584D"/>
    <w:rsid w:val="6F8054FF"/>
    <w:rsid w:val="6F8167BE"/>
    <w:rsid w:val="6FC9321C"/>
    <w:rsid w:val="704A521A"/>
    <w:rsid w:val="707F3C4A"/>
    <w:rsid w:val="70AC7790"/>
    <w:rsid w:val="70D27E4F"/>
    <w:rsid w:val="70F80C27"/>
    <w:rsid w:val="70FB4716"/>
    <w:rsid w:val="70FF3D63"/>
    <w:rsid w:val="7105313D"/>
    <w:rsid w:val="71206B36"/>
    <w:rsid w:val="715E7D0E"/>
    <w:rsid w:val="716D2B52"/>
    <w:rsid w:val="71A46B7B"/>
    <w:rsid w:val="71AB5C99"/>
    <w:rsid w:val="71B01156"/>
    <w:rsid w:val="71D13F9E"/>
    <w:rsid w:val="71F56B07"/>
    <w:rsid w:val="720831F9"/>
    <w:rsid w:val="720A4EC1"/>
    <w:rsid w:val="72127AC6"/>
    <w:rsid w:val="721E5CEF"/>
    <w:rsid w:val="72256B49"/>
    <w:rsid w:val="7234022E"/>
    <w:rsid w:val="724F554C"/>
    <w:rsid w:val="72550690"/>
    <w:rsid w:val="72865A3B"/>
    <w:rsid w:val="729E627B"/>
    <w:rsid w:val="72A23083"/>
    <w:rsid w:val="72B50B7E"/>
    <w:rsid w:val="72E44471"/>
    <w:rsid w:val="72E46F4A"/>
    <w:rsid w:val="72EF2D52"/>
    <w:rsid w:val="72FE79B6"/>
    <w:rsid w:val="730576A2"/>
    <w:rsid w:val="730C3DB3"/>
    <w:rsid w:val="73405A79"/>
    <w:rsid w:val="73577565"/>
    <w:rsid w:val="736C5378"/>
    <w:rsid w:val="736E27F7"/>
    <w:rsid w:val="73901C9F"/>
    <w:rsid w:val="73A86D6B"/>
    <w:rsid w:val="73B4795D"/>
    <w:rsid w:val="73C82B32"/>
    <w:rsid w:val="7402080F"/>
    <w:rsid w:val="740D6A21"/>
    <w:rsid w:val="742501C4"/>
    <w:rsid w:val="743D707D"/>
    <w:rsid w:val="745A0E84"/>
    <w:rsid w:val="74617786"/>
    <w:rsid w:val="74700682"/>
    <w:rsid w:val="74874F46"/>
    <w:rsid w:val="749769DC"/>
    <w:rsid w:val="74C97B73"/>
    <w:rsid w:val="74CB1119"/>
    <w:rsid w:val="74CD786D"/>
    <w:rsid w:val="74F63707"/>
    <w:rsid w:val="750372A9"/>
    <w:rsid w:val="75183646"/>
    <w:rsid w:val="75222214"/>
    <w:rsid w:val="75263B59"/>
    <w:rsid w:val="752F6C39"/>
    <w:rsid w:val="7535244A"/>
    <w:rsid w:val="7542130E"/>
    <w:rsid w:val="754F5D43"/>
    <w:rsid w:val="756A27F6"/>
    <w:rsid w:val="75A0305A"/>
    <w:rsid w:val="75A373B3"/>
    <w:rsid w:val="75A82AEB"/>
    <w:rsid w:val="75C54260"/>
    <w:rsid w:val="75C615E1"/>
    <w:rsid w:val="75E136B8"/>
    <w:rsid w:val="75E40130"/>
    <w:rsid w:val="75F06371"/>
    <w:rsid w:val="761010FD"/>
    <w:rsid w:val="76273D57"/>
    <w:rsid w:val="762D0467"/>
    <w:rsid w:val="76425173"/>
    <w:rsid w:val="76733624"/>
    <w:rsid w:val="769048E9"/>
    <w:rsid w:val="76A01B45"/>
    <w:rsid w:val="76A03A75"/>
    <w:rsid w:val="76CB0376"/>
    <w:rsid w:val="76F854DD"/>
    <w:rsid w:val="770304E8"/>
    <w:rsid w:val="77260F4B"/>
    <w:rsid w:val="772C0548"/>
    <w:rsid w:val="776A1163"/>
    <w:rsid w:val="776A48A8"/>
    <w:rsid w:val="77897442"/>
    <w:rsid w:val="778C19FD"/>
    <w:rsid w:val="77917BC1"/>
    <w:rsid w:val="77B12F63"/>
    <w:rsid w:val="77CF26E1"/>
    <w:rsid w:val="77E1083D"/>
    <w:rsid w:val="77E37F3B"/>
    <w:rsid w:val="780508CB"/>
    <w:rsid w:val="780621C6"/>
    <w:rsid w:val="780779A0"/>
    <w:rsid w:val="780F6673"/>
    <w:rsid w:val="78120D5F"/>
    <w:rsid w:val="78400885"/>
    <w:rsid w:val="78793100"/>
    <w:rsid w:val="787F5718"/>
    <w:rsid w:val="7898191A"/>
    <w:rsid w:val="78A076BA"/>
    <w:rsid w:val="78CD73A6"/>
    <w:rsid w:val="78D70118"/>
    <w:rsid w:val="78F21A0A"/>
    <w:rsid w:val="78F33E83"/>
    <w:rsid w:val="78F74036"/>
    <w:rsid w:val="79017D47"/>
    <w:rsid w:val="791A46B2"/>
    <w:rsid w:val="79370073"/>
    <w:rsid w:val="793A37EF"/>
    <w:rsid w:val="79404852"/>
    <w:rsid w:val="794C244E"/>
    <w:rsid w:val="79601108"/>
    <w:rsid w:val="79867202"/>
    <w:rsid w:val="79876FEC"/>
    <w:rsid w:val="798A707B"/>
    <w:rsid w:val="7990604A"/>
    <w:rsid w:val="7997039D"/>
    <w:rsid w:val="79A57038"/>
    <w:rsid w:val="79B3448F"/>
    <w:rsid w:val="79CF62B9"/>
    <w:rsid w:val="7A2D185A"/>
    <w:rsid w:val="7A384C2F"/>
    <w:rsid w:val="7A401675"/>
    <w:rsid w:val="7A401CEE"/>
    <w:rsid w:val="7A443C8C"/>
    <w:rsid w:val="7A607D75"/>
    <w:rsid w:val="7A8236DF"/>
    <w:rsid w:val="7A861051"/>
    <w:rsid w:val="7A8B4372"/>
    <w:rsid w:val="7A97417B"/>
    <w:rsid w:val="7AA15FD1"/>
    <w:rsid w:val="7ABA2EB3"/>
    <w:rsid w:val="7ABA2F92"/>
    <w:rsid w:val="7AE022A7"/>
    <w:rsid w:val="7AE571D9"/>
    <w:rsid w:val="7B1B6F19"/>
    <w:rsid w:val="7B221F32"/>
    <w:rsid w:val="7B224073"/>
    <w:rsid w:val="7B30793B"/>
    <w:rsid w:val="7B406DCD"/>
    <w:rsid w:val="7B527CAA"/>
    <w:rsid w:val="7B664AA9"/>
    <w:rsid w:val="7BA313BD"/>
    <w:rsid w:val="7BB045D8"/>
    <w:rsid w:val="7BBE504C"/>
    <w:rsid w:val="7BC64AB3"/>
    <w:rsid w:val="7BC91C1E"/>
    <w:rsid w:val="7BE36B75"/>
    <w:rsid w:val="7C0F4760"/>
    <w:rsid w:val="7C372194"/>
    <w:rsid w:val="7C3E3DE7"/>
    <w:rsid w:val="7C4823A2"/>
    <w:rsid w:val="7C4D1AD4"/>
    <w:rsid w:val="7C62206C"/>
    <w:rsid w:val="7C6D3290"/>
    <w:rsid w:val="7C925852"/>
    <w:rsid w:val="7CCE522E"/>
    <w:rsid w:val="7CD87032"/>
    <w:rsid w:val="7CE03D93"/>
    <w:rsid w:val="7CF078AC"/>
    <w:rsid w:val="7D1530BC"/>
    <w:rsid w:val="7D5124C4"/>
    <w:rsid w:val="7D545437"/>
    <w:rsid w:val="7D602E59"/>
    <w:rsid w:val="7D611596"/>
    <w:rsid w:val="7D804775"/>
    <w:rsid w:val="7D903CDB"/>
    <w:rsid w:val="7D993FB3"/>
    <w:rsid w:val="7DB80490"/>
    <w:rsid w:val="7DC10D1E"/>
    <w:rsid w:val="7DC802F3"/>
    <w:rsid w:val="7E134384"/>
    <w:rsid w:val="7E145E5F"/>
    <w:rsid w:val="7E192908"/>
    <w:rsid w:val="7E4416AA"/>
    <w:rsid w:val="7E5042D1"/>
    <w:rsid w:val="7E777385"/>
    <w:rsid w:val="7E795155"/>
    <w:rsid w:val="7E801270"/>
    <w:rsid w:val="7E855E11"/>
    <w:rsid w:val="7E8D1711"/>
    <w:rsid w:val="7E9504E0"/>
    <w:rsid w:val="7EA66DB6"/>
    <w:rsid w:val="7EA94963"/>
    <w:rsid w:val="7ECB117A"/>
    <w:rsid w:val="7EEC1DCB"/>
    <w:rsid w:val="7F1906E6"/>
    <w:rsid w:val="7F295FF5"/>
    <w:rsid w:val="7F430380"/>
    <w:rsid w:val="7F553F7E"/>
    <w:rsid w:val="7F59265A"/>
    <w:rsid w:val="7F6257A6"/>
    <w:rsid w:val="7F7A1E5B"/>
    <w:rsid w:val="7F7F2C3F"/>
    <w:rsid w:val="7F941CC0"/>
    <w:rsid w:val="7FA371CB"/>
    <w:rsid w:val="7FA54E7E"/>
    <w:rsid w:val="7FD862DD"/>
    <w:rsid w:val="7FE101C6"/>
    <w:rsid w:val="7FE64DF0"/>
    <w:rsid w:val="7FEF3CCC"/>
    <w:rsid w:val="7FFC1E45"/>
    <w:rsid w:val="7FFD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tabs>
        <w:tab w:val="left" w:pos="432"/>
      </w:tabs>
      <w:spacing w:line="480" w:lineRule="exact"/>
      <w:ind w:left="432" w:hanging="432"/>
      <w:jc w:val="center"/>
      <w:outlineLvl w:val="0"/>
    </w:pPr>
    <w:rPr>
      <w:rFonts w:ascii="楷体_GB2312" w:eastAsia="楷体_GB2312"/>
      <w:b/>
      <w:bCs/>
      <w:color w:val="FF0000"/>
      <w:sz w:val="2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numPr>
        <w:ilvl w:val="2"/>
        <w:numId w:val="1"/>
      </w:numPr>
      <w:spacing w:before="260" w:after="260" w:line="413" w:lineRule="auto"/>
      <w:outlineLvl w:val="2"/>
    </w:pPr>
    <w:rPr>
      <w:b/>
      <w:bCs/>
      <w:sz w:val="32"/>
      <w:szCs w:val="32"/>
    </w:rPr>
  </w:style>
  <w:style w:type="paragraph" w:styleId="5">
    <w:name w:val="heading 4"/>
    <w:basedOn w:val="1"/>
    <w:next w:val="1"/>
    <w:link w:val="65"/>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beforeLines="0" w:after="290" w:afterLines="0" w:line="372" w:lineRule="auto"/>
      <w:outlineLvl w:val="4"/>
    </w:pPr>
    <w:rPr>
      <w:b/>
      <w:bCs/>
      <w:sz w:val="28"/>
      <w:szCs w:val="28"/>
    </w:rPr>
  </w:style>
  <w:style w:type="paragraph" w:styleId="7">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8">
    <w:name w:val="heading 7"/>
    <w:basedOn w:val="1"/>
    <w:next w:val="1"/>
    <w:link w:val="67"/>
    <w:qFormat/>
    <w:uiPriority w:val="0"/>
    <w:pPr>
      <w:keepNext/>
      <w:keepLines/>
      <w:tabs>
        <w:tab w:val="left" w:pos="2520"/>
      </w:tabs>
      <w:spacing w:before="240" w:after="64" w:line="317" w:lineRule="auto"/>
      <w:ind w:left="1296" w:hanging="1296"/>
      <w:outlineLvl w:val="6"/>
    </w:pPr>
    <w:rPr>
      <w:b/>
      <w:bCs/>
      <w:sz w:val="24"/>
      <w:szCs w:val="24"/>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0">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rPr>
      <w:sz w:val="28"/>
      <w:szCs w:val="24"/>
    </w:rPr>
  </w:style>
  <w:style w:type="paragraph" w:styleId="12">
    <w:name w:val="toc 7"/>
    <w:basedOn w:val="1"/>
    <w:next w:val="1"/>
    <w:qFormat/>
    <w:uiPriority w:val="0"/>
    <w:pPr>
      <w:ind w:left="2520" w:leftChars="1200"/>
    </w:pPr>
    <w:rPr>
      <w:szCs w:val="24"/>
    </w:rPr>
  </w:style>
  <w:style w:type="paragraph" w:styleId="13">
    <w:name w:val="Normal Indent"/>
    <w:basedOn w:val="1"/>
    <w:link w:val="68"/>
    <w:qFormat/>
    <w:uiPriority w:val="0"/>
    <w:pPr>
      <w:ind w:firstLine="420" w:firstLineChars="200"/>
    </w:pPr>
    <w:rPr>
      <w:sz w:val="24"/>
    </w:rPr>
  </w:style>
  <w:style w:type="paragraph" w:styleId="14">
    <w:name w:val="caption"/>
    <w:basedOn w:val="1"/>
    <w:next w:val="1"/>
    <w:qFormat/>
    <w:uiPriority w:val="0"/>
    <w:pPr>
      <w:adjustRightInd w:val="0"/>
      <w:spacing w:before="152" w:after="160" w:line="360" w:lineRule="atLeast"/>
      <w:jc w:val="left"/>
      <w:textAlignment w:val="baseline"/>
    </w:pPr>
    <w:rPr>
      <w:rFonts w:ascii="Arial" w:hAnsi="Arial" w:eastAsia="黑体"/>
      <w:kern w:val="0"/>
      <w:sz w:val="24"/>
      <w:szCs w:val="24"/>
    </w:rPr>
  </w:style>
  <w:style w:type="paragraph" w:styleId="15">
    <w:name w:val="Document Map"/>
    <w:basedOn w:val="1"/>
    <w:link w:val="69"/>
    <w:uiPriority w:val="0"/>
    <w:pPr>
      <w:shd w:val="clear" w:color="auto" w:fill="000080"/>
    </w:pPr>
  </w:style>
  <w:style w:type="paragraph" w:styleId="16">
    <w:name w:val="toa heading"/>
    <w:basedOn w:val="1"/>
    <w:next w:val="1"/>
    <w:qFormat/>
    <w:uiPriority w:val="0"/>
    <w:pPr>
      <w:spacing w:before="120"/>
    </w:pPr>
    <w:rPr>
      <w:rFonts w:ascii="Cambria" w:hAnsi="Cambria"/>
      <w:sz w:val="24"/>
    </w:rPr>
  </w:style>
  <w:style w:type="paragraph" w:styleId="17">
    <w:name w:val="annotation text"/>
    <w:basedOn w:val="1"/>
    <w:link w:val="70"/>
    <w:qFormat/>
    <w:uiPriority w:val="0"/>
    <w:pPr>
      <w:jc w:val="left"/>
    </w:pPr>
  </w:style>
  <w:style w:type="paragraph" w:styleId="18">
    <w:name w:val="Salutation"/>
    <w:basedOn w:val="1"/>
    <w:next w:val="1"/>
    <w:link w:val="71"/>
    <w:qFormat/>
    <w:uiPriority w:val="99"/>
    <w:rPr>
      <w:sz w:val="28"/>
    </w:rPr>
  </w:style>
  <w:style w:type="paragraph" w:styleId="19">
    <w:name w:val="Body Text 3"/>
    <w:basedOn w:val="1"/>
    <w:link w:val="72"/>
    <w:uiPriority w:val="0"/>
    <w:pPr>
      <w:tabs>
        <w:tab w:val="left" w:pos="735"/>
      </w:tabs>
      <w:spacing w:line="400" w:lineRule="exact"/>
      <w:ind w:right="-108"/>
      <w:jc w:val="center"/>
    </w:pPr>
    <w:rPr>
      <w:rFonts w:ascii="楷体_GB2312" w:eastAsia="楷体_GB2312"/>
    </w:rPr>
  </w:style>
  <w:style w:type="paragraph" w:styleId="20">
    <w:name w:val="Body Text"/>
    <w:basedOn w:val="1"/>
    <w:next w:val="21"/>
    <w:link w:val="73"/>
    <w:qFormat/>
    <w:uiPriority w:val="0"/>
    <w:rPr>
      <w:sz w:val="28"/>
    </w:rPr>
  </w:style>
  <w:style w:type="paragraph" w:styleId="21">
    <w:name w:val="Body Text First Indent"/>
    <w:basedOn w:val="20"/>
    <w:next w:val="1"/>
    <w:qFormat/>
    <w:uiPriority w:val="0"/>
    <w:pPr>
      <w:spacing w:after="120" w:afterLines="0"/>
      <w:ind w:firstLine="100" w:firstLineChars="100"/>
      <w:jc w:val="both"/>
      <w:textAlignment w:val="auto"/>
    </w:pPr>
    <w:rPr>
      <w:rFonts w:ascii="Calibri"/>
      <w:sz w:val="21"/>
      <w:szCs w:val="24"/>
    </w:rPr>
  </w:style>
  <w:style w:type="paragraph" w:styleId="22">
    <w:name w:val="Body Text Indent"/>
    <w:basedOn w:val="1"/>
    <w:next w:val="23"/>
    <w:link w:val="74"/>
    <w:qFormat/>
    <w:uiPriority w:val="0"/>
    <w:pPr>
      <w:spacing w:line="360" w:lineRule="auto"/>
      <w:ind w:right="10" w:firstLine="480"/>
    </w:pPr>
    <w:rPr>
      <w:rFonts w:ascii="宋体"/>
      <w:sz w:val="24"/>
    </w:rPr>
  </w:style>
  <w:style w:type="paragraph" w:styleId="23">
    <w:name w:val="Body Text Indent 2"/>
    <w:basedOn w:val="1"/>
    <w:next w:val="1"/>
    <w:link w:val="75"/>
    <w:qFormat/>
    <w:uiPriority w:val="0"/>
    <w:pPr>
      <w:spacing w:line="440" w:lineRule="exact"/>
      <w:ind w:firstLine="412"/>
    </w:pPr>
    <w:rPr>
      <w:rFonts w:ascii="宋体"/>
      <w:color w:val="FF0000"/>
      <w:sz w:val="24"/>
    </w:rPr>
  </w:style>
  <w:style w:type="paragraph" w:styleId="24">
    <w:name w:val="List 2"/>
    <w:basedOn w:val="1"/>
    <w:uiPriority w:val="0"/>
    <w:pPr>
      <w:spacing w:line="360" w:lineRule="auto"/>
      <w:ind w:left="100" w:leftChars="200" w:hanging="200" w:hangingChars="200"/>
    </w:pPr>
    <w:rPr>
      <w:sz w:val="28"/>
      <w:szCs w:val="24"/>
    </w:rPr>
  </w:style>
  <w:style w:type="paragraph" w:styleId="25">
    <w:name w:val="Block Text"/>
    <w:basedOn w:val="1"/>
    <w:qFormat/>
    <w:uiPriority w:val="0"/>
    <w:pPr>
      <w:spacing w:line="580" w:lineRule="exact"/>
      <w:ind w:left="945" w:leftChars="250" w:right="28" w:hanging="420" w:hangingChars="164"/>
    </w:pPr>
    <w:rPr>
      <w:rFonts w:ascii="楷体_GB2312" w:eastAsia="楷体_GB2312"/>
      <w:snapToGrid w:val="0"/>
      <w:spacing w:val="8"/>
      <w:kern w:val="0"/>
      <w:sz w:val="24"/>
    </w:rPr>
  </w:style>
  <w:style w:type="paragraph" w:styleId="26">
    <w:name w:val="toc 5"/>
    <w:basedOn w:val="1"/>
    <w:next w:val="1"/>
    <w:uiPriority w:val="0"/>
    <w:pPr>
      <w:widowControl/>
      <w:ind w:left="800"/>
      <w:jc w:val="left"/>
    </w:pPr>
    <w:rPr>
      <w:kern w:val="0"/>
      <w:sz w:val="24"/>
      <w:szCs w:val="24"/>
    </w:rPr>
  </w:style>
  <w:style w:type="paragraph" w:styleId="27">
    <w:name w:val="toc 3"/>
    <w:basedOn w:val="1"/>
    <w:next w:val="1"/>
    <w:qFormat/>
    <w:uiPriority w:val="39"/>
    <w:pPr>
      <w:widowControl/>
      <w:ind w:left="400" w:right="255"/>
    </w:pPr>
    <w:rPr>
      <w:kern w:val="0"/>
      <w:sz w:val="24"/>
    </w:rPr>
  </w:style>
  <w:style w:type="paragraph" w:styleId="28">
    <w:name w:val="Plain Text"/>
    <w:basedOn w:val="1"/>
    <w:link w:val="76"/>
    <w:qFormat/>
    <w:uiPriority w:val="0"/>
    <w:rPr>
      <w:rFonts w:ascii="宋体" w:hAnsi="Courier New" w:cs="Courier New"/>
      <w:sz w:val="24"/>
      <w:szCs w:val="21"/>
    </w:rPr>
  </w:style>
  <w:style w:type="paragraph" w:styleId="29">
    <w:name w:val="toc 8"/>
    <w:basedOn w:val="1"/>
    <w:next w:val="1"/>
    <w:qFormat/>
    <w:uiPriority w:val="0"/>
    <w:pPr>
      <w:ind w:left="2940" w:leftChars="1400"/>
    </w:pPr>
    <w:rPr>
      <w:szCs w:val="24"/>
    </w:rPr>
  </w:style>
  <w:style w:type="paragraph" w:styleId="30">
    <w:name w:val="Date"/>
    <w:basedOn w:val="1"/>
    <w:next w:val="1"/>
    <w:link w:val="77"/>
    <w:qFormat/>
    <w:uiPriority w:val="0"/>
    <w:pPr>
      <w:ind w:left="100" w:leftChars="2500"/>
    </w:pPr>
    <w:rPr>
      <w:rFonts w:ascii="楷体_GB2312" w:eastAsia="楷体_GB2312"/>
      <w:sz w:val="24"/>
    </w:rPr>
  </w:style>
  <w:style w:type="paragraph" w:styleId="31">
    <w:name w:val="List Continue 5"/>
    <w:basedOn w:val="1"/>
    <w:qFormat/>
    <w:uiPriority w:val="0"/>
    <w:pPr>
      <w:spacing w:after="120" w:line="360" w:lineRule="auto"/>
      <w:ind w:left="2100" w:leftChars="1000"/>
    </w:pPr>
    <w:rPr>
      <w:sz w:val="28"/>
      <w:szCs w:val="24"/>
    </w:rPr>
  </w:style>
  <w:style w:type="paragraph" w:styleId="32">
    <w:name w:val="Balloon Text"/>
    <w:basedOn w:val="1"/>
    <w:link w:val="78"/>
    <w:uiPriority w:val="0"/>
    <w:rPr>
      <w:sz w:val="18"/>
      <w:szCs w:val="18"/>
    </w:rPr>
  </w:style>
  <w:style w:type="paragraph" w:styleId="33">
    <w:name w:val="footer"/>
    <w:basedOn w:val="1"/>
    <w:link w:val="79"/>
    <w:qFormat/>
    <w:uiPriority w:val="99"/>
    <w:pPr>
      <w:tabs>
        <w:tab w:val="center" w:pos="4153"/>
        <w:tab w:val="right" w:pos="8306"/>
      </w:tabs>
      <w:snapToGrid w:val="0"/>
      <w:jc w:val="left"/>
    </w:pPr>
    <w:rPr>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uiPriority w:val="0"/>
    <w:pPr>
      <w:widowControl/>
      <w:spacing w:line="360" w:lineRule="auto"/>
      <w:ind w:firstLine="480" w:firstLineChars="200"/>
    </w:pPr>
    <w:rPr>
      <w:rFonts w:ascii="宋体" w:hAnsi="宋体"/>
      <w:b/>
      <w:bCs/>
      <w:kern w:val="0"/>
      <w:sz w:val="24"/>
      <w:szCs w:val="21"/>
    </w:rPr>
  </w:style>
  <w:style w:type="paragraph" w:styleId="37">
    <w:name w:val="List"/>
    <w:basedOn w:val="1"/>
    <w:qFormat/>
    <w:uiPriority w:val="0"/>
    <w:pPr>
      <w:ind w:left="200" w:hanging="200"/>
    </w:pPr>
    <w:rPr>
      <w:rFonts w:ascii="Century" w:hAnsi="Century"/>
    </w:rPr>
  </w:style>
  <w:style w:type="paragraph" w:styleId="38">
    <w:name w:val="footnote text"/>
    <w:basedOn w:val="1"/>
    <w:link w:val="81"/>
    <w:uiPriority w:val="0"/>
    <w:pPr>
      <w:adjustRightInd w:val="0"/>
      <w:spacing w:line="312" w:lineRule="atLeast"/>
      <w:jc w:val="left"/>
      <w:textAlignment w:val="baseline"/>
    </w:pPr>
    <w:rPr>
      <w:kern w:val="0"/>
      <w:sz w:val="18"/>
    </w:rPr>
  </w:style>
  <w:style w:type="paragraph" w:styleId="39">
    <w:name w:val="toc 6"/>
    <w:basedOn w:val="1"/>
    <w:next w:val="1"/>
    <w:uiPriority w:val="0"/>
    <w:pPr>
      <w:ind w:left="2100" w:leftChars="1000"/>
    </w:pPr>
  </w:style>
  <w:style w:type="paragraph" w:styleId="40">
    <w:name w:val="List 5"/>
    <w:basedOn w:val="1"/>
    <w:qFormat/>
    <w:uiPriority w:val="0"/>
    <w:pPr>
      <w:spacing w:line="360" w:lineRule="auto"/>
      <w:ind w:left="100" w:leftChars="800" w:hanging="200" w:hangingChars="200"/>
    </w:pPr>
    <w:rPr>
      <w:sz w:val="28"/>
      <w:szCs w:val="24"/>
    </w:rPr>
  </w:style>
  <w:style w:type="paragraph" w:styleId="41">
    <w:name w:val="Body Text Indent 3"/>
    <w:basedOn w:val="1"/>
    <w:link w:val="82"/>
    <w:uiPriority w:val="0"/>
    <w:pPr>
      <w:spacing w:line="620" w:lineRule="exact"/>
      <w:ind w:firstLine="570"/>
    </w:pPr>
    <w:rPr>
      <w:rFonts w:ascii="宋体"/>
      <w:sz w:val="24"/>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rPr>
      <w:szCs w:val="24"/>
    </w:rPr>
  </w:style>
  <w:style w:type="paragraph" w:styleId="44">
    <w:name w:val="Body Text 2"/>
    <w:basedOn w:val="1"/>
    <w:link w:val="83"/>
    <w:qFormat/>
    <w:uiPriority w:val="0"/>
    <w:pPr>
      <w:spacing w:line="360" w:lineRule="auto"/>
    </w:pPr>
    <w:rPr>
      <w:rFonts w:ascii="宋体"/>
      <w:sz w:val="24"/>
    </w:rPr>
  </w:style>
  <w:style w:type="paragraph" w:styleId="45">
    <w:name w:val="List 4"/>
    <w:basedOn w:val="1"/>
    <w:qFormat/>
    <w:uiPriority w:val="0"/>
    <w:pPr>
      <w:spacing w:line="360" w:lineRule="auto"/>
      <w:ind w:left="100" w:leftChars="600" w:hanging="200" w:hangingChars="200"/>
    </w:pPr>
    <w:rPr>
      <w:sz w:val="28"/>
      <w:szCs w:val="24"/>
    </w:rPr>
  </w:style>
  <w:style w:type="paragraph" w:styleId="46">
    <w:name w:val="List Continue 2"/>
    <w:basedOn w:val="1"/>
    <w:uiPriority w:val="0"/>
    <w:pPr>
      <w:spacing w:after="120" w:line="360" w:lineRule="auto"/>
      <w:ind w:left="840" w:leftChars="400"/>
    </w:pPr>
    <w:rPr>
      <w:sz w:val="28"/>
      <w:szCs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48">
    <w:name w:val="Normal (Web)"/>
    <w:basedOn w:val="1"/>
    <w:qFormat/>
    <w:uiPriority w:val="0"/>
    <w:pPr>
      <w:widowControl/>
      <w:adjustRightInd w:val="0"/>
      <w:spacing w:before="100" w:beforeLines="0" w:beforeAutospacing="1" w:after="100" w:afterLines="0" w:afterAutospacing="1" w:line="360" w:lineRule="atLeast"/>
      <w:jc w:val="left"/>
    </w:pPr>
    <w:rPr>
      <w:rFonts w:hint="eastAsia" w:ascii="宋体" w:hAnsi="宋体"/>
      <w:kern w:val="0"/>
      <w:sz w:val="24"/>
      <w:szCs w:val="24"/>
    </w:rPr>
  </w:style>
  <w:style w:type="paragraph" w:styleId="49">
    <w:name w:val="index 1"/>
    <w:basedOn w:val="1"/>
    <w:next w:val="1"/>
    <w:uiPriority w:val="0"/>
    <w:pPr>
      <w:autoSpaceDE w:val="0"/>
      <w:autoSpaceDN w:val="0"/>
      <w:adjustRightInd w:val="0"/>
      <w:spacing w:line="256" w:lineRule="atLeast"/>
      <w:jc w:val="left"/>
    </w:pPr>
    <w:rPr>
      <w:rFonts w:ascii="MingLiU" w:eastAsia="MingLiU"/>
      <w:spacing w:val="60"/>
      <w:kern w:val="0"/>
      <w:sz w:val="22"/>
      <w:szCs w:val="24"/>
      <w:lang w:eastAsia="zh-TW"/>
    </w:rPr>
  </w:style>
  <w:style w:type="paragraph" w:styleId="50">
    <w:name w:val="Title"/>
    <w:basedOn w:val="1"/>
    <w:next w:val="1"/>
    <w:link w:val="84"/>
    <w:qFormat/>
    <w:uiPriority w:val="0"/>
    <w:pPr>
      <w:pageBreakBefore/>
      <w:widowControl/>
      <w:spacing w:before="3120" w:beforeLines="1000" w:after="3120" w:afterLines="1000" w:line="240" w:lineRule="atLeast"/>
      <w:jc w:val="center"/>
      <w:outlineLvl w:val="0"/>
    </w:pPr>
    <w:rPr>
      <w:rFonts w:ascii="华文细黑" w:hAnsi="华文细黑" w:eastAsia="华文细黑"/>
      <w:b/>
      <w:bCs/>
      <w:color w:val="000000"/>
      <w:kern w:val="0"/>
      <w:sz w:val="52"/>
      <w:szCs w:val="32"/>
    </w:rPr>
  </w:style>
  <w:style w:type="paragraph" w:styleId="51">
    <w:name w:val="annotation subject"/>
    <w:basedOn w:val="17"/>
    <w:next w:val="17"/>
    <w:link w:val="85"/>
    <w:qFormat/>
    <w:uiPriority w:val="0"/>
    <w:rPr>
      <w:b/>
      <w:bCs/>
    </w:rPr>
  </w:style>
  <w:style w:type="paragraph" w:styleId="52">
    <w:name w:val="Body Text First Indent 2"/>
    <w:basedOn w:val="22"/>
    <w:qFormat/>
    <w:uiPriority w:val="0"/>
    <w:pPr>
      <w:widowControl/>
      <w:spacing w:after="120" w:line="240" w:lineRule="auto"/>
      <w:ind w:left="420" w:right="0" w:firstLine="210"/>
      <w:jc w:val="left"/>
    </w:pPr>
    <w:rPr>
      <w:rFonts w:ascii="Times New Roman"/>
      <w:kern w:val="0"/>
      <w:sz w:val="20"/>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endnote reference"/>
    <w:qFormat/>
    <w:uiPriority w:val="0"/>
    <w:rPr>
      <w:vertAlign w:val="superscript"/>
    </w:rPr>
  </w:style>
  <w:style w:type="character" w:styleId="58">
    <w:name w:val="page number"/>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uiPriority w:val="0"/>
    <w:rPr>
      <w:vertAlign w:val="superscript"/>
    </w:rPr>
  </w:style>
  <w:style w:type="character" w:customStyle="1" w:styleId="63">
    <w:name w:val="标题 1 Char"/>
    <w:link w:val="2"/>
    <w:qFormat/>
    <w:locked/>
    <w:uiPriority w:val="0"/>
    <w:rPr>
      <w:rFonts w:ascii="楷体_GB2312" w:eastAsia="楷体_GB2312"/>
      <w:b/>
      <w:bCs/>
      <w:color w:val="FF0000"/>
      <w:kern w:val="2"/>
      <w:sz w:val="24"/>
    </w:rPr>
  </w:style>
  <w:style w:type="character" w:customStyle="1" w:styleId="64">
    <w:name w:val="标题 3 Char"/>
    <w:link w:val="4"/>
    <w:qFormat/>
    <w:locked/>
    <w:uiPriority w:val="0"/>
    <w:rPr>
      <w:b/>
      <w:bCs/>
      <w:kern w:val="2"/>
      <w:sz w:val="32"/>
      <w:szCs w:val="32"/>
    </w:rPr>
  </w:style>
  <w:style w:type="character" w:customStyle="1" w:styleId="65">
    <w:name w:val="标题 4 Char"/>
    <w:link w:val="5"/>
    <w:qFormat/>
    <w:locked/>
    <w:uiPriority w:val="0"/>
    <w:rPr>
      <w:rFonts w:ascii="Arial" w:hAnsi="Arial" w:eastAsia="黑体"/>
      <w:b/>
      <w:bCs/>
      <w:kern w:val="2"/>
      <w:sz w:val="28"/>
      <w:szCs w:val="28"/>
    </w:rPr>
  </w:style>
  <w:style w:type="character" w:customStyle="1" w:styleId="66">
    <w:name w:val="标题 5 Char"/>
    <w:link w:val="6"/>
    <w:qFormat/>
    <w:locked/>
    <w:uiPriority w:val="0"/>
    <w:rPr>
      <w:b/>
      <w:bCs/>
      <w:kern w:val="2"/>
      <w:sz w:val="28"/>
      <w:szCs w:val="28"/>
    </w:rPr>
  </w:style>
  <w:style w:type="character" w:customStyle="1" w:styleId="67">
    <w:name w:val="标题 7 Char"/>
    <w:link w:val="8"/>
    <w:uiPriority w:val="0"/>
    <w:rPr>
      <w:b/>
      <w:bCs/>
      <w:kern w:val="2"/>
      <w:sz w:val="24"/>
      <w:szCs w:val="24"/>
    </w:rPr>
  </w:style>
  <w:style w:type="character" w:customStyle="1" w:styleId="68">
    <w:name w:val="正文缩进 Char"/>
    <w:link w:val="13"/>
    <w:qFormat/>
    <w:uiPriority w:val="0"/>
    <w:rPr>
      <w:rFonts w:eastAsia="宋体"/>
      <w:kern w:val="2"/>
      <w:sz w:val="24"/>
      <w:lang w:val="en-US" w:eastAsia="zh-CN" w:bidi="ar-SA"/>
    </w:rPr>
  </w:style>
  <w:style w:type="character" w:customStyle="1" w:styleId="69">
    <w:name w:val="文档结构图 Char"/>
    <w:link w:val="15"/>
    <w:qFormat/>
    <w:locked/>
    <w:uiPriority w:val="0"/>
    <w:rPr>
      <w:kern w:val="2"/>
      <w:sz w:val="21"/>
      <w:shd w:val="clear" w:color="auto" w:fill="000080"/>
    </w:rPr>
  </w:style>
  <w:style w:type="character" w:customStyle="1" w:styleId="70">
    <w:name w:val="批注文字 Char"/>
    <w:link w:val="17"/>
    <w:qFormat/>
    <w:locked/>
    <w:uiPriority w:val="0"/>
    <w:rPr>
      <w:kern w:val="2"/>
      <w:sz w:val="21"/>
    </w:rPr>
  </w:style>
  <w:style w:type="character" w:customStyle="1" w:styleId="71">
    <w:name w:val="称呼 Char"/>
    <w:link w:val="18"/>
    <w:qFormat/>
    <w:locked/>
    <w:uiPriority w:val="99"/>
    <w:rPr>
      <w:kern w:val="2"/>
      <w:sz w:val="28"/>
    </w:rPr>
  </w:style>
  <w:style w:type="character" w:customStyle="1" w:styleId="72">
    <w:name w:val="正文文本 3 Char"/>
    <w:link w:val="19"/>
    <w:locked/>
    <w:uiPriority w:val="0"/>
    <w:rPr>
      <w:rFonts w:ascii="楷体_GB2312" w:eastAsia="楷体_GB2312"/>
      <w:kern w:val="2"/>
      <w:sz w:val="21"/>
    </w:rPr>
  </w:style>
  <w:style w:type="character" w:customStyle="1" w:styleId="73">
    <w:name w:val="正文文本 Char"/>
    <w:link w:val="20"/>
    <w:qFormat/>
    <w:locked/>
    <w:uiPriority w:val="0"/>
    <w:rPr>
      <w:kern w:val="2"/>
      <w:sz w:val="28"/>
    </w:rPr>
  </w:style>
  <w:style w:type="character" w:customStyle="1" w:styleId="74">
    <w:name w:val="正文文本缩进 Char"/>
    <w:link w:val="22"/>
    <w:qFormat/>
    <w:locked/>
    <w:uiPriority w:val="0"/>
    <w:rPr>
      <w:rFonts w:ascii="宋体"/>
      <w:kern w:val="2"/>
      <w:sz w:val="24"/>
    </w:rPr>
  </w:style>
  <w:style w:type="character" w:customStyle="1" w:styleId="75">
    <w:name w:val="正文文本缩进 2 Char"/>
    <w:link w:val="23"/>
    <w:qFormat/>
    <w:locked/>
    <w:uiPriority w:val="0"/>
    <w:rPr>
      <w:rFonts w:ascii="宋体"/>
      <w:color w:val="FF0000"/>
      <w:kern w:val="2"/>
      <w:sz w:val="24"/>
    </w:rPr>
  </w:style>
  <w:style w:type="character" w:customStyle="1" w:styleId="76">
    <w:name w:val="纯文本 Char"/>
    <w:link w:val="28"/>
    <w:qFormat/>
    <w:uiPriority w:val="0"/>
    <w:rPr>
      <w:rFonts w:ascii="宋体" w:hAnsi="Courier New" w:eastAsia="宋体" w:cs="Courier New"/>
      <w:kern w:val="2"/>
      <w:sz w:val="24"/>
      <w:szCs w:val="21"/>
      <w:lang w:val="en-US" w:eastAsia="zh-CN" w:bidi="ar-SA"/>
    </w:rPr>
  </w:style>
  <w:style w:type="character" w:customStyle="1" w:styleId="77">
    <w:name w:val="日期 Char"/>
    <w:link w:val="30"/>
    <w:uiPriority w:val="0"/>
    <w:rPr>
      <w:rFonts w:ascii="楷体_GB2312" w:eastAsia="楷体_GB2312"/>
      <w:kern w:val="2"/>
      <w:sz w:val="24"/>
      <w:lang w:val="en-US" w:eastAsia="zh-CN" w:bidi="ar-SA"/>
    </w:rPr>
  </w:style>
  <w:style w:type="character" w:customStyle="1" w:styleId="78">
    <w:name w:val="批注框文本 Char"/>
    <w:link w:val="32"/>
    <w:qFormat/>
    <w:locked/>
    <w:uiPriority w:val="0"/>
    <w:rPr>
      <w:kern w:val="2"/>
      <w:sz w:val="18"/>
      <w:szCs w:val="18"/>
    </w:rPr>
  </w:style>
  <w:style w:type="character" w:customStyle="1" w:styleId="79">
    <w:name w:val="页脚 Char"/>
    <w:link w:val="33"/>
    <w:qFormat/>
    <w:locked/>
    <w:uiPriority w:val="99"/>
    <w:rPr>
      <w:kern w:val="2"/>
      <w:sz w:val="18"/>
      <w:szCs w:val="18"/>
    </w:rPr>
  </w:style>
  <w:style w:type="character" w:customStyle="1" w:styleId="80">
    <w:name w:val="页眉 Char"/>
    <w:link w:val="34"/>
    <w:qFormat/>
    <w:locked/>
    <w:uiPriority w:val="99"/>
    <w:rPr>
      <w:kern w:val="2"/>
      <w:sz w:val="18"/>
      <w:szCs w:val="18"/>
    </w:rPr>
  </w:style>
  <w:style w:type="character" w:customStyle="1" w:styleId="81">
    <w:name w:val="脚注文本 Char"/>
    <w:link w:val="38"/>
    <w:qFormat/>
    <w:uiPriority w:val="0"/>
    <w:rPr>
      <w:sz w:val="18"/>
    </w:rPr>
  </w:style>
  <w:style w:type="character" w:customStyle="1" w:styleId="82">
    <w:name w:val="正文文本缩进 3 Char"/>
    <w:link w:val="41"/>
    <w:locked/>
    <w:uiPriority w:val="0"/>
    <w:rPr>
      <w:rFonts w:ascii="宋体"/>
      <w:kern w:val="2"/>
      <w:sz w:val="24"/>
    </w:rPr>
  </w:style>
  <w:style w:type="character" w:customStyle="1" w:styleId="83">
    <w:name w:val="正文文本 2 Char"/>
    <w:link w:val="44"/>
    <w:qFormat/>
    <w:uiPriority w:val="0"/>
    <w:rPr>
      <w:rFonts w:ascii="宋体" w:eastAsia="宋体"/>
      <w:kern w:val="2"/>
      <w:sz w:val="24"/>
      <w:lang w:val="en-US" w:eastAsia="zh-CN" w:bidi="ar-SA"/>
    </w:rPr>
  </w:style>
  <w:style w:type="character" w:customStyle="1" w:styleId="84">
    <w:name w:val="标题 Char"/>
    <w:link w:val="50"/>
    <w:qFormat/>
    <w:uiPriority w:val="0"/>
    <w:rPr>
      <w:rFonts w:ascii="华文细黑" w:hAnsi="华文细黑" w:eastAsia="华文细黑" w:cs="Arial"/>
      <w:b/>
      <w:bCs/>
      <w:color w:val="000000"/>
      <w:sz w:val="52"/>
      <w:szCs w:val="32"/>
    </w:rPr>
  </w:style>
  <w:style w:type="character" w:customStyle="1" w:styleId="85">
    <w:name w:val="批注主题 Char"/>
    <w:link w:val="51"/>
    <w:qFormat/>
    <w:locked/>
    <w:uiPriority w:val="0"/>
    <w:rPr>
      <w:b/>
      <w:bCs/>
      <w:kern w:val="2"/>
      <w:sz w:val="21"/>
    </w:rPr>
  </w:style>
  <w:style w:type="paragraph" w:customStyle="1" w:styleId="86">
    <w:name w:val="1"/>
    <w:basedOn w:val="87"/>
    <w:next w:val="1"/>
    <w:qFormat/>
    <w:uiPriority w:val="0"/>
    <w:pPr>
      <w:tabs>
        <w:tab w:val="left" w:pos="0"/>
      </w:tabs>
      <w:spacing w:line="360" w:lineRule="auto"/>
    </w:pPr>
    <w:rPr>
      <w:rFonts w:ascii="宋体" w:hAnsi="宋体"/>
      <w:bCs/>
      <w:sz w:val="24"/>
    </w:rPr>
  </w:style>
  <w:style w:type="paragraph" w:customStyle="1" w:styleId="87">
    <w:name w:val="正文_new"/>
    <w:basedOn w:val="1"/>
    <w:qFormat/>
    <w:uiPriority w:val="0"/>
    <w:pPr>
      <w:ind w:firstLine="480"/>
    </w:pPr>
    <w:rPr>
      <w:rFonts w:ascii="宋体" w:hAnsi="宋体"/>
      <w:szCs w:val="28"/>
    </w:rPr>
  </w:style>
  <w:style w:type="paragraph" w:customStyle="1" w:styleId="88">
    <w:name w:val="Default"/>
    <w:basedOn w:val="50"/>
    <w:next w:val="1"/>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89">
    <w:name w:val=" Char Char11"/>
    <w:qFormat/>
    <w:locked/>
    <w:uiPriority w:val="0"/>
    <w:rPr>
      <w:rFonts w:ascii="宋体" w:eastAsia="宋体"/>
      <w:sz w:val="24"/>
      <w:szCs w:val="24"/>
      <w:lang w:val="en-US" w:eastAsia="zh-CN" w:bidi="ar-SA"/>
    </w:rPr>
  </w:style>
  <w:style w:type="character" w:customStyle="1" w:styleId="90">
    <w:name w:val=" Char Char4"/>
    <w:qFormat/>
    <w:locked/>
    <w:uiPriority w:val="0"/>
    <w:rPr>
      <w:rFonts w:ascii="华文细黑" w:hAnsi="华文细黑" w:eastAsia="华文细黑" w:cs="Arial"/>
      <w:b/>
      <w:bCs/>
      <w:color w:val="000000"/>
      <w:sz w:val="52"/>
      <w:szCs w:val="32"/>
      <w:lang w:val="en-US" w:eastAsia="zh-CN" w:bidi="ar-SA"/>
    </w:rPr>
  </w:style>
  <w:style w:type="character" w:customStyle="1" w:styleId="91">
    <w:name w:val=" Char Char3"/>
    <w:qFormat/>
    <w:locked/>
    <w:uiPriority w:val="0"/>
    <w:rPr>
      <w:rFonts w:eastAsia="宋体"/>
      <w:sz w:val="24"/>
      <w:lang w:val="en-US" w:eastAsia="zh-CN" w:bidi="ar-SA"/>
    </w:rPr>
  </w:style>
  <w:style w:type="character" w:customStyle="1" w:styleId="92">
    <w:name w:val="标题 2 Char"/>
    <w:uiPriority w:val="0"/>
    <w:rPr>
      <w:sz w:val="28"/>
    </w:rPr>
  </w:style>
  <w:style w:type="character" w:customStyle="1" w:styleId="93">
    <w:name w:val="GP正文(首行缩进) Char"/>
    <w:link w:val="94"/>
    <w:qFormat/>
    <w:uiPriority w:val="0"/>
    <w:rPr>
      <w:rFonts w:ascii="宋体" w:hAnsi="宋体"/>
      <w:sz w:val="24"/>
      <w:szCs w:val="24"/>
    </w:rPr>
  </w:style>
  <w:style w:type="paragraph" w:customStyle="1" w:styleId="94">
    <w:name w:val="GP正文(首行缩进)"/>
    <w:basedOn w:val="1"/>
    <w:link w:val="93"/>
    <w:qFormat/>
    <w:uiPriority w:val="0"/>
    <w:pPr>
      <w:ind w:firstLine="482"/>
    </w:pPr>
    <w:rPr>
      <w:rFonts w:ascii="宋体" w:hAnsi="宋体"/>
      <w:kern w:val="0"/>
      <w:sz w:val="24"/>
      <w:szCs w:val="24"/>
    </w:rPr>
  </w:style>
  <w:style w:type="character" w:customStyle="1" w:styleId="95">
    <w:name w:val=" Char Char"/>
    <w:qFormat/>
    <w:locked/>
    <w:uiPriority w:val="0"/>
    <w:rPr>
      <w:rFonts w:ascii="宋体" w:eastAsia="宋体"/>
      <w:b/>
      <w:bCs/>
      <w:sz w:val="24"/>
      <w:szCs w:val="24"/>
      <w:lang w:val="en-US" w:eastAsia="zh-CN" w:bidi="ar-SA"/>
    </w:rPr>
  </w:style>
  <w:style w:type="character" w:customStyle="1" w:styleId="96">
    <w:name w:val="15"/>
    <w:qFormat/>
    <w:uiPriority w:val="0"/>
    <w:rPr>
      <w:rFonts w:hint="default" w:ascii="Times New Roman" w:hAnsi="Times New Roman" w:cs="Times New Roman"/>
      <w:color w:val="0000FF"/>
      <w:u w:val="single"/>
    </w:rPr>
  </w:style>
  <w:style w:type="character" w:customStyle="1" w:styleId="97">
    <w:name w:val="纯文本 字符1"/>
    <w:uiPriority w:val="0"/>
    <w:rPr>
      <w:rFonts w:ascii="宋体" w:hAnsi="Courier New" w:eastAsia="宋体" w:cs="Times New Roman"/>
      <w:szCs w:val="20"/>
    </w:rPr>
  </w:style>
  <w:style w:type="character" w:customStyle="1" w:styleId="98">
    <w:name w:val="middle1"/>
    <w:qFormat/>
    <w:uiPriority w:val="0"/>
    <w:rPr>
      <w:rFonts w:hint="default" w:ascii="_x000B__x000C_" w:hAnsi="_x000B__x000C_"/>
      <w:sz w:val="21"/>
      <w:szCs w:val="21"/>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 Char Char6"/>
    <w:qFormat/>
    <w:locked/>
    <w:uiPriority w:val="0"/>
    <w:rPr>
      <w:rFonts w:eastAsia="宋体"/>
      <w:kern w:val="2"/>
      <w:sz w:val="21"/>
      <w:szCs w:val="24"/>
      <w:lang w:val="en-US" w:eastAsia="zh-CN" w:bidi="ar-SA"/>
    </w:rPr>
  </w:style>
  <w:style w:type="character" w:customStyle="1" w:styleId="102">
    <w:name w:val="合同标题 Char Char"/>
    <w:locked/>
    <w:uiPriority w:val="0"/>
    <w:rPr>
      <w:rFonts w:ascii="黑体" w:eastAsia="黑体"/>
      <w:b/>
      <w:sz w:val="21"/>
      <w:szCs w:val="24"/>
      <w:lang w:val="en-US" w:eastAsia="zh-CN" w:bidi="ar-SA"/>
    </w:rPr>
  </w:style>
  <w:style w:type="character" w:customStyle="1" w:styleId="103">
    <w:name w:val="正文缩进 字符"/>
    <w:qFormat/>
    <w:uiPriority w:val="0"/>
    <w:rPr>
      <w:rFonts w:ascii="宋体" w:hAnsi="Times New Roman" w:eastAsia="宋体" w:cs="Times New Roman"/>
      <w:kern w:val="0"/>
      <w:sz w:val="24"/>
      <w:szCs w:val="20"/>
    </w:rPr>
  </w:style>
  <w:style w:type="character" w:customStyle="1" w:styleId="104">
    <w:name w:val=" Char Char7"/>
    <w:qFormat/>
    <w:locked/>
    <w:uiPriority w:val="0"/>
    <w:rPr>
      <w:rFonts w:ascii="宋体" w:hAnsi="宋体" w:eastAsia="宋体"/>
      <w:b/>
      <w:sz w:val="24"/>
      <w:szCs w:val="24"/>
      <w:lang w:val="en-US" w:eastAsia="zh-CN" w:bidi="ar-SA"/>
    </w:rPr>
  </w:style>
  <w:style w:type="character" w:customStyle="1" w:styleId="105">
    <w:name w:val="font31"/>
    <w:qFormat/>
    <w:uiPriority w:val="0"/>
    <w:rPr>
      <w:rFonts w:hint="eastAsia" w:ascii="宋体" w:hAnsi="宋体" w:eastAsia="宋体" w:cs="宋体"/>
      <w:color w:val="00CCFF"/>
      <w:sz w:val="24"/>
      <w:szCs w:val="24"/>
      <w:u w:val="none"/>
    </w:rPr>
  </w:style>
  <w:style w:type="character" w:customStyle="1" w:styleId="106">
    <w:name w:val="f14b1"/>
    <w:qFormat/>
    <w:uiPriority w:val="0"/>
    <w:rPr>
      <w:b/>
      <w:bCs/>
      <w:sz w:val="21"/>
      <w:szCs w:val="21"/>
    </w:rPr>
  </w:style>
  <w:style w:type="character" w:customStyle="1" w:styleId="107">
    <w:name w:val="font21"/>
    <w:qFormat/>
    <w:uiPriority w:val="0"/>
    <w:rPr>
      <w:rFonts w:hint="eastAsia" w:ascii="宋体" w:hAnsi="宋体" w:eastAsia="宋体" w:cs="宋体"/>
      <w:color w:val="00B050"/>
      <w:sz w:val="24"/>
      <w:szCs w:val="24"/>
      <w:u w:val="none"/>
    </w:rPr>
  </w:style>
  <w:style w:type="character" w:customStyle="1" w:styleId="108">
    <w:name w:val=" Char Char Char Char Char Char Char Char Char"/>
    <w:qFormat/>
    <w:uiPriority w:val="0"/>
    <w:rPr>
      <w:rFonts w:ascii="宋体" w:eastAsia="宋体"/>
      <w:sz w:val="24"/>
      <w:lang w:val="en-US" w:eastAsia="zh-CN" w:bidi="ar-SA"/>
    </w:rPr>
  </w:style>
  <w:style w:type="character" w:customStyle="1" w:styleId="109">
    <w:name w:val=" Char Char5"/>
    <w:qFormat/>
    <w:locked/>
    <w:uiPriority w:val="0"/>
    <w:rPr>
      <w:rFonts w:ascii="宋体" w:eastAsia="宋体"/>
      <w:sz w:val="24"/>
      <w:szCs w:val="24"/>
      <w:lang w:val="en-US" w:eastAsia="zh-CN" w:bidi="ar-SA"/>
    </w:rPr>
  </w:style>
  <w:style w:type="character" w:customStyle="1" w:styleId="110">
    <w:name w:val="font41"/>
    <w:qFormat/>
    <w:uiPriority w:val="0"/>
    <w:rPr>
      <w:rFonts w:hint="eastAsia" w:ascii="宋体" w:hAnsi="宋体" w:eastAsia="宋体" w:cs="宋体"/>
      <w:color w:val="FF0000"/>
      <w:sz w:val="28"/>
      <w:szCs w:val="28"/>
      <w:u w:val="none"/>
    </w:rPr>
  </w:style>
  <w:style w:type="character" w:customStyle="1" w:styleId="111">
    <w:name w:val="font01"/>
    <w:qFormat/>
    <w:uiPriority w:val="0"/>
    <w:rPr>
      <w:rFonts w:hint="eastAsia" w:ascii="宋体" w:hAnsi="宋体" w:eastAsia="宋体" w:cs="宋体"/>
      <w:color w:val="000000"/>
      <w:sz w:val="28"/>
      <w:szCs w:val="28"/>
      <w:u w:val="none"/>
    </w:rPr>
  </w:style>
  <w:style w:type="character" w:customStyle="1" w:styleId="112">
    <w:name w:val="*正文 Char"/>
    <w:link w:val="113"/>
    <w:qFormat/>
    <w:locked/>
    <w:uiPriority w:val="0"/>
    <w:rPr>
      <w:rFonts w:ascii="仿宋" w:hAnsi="仿宋" w:eastAsia="仿宋" w:cs="仿宋"/>
      <w:color w:val="000000"/>
      <w:sz w:val="28"/>
      <w:szCs w:val="28"/>
    </w:rPr>
  </w:style>
  <w:style w:type="paragraph" w:customStyle="1" w:styleId="113">
    <w:name w:val="*正文"/>
    <w:basedOn w:val="1"/>
    <w:link w:val="112"/>
    <w:qFormat/>
    <w:uiPriority w:val="0"/>
    <w:pPr>
      <w:widowControl/>
      <w:spacing w:line="360" w:lineRule="auto"/>
      <w:ind w:firstLine="200" w:firstLineChars="200"/>
    </w:pPr>
    <w:rPr>
      <w:rFonts w:ascii="仿宋" w:hAnsi="仿宋" w:eastAsia="仿宋" w:cs="仿宋"/>
      <w:color w:val="000000"/>
      <w:kern w:val="0"/>
      <w:sz w:val="28"/>
      <w:szCs w:val="28"/>
    </w:rPr>
  </w:style>
  <w:style w:type="character" w:customStyle="1" w:styleId="114">
    <w:name w:val="Para head"/>
    <w:qFormat/>
    <w:uiPriority w:val="0"/>
    <w:rPr>
      <w:rFonts w:ascii="Arial" w:hAnsi="Arial" w:eastAsia="Times New Roman"/>
      <w:sz w:val="20"/>
    </w:rPr>
  </w:style>
  <w:style w:type="character" w:customStyle="1" w:styleId="115">
    <w:name w:val="font51"/>
    <w:qFormat/>
    <w:uiPriority w:val="0"/>
    <w:rPr>
      <w:rFonts w:hint="eastAsia" w:ascii="宋体" w:hAnsi="宋体" w:eastAsia="宋体" w:cs="宋体"/>
      <w:color w:val="000000"/>
      <w:sz w:val="24"/>
      <w:szCs w:val="24"/>
      <w:u w:val="none"/>
    </w:rPr>
  </w:style>
  <w:style w:type="paragraph" w:customStyle="1" w:styleId="1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17">
    <w:name w:val="菲页(卷)"/>
    <w:basedOn w:val="2"/>
    <w:next w:val="118"/>
    <w:qFormat/>
    <w:uiPriority w:val="0"/>
    <w:pPr>
      <w:widowControl/>
      <w:numPr>
        <w:ilvl w:val="0"/>
        <w:numId w:val="0"/>
      </w:numPr>
      <w:spacing w:line="240" w:lineRule="auto"/>
      <w:ind w:left="432" w:hanging="432"/>
      <w:outlineLvl w:val="1"/>
    </w:pPr>
    <w:rPr>
      <w:rFonts w:hint="eastAsia" w:ascii="黑体" w:eastAsia="黑体"/>
      <w:b w:val="0"/>
      <w:bCs w:val="0"/>
      <w:color w:val="auto"/>
      <w:kern w:val="0"/>
      <w:sz w:val="52"/>
    </w:rPr>
  </w:style>
  <w:style w:type="paragraph" w:customStyle="1" w:styleId="118">
    <w:name w:val="Normal"/>
    <w:basedOn w:val="119"/>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19">
    <w:name w:val="正文_0"/>
    <w:basedOn w:val="120"/>
    <w:next w:val="20"/>
    <w:qFormat/>
    <w:uiPriority w:val="0"/>
    <w:pPr>
      <w:widowControl w:val="0"/>
      <w:jc w:val="both"/>
    </w:pPr>
    <w:rPr>
      <w:kern w:val="2"/>
      <w:sz w:val="21"/>
      <w:szCs w:val="24"/>
      <w:lang w:val="en-US" w:eastAsia="zh-CN" w:bidi="ar-SA"/>
    </w:rPr>
  </w:style>
  <w:style w:type="paragraph" w:customStyle="1" w:styleId="120">
    <w:name w:val="正文_1"/>
    <w:next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列表_0"/>
    <w:basedOn w:val="120"/>
    <w:semiHidden/>
    <w:qFormat/>
    <w:locked/>
    <w:uiPriority w:val="0"/>
    <w:pPr>
      <w:ind w:left="200" w:hanging="200" w:hangingChars="200"/>
    </w:pPr>
  </w:style>
  <w:style w:type="paragraph" w:customStyle="1" w:styleId="122">
    <w:name w:val="xl4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125">
    <w:name w:val="附件"/>
    <w:basedOn w:val="1"/>
    <w:qFormat/>
    <w:uiPriority w:val="0"/>
    <w:pPr>
      <w:jc w:val="center"/>
    </w:pPr>
    <w:rPr>
      <w:rFonts w:ascii="宋体"/>
      <w:b/>
      <w:color w:val="000000"/>
      <w:sz w:val="36"/>
      <w:szCs w:val="36"/>
    </w:rPr>
  </w:style>
  <w:style w:type="paragraph" w:customStyle="1" w:styleId="126">
    <w:name w:val="样式 标题 2 + (西文) 方正书宋简体 (中文) 方正黑体简体 非加粗 黑色 行距: 固定值 15 磅1"/>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27">
    <w:name w:val="font10"/>
    <w:basedOn w:val="1"/>
    <w:qFormat/>
    <w:uiPriority w:val="0"/>
    <w:pPr>
      <w:widowControl/>
      <w:spacing w:before="100" w:beforeLines="0" w:beforeAutospacing="1" w:after="100" w:afterLines="0" w:afterAutospacing="1"/>
      <w:jc w:val="left"/>
    </w:pPr>
    <w:rPr>
      <w:rFonts w:eastAsia="Arial Unicode MS"/>
      <w:color w:val="000000"/>
      <w:kern w:val="0"/>
      <w:szCs w:val="21"/>
    </w:rPr>
  </w:style>
  <w:style w:type="paragraph" w:customStyle="1" w:styleId="128">
    <w:name w:val="searchare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 Char Char Char"/>
    <w:basedOn w:val="1"/>
    <w:qFormat/>
    <w:uiPriority w:val="0"/>
    <w:rPr>
      <w:rFonts w:ascii="Tahoma" w:hAnsi="Tahoma"/>
      <w:sz w:val="24"/>
    </w:r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31">
    <w:name w:val="样式1"/>
    <w:basedOn w:val="1"/>
    <w:qFormat/>
    <w:uiPriority w:val="0"/>
    <w:pPr>
      <w:spacing w:before="120" w:beforeLines="0" w:after="120" w:afterLines="0" w:line="300" w:lineRule="auto"/>
    </w:pPr>
    <w:rPr>
      <w:rFonts w:hint="eastAsia" w:ascii="宋体" w:hAnsi="宋体"/>
      <w:b/>
      <w:sz w:val="24"/>
    </w:rPr>
  </w:style>
  <w:style w:type="paragraph" w:customStyle="1" w:styleId="132">
    <w:name w:val="Char Char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33">
    <w:name w:val="font9"/>
    <w:basedOn w:val="1"/>
    <w:qFormat/>
    <w:uiPriority w:val="0"/>
    <w:pPr>
      <w:widowControl/>
      <w:spacing w:before="100" w:beforeLines="0" w:beforeAutospacing="1" w:after="100" w:afterLines="0" w:afterAutospacing="1"/>
      <w:jc w:val="left"/>
    </w:pPr>
    <w:rPr>
      <w:rFonts w:hint="eastAsia" w:ascii="宋体" w:hAnsi="宋体" w:cs="Arial Unicode MS"/>
      <w:kern w:val="0"/>
      <w:sz w:val="30"/>
      <w:szCs w:val="30"/>
    </w:rPr>
  </w:style>
  <w:style w:type="paragraph" w:customStyle="1" w:styleId="134">
    <w:name w:val="菲页2"/>
    <w:basedOn w:val="4"/>
    <w:qFormat/>
    <w:uiPriority w:val="0"/>
    <w:pPr>
      <w:widowControl/>
      <w:numPr>
        <w:ilvl w:val="2"/>
        <w:numId w:val="0"/>
      </w:numPr>
      <w:spacing w:before="120" w:beforeLines="0" w:after="120" w:afterLines="0" w:line="360" w:lineRule="auto"/>
      <w:ind w:left="720" w:hanging="720"/>
      <w:jc w:val="center"/>
    </w:pPr>
    <w:rPr>
      <w:rFonts w:hint="eastAsia" w:ascii="黑体" w:hAnsi="宋体" w:eastAsia="黑体"/>
      <w:b w:val="0"/>
      <w:bCs w:val="0"/>
      <w:kern w:val="0"/>
      <w:sz w:val="44"/>
      <w:szCs w:val="20"/>
    </w:rPr>
  </w:style>
  <w:style w:type="paragraph" w:customStyle="1" w:styleId="135">
    <w:name w:val="font5"/>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1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7">
    <w:name w:val="Char Char Char"/>
    <w:basedOn w:val="1"/>
    <w:qFormat/>
    <w:uiPriority w:val="0"/>
    <w:rPr>
      <w:rFonts w:ascii="Tahoma" w:hAnsi="Tahoma"/>
      <w:sz w:val="24"/>
    </w:rPr>
  </w:style>
  <w:style w:type="paragraph" w:customStyle="1" w:styleId="1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9">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0">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26"/>
      <w:szCs w:val="26"/>
    </w:rPr>
  </w:style>
  <w:style w:type="paragraph" w:customStyle="1" w:styleId="141">
    <w:name w:val="No Spacing"/>
    <w:qFormat/>
    <w:uiPriority w:val="0"/>
    <w:pPr>
      <w:widowControl w:val="0"/>
      <w:ind w:firstLine="200" w:firstLineChars="200"/>
      <w:jc w:val="both"/>
    </w:pPr>
    <w:rPr>
      <w:rFonts w:ascii="Times New Roman" w:hAnsi="Times New Roman" w:eastAsia="楷体" w:cs="Times New Roman"/>
      <w:kern w:val="2"/>
      <w:sz w:val="24"/>
      <w:szCs w:val="22"/>
      <w:lang w:val="en-US" w:eastAsia="zh-CN" w:bidi="ar-SA"/>
    </w:rPr>
  </w:style>
  <w:style w:type="paragraph" w:customStyle="1" w:styleId="142">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0"/>
    </w:rPr>
  </w:style>
  <w:style w:type="paragraph" w:customStyle="1" w:styleId="143">
    <w:name w:val="xl4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45">
    <w:name w:val="列出段落1"/>
    <w:basedOn w:val="1"/>
    <w:qFormat/>
    <w:uiPriority w:val="0"/>
    <w:pPr>
      <w:ind w:firstLine="420" w:firstLineChars="200"/>
    </w:pPr>
    <w:rPr>
      <w:rFonts w:ascii="Calibri" w:hAnsi="Calibri"/>
      <w:kern w:val="0"/>
      <w:sz w:val="20"/>
      <w:szCs w:val="22"/>
    </w:rPr>
  </w:style>
  <w:style w:type="paragraph" w:customStyle="1" w:styleId="146">
    <w:name w:val=" Char1 Char Char Char Char Char Char"/>
    <w:basedOn w:val="1"/>
    <w:qFormat/>
    <w:uiPriority w:val="0"/>
    <w:rPr>
      <w:rFonts w:ascii="Tahoma" w:hAnsi="Tahoma"/>
      <w:sz w:val="24"/>
    </w:rPr>
  </w:style>
  <w:style w:type="paragraph" w:customStyle="1" w:styleId="14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9">
    <w:name w:val="正文 1.1.1"/>
    <w:basedOn w:val="1"/>
    <w:next w:val="1"/>
    <w:qFormat/>
    <w:uiPriority w:val="0"/>
    <w:pPr>
      <w:adjustRightInd w:val="0"/>
      <w:spacing w:line="360" w:lineRule="auto"/>
      <w:ind w:left="142"/>
      <w:jc w:val="left"/>
      <w:textAlignment w:val="baseline"/>
      <w:outlineLvl w:val="2"/>
    </w:pPr>
    <w:rPr>
      <w:rFonts w:ascii="宋体" w:hAnsi="宋体"/>
      <w:color w:val="FF0000"/>
      <w:kern w:val="0"/>
      <w:sz w:val="28"/>
      <w:szCs w:val="21"/>
    </w:rPr>
  </w:style>
  <w:style w:type="paragraph" w:customStyle="1" w:styleId="150">
    <w:name w:val="xl4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1">
    <w:name w:val="xl49"/>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3">
    <w:name w:val="xl47"/>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5">
    <w:name w:val="xl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6">
    <w:name w:val=" Char"/>
    <w:basedOn w:val="1"/>
    <w:qFormat/>
    <w:uiPriority w:val="0"/>
    <w:rPr>
      <w:szCs w:val="24"/>
    </w:rPr>
  </w:style>
  <w:style w:type="paragraph" w:customStyle="1" w:styleId="157">
    <w:name w:val="font11"/>
    <w:basedOn w:val="1"/>
    <w:qFormat/>
    <w:uiPriority w:val="0"/>
    <w:pPr>
      <w:widowControl/>
      <w:spacing w:before="100" w:beforeLines="0" w:beforeAutospacing="1" w:after="100" w:afterLines="0" w:afterAutospacing="1"/>
      <w:jc w:val="left"/>
    </w:pPr>
    <w:rPr>
      <w:rFonts w:hint="eastAsia" w:ascii="宋体" w:hAnsi="宋体" w:cs="Arial Unicode MS"/>
      <w:color w:val="000000"/>
      <w:kern w:val="0"/>
      <w:sz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16"/>
      <w:szCs w:val="16"/>
    </w:rPr>
  </w:style>
  <w:style w:type="paragraph" w:customStyle="1" w:styleId="159">
    <w:name w:val="样式一"/>
    <w:basedOn w:val="1"/>
    <w:qFormat/>
    <w:uiPriority w:val="0"/>
    <w:pPr>
      <w:autoSpaceDE w:val="0"/>
      <w:autoSpaceDN w:val="0"/>
      <w:adjustRightInd w:val="0"/>
      <w:spacing w:line="360" w:lineRule="auto"/>
      <w:textAlignment w:val="baseline"/>
    </w:pPr>
    <w:rPr>
      <w:rFonts w:ascii="宋体" w:hAnsi="宋体"/>
      <w:kern w:val="0"/>
      <w:sz w:val="24"/>
      <w:lang w:val="en-GB"/>
    </w:rPr>
  </w:style>
  <w:style w:type="paragraph" w:customStyle="1" w:styleId="160">
    <w:name w:val="封面2"/>
    <w:basedOn w:val="1"/>
    <w:qFormat/>
    <w:uiPriority w:val="0"/>
    <w:pPr>
      <w:adjustRightInd w:val="0"/>
      <w:spacing w:line="400" w:lineRule="exact"/>
      <w:ind w:firstLine="480" w:firstLineChars="200"/>
      <w:textAlignment w:val="baseline"/>
    </w:pPr>
    <w:rPr>
      <w:kern w:val="0"/>
      <w:sz w:val="32"/>
      <w:szCs w:val="34"/>
    </w:rPr>
  </w:style>
  <w:style w:type="paragraph" w:customStyle="1" w:styleId="161">
    <w:name w:val="Char Char Char Char Char Char Char Char Char Char Char Char Char"/>
    <w:basedOn w:val="1"/>
    <w:qFormat/>
    <w:uiPriority w:val="0"/>
    <w:rPr>
      <w:rFonts w:ascii="仿宋_GB2312" w:eastAsia="仿宋_GB2312"/>
      <w:b/>
      <w:sz w:val="32"/>
      <w:szCs w:val="32"/>
    </w:rPr>
  </w:style>
  <w:style w:type="paragraph" w:customStyle="1" w:styleId="162">
    <w:name w:val="Plain Text"/>
    <w:basedOn w:val="1"/>
    <w:qFormat/>
    <w:uiPriority w:val="0"/>
    <w:pPr>
      <w:adjustRightInd w:val="0"/>
    </w:pPr>
  </w:style>
  <w:style w:type="paragraph" w:customStyle="1" w:styleId="1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64">
    <w:name w:val="目录文字"/>
    <w:basedOn w:val="1"/>
    <w:qFormat/>
    <w:uiPriority w:val="0"/>
    <w:pPr>
      <w:widowControl/>
      <w:spacing w:line="480" w:lineRule="auto"/>
      <w:jc w:val="left"/>
    </w:pPr>
    <w:rPr>
      <w:rFonts w:hint="eastAsia" w:ascii="宋体" w:hAnsi="宋体"/>
      <w:kern w:val="0"/>
      <w:sz w:val="24"/>
    </w:rPr>
  </w:style>
  <w:style w:type="paragraph" w:customStyle="1" w:styleId="165">
    <w:name w:val="font1"/>
    <w:basedOn w:val="1"/>
    <w:qFormat/>
    <w:uiPriority w:val="0"/>
    <w:pPr>
      <w:widowControl/>
      <w:spacing w:before="100" w:beforeLines="0" w:beforeAutospacing="1" w:after="100" w:afterLines="0" w:afterAutospacing="1"/>
      <w:jc w:val="left"/>
    </w:pPr>
    <w:rPr>
      <w:rFonts w:hint="eastAsia" w:ascii="宋体" w:hAnsi="宋体" w:cs="Arial Unicode MS"/>
      <w:kern w:val="0"/>
      <w:sz w:val="24"/>
      <w:szCs w:val="24"/>
    </w:rPr>
  </w:style>
  <w:style w:type="paragraph" w:customStyle="1" w:styleId="166">
    <w:name w:val="标准段"/>
    <w:basedOn w:val="1"/>
    <w:qFormat/>
    <w:uiPriority w:val="0"/>
    <w:pPr>
      <w:widowControl/>
      <w:overflowPunct w:val="0"/>
      <w:autoSpaceDE w:val="0"/>
      <w:adjustRightInd w:val="0"/>
      <w:snapToGrid w:val="0"/>
      <w:spacing w:before="100" w:beforeLines="0" w:after="100" w:afterLines="0"/>
      <w:ind w:left="718" w:right="26"/>
      <w:textAlignment w:val="baseline"/>
    </w:pPr>
    <w:rPr>
      <w:color w:val="000000"/>
      <w:kern w:val="0"/>
      <w:sz w:val="24"/>
    </w:rPr>
  </w:style>
  <w:style w:type="paragraph" w:customStyle="1" w:styleId="16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paragraph" w:customStyle="1" w:styleId="168">
    <w:name w:val="font8"/>
    <w:basedOn w:val="1"/>
    <w:qFormat/>
    <w:uiPriority w:val="0"/>
    <w:pPr>
      <w:widowControl/>
      <w:spacing w:before="100" w:beforeLines="0" w:beforeAutospacing="1" w:after="100" w:afterLines="0" w:afterAutospacing="1"/>
      <w:jc w:val="left"/>
    </w:pPr>
    <w:rPr>
      <w:rFonts w:eastAsia="Arial Unicode MS"/>
      <w:kern w:val="0"/>
      <w:sz w:val="30"/>
      <w:szCs w:val="30"/>
    </w:rPr>
  </w:style>
  <w:style w:type="paragraph" w:customStyle="1" w:styleId="169">
    <w:name w:val="章标题"/>
    <w:next w:val="1"/>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1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Arial Unicode MS"/>
      <w:kern w:val="0"/>
      <w:sz w:val="26"/>
      <w:szCs w:val="26"/>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Arial Unicode MS"/>
      <w:kern w:val="0"/>
      <w:sz w:val="26"/>
      <w:szCs w:val="26"/>
    </w:rPr>
  </w:style>
  <w:style w:type="paragraph" w:customStyle="1" w:styleId="1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73">
    <w:name w:val="."/>
    <w:basedOn w:val="1"/>
    <w:qFormat/>
    <w:uiPriority w:val="0"/>
    <w:pPr>
      <w:widowControl/>
      <w:tabs>
        <w:tab w:val="left" w:pos="360"/>
      </w:tabs>
      <w:ind w:left="360" w:hanging="360"/>
      <w:jc w:val="left"/>
    </w:pPr>
    <w:rPr>
      <w:kern w:val="0"/>
      <w:sz w:val="20"/>
    </w:rPr>
  </w:style>
  <w:style w:type="paragraph" w:customStyle="1" w:styleId="17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75">
    <w:name w:val="1.1"/>
    <w:basedOn w:val="1"/>
    <w:qFormat/>
    <w:uiPriority w:val="0"/>
    <w:pPr>
      <w:spacing w:line="360" w:lineRule="auto"/>
      <w:ind w:left="1" w:hanging="1"/>
    </w:pPr>
    <w:rPr>
      <w:rFonts w:ascii="宋体" w:hAnsi="宋体"/>
      <w:b/>
      <w:bCs/>
      <w:color w:val="000000"/>
      <w:sz w:val="24"/>
      <w:szCs w:val="24"/>
      <w:u w:val="none" w:color="FF0000"/>
    </w:rPr>
  </w:style>
  <w:style w:type="paragraph" w:customStyle="1" w:styleId="176">
    <w:name w:val="xl4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77">
    <w:name w:val="样式 标题 2 + (西文) 方正书宋简体 (中文) 方正黑体简体 非加粗 黑色 段前: 0 磅 段后: 0 磅 行..."/>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78">
    <w:name w:val="font6"/>
    <w:basedOn w:val="1"/>
    <w:qFormat/>
    <w:uiPriority w:val="0"/>
    <w:pPr>
      <w:widowControl/>
      <w:spacing w:before="100" w:beforeLines="0" w:beforeAutospacing="1" w:after="100" w:afterLines="0" w:afterAutospacing="1"/>
      <w:jc w:val="left"/>
    </w:pPr>
    <w:rPr>
      <w:rFonts w:eastAsia="Arial Unicode MS"/>
      <w:kern w:val="0"/>
      <w:sz w:val="26"/>
      <w:szCs w:val="26"/>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kern w:val="0"/>
      <w:szCs w:val="21"/>
    </w:rPr>
  </w:style>
  <w:style w:type="paragraph" w:customStyle="1" w:styleId="180">
    <w:name w:val="默认段落字体 Para Char Char Char Char Char Char Char Char Char Char"/>
    <w:basedOn w:val="1"/>
    <w:qFormat/>
    <w:uiPriority w:val="0"/>
    <w:rPr>
      <w:rFonts w:ascii="Tahoma" w:hAnsi="Tahoma"/>
      <w:sz w:val="24"/>
    </w:rPr>
  </w:style>
  <w:style w:type="paragraph" w:customStyle="1" w:styleId="181">
    <w:name w:val=" Char Char Char Char Char Char Char Char Char Char Char Char Char"/>
    <w:basedOn w:val="1"/>
    <w:qFormat/>
    <w:uiPriority w:val="0"/>
    <w:rPr>
      <w:rFonts w:ascii="仿宋_GB2312" w:eastAsia="仿宋_GB2312"/>
      <w:b/>
      <w:sz w:val="32"/>
      <w:szCs w:val="32"/>
    </w:rPr>
  </w:style>
  <w:style w:type="paragraph" w:customStyle="1" w:styleId="182">
    <w:name w:val="font12"/>
    <w:basedOn w:val="1"/>
    <w:qFormat/>
    <w:uiPriority w:val="0"/>
    <w:pPr>
      <w:widowControl/>
      <w:spacing w:before="100" w:beforeLines="0" w:beforeAutospacing="1" w:after="100" w:afterLines="0" w:afterAutospacing="1"/>
      <w:jc w:val="left"/>
    </w:pPr>
    <w:rPr>
      <w:rFonts w:hint="eastAsia" w:ascii="宋体" w:hAnsi="宋体" w:cs="Arial Unicode MS"/>
      <w:b/>
      <w:bCs/>
      <w:color w:val="000000"/>
      <w:kern w:val="0"/>
      <w:sz w:val="20"/>
    </w:rPr>
  </w:style>
  <w:style w:type="paragraph" w:customStyle="1" w:styleId="183">
    <w:name w:val="Blockquote"/>
    <w:basedOn w:val="1"/>
    <w:qFormat/>
    <w:uiPriority w:val="0"/>
    <w:pPr>
      <w:autoSpaceDE w:val="0"/>
      <w:autoSpaceDN w:val="0"/>
      <w:adjustRightInd w:val="0"/>
      <w:spacing w:before="100" w:after="100"/>
      <w:ind w:left="250" w:right="720"/>
      <w:jc w:val="left"/>
    </w:pPr>
    <w:rPr>
      <w:rFonts w:ascii="宋体" w:hAnsi="宋体"/>
      <w:color w:val="000080"/>
      <w:kern w:val="0"/>
      <w:sz w:val="24"/>
      <w:u w:val="single"/>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8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color w:val="000000"/>
      <w:kern w:val="0"/>
      <w:sz w:val="26"/>
      <w:szCs w:val="26"/>
    </w:rPr>
  </w:style>
  <w:style w:type="paragraph" w:customStyle="1" w:styleId="186">
    <w:name w:val="1111 Char Char Char Char"/>
    <w:basedOn w:val="1"/>
    <w:qFormat/>
    <w:uiPriority w:val="0"/>
    <w:pPr>
      <w:spacing w:line="360" w:lineRule="auto"/>
      <w:ind w:firstLine="560" w:firstLineChars="200"/>
    </w:pPr>
  </w:style>
  <w:style w:type="paragraph" w:customStyle="1" w:styleId="187">
    <w:name w:val="xl2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eastAsia="Arial Unicode MS"/>
      <w:kern w:val="0"/>
      <w:szCs w:val="21"/>
    </w:rPr>
  </w:style>
  <w:style w:type="paragraph" w:customStyle="1" w:styleId="188">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hAnsi="宋体" w:eastAsia="方正小标宋简体" w:cs="宋体"/>
      <w:b w:val="0"/>
      <w:bCs w:val="0"/>
      <w:color w:val="000000"/>
      <w:sz w:val="21"/>
      <w:szCs w:val="20"/>
    </w:rPr>
  </w:style>
  <w:style w:type="paragraph" w:customStyle="1" w:styleId="189">
    <w:name w:val="目录"/>
    <w:basedOn w:val="1"/>
    <w:qFormat/>
    <w:uiPriority w:val="0"/>
    <w:pPr>
      <w:widowControl/>
      <w:jc w:val="center"/>
    </w:pPr>
    <w:rPr>
      <w:rFonts w:hint="eastAsia" w:ascii="宋体"/>
      <w:b/>
      <w:kern w:val="0"/>
      <w:sz w:val="36"/>
    </w:rPr>
  </w:style>
  <w:style w:type="paragraph" w:customStyle="1" w:styleId="190">
    <w:name w:val="_Style 189"/>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cs="Times New Roman"/>
      <w:color w:val="365F91"/>
      <w:kern w:val="0"/>
      <w:sz w:val="28"/>
      <w:szCs w:val="28"/>
    </w:rPr>
  </w:style>
  <w:style w:type="paragraph" w:customStyle="1" w:styleId="191">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192">
    <w:name w:val="文章标题"/>
    <w:basedOn w:val="1"/>
    <w:qFormat/>
    <w:uiPriority w:val="0"/>
    <w:pPr>
      <w:spacing w:line="480" w:lineRule="auto"/>
      <w:ind w:firstLine="541" w:firstLineChars="150"/>
    </w:pPr>
    <w:rPr>
      <w:rFonts w:ascii="宋体" w:hAnsi="宋体"/>
      <w:b/>
      <w:bCs/>
      <w:sz w:val="36"/>
    </w:rPr>
  </w:style>
  <w:style w:type="paragraph" w:customStyle="1" w:styleId="193">
    <w:name w:val="示例"/>
    <w:next w:val="1"/>
    <w:qFormat/>
    <w:uiPriority w:val="0"/>
    <w:pPr>
      <w:tabs>
        <w:tab w:val="left" w:pos="360"/>
      </w:tabs>
      <w:jc w:val="both"/>
    </w:pPr>
    <w:rPr>
      <w:rFonts w:ascii="宋体" w:hAnsi="Times New Roman" w:eastAsia="宋体" w:cs="宋体"/>
      <w:sz w:val="18"/>
      <w:szCs w:val="18"/>
      <w:lang w:val="en-US" w:eastAsia="zh-CN" w:bidi="ar-SA"/>
    </w:rPr>
  </w:style>
  <w:style w:type="paragraph" w:customStyle="1" w:styleId="19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95">
    <w:name w:val="封面"/>
    <w:basedOn w:val="1"/>
    <w:qFormat/>
    <w:uiPriority w:val="0"/>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196">
    <w:name w:val="1 Char Char Char Char"/>
    <w:basedOn w:val="1"/>
    <w:qFormat/>
    <w:uiPriority w:val="0"/>
    <w:rPr>
      <w:rFonts w:ascii="Tahoma" w:hAnsi="Tahoma"/>
      <w:sz w:val="24"/>
    </w:rPr>
  </w:style>
  <w:style w:type="paragraph" w:customStyle="1" w:styleId="197">
    <w:name w:val="一"/>
    <w:basedOn w:val="1"/>
    <w:qFormat/>
    <w:uiPriority w:val="0"/>
    <w:pPr>
      <w:tabs>
        <w:tab w:val="left" w:pos="840"/>
      </w:tabs>
      <w:ind w:left="840" w:hanging="360"/>
    </w:pPr>
    <w:rPr>
      <w:rFonts w:eastAsia="黑体"/>
      <w:b/>
      <w:sz w:val="24"/>
    </w:rPr>
  </w:style>
  <w:style w:type="paragraph" w:customStyle="1" w:styleId="198">
    <w:name w:val="菲页1"/>
    <w:basedOn w:val="3"/>
    <w:qFormat/>
    <w:uiPriority w:val="0"/>
    <w:pPr>
      <w:widowControl/>
      <w:spacing w:line="240" w:lineRule="auto"/>
      <w:jc w:val="center"/>
    </w:pPr>
    <w:rPr>
      <w:rFonts w:ascii="黑体" w:hAnsi="宋体"/>
      <w:b w:val="0"/>
      <w:kern w:val="0"/>
      <w:sz w:val="52"/>
      <w:szCs w:val="44"/>
    </w:rPr>
  </w:style>
  <w:style w:type="paragraph" w:customStyle="1" w:styleId="199">
    <w:name w:val="Body text|1"/>
    <w:basedOn w:val="1"/>
    <w:qFormat/>
    <w:uiPriority w:val="0"/>
    <w:pPr>
      <w:spacing w:line="480" w:lineRule="auto"/>
      <w:ind w:firstLine="400"/>
    </w:pPr>
    <w:rPr>
      <w:rFonts w:ascii="MingLiU" w:hAnsi="MingLiU" w:eastAsia="MingLiU" w:cs="MingLiU"/>
      <w:sz w:val="19"/>
      <w:szCs w:val="19"/>
      <w:lang w:val="zh-TW" w:eastAsia="zh-TW" w:bidi="zh-TW"/>
    </w:rPr>
  </w:style>
  <w:style w:type="paragraph" w:customStyle="1" w:styleId="200">
    <w:name w:val="正文缩进1"/>
    <w:basedOn w:val="1"/>
    <w:qFormat/>
    <w:uiPriority w:val="0"/>
    <w:pPr>
      <w:ind w:firstLine="420" w:firstLineChars="200"/>
    </w:pPr>
  </w:style>
  <w:style w:type="paragraph" w:customStyle="1" w:styleId="201">
    <w:name w:val="目录 53"/>
    <w:basedOn w:val="1"/>
    <w:next w:val="1"/>
    <w:qFormat/>
    <w:uiPriority w:val="0"/>
    <w:pPr>
      <w:ind w:left="840"/>
    </w:pPr>
    <w:rPr>
      <w:sz w:val="18"/>
    </w:rPr>
  </w:style>
  <w:style w:type="paragraph" w:customStyle="1" w:styleId="202">
    <w:name w:val="Normal_1"/>
    <w:qFormat/>
    <w:uiPriority w:val="0"/>
    <w:rPr>
      <w:rFonts w:ascii="Times New Roman" w:hAnsi="Times New Roman" w:eastAsia="Times New Roman" w:cs="Times New Roman"/>
      <w:sz w:val="24"/>
      <w:szCs w:val="24"/>
      <w:lang w:bidi="ar-SA"/>
    </w:rPr>
  </w:style>
  <w:style w:type="paragraph" w:customStyle="1" w:styleId="20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204">
    <w:name w:val="Normal_0"/>
    <w:qFormat/>
    <w:uiPriority w:val="0"/>
    <w:rPr>
      <w:rFonts w:ascii="Times New Roman" w:hAnsi="Times New Roman" w:eastAsia="Times New Roman" w:cs="Times New Roman"/>
      <w:sz w:val="24"/>
      <w:szCs w:val="24"/>
      <w:lang w:val="en-US" w:eastAsia="zh-CN" w:bidi="ar-SA"/>
    </w:rPr>
  </w:style>
  <w:style w:type="paragraph" w:customStyle="1" w:styleId="20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6">
    <w:name w:val="p0"/>
    <w:basedOn w:val="1"/>
    <w:next w:val="33"/>
    <w:qFormat/>
    <w:uiPriority w:val="0"/>
    <w:pPr>
      <w:widowControl/>
    </w:pPr>
    <w:rPr>
      <w:rFonts w:ascii="Times New Roman" w:hAnsi="Times New Roman"/>
      <w:kern w:val="0"/>
      <w:szCs w:val="21"/>
    </w:rPr>
  </w:style>
  <w:style w:type="paragraph" w:customStyle="1" w:styleId="207">
    <w:name w:val="脚注文本_0"/>
    <w:basedOn w:val="208"/>
    <w:next w:val="217"/>
    <w:unhideWhenUsed/>
    <w:qFormat/>
    <w:uiPriority w:val="99"/>
    <w:pPr>
      <w:snapToGrid w:val="0"/>
      <w:jc w:val="left"/>
    </w:pPr>
    <w:rPr>
      <w:rFonts w:ascii="Calibri" w:hAnsi="Calibri" w:eastAsia="Calibri"/>
      <w:sz w:val="18"/>
    </w:rPr>
  </w:style>
  <w:style w:type="paragraph" w:customStyle="1" w:styleId="208">
    <w:name w:val="正文_0_2"/>
    <w:basedOn w:val="209"/>
    <w:next w:val="2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正文_2_1"/>
    <w:basedOn w:val="210"/>
    <w:next w:val="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No Spacing_0"/>
    <w:basedOn w:val="212"/>
    <w:qFormat/>
    <w:uiPriority w:val="1"/>
  </w:style>
  <w:style w:type="paragraph" w:customStyle="1" w:styleId="212">
    <w:name w:val="正文_5"/>
    <w:basedOn w:val="213"/>
    <w:next w:val="215"/>
    <w:qFormat/>
    <w:uiPriority w:val="0"/>
    <w:pPr>
      <w:widowControl w:val="0"/>
      <w:jc w:val="both"/>
    </w:pPr>
    <w:rPr>
      <w:rFonts w:ascii="Calibri" w:hAnsi="Calibri"/>
      <w:kern w:val="2"/>
      <w:sz w:val="21"/>
      <w:szCs w:val="22"/>
      <w:lang w:val="en-US" w:eastAsia="zh-CN" w:bidi="ar-SA"/>
    </w:rPr>
  </w:style>
  <w:style w:type="paragraph" w:customStyle="1" w:styleId="213">
    <w:name w:val="正文_6"/>
    <w:next w:val="2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列表_1"/>
    <w:basedOn w:val="213"/>
    <w:semiHidden/>
    <w:qFormat/>
    <w:locked/>
    <w:uiPriority w:val="0"/>
    <w:pPr>
      <w:ind w:left="200" w:hanging="200" w:hangingChars="200"/>
    </w:pPr>
  </w:style>
  <w:style w:type="paragraph" w:customStyle="1" w:styleId="215">
    <w:name w:val="段_0"/>
    <w:next w:val="21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16">
    <w:name w:val="页脚_0_0"/>
    <w:basedOn w:val="208"/>
    <w:unhideWhenUsed/>
    <w:qFormat/>
    <w:uiPriority w:val="99"/>
    <w:pPr>
      <w:tabs>
        <w:tab w:val="center" w:pos="4153"/>
        <w:tab w:val="right" w:pos="8306"/>
      </w:tabs>
      <w:snapToGrid w:val="0"/>
      <w:jc w:val="left"/>
    </w:pPr>
    <w:rPr>
      <w:sz w:val="18"/>
      <w:szCs w:val="18"/>
    </w:rPr>
  </w:style>
  <w:style w:type="paragraph" w:customStyle="1" w:styleId="217">
    <w:name w:val="正文_2"/>
    <w:basedOn w:val="120"/>
    <w:next w:val="218"/>
    <w:qFormat/>
    <w:uiPriority w:val="0"/>
    <w:pPr>
      <w:widowControl w:val="0"/>
      <w:jc w:val="both"/>
    </w:pPr>
    <w:rPr>
      <w:rFonts w:ascii="Calibri" w:hAnsi="Calibri"/>
      <w:kern w:val="2"/>
      <w:sz w:val="21"/>
      <w:szCs w:val="22"/>
      <w:lang w:val="en-US" w:eastAsia="zh-CN" w:bidi="ar-SA"/>
    </w:rPr>
  </w:style>
  <w:style w:type="paragraph" w:customStyle="1" w:styleId="218">
    <w:name w:val="首行缩进"/>
    <w:basedOn w:val="219"/>
    <w:qFormat/>
    <w:uiPriority w:val="0"/>
    <w:pPr>
      <w:ind w:firstLine="480" w:firstLineChars="200"/>
    </w:pPr>
    <w:rPr>
      <w:rFonts w:ascii="Calibri" w:hAnsi="Calibri"/>
      <w:lang w:val="zh-CN"/>
    </w:rPr>
  </w:style>
  <w:style w:type="paragraph" w:customStyle="1" w:styleId="219">
    <w:name w:val="正文_4"/>
    <w:basedOn w:val="220"/>
    <w:next w:val="218"/>
    <w:qFormat/>
    <w:uiPriority w:val="0"/>
    <w:pPr>
      <w:widowControl w:val="0"/>
      <w:jc w:val="both"/>
    </w:pPr>
    <w:rPr>
      <w:rFonts w:ascii="Calibri" w:hAnsi="Calibri"/>
      <w:kern w:val="2"/>
      <w:sz w:val="21"/>
      <w:szCs w:val="22"/>
      <w:lang w:val="en-US" w:eastAsia="zh-CN" w:bidi="ar-SA"/>
    </w:rPr>
  </w:style>
  <w:style w:type="paragraph" w:customStyle="1" w:styleId="220">
    <w:name w:val="正文_0_1"/>
    <w:basedOn w:val="208"/>
    <w:next w:val="221"/>
    <w:qFormat/>
    <w:uiPriority w:val="0"/>
    <w:pPr>
      <w:widowControl w:val="0"/>
      <w:jc w:val="both"/>
    </w:pPr>
    <w:rPr>
      <w:kern w:val="2"/>
      <w:sz w:val="21"/>
      <w:szCs w:val="24"/>
      <w:lang w:val="en-US" w:eastAsia="zh-CN" w:bidi="ar-SA"/>
    </w:rPr>
  </w:style>
  <w:style w:type="paragraph" w:customStyle="1" w:styleId="221">
    <w:name w:val="页脚_0"/>
    <w:basedOn w:val="119"/>
    <w:unhideWhenUsed/>
    <w:qFormat/>
    <w:uiPriority w:val="99"/>
    <w:pPr>
      <w:tabs>
        <w:tab w:val="center" w:pos="4153"/>
        <w:tab w:val="right" w:pos="8306"/>
      </w:tabs>
      <w:snapToGrid w:val="0"/>
      <w:jc w:val="left"/>
    </w:pPr>
    <w:rPr>
      <w:sz w:val="18"/>
      <w:szCs w:val="18"/>
    </w:rPr>
  </w:style>
  <w:style w:type="table" w:customStyle="1" w:styleId="222">
    <w:name w:val="Table Normal"/>
    <w:unhideWhenUsed/>
    <w:qFormat/>
    <w:uiPriority w:val="0"/>
    <w:tblPr>
      <w:tblCellMar>
        <w:top w:w="0" w:type="dxa"/>
        <w:left w:w="0" w:type="dxa"/>
        <w:bottom w:w="0" w:type="dxa"/>
        <w:right w:w="0" w:type="dxa"/>
      </w:tblCellMar>
    </w:tblPr>
  </w:style>
  <w:style w:type="paragraph" w:customStyle="1" w:styleId="22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18197</Words>
  <Characters>19500</Characters>
  <Lines>809</Lines>
  <Paragraphs>227</Paragraphs>
  <TotalTime>57</TotalTime>
  <ScaleCrop>false</ScaleCrop>
  <LinksUpToDate>false</LinksUpToDate>
  <CharactersWithSpaces>20595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2020-07-07T08:31:00Z</dcterms:created>
  <dc:creator>李响(业务二部lixiang)</dc:creator>
  <cp:lastModifiedBy>侯亚娟</cp:lastModifiedBy>
  <cp:lastPrinted>2025-05-19T04:36:00Z</cp:lastPrinted>
  <dcterms:modified xsi:type="dcterms:W3CDTF">2025-07-03T08:45:03Z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8ECD66C9BE8148CEAEEE39CE25F749A8_13</vt:lpwstr>
  </property>
  <property fmtid="{D5CDD505-2E9C-101B-9397-08002B2CF9AE}" pid="4" name="commondata">
    <vt:lpwstr>eyJoZGlkIjoiNjllOWRlMzI1NzQ2MThlZTY5M2M3ZjJlOTZlOGIwYzMifQ==</vt:lpwstr>
  </property>
  <property fmtid="{D5CDD505-2E9C-101B-9397-08002B2CF9AE}" pid="5" name="KSOTemplateDocerSaveRecord">
    <vt:lpwstr>eyJoZGlkIjoiODcxNDA3MTE0ZWM3M2YyOWMzYzBlZDYwOTkyN2YzOGUiLCJ1c2VySWQiOiIyNDUwMzA0NzMifQ==</vt:lpwstr>
  </property>
</Properties>
</file>