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CF25EF5">
      <w:pPr>
        <w:jc w:val="center"/>
        <w:rPr>
          <w:rFonts w:hint="eastAsia" w:ascii="宋体" w:hAnsi="宋体" w:eastAsia="宋体" w:cs="宋体"/>
          <w:color w:val="auto"/>
          <w:sz w:val="36"/>
          <w:szCs w:val="36"/>
          <w:highlight w:val="none"/>
        </w:rPr>
      </w:pPr>
    </w:p>
    <w:p w14:paraId="536A2B19">
      <w:pPr>
        <w:jc w:val="center"/>
        <w:rPr>
          <w:rFonts w:hint="eastAsia" w:ascii="宋体" w:hAnsi="宋体" w:eastAsia="宋体" w:cs="宋体"/>
          <w:b/>
          <w:color w:val="auto"/>
          <w:sz w:val="48"/>
          <w:szCs w:val="48"/>
          <w:highlight w:val="none"/>
        </w:rPr>
      </w:pPr>
    </w:p>
    <w:p w14:paraId="0FC15126">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84"/>
          <w:szCs w:val="84"/>
          <w:highlight w:val="none"/>
        </w:rPr>
        <w:t>竞争性磋商</w:t>
      </w:r>
      <w:bookmarkStart w:id="426" w:name="_GoBack"/>
      <w:bookmarkEnd w:id="426"/>
      <w:r>
        <w:rPr>
          <w:rFonts w:hint="eastAsia" w:ascii="宋体" w:hAnsi="宋体" w:eastAsia="宋体" w:cs="宋体"/>
          <w:b/>
          <w:color w:val="auto"/>
          <w:sz w:val="84"/>
          <w:szCs w:val="84"/>
          <w:highlight w:val="none"/>
        </w:rPr>
        <w:t>文件</w:t>
      </w:r>
    </w:p>
    <w:p w14:paraId="47F24E4E">
      <w:pPr>
        <w:pStyle w:val="13"/>
        <w:spacing w:before="120" w:after="120"/>
        <w:ind w:firstLine="880"/>
        <w:jc w:val="center"/>
        <w:rPr>
          <w:rFonts w:hint="eastAsia" w:ascii="宋体" w:hAnsi="宋体" w:eastAsia="宋体" w:cs="宋体"/>
          <w:bCs/>
          <w:color w:val="auto"/>
          <w:sz w:val="44"/>
          <w:highlight w:val="none"/>
        </w:rPr>
      </w:pPr>
    </w:p>
    <w:p w14:paraId="6CC53A52">
      <w:pPr>
        <w:tabs>
          <w:tab w:val="left" w:pos="2700"/>
          <w:tab w:val="left" w:pos="3584"/>
        </w:tabs>
        <w:spacing w:line="360" w:lineRule="auto"/>
        <w:rPr>
          <w:rFonts w:hint="eastAsia" w:ascii="宋体" w:hAnsi="宋体" w:eastAsia="宋体" w:cs="宋体"/>
          <w:b/>
          <w:bCs/>
          <w:color w:val="auto"/>
          <w:sz w:val="44"/>
          <w:highlight w:val="none"/>
        </w:rPr>
      </w:pPr>
    </w:p>
    <w:p w14:paraId="3B0D7378">
      <w:pPr>
        <w:spacing w:line="360" w:lineRule="auto"/>
        <w:jc w:val="center"/>
        <w:rPr>
          <w:rFonts w:hint="eastAsia" w:ascii="宋体" w:hAnsi="宋体" w:eastAsia="宋体" w:cs="宋体"/>
          <w:b/>
          <w:color w:val="auto"/>
          <w:sz w:val="72"/>
          <w:highlight w:val="none"/>
        </w:rPr>
      </w:pPr>
      <w:r>
        <w:rPr>
          <w:rFonts w:hint="eastAsia" w:ascii="宋体" w:hAnsi="宋体" w:eastAsia="宋体" w:cs="宋体"/>
          <w:bCs/>
          <w:color w:val="auto"/>
          <w:sz w:val="44"/>
          <w:highlight w:val="none"/>
          <w:lang w:eastAsia="zh-CN"/>
        </w:rPr>
        <w:drawing>
          <wp:inline distT="0" distB="0" distL="114300" distR="114300">
            <wp:extent cx="2843530" cy="2416810"/>
            <wp:effectExtent l="0" t="0" r="1270" b="8890"/>
            <wp:docPr id="1" name="图片 5" descr="公司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公司logo1"/>
                    <pic:cNvPicPr>
                      <a:picLocks noChangeAspect="1"/>
                    </pic:cNvPicPr>
                  </pic:nvPicPr>
                  <pic:blipFill>
                    <a:blip r:embed="rId18"/>
                    <a:stretch>
                      <a:fillRect/>
                    </a:stretch>
                  </pic:blipFill>
                  <pic:spPr>
                    <a:xfrm>
                      <a:off x="0" y="0"/>
                      <a:ext cx="2843530" cy="2416810"/>
                    </a:xfrm>
                    <a:prstGeom prst="rect">
                      <a:avLst/>
                    </a:prstGeom>
                    <a:noFill/>
                    <a:ln>
                      <a:noFill/>
                    </a:ln>
                  </pic:spPr>
                </pic:pic>
              </a:graphicData>
            </a:graphic>
          </wp:inline>
        </w:drawing>
      </w:r>
    </w:p>
    <w:p w14:paraId="133A2D02">
      <w:pPr>
        <w:spacing w:line="360" w:lineRule="auto"/>
        <w:jc w:val="center"/>
        <w:rPr>
          <w:rFonts w:hint="eastAsia" w:ascii="宋体" w:hAnsi="宋体" w:eastAsia="宋体" w:cs="宋体"/>
          <w:b/>
          <w:color w:val="auto"/>
          <w:sz w:val="44"/>
          <w:szCs w:val="13"/>
          <w:highlight w:val="none"/>
        </w:rPr>
      </w:pPr>
    </w:p>
    <w:p w14:paraId="5CF57070">
      <w:pPr>
        <w:tabs>
          <w:tab w:val="left" w:pos="3240"/>
          <w:tab w:val="left" w:pos="3420"/>
        </w:tabs>
        <w:spacing w:line="360" w:lineRule="auto"/>
        <w:ind w:left="2229" w:hanging="2229" w:hangingChars="419"/>
        <w:jc w:val="left"/>
        <w:rPr>
          <w:rFonts w:hint="eastAsia" w:ascii="宋体" w:hAnsi="宋体" w:eastAsia="宋体" w:cs="宋体"/>
          <w:bCs/>
          <w:color w:val="auto"/>
          <w:sz w:val="32"/>
          <w:szCs w:val="30"/>
          <w:highlight w:val="none"/>
          <w:u w:val="single"/>
          <w:lang w:eastAsia="zh-CN"/>
        </w:rPr>
      </w:pPr>
      <w:r>
        <w:rPr>
          <w:rFonts w:hint="eastAsia" w:ascii="宋体" w:hAnsi="宋体" w:eastAsia="宋体" w:cs="宋体"/>
          <w:bCs/>
          <w:color w:val="auto"/>
          <w:spacing w:val="106"/>
          <w:kern w:val="0"/>
          <w:sz w:val="32"/>
          <w:szCs w:val="30"/>
          <w:highlight w:val="none"/>
          <w:fitText w:val="1920" w:id="-2026047232"/>
        </w:rPr>
        <w:t>项目名</w:t>
      </w:r>
      <w:r>
        <w:rPr>
          <w:rFonts w:hint="eastAsia" w:ascii="宋体" w:hAnsi="宋体" w:eastAsia="宋体" w:cs="宋体"/>
          <w:bCs/>
          <w:color w:val="auto"/>
          <w:spacing w:val="2"/>
          <w:kern w:val="0"/>
          <w:sz w:val="32"/>
          <w:szCs w:val="30"/>
          <w:highlight w:val="none"/>
          <w:fitText w:val="1920" w:id="-2026047232"/>
        </w:rPr>
        <w:t>称</w:t>
      </w:r>
      <w:r>
        <w:rPr>
          <w:rFonts w:hint="eastAsia" w:ascii="宋体" w:hAnsi="宋体" w:eastAsia="宋体" w:cs="宋体"/>
          <w:bCs/>
          <w:color w:val="auto"/>
          <w:sz w:val="32"/>
          <w:szCs w:val="30"/>
          <w:highlight w:val="none"/>
        </w:rPr>
        <w:t>：</w:t>
      </w:r>
      <w:r>
        <w:rPr>
          <w:rFonts w:hint="eastAsia" w:ascii="宋体" w:hAnsi="宋体" w:cs="宋体"/>
          <w:bCs/>
          <w:color w:val="auto"/>
          <w:sz w:val="32"/>
          <w:szCs w:val="30"/>
          <w:highlight w:val="none"/>
          <w:u w:val="single"/>
          <w:lang w:val="en-US" w:eastAsia="zh-CN"/>
        </w:rPr>
        <w:t>乌鲁木齐高新区（新市区）2017年美丽乡村建设ppp项目（B包）、乌鲁木齐高新区（新市区）城北新区路灯及农村路灯建设ppp复核项目审计</w:t>
      </w:r>
    </w:p>
    <w:p w14:paraId="06A92390">
      <w:pPr>
        <w:tabs>
          <w:tab w:val="left" w:pos="3240"/>
          <w:tab w:val="left" w:pos="3420"/>
        </w:tabs>
        <w:spacing w:line="360" w:lineRule="auto"/>
        <w:rPr>
          <w:rFonts w:hint="eastAsia" w:ascii="宋体" w:hAnsi="宋体" w:eastAsia="宋体" w:cs="宋体"/>
          <w:bCs/>
          <w:color w:val="auto"/>
          <w:sz w:val="32"/>
          <w:szCs w:val="30"/>
          <w:highlight w:val="none"/>
          <w:u w:val="single"/>
          <w:lang w:eastAsia="zh-CN"/>
        </w:rPr>
      </w:pPr>
      <w:r>
        <w:rPr>
          <w:rFonts w:hint="eastAsia" w:ascii="宋体" w:hAnsi="宋体" w:eastAsia="宋体" w:cs="宋体"/>
          <w:bCs/>
          <w:color w:val="auto"/>
          <w:spacing w:val="106"/>
          <w:kern w:val="0"/>
          <w:sz w:val="32"/>
          <w:szCs w:val="30"/>
          <w:highlight w:val="none"/>
          <w:fitText w:val="1920" w:id="-2026047231"/>
        </w:rPr>
        <w:t>采购编</w:t>
      </w:r>
      <w:r>
        <w:rPr>
          <w:rFonts w:hint="eastAsia" w:ascii="宋体" w:hAnsi="宋体" w:eastAsia="宋体" w:cs="宋体"/>
          <w:bCs/>
          <w:color w:val="auto"/>
          <w:spacing w:val="2"/>
          <w:kern w:val="0"/>
          <w:sz w:val="32"/>
          <w:szCs w:val="30"/>
          <w:highlight w:val="none"/>
          <w:fitText w:val="1920" w:id="-2026047231"/>
        </w:rPr>
        <w:t>号</w:t>
      </w:r>
      <w:r>
        <w:rPr>
          <w:rFonts w:hint="eastAsia" w:ascii="宋体" w:hAnsi="宋体" w:eastAsia="宋体" w:cs="宋体"/>
          <w:bCs/>
          <w:color w:val="auto"/>
          <w:sz w:val="32"/>
          <w:szCs w:val="30"/>
          <w:highlight w:val="none"/>
        </w:rPr>
        <w:t>：</w:t>
      </w:r>
      <w:r>
        <w:rPr>
          <w:rFonts w:hint="eastAsia" w:ascii="宋体" w:hAnsi="宋体" w:cs="宋体"/>
          <w:bCs/>
          <w:color w:val="auto"/>
          <w:sz w:val="32"/>
          <w:szCs w:val="30"/>
          <w:highlight w:val="none"/>
          <w:u w:val="single"/>
          <w:lang w:eastAsia="zh-CN"/>
        </w:rPr>
        <w:t>GXXG-2025-ZFCG038</w:t>
      </w:r>
    </w:p>
    <w:p w14:paraId="35CEA929">
      <w:pPr>
        <w:tabs>
          <w:tab w:val="left" w:pos="3240"/>
          <w:tab w:val="left" w:pos="3420"/>
        </w:tabs>
        <w:spacing w:line="360" w:lineRule="auto"/>
        <w:rPr>
          <w:rFonts w:hint="eastAsia" w:ascii="宋体" w:hAnsi="宋体" w:eastAsia="宋体" w:cs="宋体"/>
          <w:bCs/>
          <w:color w:val="auto"/>
          <w:sz w:val="32"/>
          <w:szCs w:val="30"/>
          <w:highlight w:val="none"/>
          <w:u w:val="single"/>
          <w:lang w:eastAsia="zh-CN"/>
        </w:rPr>
      </w:pPr>
      <w:r>
        <w:rPr>
          <w:rFonts w:hint="eastAsia" w:ascii="宋体" w:hAnsi="宋体" w:eastAsia="宋体" w:cs="宋体"/>
          <w:bCs/>
          <w:color w:val="auto"/>
          <w:spacing w:val="240"/>
          <w:kern w:val="0"/>
          <w:sz w:val="32"/>
          <w:szCs w:val="30"/>
          <w:highlight w:val="none"/>
          <w:fitText w:val="1920" w:id="-2026047230"/>
        </w:rPr>
        <w:t>采购</w:t>
      </w:r>
      <w:r>
        <w:rPr>
          <w:rFonts w:hint="eastAsia" w:ascii="宋体" w:hAnsi="宋体" w:eastAsia="宋体" w:cs="宋体"/>
          <w:bCs/>
          <w:color w:val="auto"/>
          <w:spacing w:val="0"/>
          <w:kern w:val="0"/>
          <w:sz w:val="32"/>
          <w:szCs w:val="30"/>
          <w:highlight w:val="none"/>
          <w:fitText w:val="1920" w:id="-2026047230"/>
        </w:rPr>
        <w:t>人</w:t>
      </w:r>
      <w:r>
        <w:rPr>
          <w:rFonts w:hint="eastAsia" w:ascii="宋体" w:hAnsi="宋体" w:eastAsia="宋体" w:cs="宋体"/>
          <w:bCs/>
          <w:color w:val="auto"/>
          <w:sz w:val="32"/>
          <w:szCs w:val="30"/>
          <w:highlight w:val="none"/>
        </w:rPr>
        <w:t>：</w:t>
      </w:r>
      <w:r>
        <w:rPr>
          <w:rFonts w:hint="eastAsia" w:ascii="宋体" w:hAnsi="宋体" w:eastAsia="宋体" w:cs="宋体"/>
          <w:bCs/>
          <w:color w:val="auto"/>
          <w:sz w:val="32"/>
          <w:szCs w:val="30"/>
          <w:highlight w:val="none"/>
          <w:u w:val="single"/>
          <w:lang w:eastAsia="zh-CN"/>
        </w:rPr>
        <w:t>乌鲁木齐高新技术产业开发区（乌鲁木齐市新市区）建设局</w:t>
      </w:r>
    </w:p>
    <w:p w14:paraId="0C758716">
      <w:pPr>
        <w:tabs>
          <w:tab w:val="left" w:pos="3240"/>
          <w:tab w:val="left" w:pos="3420"/>
        </w:tabs>
        <w:spacing w:line="360" w:lineRule="auto"/>
        <w:rPr>
          <w:rFonts w:hint="eastAsia" w:ascii="宋体" w:hAnsi="宋体" w:eastAsia="宋体" w:cs="宋体"/>
          <w:bCs/>
          <w:color w:val="auto"/>
          <w:sz w:val="32"/>
          <w:szCs w:val="30"/>
          <w:highlight w:val="none"/>
          <w:u w:val="single"/>
          <w:lang w:eastAsia="zh-CN"/>
        </w:rPr>
      </w:pPr>
      <w:r>
        <w:rPr>
          <w:rFonts w:hint="eastAsia" w:ascii="宋体" w:hAnsi="宋体" w:eastAsia="宋体" w:cs="宋体"/>
          <w:bCs/>
          <w:color w:val="auto"/>
          <w:sz w:val="32"/>
          <w:szCs w:val="30"/>
          <w:highlight w:val="none"/>
        </w:rPr>
        <w:t>采购代理机构：</w:t>
      </w:r>
      <w:r>
        <w:rPr>
          <w:rFonts w:hint="eastAsia" w:ascii="宋体" w:hAnsi="宋体" w:eastAsia="宋体" w:cs="宋体"/>
          <w:bCs/>
          <w:color w:val="auto"/>
          <w:sz w:val="32"/>
          <w:szCs w:val="30"/>
          <w:highlight w:val="none"/>
          <w:u w:val="single"/>
          <w:lang w:eastAsia="zh-CN"/>
        </w:rPr>
        <w:t>乌鲁木齐高新建设工程项目管理咨询有限公司</w:t>
      </w:r>
    </w:p>
    <w:p w14:paraId="69F1873B">
      <w:pPr>
        <w:tabs>
          <w:tab w:val="left" w:pos="3240"/>
          <w:tab w:val="left" w:pos="3420"/>
        </w:tabs>
        <w:spacing w:line="360" w:lineRule="auto"/>
        <w:rPr>
          <w:rFonts w:hint="eastAsia" w:ascii="宋体" w:hAnsi="宋体" w:eastAsia="宋体" w:cs="宋体"/>
          <w:bCs/>
          <w:color w:val="auto"/>
          <w:sz w:val="32"/>
          <w:szCs w:val="36"/>
          <w:highlight w:val="none"/>
          <w:u w:val="single"/>
        </w:rPr>
        <w:sectPr>
          <w:headerReference r:id="rId4" w:type="first"/>
          <w:footerReference r:id="rId6" w:type="first"/>
          <w:headerReference r:id="rId3" w:type="default"/>
          <w:footerReference r:id="rId5" w:type="default"/>
          <w:pgSz w:w="11907" w:h="16840"/>
          <w:pgMar w:top="1418" w:right="1418" w:bottom="1247" w:left="1418" w:header="964" w:footer="850" w:gutter="0"/>
          <w:pgNumType w:fmt="decimal"/>
          <w:cols w:space="720" w:num="1"/>
          <w:titlePg/>
          <w:docGrid w:linePitch="286" w:charSpace="0"/>
        </w:sectPr>
      </w:pPr>
      <w:r>
        <w:rPr>
          <w:rFonts w:hint="eastAsia" w:ascii="宋体" w:hAnsi="宋体" w:eastAsia="宋体" w:cs="宋体"/>
          <w:bCs/>
          <w:color w:val="auto"/>
          <w:spacing w:val="640"/>
          <w:kern w:val="0"/>
          <w:sz w:val="32"/>
          <w:szCs w:val="36"/>
          <w:highlight w:val="none"/>
          <w:fitText w:val="1920" w:id="-2026047229"/>
        </w:rPr>
        <w:t>日</w:t>
      </w:r>
      <w:r>
        <w:rPr>
          <w:rFonts w:hint="eastAsia" w:ascii="宋体" w:hAnsi="宋体" w:eastAsia="宋体" w:cs="宋体"/>
          <w:bCs/>
          <w:color w:val="auto"/>
          <w:spacing w:val="0"/>
          <w:kern w:val="0"/>
          <w:sz w:val="32"/>
          <w:szCs w:val="36"/>
          <w:highlight w:val="none"/>
          <w:fitText w:val="1920" w:id="-2026047229"/>
        </w:rPr>
        <w:t>期</w:t>
      </w:r>
      <w:r>
        <w:rPr>
          <w:rFonts w:hint="eastAsia" w:ascii="宋体" w:hAnsi="宋体" w:eastAsia="宋体" w:cs="宋体"/>
          <w:bCs/>
          <w:color w:val="auto"/>
          <w:sz w:val="32"/>
          <w:szCs w:val="36"/>
          <w:highlight w:val="none"/>
        </w:rPr>
        <w:t>：</w:t>
      </w:r>
      <w:r>
        <w:rPr>
          <w:rFonts w:hint="eastAsia" w:ascii="宋体" w:hAnsi="宋体" w:eastAsia="宋体" w:cs="宋体"/>
          <w:bCs/>
          <w:color w:val="auto"/>
          <w:sz w:val="32"/>
          <w:szCs w:val="36"/>
          <w:highlight w:val="none"/>
          <w:u w:val="single"/>
        </w:rPr>
        <w:t>202</w:t>
      </w:r>
      <w:r>
        <w:rPr>
          <w:rFonts w:hint="eastAsia" w:ascii="宋体" w:hAnsi="宋体" w:eastAsia="宋体" w:cs="宋体"/>
          <w:bCs/>
          <w:color w:val="auto"/>
          <w:sz w:val="32"/>
          <w:szCs w:val="36"/>
          <w:highlight w:val="none"/>
          <w:u w:val="single"/>
          <w:lang w:val="en-US" w:eastAsia="zh-CN"/>
        </w:rPr>
        <w:t>5</w:t>
      </w:r>
      <w:r>
        <w:rPr>
          <w:rFonts w:hint="eastAsia" w:ascii="宋体" w:hAnsi="宋体" w:eastAsia="宋体" w:cs="宋体"/>
          <w:bCs/>
          <w:color w:val="auto"/>
          <w:sz w:val="32"/>
          <w:szCs w:val="36"/>
          <w:highlight w:val="none"/>
          <w:u w:val="single"/>
        </w:rPr>
        <w:t>年</w:t>
      </w:r>
      <w:r>
        <w:rPr>
          <w:rFonts w:hint="eastAsia" w:ascii="宋体" w:hAnsi="宋体" w:eastAsia="宋体" w:cs="宋体"/>
          <w:bCs/>
          <w:color w:val="auto"/>
          <w:sz w:val="32"/>
          <w:szCs w:val="36"/>
          <w:highlight w:val="none"/>
          <w:u w:val="single"/>
          <w:lang w:val="en-US" w:eastAsia="zh-CN"/>
        </w:rPr>
        <w:t>7</w:t>
      </w:r>
      <w:r>
        <w:rPr>
          <w:rFonts w:hint="eastAsia" w:ascii="宋体" w:hAnsi="宋体" w:eastAsia="宋体" w:cs="宋体"/>
          <w:bCs/>
          <w:color w:val="auto"/>
          <w:sz w:val="32"/>
          <w:szCs w:val="36"/>
          <w:highlight w:val="none"/>
          <w:u w:val="single"/>
        </w:rPr>
        <w:t>月</w:t>
      </w:r>
    </w:p>
    <w:p w14:paraId="338A6550">
      <w:pPr>
        <w:pStyle w:val="190"/>
        <w:spacing w:before="0" w:line="360" w:lineRule="auto"/>
        <w:jc w:val="center"/>
        <w:rPr>
          <w:rFonts w:hint="eastAsia" w:ascii="宋体" w:hAnsi="宋体" w:eastAsia="宋体" w:cs="宋体"/>
          <w:color w:val="auto"/>
          <w:sz w:val="36"/>
          <w:highlight w:val="none"/>
        </w:rPr>
      </w:pPr>
      <w:bookmarkStart w:id="0" w:name="_Toc6211"/>
      <w:bookmarkStart w:id="1" w:name="_Toc16584"/>
      <w:r>
        <w:rPr>
          <w:rFonts w:hint="eastAsia" w:ascii="宋体" w:hAnsi="宋体" w:eastAsia="宋体" w:cs="宋体"/>
          <w:color w:val="auto"/>
          <w:sz w:val="36"/>
          <w:highlight w:val="none"/>
          <w:lang w:val="zh-CN"/>
        </w:rPr>
        <w:t>目录</w:t>
      </w:r>
      <w:bookmarkEnd w:id="0"/>
      <w:bookmarkEnd w:id="1"/>
    </w:p>
    <w:p w14:paraId="5C01A681">
      <w:pPr>
        <w:pStyle w:val="35"/>
        <w:tabs>
          <w:tab w:val="right" w:leader="dot" w:pos="9071"/>
        </w:tabs>
        <w:rPr>
          <w:color w:val="auto"/>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TOC \o "1-3" \h \z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_Toc22334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44"/>
          <w:highlight w:val="none"/>
        </w:rPr>
        <w:t>第一章竞争性磋商邀请</w:t>
      </w:r>
      <w:r>
        <w:rPr>
          <w:color w:val="auto"/>
          <w:highlight w:val="none"/>
        </w:rPr>
        <w:tab/>
      </w:r>
      <w:r>
        <w:rPr>
          <w:color w:val="auto"/>
          <w:highlight w:val="none"/>
        </w:rPr>
        <w:fldChar w:fldCharType="begin"/>
      </w:r>
      <w:r>
        <w:rPr>
          <w:color w:val="auto"/>
          <w:highlight w:val="none"/>
        </w:rPr>
        <w:instrText xml:space="preserve"> PAGEREF _Toc22334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32"/>
          <w:highlight w:val="none"/>
        </w:rPr>
        <w:fldChar w:fldCharType="end"/>
      </w:r>
    </w:p>
    <w:p w14:paraId="601552EF">
      <w:pPr>
        <w:pStyle w:val="35"/>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_Toc13116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szCs w:val="44"/>
          <w:highlight w:val="none"/>
        </w:rPr>
        <w:t>第二章供应商须知前附表及供应商须知</w:t>
      </w:r>
      <w:r>
        <w:rPr>
          <w:color w:val="auto"/>
          <w:highlight w:val="none"/>
        </w:rPr>
        <w:tab/>
      </w:r>
      <w:r>
        <w:rPr>
          <w:color w:val="auto"/>
          <w:highlight w:val="none"/>
        </w:rPr>
        <w:fldChar w:fldCharType="begin"/>
      </w:r>
      <w:r>
        <w:rPr>
          <w:color w:val="auto"/>
          <w:highlight w:val="none"/>
        </w:rPr>
        <w:instrText xml:space="preserve"> PAGEREF _Toc13116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045DC44C">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_Toc20847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highlight w:val="none"/>
        </w:rPr>
        <w:t>一、供应商须知前附表</w:t>
      </w:r>
      <w:r>
        <w:rPr>
          <w:color w:val="auto"/>
          <w:highlight w:val="none"/>
        </w:rPr>
        <w:tab/>
      </w:r>
      <w:r>
        <w:rPr>
          <w:color w:val="auto"/>
          <w:highlight w:val="none"/>
        </w:rPr>
        <w:fldChar w:fldCharType="begin"/>
      </w:r>
      <w:r>
        <w:rPr>
          <w:color w:val="auto"/>
          <w:highlight w:val="none"/>
        </w:rPr>
        <w:instrText xml:space="preserve"> PAGEREF _Toc20847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4984A824">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_Toc28285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highlight w:val="none"/>
        </w:rPr>
        <w:t>二、供应商须知</w:t>
      </w:r>
      <w:r>
        <w:rPr>
          <w:color w:val="auto"/>
          <w:highlight w:val="none"/>
        </w:rPr>
        <w:tab/>
      </w:r>
      <w:r>
        <w:rPr>
          <w:color w:val="auto"/>
          <w:highlight w:val="none"/>
        </w:rPr>
        <w:fldChar w:fldCharType="begin"/>
      </w:r>
      <w:r>
        <w:rPr>
          <w:color w:val="auto"/>
          <w:highlight w:val="none"/>
        </w:rPr>
        <w:instrText xml:space="preserve"> PAGEREF _Toc28285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7EF22D24">
      <w:pPr>
        <w:pStyle w:val="35"/>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_Toc17873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szCs w:val="44"/>
          <w:highlight w:val="none"/>
        </w:rPr>
        <w:t>第三章评审办法</w:t>
      </w:r>
      <w:r>
        <w:rPr>
          <w:color w:val="auto"/>
          <w:highlight w:val="none"/>
        </w:rPr>
        <w:tab/>
      </w:r>
      <w:r>
        <w:rPr>
          <w:color w:val="auto"/>
          <w:highlight w:val="none"/>
        </w:rPr>
        <w:fldChar w:fldCharType="begin"/>
      </w:r>
      <w:r>
        <w:rPr>
          <w:color w:val="auto"/>
          <w:highlight w:val="none"/>
        </w:rPr>
        <w:instrText xml:space="preserve"> PAGEREF _Toc17873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4C750551">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_Toc13327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szCs w:val="24"/>
          <w:highlight w:val="none"/>
        </w:rPr>
        <w:t>第一部分符合性资格评审</w:t>
      </w:r>
      <w:r>
        <w:rPr>
          <w:color w:val="auto"/>
          <w:highlight w:val="none"/>
        </w:rPr>
        <w:tab/>
      </w:r>
      <w:r>
        <w:rPr>
          <w:color w:val="auto"/>
          <w:highlight w:val="none"/>
        </w:rPr>
        <w:fldChar w:fldCharType="begin"/>
      </w:r>
      <w:r>
        <w:rPr>
          <w:color w:val="auto"/>
          <w:highlight w:val="none"/>
        </w:rPr>
        <w:instrText xml:space="preserve"> PAGEREF _Toc13327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4E79CB35">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_Toc19859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szCs w:val="24"/>
          <w:highlight w:val="none"/>
        </w:rPr>
        <w:t>第二部分评审方法</w:t>
      </w:r>
      <w:r>
        <w:rPr>
          <w:color w:val="auto"/>
          <w:highlight w:val="none"/>
        </w:rPr>
        <w:tab/>
      </w:r>
      <w:r>
        <w:rPr>
          <w:color w:val="auto"/>
          <w:highlight w:val="none"/>
        </w:rPr>
        <w:fldChar w:fldCharType="begin"/>
      </w:r>
      <w:r>
        <w:rPr>
          <w:color w:val="auto"/>
          <w:highlight w:val="none"/>
        </w:rPr>
        <w:instrText xml:space="preserve"> PAGEREF _Toc19859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684C1E87">
      <w:pPr>
        <w:pStyle w:val="35"/>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_Toc20863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szCs w:val="44"/>
          <w:highlight w:val="none"/>
        </w:rPr>
        <w:t>第四章 政府采购合同</w:t>
      </w:r>
      <w:r>
        <w:rPr>
          <w:color w:val="auto"/>
          <w:highlight w:val="none"/>
        </w:rPr>
        <w:tab/>
      </w:r>
      <w:r>
        <w:rPr>
          <w:color w:val="auto"/>
          <w:highlight w:val="none"/>
        </w:rPr>
        <w:fldChar w:fldCharType="begin"/>
      </w:r>
      <w:r>
        <w:rPr>
          <w:color w:val="auto"/>
          <w:highlight w:val="none"/>
        </w:rPr>
        <w:instrText xml:space="preserve"> PAGEREF _Toc20863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7EF64366">
      <w:pPr>
        <w:pStyle w:val="35"/>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_Toc7364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szCs w:val="44"/>
          <w:highlight w:val="none"/>
        </w:rPr>
        <w:t>第</w:t>
      </w:r>
      <w:r>
        <w:rPr>
          <w:rFonts w:hint="eastAsia" w:ascii="宋体" w:hAnsi="宋体" w:eastAsia="宋体" w:cs="宋体"/>
          <w:color w:val="auto"/>
          <w:szCs w:val="44"/>
          <w:highlight w:val="none"/>
          <w:lang w:val="en-US" w:eastAsia="zh-CN"/>
        </w:rPr>
        <w:t>五</w:t>
      </w:r>
      <w:r>
        <w:rPr>
          <w:rFonts w:hint="eastAsia" w:ascii="宋体" w:hAnsi="宋体" w:eastAsia="宋体" w:cs="宋体"/>
          <w:color w:val="auto"/>
          <w:szCs w:val="44"/>
          <w:highlight w:val="none"/>
        </w:rPr>
        <w:t>章</w:t>
      </w:r>
      <w:r>
        <w:rPr>
          <w:rFonts w:hint="eastAsia" w:ascii="宋体" w:hAnsi="宋体" w:eastAsia="宋体" w:cs="宋体"/>
          <w:color w:val="auto"/>
          <w:szCs w:val="44"/>
          <w:highlight w:val="none"/>
          <w:lang w:val="en-US" w:eastAsia="zh-CN"/>
        </w:rPr>
        <w:t>技术要求</w:t>
      </w:r>
      <w:r>
        <w:rPr>
          <w:color w:val="auto"/>
          <w:highlight w:val="none"/>
        </w:rPr>
        <w:tab/>
      </w:r>
      <w:r>
        <w:rPr>
          <w:color w:val="auto"/>
          <w:highlight w:val="none"/>
        </w:rPr>
        <w:fldChar w:fldCharType="begin"/>
      </w:r>
      <w:r>
        <w:rPr>
          <w:color w:val="auto"/>
          <w:highlight w:val="none"/>
        </w:rPr>
        <w:instrText xml:space="preserve"> PAGEREF _Toc7364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11B69530">
      <w:pPr>
        <w:pStyle w:val="35"/>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_Toc7305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szCs w:val="44"/>
          <w:highlight w:val="none"/>
        </w:rPr>
        <w:t>第六章响应文件格式</w:t>
      </w:r>
      <w:r>
        <w:rPr>
          <w:color w:val="auto"/>
          <w:highlight w:val="none"/>
        </w:rPr>
        <w:tab/>
      </w:r>
      <w:r>
        <w:rPr>
          <w:color w:val="auto"/>
          <w:highlight w:val="none"/>
        </w:rPr>
        <w:fldChar w:fldCharType="begin"/>
      </w:r>
      <w:r>
        <w:rPr>
          <w:color w:val="auto"/>
          <w:highlight w:val="none"/>
        </w:rPr>
        <w:instrText xml:space="preserve"> PAGEREF _Toc7305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26983FB4">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_Toc1139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1、响应函格式</w:t>
      </w:r>
      <w:r>
        <w:rPr>
          <w:color w:val="auto"/>
          <w:highlight w:val="none"/>
        </w:rPr>
        <w:tab/>
      </w:r>
      <w:r>
        <w:rPr>
          <w:color w:val="auto"/>
          <w:highlight w:val="none"/>
        </w:rPr>
        <w:fldChar w:fldCharType="begin"/>
      </w:r>
      <w:r>
        <w:rPr>
          <w:color w:val="auto"/>
          <w:highlight w:val="none"/>
        </w:rPr>
        <w:instrText xml:space="preserve"> PAGEREF _Toc1139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47D31575">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_Toc13112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2、报价一览表格式</w:t>
      </w:r>
      <w:r>
        <w:rPr>
          <w:color w:val="auto"/>
          <w:highlight w:val="none"/>
        </w:rPr>
        <w:tab/>
      </w:r>
      <w:r>
        <w:rPr>
          <w:color w:val="auto"/>
          <w:highlight w:val="none"/>
        </w:rPr>
        <w:fldChar w:fldCharType="begin"/>
      </w:r>
      <w:r>
        <w:rPr>
          <w:color w:val="auto"/>
          <w:highlight w:val="none"/>
        </w:rPr>
        <w:instrText xml:space="preserve"> PAGEREF _Toc13112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2CC2642E">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_Toc24268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bCs/>
          <w:smallCaps w:val="0"/>
          <w:color w:val="auto"/>
          <w:spacing w:val="0"/>
          <w:szCs w:val="30"/>
          <w:highlight w:val="none"/>
          <w:lang w:val="en-US" w:eastAsia="zh-CN"/>
        </w:rPr>
        <w:t>3</w:t>
      </w:r>
      <w:r>
        <w:rPr>
          <w:rFonts w:hint="eastAsia" w:ascii="宋体" w:hAnsi="宋体" w:eastAsia="宋体" w:cs="宋体"/>
          <w:bCs/>
          <w:smallCaps w:val="0"/>
          <w:color w:val="auto"/>
          <w:spacing w:val="0"/>
          <w:szCs w:val="30"/>
          <w:highlight w:val="none"/>
        </w:rPr>
        <w:t>、企业基本情况表</w:t>
      </w:r>
      <w:r>
        <w:rPr>
          <w:color w:val="auto"/>
          <w:highlight w:val="none"/>
        </w:rPr>
        <w:tab/>
      </w:r>
      <w:r>
        <w:rPr>
          <w:color w:val="auto"/>
          <w:highlight w:val="none"/>
        </w:rPr>
        <w:fldChar w:fldCharType="begin"/>
      </w:r>
      <w:r>
        <w:rPr>
          <w:color w:val="auto"/>
          <w:highlight w:val="none"/>
        </w:rPr>
        <w:instrText xml:space="preserve"> PAGEREF _Toc24268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72747A5D">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_Toc12822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4、法定代表人资格证明格式</w:t>
      </w:r>
      <w:r>
        <w:rPr>
          <w:color w:val="auto"/>
          <w:highlight w:val="none"/>
        </w:rPr>
        <w:tab/>
      </w:r>
      <w:r>
        <w:rPr>
          <w:color w:val="auto"/>
          <w:highlight w:val="none"/>
        </w:rPr>
        <w:fldChar w:fldCharType="begin"/>
      </w:r>
      <w:r>
        <w:rPr>
          <w:color w:val="auto"/>
          <w:highlight w:val="none"/>
        </w:rPr>
        <w:instrText xml:space="preserve"> PAGEREF _Toc12822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596A5B90">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_Toc32023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5、法定代表人授权委托书格式</w:t>
      </w:r>
      <w:r>
        <w:rPr>
          <w:color w:val="auto"/>
          <w:highlight w:val="none"/>
        </w:rPr>
        <w:tab/>
      </w:r>
      <w:r>
        <w:rPr>
          <w:color w:val="auto"/>
          <w:highlight w:val="none"/>
        </w:rPr>
        <w:fldChar w:fldCharType="begin"/>
      </w:r>
      <w:r>
        <w:rPr>
          <w:color w:val="auto"/>
          <w:highlight w:val="none"/>
        </w:rPr>
        <w:instrText xml:space="preserve"> PAGEREF _Toc32023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263D9042">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_Toc14498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6、技术条款偏离表格式</w:t>
      </w:r>
      <w:r>
        <w:rPr>
          <w:color w:val="auto"/>
          <w:highlight w:val="none"/>
        </w:rPr>
        <w:tab/>
      </w:r>
      <w:r>
        <w:rPr>
          <w:color w:val="auto"/>
          <w:highlight w:val="none"/>
        </w:rPr>
        <w:fldChar w:fldCharType="begin"/>
      </w:r>
      <w:r>
        <w:rPr>
          <w:color w:val="auto"/>
          <w:highlight w:val="none"/>
        </w:rPr>
        <w:instrText xml:space="preserve"> PAGEREF _Toc14498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09C29B45">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_Toc11979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7、商务条款偏离表格式</w:t>
      </w:r>
      <w:r>
        <w:rPr>
          <w:color w:val="auto"/>
          <w:highlight w:val="none"/>
        </w:rPr>
        <w:tab/>
      </w:r>
      <w:r>
        <w:rPr>
          <w:color w:val="auto"/>
          <w:highlight w:val="none"/>
        </w:rPr>
        <w:fldChar w:fldCharType="begin"/>
      </w:r>
      <w:r>
        <w:rPr>
          <w:color w:val="auto"/>
          <w:highlight w:val="none"/>
        </w:rPr>
        <w:instrText xml:space="preserve"> PAGEREF _Toc11979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40102261">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_Toc5796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8、资格及部分证明文件格式</w:t>
      </w:r>
      <w:r>
        <w:rPr>
          <w:color w:val="auto"/>
          <w:highlight w:val="none"/>
        </w:rPr>
        <w:tab/>
      </w:r>
      <w:r>
        <w:rPr>
          <w:color w:val="auto"/>
          <w:highlight w:val="none"/>
        </w:rPr>
        <w:fldChar w:fldCharType="begin"/>
      </w:r>
      <w:r>
        <w:rPr>
          <w:color w:val="auto"/>
          <w:highlight w:val="none"/>
        </w:rPr>
        <w:instrText xml:space="preserve"> PAGEREF _Toc5796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34C2229D">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_Toc29196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★8.1具有独立承担民事责任的能力</w:t>
      </w:r>
      <w:r>
        <w:rPr>
          <w:color w:val="auto"/>
          <w:highlight w:val="none"/>
        </w:rPr>
        <w:tab/>
      </w:r>
      <w:r>
        <w:rPr>
          <w:color w:val="auto"/>
          <w:highlight w:val="none"/>
        </w:rPr>
        <w:fldChar w:fldCharType="begin"/>
      </w:r>
      <w:r>
        <w:rPr>
          <w:color w:val="auto"/>
          <w:highlight w:val="none"/>
        </w:rPr>
        <w:instrText xml:space="preserve"> PAGEREF _Toc29196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62811CC4">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_Toc4391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★8.2具有良好的商业信誉和健全的财务会计制度</w:t>
      </w:r>
      <w:r>
        <w:rPr>
          <w:color w:val="auto"/>
          <w:highlight w:val="none"/>
        </w:rPr>
        <w:tab/>
      </w:r>
      <w:r>
        <w:rPr>
          <w:color w:val="auto"/>
          <w:highlight w:val="none"/>
        </w:rPr>
        <w:fldChar w:fldCharType="begin"/>
      </w:r>
      <w:r>
        <w:rPr>
          <w:color w:val="auto"/>
          <w:highlight w:val="none"/>
        </w:rPr>
        <w:instrText xml:space="preserve"> PAGEREF _Toc4391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18C29E91">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_Toc8529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★8.3具有履行合同所必需的设备和专业技术能力</w:t>
      </w:r>
      <w:r>
        <w:rPr>
          <w:color w:val="auto"/>
          <w:highlight w:val="none"/>
        </w:rPr>
        <w:tab/>
      </w:r>
      <w:r>
        <w:rPr>
          <w:color w:val="auto"/>
          <w:highlight w:val="none"/>
        </w:rPr>
        <w:fldChar w:fldCharType="begin"/>
      </w:r>
      <w:r>
        <w:rPr>
          <w:color w:val="auto"/>
          <w:highlight w:val="none"/>
        </w:rPr>
        <w:instrText xml:space="preserve"> PAGEREF _Toc8529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23D3BDFE">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_Toc25617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★8.4有依法缴纳税收和社会保障资金的良好记录</w:t>
      </w:r>
      <w:r>
        <w:rPr>
          <w:color w:val="auto"/>
          <w:highlight w:val="none"/>
        </w:rPr>
        <w:tab/>
      </w:r>
      <w:r>
        <w:rPr>
          <w:color w:val="auto"/>
          <w:highlight w:val="none"/>
        </w:rPr>
        <w:fldChar w:fldCharType="begin"/>
      </w:r>
      <w:r>
        <w:rPr>
          <w:color w:val="auto"/>
          <w:highlight w:val="none"/>
        </w:rPr>
        <w:instrText xml:space="preserve"> PAGEREF _Toc25617 \h </w:instrText>
      </w:r>
      <w:r>
        <w:rPr>
          <w:color w:val="auto"/>
          <w:highlight w:val="none"/>
        </w:rPr>
        <w:fldChar w:fldCharType="separate"/>
      </w:r>
      <w:r>
        <w:rPr>
          <w:color w:val="auto"/>
          <w:highlight w:val="none"/>
        </w:rPr>
        <w:t>45</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26BE28C5">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_Toc20231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★8.5参加政府采购活动前三年内，在经营活动中没有重大违法记录</w:t>
      </w:r>
      <w:r>
        <w:rPr>
          <w:color w:val="auto"/>
          <w:highlight w:val="none"/>
        </w:rPr>
        <w:tab/>
      </w:r>
      <w:r>
        <w:rPr>
          <w:color w:val="auto"/>
          <w:highlight w:val="none"/>
        </w:rPr>
        <w:fldChar w:fldCharType="begin"/>
      </w:r>
      <w:r>
        <w:rPr>
          <w:color w:val="auto"/>
          <w:highlight w:val="none"/>
        </w:rPr>
        <w:instrText xml:space="preserve"> PAGEREF _Toc20231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76B921A2">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_Toc3510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★8.6符合磋商文件第二章“供应商须知前附表”4.1中第2条的证明材料；</w:t>
      </w:r>
      <w:r>
        <w:rPr>
          <w:color w:val="auto"/>
          <w:highlight w:val="none"/>
        </w:rPr>
        <w:tab/>
      </w:r>
      <w:r>
        <w:rPr>
          <w:color w:val="auto"/>
          <w:highlight w:val="none"/>
        </w:rPr>
        <w:fldChar w:fldCharType="begin"/>
      </w:r>
      <w:r>
        <w:rPr>
          <w:color w:val="auto"/>
          <w:highlight w:val="none"/>
        </w:rPr>
        <w:instrText xml:space="preserve"> PAGEREF _Toc3510 \h </w:instrText>
      </w:r>
      <w:r>
        <w:rPr>
          <w:color w:val="auto"/>
          <w:highlight w:val="none"/>
        </w:rPr>
        <w:fldChar w:fldCharType="separate"/>
      </w:r>
      <w:r>
        <w:rPr>
          <w:color w:val="auto"/>
          <w:highlight w:val="none"/>
        </w:rPr>
        <w:t>47</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7AAABA0E">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_Toc18275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★8.7符合磋商文件第二章“供应商须知前附表”4.1中第</w:t>
      </w:r>
      <w:r>
        <w:rPr>
          <w:rFonts w:hint="eastAsia" w:ascii="宋体" w:hAnsi="宋体" w:eastAsia="宋体" w:cs="宋体"/>
          <w:color w:val="auto"/>
          <w:kern w:val="0"/>
          <w:szCs w:val="21"/>
          <w:highlight w:val="none"/>
        </w:rPr>
        <w:t>3条的证明材料；（如适用）</w:t>
      </w:r>
      <w:r>
        <w:rPr>
          <w:color w:val="auto"/>
          <w:highlight w:val="none"/>
        </w:rPr>
        <w:tab/>
      </w:r>
      <w:r>
        <w:rPr>
          <w:color w:val="auto"/>
          <w:highlight w:val="none"/>
        </w:rPr>
        <w:fldChar w:fldCharType="begin"/>
      </w:r>
      <w:r>
        <w:rPr>
          <w:color w:val="auto"/>
          <w:highlight w:val="none"/>
        </w:rPr>
        <w:instrText xml:space="preserve"> PAGEREF _Toc18275 \h </w:instrText>
      </w:r>
      <w:r>
        <w:rPr>
          <w:color w:val="auto"/>
          <w:highlight w:val="none"/>
        </w:rPr>
        <w:fldChar w:fldCharType="separate"/>
      </w:r>
      <w:r>
        <w:rPr>
          <w:color w:val="auto"/>
          <w:highlight w:val="none"/>
        </w:rPr>
        <w:t>50</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04603490">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_Toc7135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★8.8响应承诺书</w:t>
      </w:r>
      <w:r>
        <w:rPr>
          <w:color w:val="auto"/>
          <w:highlight w:val="none"/>
        </w:rPr>
        <w:tab/>
      </w:r>
      <w:r>
        <w:rPr>
          <w:color w:val="auto"/>
          <w:highlight w:val="none"/>
        </w:rPr>
        <w:fldChar w:fldCharType="begin"/>
      </w:r>
      <w:r>
        <w:rPr>
          <w:color w:val="auto"/>
          <w:highlight w:val="none"/>
        </w:rPr>
        <w:instrText xml:space="preserve"> PAGEREF _Toc7135 \h </w:instrText>
      </w:r>
      <w:r>
        <w:rPr>
          <w:color w:val="auto"/>
          <w:highlight w:val="none"/>
        </w:rPr>
        <w:fldChar w:fldCharType="separate"/>
      </w:r>
      <w:r>
        <w:rPr>
          <w:color w:val="auto"/>
          <w:highlight w:val="none"/>
        </w:rPr>
        <w:t>51</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0A894AB3">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_Toc12748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★8.9磋商保证金凭证（如适用）</w:t>
      </w:r>
      <w:r>
        <w:rPr>
          <w:color w:val="auto"/>
          <w:highlight w:val="none"/>
        </w:rPr>
        <w:tab/>
      </w:r>
      <w:r>
        <w:rPr>
          <w:color w:val="auto"/>
          <w:highlight w:val="none"/>
        </w:rPr>
        <w:fldChar w:fldCharType="begin"/>
      </w:r>
      <w:r>
        <w:rPr>
          <w:color w:val="auto"/>
          <w:highlight w:val="none"/>
        </w:rPr>
        <w:instrText xml:space="preserve"> PAGEREF _Toc12748 \h </w:instrText>
      </w:r>
      <w:r>
        <w:rPr>
          <w:color w:val="auto"/>
          <w:highlight w:val="none"/>
        </w:rPr>
        <w:fldChar w:fldCharType="separate"/>
      </w:r>
      <w:r>
        <w:rPr>
          <w:color w:val="auto"/>
          <w:highlight w:val="none"/>
        </w:rPr>
        <w:t>52</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53F0A522">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_Toc11797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8.10供应商基本情况表</w:t>
      </w:r>
      <w:r>
        <w:rPr>
          <w:color w:val="auto"/>
          <w:highlight w:val="none"/>
        </w:rPr>
        <w:tab/>
      </w:r>
      <w:r>
        <w:rPr>
          <w:color w:val="auto"/>
          <w:highlight w:val="none"/>
        </w:rPr>
        <w:fldChar w:fldCharType="begin"/>
      </w:r>
      <w:r>
        <w:rPr>
          <w:color w:val="auto"/>
          <w:highlight w:val="none"/>
        </w:rPr>
        <w:instrText xml:space="preserve"> PAGEREF _Toc11797 \h </w:instrText>
      </w:r>
      <w:r>
        <w:rPr>
          <w:color w:val="auto"/>
          <w:highlight w:val="none"/>
        </w:rPr>
        <w:fldChar w:fldCharType="separate"/>
      </w:r>
      <w:r>
        <w:rPr>
          <w:color w:val="auto"/>
          <w:highlight w:val="none"/>
        </w:rPr>
        <w:t>53</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028CFE41">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_Toc22140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8.11近三年内类似项目情况表及用户证明</w:t>
      </w:r>
      <w:r>
        <w:rPr>
          <w:color w:val="auto"/>
          <w:highlight w:val="none"/>
        </w:rPr>
        <w:tab/>
      </w:r>
      <w:r>
        <w:rPr>
          <w:color w:val="auto"/>
          <w:highlight w:val="none"/>
        </w:rPr>
        <w:fldChar w:fldCharType="begin"/>
      </w:r>
      <w:r>
        <w:rPr>
          <w:color w:val="auto"/>
          <w:highlight w:val="none"/>
        </w:rPr>
        <w:instrText xml:space="preserve"> PAGEREF _Toc22140 \h </w:instrText>
      </w:r>
      <w:r>
        <w:rPr>
          <w:color w:val="auto"/>
          <w:highlight w:val="none"/>
        </w:rPr>
        <w:fldChar w:fldCharType="separate"/>
      </w:r>
      <w:r>
        <w:rPr>
          <w:color w:val="auto"/>
          <w:highlight w:val="none"/>
        </w:rPr>
        <w:t>54</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6EC16BC7">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_Toc16175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8.12技术方案</w:t>
      </w:r>
      <w:r>
        <w:rPr>
          <w:color w:val="auto"/>
          <w:highlight w:val="none"/>
        </w:rPr>
        <w:tab/>
      </w:r>
      <w:r>
        <w:rPr>
          <w:color w:val="auto"/>
          <w:highlight w:val="none"/>
        </w:rPr>
        <w:fldChar w:fldCharType="begin"/>
      </w:r>
      <w:r>
        <w:rPr>
          <w:color w:val="auto"/>
          <w:highlight w:val="none"/>
        </w:rPr>
        <w:instrText xml:space="preserve"> PAGEREF _Toc16175 \h </w:instrText>
      </w:r>
      <w:r>
        <w:rPr>
          <w:color w:val="auto"/>
          <w:highlight w:val="none"/>
        </w:rPr>
        <w:fldChar w:fldCharType="separate"/>
      </w:r>
      <w:r>
        <w:rPr>
          <w:color w:val="auto"/>
          <w:highlight w:val="none"/>
        </w:rPr>
        <w:t>56</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3490EC08">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_Toc29262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★8.13中小企业声明函</w:t>
      </w:r>
      <w:r>
        <w:rPr>
          <w:color w:val="auto"/>
          <w:highlight w:val="none"/>
        </w:rPr>
        <w:tab/>
      </w:r>
      <w:r>
        <w:rPr>
          <w:color w:val="auto"/>
          <w:highlight w:val="none"/>
        </w:rPr>
        <w:fldChar w:fldCharType="begin"/>
      </w:r>
      <w:r>
        <w:rPr>
          <w:color w:val="auto"/>
          <w:highlight w:val="none"/>
        </w:rPr>
        <w:instrText xml:space="preserve"> PAGEREF _Toc29262 \h </w:instrText>
      </w:r>
      <w:r>
        <w:rPr>
          <w:color w:val="auto"/>
          <w:highlight w:val="none"/>
        </w:rPr>
        <w:fldChar w:fldCharType="separate"/>
      </w:r>
      <w:r>
        <w:rPr>
          <w:color w:val="auto"/>
          <w:highlight w:val="none"/>
        </w:rPr>
        <w:t>57</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18064F1A">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_Toc6265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8.14残疾人福利性单位声明函（格式，不符合条件无须提交）</w:t>
      </w:r>
      <w:r>
        <w:rPr>
          <w:color w:val="auto"/>
          <w:highlight w:val="none"/>
        </w:rPr>
        <w:tab/>
      </w:r>
      <w:r>
        <w:rPr>
          <w:color w:val="auto"/>
          <w:highlight w:val="none"/>
        </w:rPr>
        <w:fldChar w:fldCharType="begin"/>
      </w:r>
      <w:r>
        <w:rPr>
          <w:color w:val="auto"/>
          <w:highlight w:val="none"/>
        </w:rPr>
        <w:instrText xml:space="preserve"> PAGEREF _Toc6265 \h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162EE88E">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_Toc4562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8.15监狱企业证明文件（如适用）</w:t>
      </w:r>
      <w:r>
        <w:rPr>
          <w:color w:val="auto"/>
          <w:highlight w:val="none"/>
        </w:rPr>
        <w:tab/>
      </w:r>
      <w:r>
        <w:rPr>
          <w:color w:val="auto"/>
          <w:highlight w:val="none"/>
        </w:rPr>
        <w:fldChar w:fldCharType="begin"/>
      </w:r>
      <w:r>
        <w:rPr>
          <w:color w:val="auto"/>
          <w:highlight w:val="none"/>
        </w:rPr>
        <w:instrText xml:space="preserve"> PAGEREF _Toc4562 \h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39541483">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_Toc8941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8.16节能产品、环境标志产品、信息安全产品证明材料（如适用）</w:t>
      </w:r>
      <w:r>
        <w:rPr>
          <w:color w:val="auto"/>
          <w:highlight w:val="none"/>
        </w:rPr>
        <w:tab/>
      </w:r>
      <w:r>
        <w:rPr>
          <w:color w:val="auto"/>
          <w:highlight w:val="none"/>
        </w:rPr>
        <w:fldChar w:fldCharType="begin"/>
      </w:r>
      <w:r>
        <w:rPr>
          <w:color w:val="auto"/>
          <w:highlight w:val="none"/>
        </w:rPr>
        <w:instrText xml:space="preserve"> PAGEREF _Toc8941 \h </w:instrText>
      </w:r>
      <w:r>
        <w:rPr>
          <w:color w:val="auto"/>
          <w:highlight w:val="none"/>
        </w:rPr>
        <w:fldChar w:fldCharType="separate"/>
      </w:r>
      <w:r>
        <w:rPr>
          <w:color w:val="auto"/>
          <w:highlight w:val="none"/>
        </w:rPr>
        <w:t>60</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58DAC4B4">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_Toc30232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8.17磋商文件要求的其它文件及供应商认为有必要提供的其它文件</w:t>
      </w:r>
      <w:r>
        <w:rPr>
          <w:color w:val="auto"/>
          <w:highlight w:val="none"/>
        </w:rPr>
        <w:tab/>
      </w:r>
      <w:r>
        <w:rPr>
          <w:color w:val="auto"/>
          <w:highlight w:val="none"/>
        </w:rPr>
        <w:fldChar w:fldCharType="begin"/>
      </w:r>
      <w:r>
        <w:rPr>
          <w:color w:val="auto"/>
          <w:highlight w:val="none"/>
        </w:rPr>
        <w:instrText xml:space="preserve"> PAGEREF _Toc30232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5BCF91FD">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_Toc12116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8.18关于中小企业、监狱企业、残疾人福利性单位的相关规定</w:t>
      </w:r>
      <w:r>
        <w:rPr>
          <w:color w:val="auto"/>
          <w:highlight w:val="none"/>
        </w:rPr>
        <w:tab/>
      </w:r>
      <w:r>
        <w:rPr>
          <w:color w:val="auto"/>
          <w:highlight w:val="none"/>
        </w:rPr>
        <w:fldChar w:fldCharType="begin"/>
      </w:r>
      <w:r>
        <w:rPr>
          <w:color w:val="auto"/>
          <w:highlight w:val="none"/>
        </w:rPr>
        <w:instrText xml:space="preserve"> PAGEREF _Toc12116 \h </w:instrText>
      </w:r>
      <w:r>
        <w:rPr>
          <w:color w:val="auto"/>
          <w:highlight w:val="none"/>
        </w:rPr>
        <w:fldChar w:fldCharType="separate"/>
      </w:r>
      <w:r>
        <w:rPr>
          <w:color w:val="auto"/>
          <w:highlight w:val="none"/>
        </w:rPr>
        <w:t>62</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65909C8C">
      <w:pPr>
        <w:spacing w:line="1000" w:lineRule="exact"/>
        <w:rPr>
          <w:rFonts w:hint="eastAsia" w:ascii="宋体" w:hAnsi="宋体" w:eastAsia="宋体" w:cs="宋体"/>
          <w:color w:val="auto"/>
          <w:highlight w:val="none"/>
        </w:rPr>
      </w:pPr>
      <w:r>
        <w:rPr>
          <w:rFonts w:hint="eastAsia" w:ascii="宋体" w:hAnsi="宋体" w:eastAsia="宋体" w:cs="宋体"/>
          <w:bCs/>
          <w:color w:val="auto"/>
          <w:szCs w:val="32"/>
          <w:highlight w:val="none"/>
          <w:lang w:val="zh-CN"/>
        </w:rPr>
        <w:fldChar w:fldCharType="end"/>
      </w:r>
    </w:p>
    <w:p w14:paraId="75D73A4A">
      <w:pPr>
        <w:spacing w:line="360" w:lineRule="auto"/>
        <w:rPr>
          <w:rFonts w:hint="eastAsia" w:ascii="宋体" w:hAnsi="宋体" w:eastAsia="宋体" w:cs="宋体"/>
          <w:color w:val="auto"/>
          <w:highlight w:val="none"/>
        </w:rPr>
      </w:pPr>
    </w:p>
    <w:p w14:paraId="749E8A7B">
      <w:pPr>
        <w:spacing w:line="360" w:lineRule="auto"/>
        <w:rPr>
          <w:rFonts w:hint="eastAsia" w:ascii="宋体" w:hAnsi="宋体" w:eastAsia="宋体" w:cs="宋体"/>
          <w:color w:val="auto"/>
          <w:highlight w:val="none"/>
        </w:rPr>
      </w:pPr>
    </w:p>
    <w:p w14:paraId="32BBE7D1">
      <w:pPr>
        <w:spacing w:line="360" w:lineRule="auto"/>
        <w:rPr>
          <w:rFonts w:hint="eastAsia" w:ascii="宋体" w:hAnsi="宋体" w:eastAsia="宋体" w:cs="宋体"/>
          <w:color w:val="auto"/>
          <w:highlight w:val="none"/>
        </w:rPr>
      </w:pPr>
    </w:p>
    <w:p w14:paraId="7EDCCB92">
      <w:pPr>
        <w:spacing w:line="360" w:lineRule="auto"/>
        <w:rPr>
          <w:rFonts w:hint="eastAsia" w:ascii="宋体" w:hAnsi="宋体" w:eastAsia="宋体" w:cs="宋体"/>
          <w:color w:val="auto"/>
          <w:highlight w:val="none"/>
        </w:rPr>
      </w:pPr>
    </w:p>
    <w:p w14:paraId="5597E3B8">
      <w:pPr>
        <w:spacing w:line="360" w:lineRule="auto"/>
        <w:rPr>
          <w:rFonts w:hint="eastAsia" w:ascii="宋体" w:hAnsi="宋体" w:eastAsia="宋体" w:cs="宋体"/>
          <w:color w:val="auto"/>
          <w:highlight w:val="none"/>
        </w:rPr>
      </w:pPr>
    </w:p>
    <w:p w14:paraId="6D3067D5">
      <w:pPr>
        <w:spacing w:line="360" w:lineRule="auto"/>
        <w:rPr>
          <w:rFonts w:hint="eastAsia" w:ascii="宋体" w:hAnsi="宋体" w:eastAsia="宋体" w:cs="宋体"/>
          <w:color w:val="auto"/>
          <w:highlight w:val="none"/>
        </w:rPr>
      </w:pPr>
    </w:p>
    <w:p w14:paraId="5EF786F7">
      <w:pPr>
        <w:spacing w:line="360" w:lineRule="auto"/>
        <w:rPr>
          <w:rFonts w:hint="eastAsia" w:ascii="宋体" w:hAnsi="宋体" w:eastAsia="宋体" w:cs="宋体"/>
          <w:color w:val="auto"/>
          <w:highlight w:val="none"/>
        </w:rPr>
      </w:pPr>
    </w:p>
    <w:p w14:paraId="050FA338">
      <w:pPr>
        <w:pStyle w:val="20"/>
        <w:rPr>
          <w:rFonts w:hint="eastAsia" w:ascii="宋体" w:hAnsi="宋体" w:eastAsia="宋体" w:cs="宋体"/>
          <w:color w:val="auto"/>
          <w:highlight w:val="none"/>
        </w:rPr>
      </w:pPr>
    </w:p>
    <w:p w14:paraId="452FEB2C">
      <w:pPr>
        <w:pStyle w:val="20"/>
        <w:rPr>
          <w:rFonts w:hint="eastAsia" w:ascii="宋体" w:hAnsi="宋体" w:eastAsia="宋体" w:cs="宋体"/>
          <w:color w:val="auto"/>
          <w:highlight w:val="none"/>
        </w:rPr>
      </w:pPr>
    </w:p>
    <w:p w14:paraId="73EEBD37">
      <w:pPr>
        <w:pStyle w:val="20"/>
        <w:rPr>
          <w:rFonts w:hint="eastAsia" w:ascii="宋体" w:hAnsi="宋体" w:eastAsia="宋体" w:cs="宋体"/>
          <w:color w:val="auto"/>
          <w:highlight w:val="none"/>
        </w:rPr>
      </w:pPr>
    </w:p>
    <w:p w14:paraId="0C8520BA">
      <w:pPr>
        <w:pStyle w:val="20"/>
        <w:rPr>
          <w:rFonts w:hint="eastAsia" w:ascii="宋体" w:hAnsi="宋体" w:eastAsia="宋体" w:cs="宋体"/>
          <w:color w:val="auto"/>
          <w:highlight w:val="none"/>
        </w:rPr>
      </w:pPr>
    </w:p>
    <w:p w14:paraId="04F9E335">
      <w:pPr>
        <w:pStyle w:val="20"/>
        <w:rPr>
          <w:rFonts w:hint="eastAsia" w:ascii="宋体" w:hAnsi="宋体" w:eastAsia="宋体" w:cs="宋体"/>
          <w:color w:val="auto"/>
          <w:highlight w:val="none"/>
        </w:rPr>
      </w:pPr>
    </w:p>
    <w:p w14:paraId="463CB0E6">
      <w:pPr>
        <w:pStyle w:val="21"/>
        <w:rPr>
          <w:rFonts w:hint="eastAsia" w:ascii="宋体" w:hAnsi="宋体" w:eastAsia="宋体" w:cs="宋体"/>
          <w:color w:val="auto"/>
          <w:highlight w:val="none"/>
        </w:rPr>
      </w:pPr>
    </w:p>
    <w:p w14:paraId="47F29F0B">
      <w:pPr>
        <w:rPr>
          <w:rFonts w:hint="eastAsia" w:ascii="宋体" w:hAnsi="宋体" w:eastAsia="宋体" w:cs="宋体"/>
          <w:color w:val="auto"/>
          <w:highlight w:val="none"/>
        </w:rPr>
      </w:pPr>
    </w:p>
    <w:p w14:paraId="25A1FBE5">
      <w:pPr>
        <w:rPr>
          <w:rFonts w:hint="eastAsia" w:ascii="宋体" w:hAnsi="宋体" w:eastAsia="宋体" w:cs="宋体"/>
          <w:color w:val="auto"/>
          <w:highlight w:val="none"/>
        </w:rPr>
      </w:pPr>
    </w:p>
    <w:p w14:paraId="50F85A48">
      <w:pPr>
        <w:rPr>
          <w:rFonts w:hint="eastAsia" w:ascii="宋体" w:hAnsi="宋体" w:eastAsia="宋体" w:cs="宋体"/>
          <w:color w:val="auto"/>
          <w:highlight w:val="none"/>
        </w:rPr>
      </w:pPr>
    </w:p>
    <w:p w14:paraId="747D444C">
      <w:pPr>
        <w:rPr>
          <w:rFonts w:hint="eastAsia" w:ascii="宋体" w:hAnsi="宋体" w:eastAsia="宋体" w:cs="宋体"/>
          <w:color w:val="auto"/>
          <w:highlight w:val="none"/>
        </w:rPr>
      </w:pPr>
    </w:p>
    <w:p w14:paraId="38A68BE2">
      <w:pPr>
        <w:rPr>
          <w:rFonts w:hint="eastAsia" w:ascii="宋体" w:hAnsi="宋体" w:eastAsia="宋体" w:cs="宋体"/>
          <w:color w:val="auto"/>
          <w:highlight w:val="none"/>
        </w:rPr>
      </w:pPr>
    </w:p>
    <w:p w14:paraId="3C5FBCDA">
      <w:pPr>
        <w:pStyle w:val="20"/>
        <w:rPr>
          <w:rFonts w:hint="eastAsia" w:ascii="宋体" w:hAnsi="宋体" w:eastAsia="宋体" w:cs="宋体"/>
          <w:color w:val="auto"/>
          <w:highlight w:val="none"/>
        </w:rPr>
      </w:pPr>
    </w:p>
    <w:p w14:paraId="00A07875">
      <w:pPr>
        <w:pStyle w:val="20"/>
        <w:rPr>
          <w:rFonts w:hint="eastAsia" w:ascii="宋体" w:hAnsi="宋体" w:eastAsia="宋体" w:cs="宋体"/>
          <w:color w:val="auto"/>
          <w:highlight w:val="none"/>
        </w:rPr>
      </w:pPr>
    </w:p>
    <w:p w14:paraId="04071235">
      <w:pPr>
        <w:spacing w:line="360" w:lineRule="auto"/>
        <w:rPr>
          <w:rFonts w:hint="eastAsia" w:ascii="宋体" w:hAnsi="宋体" w:eastAsia="宋体" w:cs="宋体"/>
          <w:color w:val="auto"/>
          <w:highlight w:val="none"/>
        </w:rPr>
      </w:pPr>
    </w:p>
    <w:p w14:paraId="4706646A">
      <w:pPr>
        <w:pStyle w:val="2"/>
        <w:spacing w:line="360" w:lineRule="auto"/>
        <w:ind w:left="0" w:firstLine="0"/>
        <w:rPr>
          <w:rFonts w:hint="eastAsia" w:ascii="宋体" w:hAnsi="宋体" w:eastAsia="宋体" w:cs="宋体"/>
          <w:color w:val="auto"/>
          <w:sz w:val="44"/>
          <w:szCs w:val="44"/>
          <w:highlight w:val="none"/>
        </w:rPr>
      </w:pPr>
      <w:bookmarkStart w:id="2" w:name="_Toc525983991"/>
      <w:bookmarkStart w:id="3" w:name="_Toc436256496"/>
      <w:bookmarkStart w:id="4" w:name="_Toc22334"/>
      <w:r>
        <w:rPr>
          <w:rFonts w:hint="eastAsia" w:ascii="宋体" w:hAnsi="宋体" w:eastAsia="宋体" w:cs="宋体"/>
          <w:color w:val="auto"/>
          <w:sz w:val="44"/>
          <w:szCs w:val="44"/>
          <w:highlight w:val="none"/>
        </w:rPr>
        <w:t>第一章竞争性磋商邀请</w:t>
      </w:r>
      <w:bookmarkEnd w:id="2"/>
      <w:bookmarkEnd w:id="3"/>
      <w:bookmarkEnd w:id="4"/>
    </w:p>
    <w:p w14:paraId="55E9FB61">
      <w:pPr>
        <w:spacing w:line="360" w:lineRule="auto"/>
        <w:rPr>
          <w:rFonts w:hint="eastAsia" w:ascii="宋体" w:hAnsi="宋体" w:eastAsia="宋体" w:cs="宋体"/>
          <w:color w:val="auto"/>
          <w:sz w:val="10"/>
          <w:szCs w:val="10"/>
          <w:highlight w:val="none"/>
        </w:rPr>
      </w:pPr>
    </w:p>
    <w:p w14:paraId="3990A73F">
      <w:pPr>
        <w:jc w:val="center"/>
        <w:rPr>
          <w:rFonts w:hint="eastAsia" w:ascii="宋体" w:hAnsi="宋体" w:eastAsia="宋体" w:cs="宋体"/>
          <w:b/>
          <w:color w:val="auto"/>
          <w:sz w:val="32"/>
          <w:highlight w:val="none"/>
        </w:rPr>
      </w:pPr>
      <w:bookmarkStart w:id="5" w:name="_Toc28359011"/>
      <w:bookmarkStart w:id="6" w:name="_Toc35393797"/>
      <w:r>
        <w:rPr>
          <w:rFonts w:hint="eastAsia" w:ascii="宋体" w:hAnsi="宋体" w:eastAsia="宋体" w:cs="宋体"/>
          <w:b/>
          <w:color w:val="auto"/>
          <w:sz w:val="32"/>
          <w:highlight w:val="none"/>
        </w:rPr>
        <w:br w:type="page"/>
      </w:r>
      <w:bookmarkEnd w:id="5"/>
      <w:bookmarkEnd w:id="6"/>
      <w:r>
        <w:rPr>
          <w:rFonts w:hint="eastAsia" w:ascii="宋体" w:hAnsi="宋体" w:eastAsia="宋体" w:cs="宋体"/>
          <w:b/>
          <w:color w:val="auto"/>
          <w:sz w:val="32"/>
          <w:highlight w:val="none"/>
        </w:rPr>
        <w:t>竞争性磋商公告</w:t>
      </w:r>
    </w:p>
    <w:p w14:paraId="5764F0DF">
      <w:pPr>
        <w:rPr>
          <w:rFonts w:hint="eastAsia" w:ascii="宋体" w:hAnsi="宋体" w:eastAsia="宋体" w:cs="宋体"/>
          <w:color w:val="auto"/>
          <w:highlight w:val="none"/>
        </w:rPr>
      </w:pPr>
    </w:p>
    <w:p w14:paraId="46AE17F2">
      <w:pPr>
        <w:pBdr>
          <w:top w:val="single" w:color="auto" w:sz="4" w:space="1"/>
          <w:left w:val="single" w:color="auto" w:sz="4" w:space="4"/>
          <w:bottom w:val="single" w:color="auto" w:sz="4" w:space="1"/>
          <w:right w:val="single" w:color="auto" w:sz="4" w:space="4"/>
        </w:pBd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6D224D57">
      <w:pPr>
        <w:pBdr>
          <w:top w:val="single" w:color="auto" w:sz="4" w:space="1"/>
          <w:left w:val="single" w:color="auto" w:sz="4" w:space="4"/>
          <w:bottom w:val="single" w:color="auto" w:sz="4" w:space="1"/>
          <w:right w:val="single" w:color="auto" w:sz="4" w:space="4"/>
        </w:pBdr>
        <w:spacing w:line="6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乌鲁木齐高新区（新市区）2017年美丽乡村建设ppp项目（B包）、乌鲁木齐高新区（新市区）城北新区路灯及农村路灯建设ppp复核项目审计</w:t>
      </w:r>
      <w:r>
        <w:rPr>
          <w:rFonts w:hint="eastAsia" w:ascii="宋体" w:hAnsi="宋体" w:eastAsia="宋体" w:cs="宋体"/>
          <w:color w:val="auto"/>
          <w:sz w:val="24"/>
          <w:szCs w:val="24"/>
          <w:highlight w:val="none"/>
        </w:rPr>
        <w:t>的潜在供应商应在</w:t>
      </w:r>
      <w:r>
        <w:rPr>
          <w:rFonts w:hint="eastAsia" w:ascii="宋体" w:hAnsi="宋体" w:eastAsia="宋体" w:cs="宋体"/>
          <w:color w:val="auto"/>
          <w:sz w:val="24"/>
          <w:szCs w:val="24"/>
          <w:highlight w:val="none"/>
          <w:u w:val="single"/>
        </w:rPr>
        <w:t>政采云平台（https://www.zcygov.cn/）</w:t>
      </w:r>
      <w:r>
        <w:rPr>
          <w:rFonts w:hint="eastAsia" w:ascii="宋体" w:hAnsi="宋体" w:eastAsia="宋体" w:cs="宋体"/>
          <w:color w:val="auto"/>
          <w:sz w:val="24"/>
          <w:szCs w:val="24"/>
          <w:highlight w:val="none"/>
          <w:u w:val="single"/>
          <w:lang w:val="en-US" w:eastAsia="zh-CN"/>
        </w:rPr>
        <w:t>获取采购文件</w:t>
      </w:r>
      <w:r>
        <w:rPr>
          <w:rFonts w:hint="eastAsia" w:ascii="宋体" w:hAnsi="宋体" w:eastAsia="宋体" w:cs="宋体"/>
          <w:color w:val="auto"/>
          <w:sz w:val="24"/>
          <w:szCs w:val="24"/>
          <w:highlight w:val="none"/>
        </w:rPr>
        <w:t>，并于</w:t>
      </w:r>
      <w:r>
        <w:rPr>
          <w:rFonts w:hint="eastAsia" w:ascii="宋体" w:hAnsi="宋体" w:cs="宋体"/>
          <w:color w:val="auto"/>
          <w:sz w:val="24"/>
          <w:szCs w:val="24"/>
          <w:highlight w:val="none"/>
          <w:u w:val="single"/>
          <w:lang w:eastAsia="zh-CN"/>
        </w:rPr>
        <w:t>2025年7月24日</w:t>
      </w:r>
      <w:r>
        <w:rPr>
          <w:rFonts w:hint="eastAsia" w:ascii="宋体" w:hAnsi="宋体" w:eastAsia="宋体" w:cs="宋体"/>
          <w:color w:val="auto"/>
          <w:sz w:val="24"/>
          <w:szCs w:val="24"/>
          <w:highlight w:val="none"/>
          <w:u w:val="single"/>
          <w:lang w:eastAsia="zh-CN"/>
        </w:rPr>
        <w:t>11点00分</w:t>
      </w:r>
      <w:r>
        <w:rPr>
          <w:rFonts w:hint="eastAsia" w:ascii="宋体" w:hAnsi="宋体" w:eastAsia="宋体" w:cs="宋体"/>
          <w:bCs/>
          <w:color w:val="auto"/>
          <w:sz w:val="24"/>
          <w:szCs w:val="24"/>
          <w:highlight w:val="none"/>
        </w:rPr>
        <w:t>（北京时间）前提交响应文件</w:t>
      </w:r>
      <w:r>
        <w:rPr>
          <w:rFonts w:hint="eastAsia" w:ascii="宋体" w:hAnsi="宋体" w:eastAsia="宋体" w:cs="宋体"/>
          <w:color w:val="auto"/>
          <w:sz w:val="24"/>
          <w:szCs w:val="24"/>
          <w:highlight w:val="none"/>
        </w:rPr>
        <w:t>。</w:t>
      </w:r>
    </w:p>
    <w:p w14:paraId="53CFDE35">
      <w:pPr>
        <w:spacing w:line="300" w:lineRule="exact"/>
        <w:ind w:firstLine="200"/>
        <w:rPr>
          <w:rFonts w:hint="eastAsia" w:ascii="宋体" w:hAnsi="宋体" w:eastAsia="宋体" w:cs="宋体"/>
          <w:color w:val="auto"/>
          <w:sz w:val="24"/>
          <w:szCs w:val="24"/>
          <w:highlight w:val="none"/>
        </w:rPr>
      </w:pPr>
    </w:p>
    <w:p w14:paraId="1AD4E943">
      <w:pPr>
        <w:spacing w:line="300" w:lineRule="exact"/>
        <w:ind w:firstLine="200"/>
        <w:rPr>
          <w:rFonts w:hint="eastAsia" w:ascii="宋体" w:hAnsi="宋体" w:eastAsia="宋体" w:cs="宋体"/>
          <w:b/>
          <w:color w:val="auto"/>
          <w:sz w:val="24"/>
          <w:szCs w:val="24"/>
          <w:highlight w:val="none"/>
        </w:rPr>
      </w:pPr>
      <w:bookmarkStart w:id="7" w:name="_Toc28359089"/>
      <w:bookmarkStart w:id="8" w:name="_Toc35393629"/>
      <w:bookmarkStart w:id="9" w:name="_Toc35393798"/>
      <w:bookmarkStart w:id="10" w:name="_Toc28359012"/>
      <w:r>
        <w:rPr>
          <w:rFonts w:hint="eastAsia" w:ascii="宋体" w:hAnsi="宋体" w:eastAsia="宋体" w:cs="宋体"/>
          <w:b/>
          <w:color w:val="auto"/>
          <w:sz w:val="24"/>
          <w:szCs w:val="24"/>
          <w:highlight w:val="none"/>
        </w:rPr>
        <w:t>一、项目基本情况</w:t>
      </w:r>
      <w:bookmarkEnd w:id="7"/>
      <w:bookmarkEnd w:id="8"/>
      <w:bookmarkEnd w:id="9"/>
      <w:bookmarkEnd w:id="10"/>
    </w:p>
    <w:p w14:paraId="555B9C59">
      <w:pPr>
        <w:spacing w:line="6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GXXG-2025-ZFCG038</w:t>
      </w:r>
    </w:p>
    <w:p w14:paraId="5217D684">
      <w:pPr>
        <w:spacing w:line="600" w:lineRule="exact"/>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乌鲁木齐高新区（新市区）2017年美丽乡村建设ppp项目（B包）、乌鲁木齐高新区（新市区）城北新区路灯及农村路灯建设ppp复核项目审计</w:t>
      </w:r>
    </w:p>
    <w:p w14:paraId="09254EFC">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采购方式：竞争性磋商</w:t>
      </w:r>
    </w:p>
    <w:p w14:paraId="333ECD5D">
      <w:pPr>
        <w:spacing w:line="6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预算金额：</w:t>
      </w:r>
      <w:r>
        <w:rPr>
          <w:rFonts w:hint="eastAsia" w:ascii="宋体" w:hAnsi="宋体" w:cs="宋体"/>
          <w:color w:val="auto"/>
          <w:sz w:val="24"/>
          <w:szCs w:val="24"/>
          <w:highlight w:val="none"/>
          <w:lang w:val="en-US" w:eastAsia="zh-CN"/>
        </w:rPr>
        <w:t>265100.00</w:t>
      </w:r>
      <w:r>
        <w:rPr>
          <w:rFonts w:hint="eastAsia" w:ascii="宋体" w:hAnsi="宋体" w:eastAsia="宋体" w:cs="宋体"/>
          <w:color w:val="auto"/>
          <w:sz w:val="24"/>
          <w:szCs w:val="24"/>
          <w:highlight w:val="none"/>
          <w:lang w:val="en-US" w:eastAsia="zh-CN"/>
        </w:rPr>
        <w:t>元</w:t>
      </w:r>
    </w:p>
    <w:p w14:paraId="448FAFCD">
      <w:pPr>
        <w:spacing w:line="6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最高限价：</w:t>
      </w:r>
      <w:r>
        <w:rPr>
          <w:rFonts w:hint="eastAsia" w:ascii="宋体" w:hAnsi="宋体" w:cs="宋体"/>
          <w:color w:val="auto"/>
          <w:sz w:val="24"/>
          <w:szCs w:val="24"/>
          <w:highlight w:val="none"/>
          <w:lang w:val="en-US" w:eastAsia="zh-CN"/>
        </w:rPr>
        <w:t>265100.00</w:t>
      </w:r>
      <w:r>
        <w:rPr>
          <w:rFonts w:hint="eastAsia" w:ascii="宋体" w:hAnsi="宋体" w:eastAsia="宋体" w:cs="宋体"/>
          <w:color w:val="auto"/>
          <w:sz w:val="24"/>
          <w:szCs w:val="24"/>
          <w:highlight w:val="none"/>
          <w:lang w:val="en-US" w:eastAsia="zh-CN"/>
        </w:rPr>
        <w:t>元</w:t>
      </w:r>
    </w:p>
    <w:p w14:paraId="46598201">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val="en-US" w:eastAsia="zh-CN"/>
        </w:rPr>
        <w:t>选</w:t>
      </w:r>
      <w:r>
        <w:rPr>
          <w:rFonts w:hint="eastAsia" w:ascii="宋体" w:hAnsi="宋体" w:cs="宋体"/>
          <w:color w:val="auto"/>
          <w:sz w:val="24"/>
          <w:szCs w:val="24"/>
          <w:highlight w:val="none"/>
          <w:lang w:val="en-US" w:eastAsia="zh-CN"/>
        </w:rPr>
        <w:t>选取一家单位，复校市核该顶昌己气战的竣工财务决算报当成果，并按期出县复审审核报告</w:t>
      </w:r>
      <w:r>
        <w:rPr>
          <w:rFonts w:hint="eastAsia" w:ascii="宋体" w:hAnsi="宋体" w:eastAsia="宋体" w:cs="宋体"/>
          <w:color w:val="auto"/>
          <w:sz w:val="24"/>
          <w:szCs w:val="24"/>
          <w:highlight w:val="none"/>
        </w:rPr>
        <w:t>。</w:t>
      </w:r>
    </w:p>
    <w:p w14:paraId="36771994">
      <w:pPr>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合同履行期限：</w:t>
      </w:r>
      <w:r>
        <w:rPr>
          <w:rFonts w:hint="eastAsia" w:ascii="宋体" w:hAnsi="宋体" w:cs="宋体"/>
          <w:color w:val="auto"/>
          <w:sz w:val="24"/>
          <w:szCs w:val="24"/>
          <w:highlight w:val="none"/>
          <w:lang w:val="en-US" w:eastAsia="zh-CN"/>
        </w:rPr>
        <w:t>合同签订之日起至甲方将提供全部的财务决算审计资料移交给供应商40日内出具财务决算审计报告为止</w:t>
      </w:r>
      <w:r>
        <w:rPr>
          <w:rFonts w:hint="eastAsia" w:ascii="宋体" w:hAnsi="宋体" w:eastAsia="宋体" w:cs="宋体"/>
          <w:color w:val="auto"/>
          <w:sz w:val="24"/>
          <w:szCs w:val="24"/>
          <w:highlight w:val="none"/>
          <w:lang w:val="en-US" w:eastAsia="zh-CN"/>
        </w:rPr>
        <w:t>。</w:t>
      </w:r>
    </w:p>
    <w:p w14:paraId="243055D4">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i/>
          <w:color w:val="auto"/>
          <w:sz w:val="24"/>
          <w:szCs w:val="24"/>
          <w:highlight w:val="none"/>
        </w:rPr>
        <w:t>否</w:t>
      </w:r>
      <w:r>
        <w:rPr>
          <w:rFonts w:hint="eastAsia" w:ascii="宋体" w:hAnsi="宋体" w:eastAsia="宋体" w:cs="宋体"/>
          <w:color w:val="auto"/>
          <w:sz w:val="24"/>
          <w:szCs w:val="24"/>
          <w:highlight w:val="none"/>
        </w:rPr>
        <w:t>）接受联合体。</w:t>
      </w:r>
    </w:p>
    <w:p w14:paraId="17F9E97E">
      <w:pPr>
        <w:spacing w:line="600" w:lineRule="exact"/>
        <w:ind w:firstLine="200"/>
        <w:rPr>
          <w:rFonts w:hint="eastAsia" w:ascii="宋体" w:hAnsi="宋体" w:eastAsia="宋体" w:cs="宋体"/>
          <w:b/>
          <w:color w:val="auto"/>
          <w:sz w:val="24"/>
          <w:szCs w:val="24"/>
          <w:highlight w:val="none"/>
        </w:rPr>
      </w:pPr>
      <w:bookmarkStart w:id="11" w:name="_Toc28359090"/>
      <w:bookmarkStart w:id="12" w:name="_Toc35393799"/>
      <w:bookmarkStart w:id="13" w:name="_Toc28359013"/>
      <w:bookmarkStart w:id="14" w:name="_Toc35393630"/>
      <w:r>
        <w:rPr>
          <w:rFonts w:hint="eastAsia" w:ascii="宋体" w:hAnsi="宋体" w:eastAsia="宋体" w:cs="宋体"/>
          <w:b/>
          <w:color w:val="auto"/>
          <w:sz w:val="24"/>
          <w:szCs w:val="24"/>
          <w:highlight w:val="none"/>
        </w:rPr>
        <w:t>二、申请人的资格要求：</w:t>
      </w:r>
      <w:bookmarkEnd w:id="11"/>
      <w:bookmarkEnd w:id="12"/>
      <w:bookmarkEnd w:id="13"/>
      <w:bookmarkEnd w:id="14"/>
    </w:p>
    <w:p w14:paraId="613D4D35">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1CD14D6B">
      <w:pPr>
        <w:spacing w:line="600" w:lineRule="exact"/>
        <w:ind w:firstLine="480" w:firstLineChars="200"/>
        <w:rPr>
          <w:rFonts w:hint="eastAsia" w:ascii="宋体" w:hAnsi="宋体" w:eastAsia="宋体" w:cs="宋体"/>
          <w:color w:val="auto"/>
          <w:sz w:val="24"/>
          <w:szCs w:val="24"/>
          <w:highlight w:val="none"/>
        </w:rPr>
      </w:pPr>
      <w:bookmarkStart w:id="15" w:name="_Toc28359014"/>
      <w:bookmarkStart w:id="16" w:name="_Toc28359091"/>
      <w:r>
        <w:rPr>
          <w:rFonts w:hint="eastAsia" w:ascii="宋体" w:hAnsi="宋体" w:eastAsia="宋体" w:cs="宋体"/>
          <w:color w:val="auto"/>
          <w:sz w:val="24"/>
          <w:szCs w:val="24"/>
          <w:highlight w:val="none"/>
        </w:rPr>
        <w:t>2.落实政府采购政策需满足的资格要求：</w:t>
      </w:r>
    </w:p>
    <w:p w14:paraId="6E1E5EC0">
      <w:pPr>
        <w:spacing w:line="6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单位负责人为同一人或者存在直接控股、管理关系的不同供应商，不得同时参加本项目同一包的投标；</w:t>
      </w:r>
    </w:p>
    <w:p w14:paraId="08DF44E2">
      <w:pPr>
        <w:spacing w:line="6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为本项目某包提供整体设计、规范编制或者项目管理、监理、检测等服务的供应商，不得参加该包的投标；</w:t>
      </w:r>
    </w:p>
    <w:p w14:paraId="15231D58">
      <w:pPr>
        <w:spacing w:line="6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未被“信用中国”网站（www.creditchina.gov.cn）、“中国政府采购网”（www.ccgp.gov.cn）列入失信被执行人、重大税收违法案件当事人名单、政府采购严重失信行为记录名单；</w:t>
      </w:r>
    </w:p>
    <w:p w14:paraId="1CF95EDC">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u w:val="single"/>
          <w:lang w:eastAsia="zh-CN"/>
        </w:rPr>
        <w:t>本项目专门面向中小企业采购</w:t>
      </w:r>
      <w:r>
        <w:rPr>
          <w:rFonts w:hint="eastAsia" w:ascii="宋体" w:hAnsi="宋体" w:eastAsia="宋体" w:cs="宋体"/>
          <w:color w:val="auto"/>
          <w:sz w:val="24"/>
          <w:szCs w:val="24"/>
          <w:highlight w:val="none"/>
          <w:u w:val="single"/>
        </w:rPr>
        <w:t>。</w:t>
      </w:r>
    </w:p>
    <w:p w14:paraId="340559AD">
      <w:pPr>
        <w:spacing w:line="600" w:lineRule="exact"/>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bookmarkStart w:id="17" w:name="_Toc35393631"/>
      <w:bookmarkStart w:id="18" w:name="_Toc35393800"/>
    </w:p>
    <w:p w14:paraId="2576C8E8">
      <w:pPr>
        <w:spacing w:line="600" w:lineRule="exact"/>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1）投标人具有会计师事务所执业证书，并在人员、设备、资金等方面具有承担本项目的能力。</w:t>
      </w:r>
    </w:p>
    <w:p w14:paraId="13DFE4AB">
      <w:pPr>
        <w:spacing w:line="600" w:lineRule="exact"/>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（2）项目负责人必须具有注册会计师证书，且在有效期内。</w:t>
      </w:r>
    </w:p>
    <w:p w14:paraId="34B55ED8">
      <w:pPr>
        <w:spacing w:line="600" w:lineRule="exact"/>
        <w:ind w:firstLine="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三、获取采购文件</w:t>
      </w:r>
      <w:bookmarkEnd w:id="15"/>
      <w:bookmarkEnd w:id="16"/>
      <w:bookmarkEnd w:id="17"/>
      <w:bookmarkEnd w:id="18"/>
    </w:p>
    <w:p w14:paraId="775902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21</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，天上午00:00至1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:00，下午1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:00至23:59（北京时间，法定节假日除外）</w:t>
      </w:r>
    </w:p>
    <w:p w14:paraId="59CCE8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地点：政采云平台https://www.zcygov.cn/</w:t>
      </w:r>
    </w:p>
    <w:p w14:paraId="6608E539">
      <w:pPr>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方式：供应商登录政采云平台https://www.zcygov.cn/在线申请获取采购文件（进入“项目采购”应用，在获取采购文件菜单中选择项目，申请获取采购文件）</w:t>
      </w:r>
    </w:p>
    <w:p w14:paraId="120C3510">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元/份</w:t>
      </w:r>
    </w:p>
    <w:p w14:paraId="6E55B598">
      <w:pPr>
        <w:spacing w:line="600" w:lineRule="exact"/>
        <w:ind w:firstLine="200"/>
        <w:rPr>
          <w:rFonts w:hint="eastAsia" w:ascii="宋体" w:hAnsi="宋体" w:eastAsia="宋体" w:cs="宋体"/>
          <w:b/>
          <w:color w:val="auto"/>
          <w:sz w:val="24"/>
          <w:szCs w:val="24"/>
          <w:highlight w:val="none"/>
        </w:rPr>
      </w:pPr>
      <w:bookmarkStart w:id="19" w:name="_Toc35393801"/>
      <w:bookmarkStart w:id="20" w:name="_Toc28359015"/>
      <w:bookmarkStart w:id="21" w:name="_Toc28359092"/>
      <w:bookmarkStart w:id="22" w:name="_Toc35393632"/>
      <w:r>
        <w:rPr>
          <w:rFonts w:hint="eastAsia" w:ascii="宋体" w:hAnsi="宋体" w:eastAsia="宋体" w:cs="宋体"/>
          <w:b/>
          <w:color w:val="auto"/>
          <w:sz w:val="24"/>
          <w:szCs w:val="24"/>
          <w:highlight w:val="none"/>
        </w:rPr>
        <w:t>四、响应文件提交</w:t>
      </w:r>
      <w:bookmarkEnd w:id="19"/>
      <w:bookmarkEnd w:id="20"/>
      <w:bookmarkEnd w:id="21"/>
      <w:bookmarkEnd w:id="22"/>
    </w:p>
    <w:p w14:paraId="44B15A88">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cs="宋体"/>
          <w:color w:val="auto"/>
          <w:sz w:val="24"/>
          <w:szCs w:val="24"/>
          <w:highlight w:val="none"/>
          <w:lang w:eastAsia="zh-CN"/>
        </w:rPr>
        <w:t>2025年7月24日</w:t>
      </w:r>
      <w:r>
        <w:rPr>
          <w:rFonts w:hint="eastAsia" w:ascii="宋体" w:hAnsi="宋体" w:eastAsia="宋体" w:cs="宋体"/>
          <w:color w:val="auto"/>
          <w:sz w:val="24"/>
          <w:szCs w:val="24"/>
          <w:highlight w:val="none"/>
          <w:lang w:eastAsia="zh-CN"/>
        </w:rPr>
        <w:t>11点00分</w:t>
      </w:r>
      <w:r>
        <w:rPr>
          <w:rFonts w:hint="eastAsia" w:ascii="宋体" w:hAnsi="宋体" w:eastAsia="宋体" w:cs="宋体"/>
          <w:color w:val="auto"/>
          <w:sz w:val="24"/>
          <w:szCs w:val="24"/>
          <w:highlight w:val="none"/>
        </w:rPr>
        <w:t>（北京时间）</w:t>
      </w:r>
    </w:p>
    <w:p w14:paraId="14A207A6">
      <w:pPr>
        <w:spacing w:line="6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地点：新疆政府采购云平台（https://www.zcygov.cn/）</w:t>
      </w:r>
    </w:p>
    <w:p w14:paraId="54976301">
      <w:pPr>
        <w:spacing w:line="600" w:lineRule="exact"/>
        <w:ind w:firstLine="200"/>
        <w:rPr>
          <w:rFonts w:hint="eastAsia" w:ascii="宋体" w:hAnsi="宋体" w:eastAsia="宋体" w:cs="宋体"/>
          <w:b/>
          <w:color w:val="auto"/>
          <w:sz w:val="24"/>
          <w:szCs w:val="24"/>
          <w:highlight w:val="none"/>
        </w:rPr>
      </w:pPr>
      <w:bookmarkStart w:id="23" w:name="_Toc35393802"/>
      <w:bookmarkStart w:id="24" w:name="_Toc28359016"/>
      <w:bookmarkStart w:id="25" w:name="_Toc28359093"/>
      <w:bookmarkStart w:id="26" w:name="_Toc35393633"/>
      <w:r>
        <w:rPr>
          <w:rFonts w:hint="eastAsia" w:ascii="宋体" w:hAnsi="宋体" w:eastAsia="宋体" w:cs="宋体"/>
          <w:b/>
          <w:color w:val="auto"/>
          <w:sz w:val="24"/>
          <w:szCs w:val="24"/>
          <w:highlight w:val="none"/>
        </w:rPr>
        <w:t>五、开启</w:t>
      </w:r>
      <w:bookmarkEnd w:id="23"/>
      <w:bookmarkEnd w:id="24"/>
      <w:bookmarkEnd w:id="25"/>
      <w:bookmarkEnd w:id="26"/>
    </w:p>
    <w:p w14:paraId="0A6EF600">
      <w:pPr>
        <w:spacing w:line="6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lang w:eastAsia="zh-CN"/>
        </w:rPr>
        <w:t>2025年7月24日</w:t>
      </w:r>
      <w:r>
        <w:rPr>
          <w:rFonts w:hint="eastAsia" w:ascii="宋体" w:hAnsi="宋体" w:eastAsia="宋体" w:cs="宋体"/>
          <w:color w:val="auto"/>
          <w:sz w:val="24"/>
          <w:szCs w:val="24"/>
          <w:highlight w:val="none"/>
          <w:lang w:eastAsia="zh-CN"/>
        </w:rPr>
        <w:t>11点00分</w:t>
      </w:r>
      <w:r>
        <w:rPr>
          <w:rFonts w:hint="eastAsia" w:ascii="宋体" w:hAnsi="宋体" w:eastAsia="宋体" w:cs="宋体"/>
          <w:color w:val="auto"/>
          <w:sz w:val="24"/>
          <w:szCs w:val="24"/>
          <w:highlight w:val="none"/>
        </w:rPr>
        <w:t>（北京时间）</w:t>
      </w:r>
    </w:p>
    <w:p w14:paraId="7218CFB9">
      <w:pPr>
        <w:spacing w:line="6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地点：新疆政府采购云平台（https://www.zcygov.cn/）</w:t>
      </w:r>
    </w:p>
    <w:p w14:paraId="10C1E0FB">
      <w:pPr>
        <w:spacing w:line="600" w:lineRule="exact"/>
        <w:ind w:firstLine="200"/>
        <w:rPr>
          <w:rFonts w:hint="eastAsia" w:ascii="宋体" w:hAnsi="宋体" w:eastAsia="宋体" w:cs="宋体"/>
          <w:b/>
          <w:color w:val="auto"/>
          <w:sz w:val="24"/>
          <w:szCs w:val="24"/>
          <w:highlight w:val="none"/>
        </w:rPr>
      </w:pPr>
      <w:bookmarkStart w:id="27" w:name="_Toc28359017"/>
      <w:bookmarkStart w:id="28" w:name="_Toc35393803"/>
      <w:bookmarkStart w:id="29" w:name="_Toc35393634"/>
      <w:bookmarkStart w:id="30" w:name="_Toc28359094"/>
      <w:r>
        <w:rPr>
          <w:rFonts w:hint="eastAsia" w:ascii="宋体" w:hAnsi="宋体" w:eastAsia="宋体" w:cs="宋体"/>
          <w:b/>
          <w:color w:val="auto"/>
          <w:sz w:val="24"/>
          <w:szCs w:val="24"/>
          <w:highlight w:val="none"/>
        </w:rPr>
        <w:t>六、公告期限</w:t>
      </w:r>
      <w:bookmarkEnd w:id="27"/>
      <w:bookmarkEnd w:id="28"/>
      <w:bookmarkEnd w:id="29"/>
      <w:bookmarkEnd w:id="30"/>
    </w:p>
    <w:p w14:paraId="53DDBC7F">
      <w:pPr>
        <w:spacing w:line="6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自本公告发布之日起3个工作日。</w:t>
      </w:r>
    </w:p>
    <w:p w14:paraId="3C494716">
      <w:pPr>
        <w:spacing w:line="600" w:lineRule="exact"/>
        <w:ind w:firstLine="200"/>
        <w:rPr>
          <w:rFonts w:hint="eastAsia" w:ascii="宋体" w:hAnsi="宋体" w:eastAsia="宋体" w:cs="宋体"/>
          <w:b/>
          <w:color w:val="auto"/>
          <w:sz w:val="24"/>
          <w:szCs w:val="24"/>
          <w:highlight w:val="none"/>
        </w:rPr>
      </w:pPr>
      <w:bookmarkStart w:id="31" w:name="_Toc35393635"/>
      <w:bookmarkStart w:id="32" w:name="_Toc35393804"/>
      <w:r>
        <w:rPr>
          <w:rFonts w:hint="eastAsia" w:ascii="宋体" w:hAnsi="宋体" w:eastAsia="宋体" w:cs="宋体"/>
          <w:b/>
          <w:color w:val="auto"/>
          <w:sz w:val="24"/>
          <w:szCs w:val="24"/>
          <w:highlight w:val="none"/>
        </w:rPr>
        <w:t>七、其他补充事宜</w:t>
      </w:r>
      <w:bookmarkEnd w:id="31"/>
      <w:bookmarkEnd w:id="32"/>
    </w:p>
    <w:p w14:paraId="76DE15D0">
      <w:pPr>
        <w:pStyle w:val="20"/>
        <w:numPr>
          <w:ilvl w:val="0"/>
          <w:numId w:val="2"/>
        </w:numPr>
        <w:spacing w:line="360" w:lineRule="auto"/>
        <w:rPr>
          <w:rFonts w:hint="eastAsia" w:ascii="宋体" w:hAnsi="宋体" w:eastAsia="宋体" w:cs="宋体"/>
          <w:color w:val="auto"/>
          <w:sz w:val="24"/>
          <w:szCs w:val="24"/>
          <w:highlight w:val="none"/>
        </w:rPr>
      </w:pPr>
      <w:bookmarkStart w:id="33" w:name="_Toc35393636"/>
      <w:bookmarkStart w:id="34" w:name="_Toc28359018"/>
      <w:bookmarkStart w:id="35" w:name="_Toc28359095"/>
      <w:bookmarkStart w:id="36" w:name="_Toc35393805"/>
      <w:r>
        <w:rPr>
          <w:rFonts w:hint="eastAsia" w:ascii="宋体" w:hAnsi="宋体" w:eastAsia="宋体" w:cs="宋体"/>
          <w:color w:val="auto"/>
          <w:sz w:val="24"/>
          <w:szCs w:val="24"/>
          <w:highlight w:val="none"/>
        </w:rPr>
        <w:t>本次公告在新疆政府采购网；</w:t>
      </w:r>
    </w:p>
    <w:p w14:paraId="2718D2A2">
      <w:pPr>
        <w:pStyle w:val="20"/>
        <w:numPr>
          <w:ilvl w:val="0"/>
          <w:numId w:val="2"/>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请投标单位随时关注本项目的变更、答疑、澄清文件；</w:t>
      </w:r>
    </w:p>
    <w:p w14:paraId="1941BF44">
      <w:pPr>
        <w:pStyle w:val="20"/>
        <w:numPr>
          <w:ilvl w:val="0"/>
          <w:numId w:val="2"/>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本项目实行电子招投标，供应商须登录政采云平台申请获取采购文件，并通过政采云电子投标客户端制作投标文件，同时自行承担与投标有关的一切费用；</w:t>
      </w:r>
    </w:p>
    <w:p w14:paraId="300367CA">
      <w:pPr>
        <w:pStyle w:val="20"/>
        <w:numPr>
          <w:ilvl w:val="0"/>
          <w:numId w:val="2"/>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各供应商应在开标前确保成为新疆维吾尔自治区政府采购网正式注册入库供应商，并完成CA数字证书申领。因未注册入库、未办理CA数字证书等原因造成无法投标或投标失败等后果由供应商自行承担；</w:t>
      </w:r>
    </w:p>
    <w:p w14:paraId="13EBEE5F">
      <w:pPr>
        <w:pStyle w:val="20"/>
        <w:numPr>
          <w:ilvl w:val="0"/>
          <w:numId w:val="2"/>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可前往新疆政府采购网（http://www.ccgp-xinjiang.gov.cn/）下载专区，下载政采云电子投标客户端，安装完成后，可通过账号密码或CA登录客户端进行投标文件制作。在使用政采云电子投标客户端时，建议使用WIN7及以上操作系统。如有问题可拨打政采云客户服务热线400-881-7190进行咨询；</w:t>
      </w:r>
    </w:p>
    <w:p w14:paraId="59DBBFC4">
      <w:pPr>
        <w:pStyle w:val="20"/>
        <w:numPr>
          <w:ilvl w:val="0"/>
          <w:numId w:val="2"/>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不见面开标，供应商须在投标截止时间前通过CA在政采云平台上传加密的电子投标文件。备注：供应商对不见面开评标系统的技术操作咨询，可通过https://edu.zcygov.cn/luban/xinjiang-e-biding自助查询，也可在政采云帮助中心常见问题解答和操作流程讲解视频中自助查询，网址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service.zcygov.cn/#/help，\“项目采购\”—\“操作流程-电子招投标\”—\“政府采购项目电子交易管理操作指南-供应商\”版面获取操作指南，同时对自助查询无法解决的问题可通过钉钉群及政采云在线客服获取服务支持；" </w:instrText>
      </w:r>
      <w:r>
        <w:rPr>
          <w:rFonts w:hint="eastAsia" w:ascii="宋体" w:hAnsi="宋体" w:eastAsia="宋体" w:cs="宋体"/>
          <w:color w:val="auto"/>
          <w:sz w:val="24"/>
          <w:szCs w:val="24"/>
          <w:highlight w:val="none"/>
        </w:rPr>
        <w:fldChar w:fldCharType="separate"/>
      </w:r>
      <w:r>
        <w:rPr>
          <w:rStyle w:val="60"/>
          <w:rFonts w:hint="eastAsia" w:ascii="宋体" w:hAnsi="宋体" w:eastAsia="宋体" w:cs="宋体"/>
          <w:color w:val="auto"/>
          <w:sz w:val="24"/>
          <w:szCs w:val="24"/>
          <w:highlight w:val="none"/>
        </w:rPr>
        <w:t>https://service.zcygov.cn/#/help，“项目采购”—“操作流程-电子招投标”—“政府采购项目电子交易管理操作指南-供应商”版面获取操作指南，同时对自助查询无法解决的问题可通过钉钉群及政采云在线客服获取服务支持；</w:t>
      </w:r>
      <w:r>
        <w:rPr>
          <w:rFonts w:hint="eastAsia" w:ascii="宋体" w:hAnsi="宋体" w:eastAsia="宋体" w:cs="宋体"/>
          <w:color w:val="auto"/>
          <w:sz w:val="24"/>
          <w:szCs w:val="24"/>
          <w:highlight w:val="none"/>
        </w:rPr>
        <w:fldChar w:fldCharType="end"/>
      </w:r>
    </w:p>
    <w:p w14:paraId="7099ED87">
      <w:pPr>
        <w:pStyle w:val="20"/>
        <w:numPr>
          <w:ilvl w:val="0"/>
          <w:numId w:val="2"/>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在开标前须提前配置好电脑浏览器（建议使用360浏览器或谷歌浏览器），开标时请使用制作加密电子投标文件的CA锁进行解密及报价确认。本项目投标文件解密时间定为30分钟，如因自身原因导致无法正常解密，后果由供应商自行承担。  </w:t>
      </w:r>
    </w:p>
    <w:p w14:paraId="4EAF3172">
      <w:pPr>
        <w:pStyle w:val="20"/>
        <w:numPr>
          <w:ilvl w:val="0"/>
          <w:numId w:val="2"/>
        </w:num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采购项目需要落实的政府采购政策：</w:t>
      </w:r>
      <w:r>
        <w:rPr>
          <w:rFonts w:hint="eastAsia" w:ascii="宋体" w:hAnsi="宋体" w:eastAsia="宋体" w:cs="宋体"/>
          <w:color w:val="auto"/>
          <w:sz w:val="24"/>
          <w:szCs w:val="24"/>
          <w:highlight w:val="none"/>
        </w:rPr>
        <w:t>节约能源、保护环境、扶持不发达地区和少数民族地区、促进中小企业发展、促进残疾人就业、政府采购信用担保等</w:t>
      </w:r>
    </w:p>
    <w:p w14:paraId="1A04B7D3">
      <w:pPr>
        <w:spacing w:line="600" w:lineRule="exact"/>
        <w:ind w:firstLine="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八、凡对本次采购提出询问，请按以下方式联系。</w:t>
      </w:r>
      <w:bookmarkEnd w:id="33"/>
      <w:bookmarkEnd w:id="34"/>
      <w:bookmarkEnd w:id="35"/>
      <w:bookmarkEnd w:id="36"/>
    </w:p>
    <w:p w14:paraId="04D8628C">
      <w:pPr>
        <w:spacing w:line="600" w:lineRule="exact"/>
        <w:ind w:firstLine="200"/>
        <w:rPr>
          <w:rFonts w:hint="eastAsia" w:ascii="宋体" w:hAnsi="宋体" w:eastAsia="宋体" w:cs="宋体"/>
          <w:b/>
          <w:color w:val="auto"/>
          <w:sz w:val="24"/>
          <w:szCs w:val="24"/>
          <w:highlight w:val="none"/>
        </w:rPr>
      </w:pPr>
      <w:bookmarkStart w:id="37" w:name="_Toc28359019"/>
      <w:bookmarkStart w:id="38" w:name="_Toc35393637"/>
      <w:bookmarkStart w:id="39" w:name="_Toc28359096"/>
      <w:bookmarkStart w:id="40" w:name="_Toc35393806"/>
      <w:r>
        <w:rPr>
          <w:rFonts w:hint="eastAsia" w:ascii="宋体" w:hAnsi="宋体" w:eastAsia="宋体" w:cs="宋体"/>
          <w:color w:val="auto"/>
          <w:sz w:val="24"/>
          <w:szCs w:val="24"/>
          <w:highlight w:val="none"/>
        </w:rPr>
        <w:t>1.采购人信息</w:t>
      </w:r>
      <w:bookmarkEnd w:id="37"/>
      <w:bookmarkEnd w:id="38"/>
      <w:bookmarkEnd w:id="39"/>
      <w:bookmarkEnd w:id="40"/>
    </w:p>
    <w:p w14:paraId="2B5731AE">
      <w:pPr>
        <w:spacing w:line="600" w:lineRule="exact"/>
        <w:ind w:left="1759" w:leftChars="266" w:hanging="1200" w:hangingChars="500"/>
        <w:jc w:val="left"/>
        <w:rPr>
          <w:rFonts w:hint="eastAsia" w:ascii="宋体" w:hAnsi="宋体" w:eastAsia="宋体" w:cs="宋体"/>
          <w:color w:val="auto"/>
          <w:sz w:val="24"/>
          <w:szCs w:val="24"/>
          <w:highlight w:val="none"/>
        </w:rPr>
      </w:pPr>
      <w:bookmarkStart w:id="41" w:name="_Toc28359020"/>
      <w:bookmarkStart w:id="42" w:name="_Toc28359097"/>
      <w:bookmarkStart w:id="43" w:name="_Toc35393807"/>
      <w:bookmarkStart w:id="44" w:name="_Toc35393638"/>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lang w:eastAsia="zh-CN"/>
        </w:rPr>
        <w:t>乌鲁木齐高新技术产业开发区（乌鲁木齐市新市区）建设局</w:t>
      </w:r>
    </w:p>
    <w:p w14:paraId="668F981B">
      <w:pPr>
        <w:spacing w:line="600" w:lineRule="exact"/>
        <w:ind w:left="1759" w:leftChars="266" w:hanging="1200" w:hangingChars="5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lang w:eastAsia="zh-CN"/>
        </w:rPr>
        <w:t>新疆乌鲁木齐高新区（新市区)四平路2288号创新广场A座7楼</w:t>
      </w:r>
    </w:p>
    <w:p w14:paraId="67DEA220">
      <w:pPr>
        <w:spacing w:line="6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lang w:eastAsia="zh-CN"/>
        </w:rPr>
        <w:t>0991-3653507</w:t>
      </w:r>
    </w:p>
    <w:p w14:paraId="0462B080">
      <w:pPr>
        <w:spacing w:line="600" w:lineRule="exact"/>
        <w:ind w:firstLine="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2.采购代理机构信息</w:t>
      </w:r>
      <w:bookmarkEnd w:id="41"/>
      <w:bookmarkEnd w:id="42"/>
      <w:bookmarkEnd w:id="43"/>
      <w:bookmarkEnd w:id="44"/>
    </w:p>
    <w:p w14:paraId="6CCE469D">
      <w:pPr>
        <w:spacing w:line="600" w:lineRule="exact"/>
        <w:ind w:firstLine="480" w:firstLineChars="200"/>
        <w:jc w:val="left"/>
        <w:rPr>
          <w:rFonts w:hint="eastAsia" w:ascii="宋体" w:hAnsi="宋体" w:eastAsia="宋体" w:cs="宋体"/>
          <w:color w:val="auto"/>
          <w:sz w:val="24"/>
          <w:szCs w:val="24"/>
          <w:highlight w:val="none"/>
          <w:lang w:eastAsia="zh-CN"/>
        </w:rPr>
      </w:pPr>
      <w:bookmarkStart w:id="45" w:name="_Toc35393808"/>
      <w:bookmarkStart w:id="46" w:name="_Toc35393639"/>
      <w:bookmarkStart w:id="47" w:name="_Toc28359098"/>
      <w:bookmarkStart w:id="48" w:name="_Toc28359021"/>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lang w:eastAsia="zh-CN"/>
        </w:rPr>
        <w:t>乌鲁木齐高新建设工程项目管理咨询有限公司</w:t>
      </w:r>
    </w:p>
    <w:p w14:paraId="020CC407">
      <w:pPr>
        <w:spacing w:line="6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lang w:eastAsia="zh-CN"/>
        </w:rPr>
        <w:t>新疆乌鲁木齐高新区（新市区)四平路2288号创新广场(二期)G座20层</w:t>
      </w:r>
    </w:p>
    <w:p w14:paraId="49444CD7">
      <w:pPr>
        <w:spacing w:line="6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lang w:eastAsia="zh-CN"/>
        </w:rPr>
        <w:t>0991-6600851</w:t>
      </w:r>
    </w:p>
    <w:p w14:paraId="18DF78C3">
      <w:pPr>
        <w:spacing w:line="600" w:lineRule="exact"/>
        <w:ind w:firstLine="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3.项目联系方式</w:t>
      </w:r>
      <w:bookmarkEnd w:id="45"/>
      <w:bookmarkEnd w:id="46"/>
      <w:bookmarkEnd w:id="47"/>
      <w:bookmarkEnd w:id="48"/>
    </w:p>
    <w:p w14:paraId="531D9CA7">
      <w:pPr>
        <w:pStyle w:val="28"/>
        <w:spacing w:line="6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u w:val="single"/>
          <w:lang w:val="en-US" w:eastAsia="zh-CN"/>
        </w:rPr>
        <w:t>侯亚娟、王盛嘉</w:t>
      </w:r>
    </w:p>
    <w:p w14:paraId="31ADFE59">
      <w:pPr>
        <w:pStyle w:val="48"/>
        <w:spacing w:before="60" w:beforeAutospacing="0" w:after="60" w:afterAutospacing="0" w:line="60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lang w:eastAsia="zh-CN"/>
        </w:rPr>
        <w:t>0991-6600851</w:t>
      </w:r>
    </w:p>
    <w:p w14:paraId="158504B7">
      <w:pPr>
        <w:pStyle w:val="28"/>
        <w:spacing w:line="600" w:lineRule="exact"/>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br w:type="page"/>
      </w:r>
    </w:p>
    <w:p w14:paraId="03F3BC7A">
      <w:pPr>
        <w:rPr>
          <w:rFonts w:hint="eastAsia" w:ascii="宋体" w:hAnsi="宋体" w:eastAsia="宋体" w:cs="宋体"/>
          <w:color w:val="auto"/>
          <w:sz w:val="44"/>
          <w:szCs w:val="44"/>
          <w:highlight w:val="none"/>
        </w:rPr>
      </w:pPr>
      <w:bookmarkStart w:id="49" w:name="_Toc525983992"/>
      <w:bookmarkStart w:id="50" w:name="_Toc436256498"/>
    </w:p>
    <w:p w14:paraId="4200A92E">
      <w:pPr>
        <w:rPr>
          <w:rFonts w:hint="eastAsia" w:ascii="宋体" w:hAnsi="宋体" w:eastAsia="宋体" w:cs="宋体"/>
          <w:color w:val="auto"/>
          <w:sz w:val="44"/>
          <w:szCs w:val="44"/>
          <w:highlight w:val="none"/>
        </w:rPr>
      </w:pPr>
    </w:p>
    <w:p w14:paraId="51EFFC15">
      <w:pPr>
        <w:rPr>
          <w:rFonts w:hint="eastAsia" w:ascii="宋体" w:hAnsi="宋体" w:eastAsia="宋体" w:cs="宋体"/>
          <w:color w:val="auto"/>
          <w:sz w:val="44"/>
          <w:szCs w:val="44"/>
          <w:highlight w:val="none"/>
        </w:rPr>
      </w:pPr>
    </w:p>
    <w:p w14:paraId="7CEAFB95">
      <w:pPr>
        <w:rPr>
          <w:rFonts w:hint="eastAsia" w:ascii="宋体" w:hAnsi="宋体" w:eastAsia="宋体" w:cs="宋体"/>
          <w:color w:val="auto"/>
          <w:sz w:val="44"/>
          <w:szCs w:val="44"/>
          <w:highlight w:val="none"/>
        </w:rPr>
      </w:pPr>
    </w:p>
    <w:p w14:paraId="2D652EAB">
      <w:pPr>
        <w:rPr>
          <w:rFonts w:hint="eastAsia" w:ascii="宋体" w:hAnsi="宋体" w:eastAsia="宋体" w:cs="宋体"/>
          <w:color w:val="auto"/>
          <w:sz w:val="44"/>
          <w:szCs w:val="44"/>
          <w:highlight w:val="none"/>
        </w:rPr>
      </w:pPr>
    </w:p>
    <w:p w14:paraId="1BC89247">
      <w:pPr>
        <w:rPr>
          <w:rFonts w:hint="eastAsia" w:ascii="宋体" w:hAnsi="宋体" w:eastAsia="宋体" w:cs="宋体"/>
          <w:color w:val="auto"/>
          <w:sz w:val="44"/>
          <w:szCs w:val="44"/>
          <w:highlight w:val="none"/>
        </w:rPr>
      </w:pPr>
    </w:p>
    <w:p w14:paraId="0B082B54">
      <w:pPr>
        <w:rPr>
          <w:rFonts w:hint="eastAsia" w:ascii="宋体" w:hAnsi="宋体" w:eastAsia="宋体" w:cs="宋体"/>
          <w:color w:val="auto"/>
          <w:sz w:val="44"/>
          <w:szCs w:val="44"/>
          <w:highlight w:val="none"/>
        </w:rPr>
      </w:pPr>
    </w:p>
    <w:p w14:paraId="512BF7CA">
      <w:pPr>
        <w:rPr>
          <w:rFonts w:hint="eastAsia" w:ascii="宋体" w:hAnsi="宋体" w:eastAsia="宋体" w:cs="宋体"/>
          <w:color w:val="auto"/>
          <w:sz w:val="44"/>
          <w:szCs w:val="44"/>
          <w:highlight w:val="none"/>
        </w:rPr>
      </w:pPr>
    </w:p>
    <w:p w14:paraId="12D2483E">
      <w:pPr>
        <w:pStyle w:val="2"/>
        <w:spacing w:line="360" w:lineRule="auto"/>
        <w:ind w:left="0" w:firstLine="0"/>
        <w:rPr>
          <w:rFonts w:hint="eastAsia" w:ascii="宋体" w:hAnsi="宋体" w:eastAsia="宋体" w:cs="宋体"/>
          <w:color w:val="auto"/>
          <w:sz w:val="44"/>
          <w:szCs w:val="44"/>
          <w:highlight w:val="none"/>
        </w:rPr>
      </w:pPr>
      <w:bookmarkStart w:id="51" w:name="_Toc13116"/>
      <w:r>
        <w:rPr>
          <w:rFonts w:hint="eastAsia" w:ascii="宋体" w:hAnsi="宋体" w:eastAsia="宋体" w:cs="宋体"/>
          <w:color w:val="auto"/>
          <w:sz w:val="44"/>
          <w:szCs w:val="44"/>
          <w:highlight w:val="none"/>
        </w:rPr>
        <w:t>第二章供应商须知前附表及供应商须知</w:t>
      </w:r>
      <w:bookmarkEnd w:id="49"/>
      <w:bookmarkEnd w:id="50"/>
      <w:bookmarkEnd w:id="51"/>
    </w:p>
    <w:p w14:paraId="61251007">
      <w:pPr>
        <w:pStyle w:val="3"/>
        <w:tabs>
          <w:tab w:val="left" w:pos="6320"/>
        </w:tabs>
        <w:spacing w:before="120" w:after="120" w:line="360" w:lineRule="auto"/>
        <w:jc w:val="center"/>
        <w:rPr>
          <w:rFonts w:hint="eastAsia" w:ascii="宋体" w:hAnsi="宋体" w:eastAsia="宋体" w:cs="宋体"/>
          <w:color w:val="auto"/>
          <w:highlight w:val="none"/>
        </w:rPr>
      </w:pPr>
      <w:bookmarkStart w:id="52" w:name="_Toc436256499"/>
      <w:r>
        <w:rPr>
          <w:rFonts w:hint="eastAsia" w:ascii="宋体" w:hAnsi="宋体" w:eastAsia="宋体" w:cs="宋体"/>
          <w:color w:val="auto"/>
          <w:highlight w:val="none"/>
        </w:rPr>
        <w:br w:type="page"/>
      </w:r>
      <w:bookmarkStart w:id="53" w:name="_Toc20847"/>
      <w:bookmarkStart w:id="54" w:name="_Toc44700084"/>
      <w:r>
        <w:rPr>
          <w:rFonts w:hint="eastAsia" w:ascii="宋体" w:hAnsi="宋体" w:eastAsia="宋体" w:cs="宋体"/>
          <w:color w:val="auto"/>
          <w:sz w:val="36"/>
          <w:highlight w:val="none"/>
        </w:rPr>
        <w:t>一、供应商须知前附表</w:t>
      </w:r>
      <w:bookmarkEnd w:id="52"/>
      <w:bookmarkEnd w:id="53"/>
      <w:bookmarkEnd w:id="54"/>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676"/>
        <w:gridCol w:w="6626"/>
      </w:tblGrid>
      <w:tr w14:paraId="3792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23" w:type="dxa"/>
            <w:noWrap w:val="0"/>
            <w:vAlign w:val="center"/>
          </w:tcPr>
          <w:p w14:paraId="01193E6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76" w:type="dxa"/>
            <w:noWrap w:val="0"/>
            <w:vAlign w:val="center"/>
          </w:tcPr>
          <w:p w14:paraId="43CA511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6626" w:type="dxa"/>
            <w:noWrap w:val="0"/>
            <w:vAlign w:val="center"/>
          </w:tcPr>
          <w:p w14:paraId="741DF23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说明与要求</w:t>
            </w:r>
          </w:p>
        </w:tc>
      </w:tr>
      <w:tr w14:paraId="1BE9B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23" w:type="dxa"/>
            <w:noWrap w:val="0"/>
            <w:vAlign w:val="center"/>
          </w:tcPr>
          <w:p w14:paraId="68F7665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676" w:type="dxa"/>
            <w:noWrap w:val="0"/>
            <w:vAlign w:val="center"/>
          </w:tcPr>
          <w:p w14:paraId="7451E86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626" w:type="dxa"/>
            <w:noWrap w:val="0"/>
            <w:vAlign w:val="center"/>
          </w:tcPr>
          <w:p w14:paraId="63E98F21">
            <w:pPr>
              <w:widowControl/>
              <w:tabs>
                <w:tab w:val="center" w:pos="4153"/>
              </w:tabs>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乌鲁木齐高新区（新市区）2017年美丽乡村建设ppp项目（B包）、乌鲁木齐高新区（新市区）城北新区路灯及农村路灯建设ppp复核项目审计</w:t>
            </w:r>
          </w:p>
        </w:tc>
      </w:tr>
      <w:tr w14:paraId="47F1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23" w:type="dxa"/>
            <w:noWrap w:val="0"/>
            <w:vAlign w:val="center"/>
          </w:tcPr>
          <w:p w14:paraId="04F274A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676" w:type="dxa"/>
            <w:noWrap w:val="0"/>
            <w:vAlign w:val="center"/>
          </w:tcPr>
          <w:p w14:paraId="324B260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626" w:type="dxa"/>
            <w:noWrap w:val="0"/>
            <w:vAlign w:val="center"/>
          </w:tcPr>
          <w:p w14:paraId="16D2B06C">
            <w:pPr>
              <w:widowControl/>
              <w:tabs>
                <w:tab w:val="center" w:pos="4153"/>
              </w:tabs>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lang w:eastAsia="zh-CN"/>
              </w:rPr>
              <w:t>乌鲁木齐高新技术产业开发区（乌鲁木齐市新市区）建设局</w:t>
            </w:r>
          </w:p>
          <w:p w14:paraId="47512226">
            <w:pPr>
              <w:widowControl/>
              <w:tabs>
                <w:tab w:val="center" w:pos="4153"/>
              </w:tabs>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rPr>
              <w:t>详细地址：</w:t>
            </w:r>
            <w:r>
              <w:rPr>
                <w:rFonts w:hint="eastAsia" w:ascii="宋体" w:hAnsi="宋体" w:eastAsia="宋体" w:cs="宋体"/>
                <w:color w:val="auto"/>
                <w:sz w:val="24"/>
                <w:szCs w:val="24"/>
                <w:highlight w:val="none"/>
                <w:lang w:eastAsia="zh-CN"/>
              </w:rPr>
              <w:t>新疆乌鲁木齐高新区（新市区)四平路2288号创新广场A座7楼</w:t>
            </w:r>
          </w:p>
          <w:p w14:paraId="63FC0857">
            <w:pPr>
              <w:widowControl/>
              <w:tabs>
                <w:tab w:val="center" w:pos="4153"/>
              </w:tabs>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0991-3653507</w:t>
            </w:r>
          </w:p>
        </w:tc>
      </w:tr>
      <w:tr w14:paraId="78FF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23" w:type="dxa"/>
            <w:noWrap w:val="0"/>
            <w:vAlign w:val="center"/>
          </w:tcPr>
          <w:p w14:paraId="5935464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676" w:type="dxa"/>
            <w:noWrap w:val="0"/>
            <w:vAlign w:val="center"/>
          </w:tcPr>
          <w:p w14:paraId="6D71A2B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采购范围</w:t>
            </w:r>
          </w:p>
        </w:tc>
        <w:tc>
          <w:tcPr>
            <w:tcW w:w="6626" w:type="dxa"/>
            <w:noWrap w:val="0"/>
            <w:vAlign w:val="center"/>
          </w:tcPr>
          <w:p w14:paraId="55C87F0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选</w:t>
            </w:r>
            <w:r>
              <w:rPr>
                <w:rFonts w:hint="eastAsia" w:ascii="宋体" w:hAnsi="宋体" w:cs="宋体"/>
                <w:color w:val="auto"/>
                <w:sz w:val="24"/>
                <w:szCs w:val="24"/>
                <w:highlight w:val="none"/>
                <w:lang w:eastAsia="zh-CN"/>
              </w:rPr>
              <w:t>选取一家单位，复校市核该顶昌己气战的竣工财务决算报当成果，并按期出县复审审核报告</w:t>
            </w:r>
            <w:r>
              <w:rPr>
                <w:rFonts w:hint="eastAsia" w:ascii="宋体" w:hAnsi="宋体" w:eastAsia="宋体" w:cs="宋体"/>
                <w:color w:val="auto"/>
                <w:sz w:val="24"/>
                <w:szCs w:val="24"/>
                <w:highlight w:val="none"/>
              </w:rPr>
              <w:t>。</w:t>
            </w:r>
          </w:p>
        </w:tc>
      </w:tr>
      <w:tr w14:paraId="7514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23" w:type="dxa"/>
            <w:noWrap w:val="0"/>
            <w:vAlign w:val="center"/>
          </w:tcPr>
          <w:p w14:paraId="469FEFA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1676" w:type="dxa"/>
            <w:noWrap w:val="0"/>
            <w:vAlign w:val="center"/>
          </w:tcPr>
          <w:p w14:paraId="6E5DCD3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6626" w:type="dxa"/>
            <w:noWrap w:val="0"/>
            <w:vAlign w:val="center"/>
          </w:tcPr>
          <w:p w14:paraId="00C6F09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财政资金</w:t>
            </w:r>
          </w:p>
        </w:tc>
      </w:tr>
      <w:tr w14:paraId="6E76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3" w:type="dxa"/>
            <w:noWrap w:val="0"/>
            <w:vAlign w:val="center"/>
          </w:tcPr>
          <w:p w14:paraId="324965F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1676" w:type="dxa"/>
            <w:noWrap w:val="0"/>
            <w:vAlign w:val="center"/>
          </w:tcPr>
          <w:p w14:paraId="72A463C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p>
        </w:tc>
        <w:tc>
          <w:tcPr>
            <w:tcW w:w="6626" w:type="dxa"/>
            <w:noWrap w:val="0"/>
            <w:vAlign w:val="center"/>
          </w:tcPr>
          <w:p w14:paraId="3FE6394C">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265100.00</w:t>
            </w:r>
            <w:r>
              <w:rPr>
                <w:rFonts w:hint="eastAsia" w:ascii="宋体" w:hAnsi="宋体" w:eastAsia="宋体" w:cs="宋体"/>
                <w:color w:val="auto"/>
                <w:sz w:val="24"/>
                <w:highlight w:val="none"/>
                <w:lang w:val="en-US" w:eastAsia="zh-CN"/>
              </w:rPr>
              <w:t>元</w:t>
            </w:r>
          </w:p>
        </w:tc>
      </w:tr>
      <w:tr w14:paraId="441F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3" w:type="dxa"/>
            <w:noWrap w:val="0"/>
            <w:vAlign w:val="center"/>
          </w:tcPr>
          <w:p w14:paraId="6B82519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1676" w:type="dxa"/>
            <w:noWrap w:val="0"/>
            <w:vAlign w:val="center"/>
          </w:tcPr>
          <w:p w14:paraId="3950C86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6626" w:type="dxa"/>
            <w:noWrap w:val="0"/>
            <w:vAlign w:val="center"/>
          </w:tcPr>
          <w:p w14:paraId="143F77B2">
            <w:pPr>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265100.00</w:t>
            </w:r>
            <w:r>
              <w:rPr>
                <w:rFonts w:hint="eastAsia" w:ascii="宋体" w:hAnsi="宋体" w:eastAsia="宋体" w:cs="宋体"/>
                <w:color w:val="auto"/>
                <w:sz w:val="24"/>
                <w:highlight w:val="none"/>
                <w:lang w:val="en-US" w:eastAsia="zh-CN"/>
              </w:rPr>
              <w:t>元</w:t>
            </w:r>
          </w:p>
        </w:tc>
      </w:tr>
      <w:tr w14:paraId="6549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23" w:type="dxa"/>
            <w:noWrap w:val="0"/>
            <w:vAlign w:val="center"/>
          </w:tcPr>
          <w:p w14:paraId="0B000E5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p>
        </w:tc>
        <w:tc>
          <w:tcPr>
            <w:tcW w:w="1676" w:type="dxa"/>
            <w:noWrap w:val="0"/>
            <w:vAlign w:val="center"/>
          </w:tcPr>
          <w:p w14:paraId="7B6694F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p>
          <w:p w14:paraId="509085B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资格要求</w:t>
            </w:r>
          </w:p>
        </w:tc>
        <w:tc>
          <w:tcPr>
            <w:tcW w:w="6626" w:type="dxa"/>
            <w:noWrap w:val="0"/>
            <w:vAlign w:val="center"/>
          </w:tcPr>
          <w:p w14:paraId="7BC728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7DBEE5F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p>
          <w:p w14:paraId="7669343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1）单位负责人为同一人或者存在直接控股、管理关系的不同投标人，不得同时参加本项目同一合同项下的投标；</w:t>
            </w:r>
          </w:p>
          <w:p w14:paraId="15DE108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2）为本项目某合同项提供整体设计、规范编制或者项目管理、监理、检测等服务的投标人，不得参加该合同项的投标；</w:t>
            </w:r>
          </w:p>
          <w:p w14:paraId="34C3A38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通过“信用中国”网站（www.creditchina.gov.cn）和中国政府采购网（www.ccgp.gov.cn）查询信用记录（截止时间点为投标截止时间），被列入失信被执行人、重大税收违法案件当事人名单或政府采购严重违法失信行为记录名单的投标人，没有资格参加本项目的采购活动；</w:t>
            </w:r>
          </w:p>
          <w:p w14:paraId="0C4D71F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本项目专门面向中小企业采购</w:t>
            </w:r>
            <w:r>
              <w:rPr>
                <w:rFonts w:hint="eastAsia" w:ascii="宋体" w:hAnsi="宋体" w:eastAsia="宋体" w:cs="宋体"/>
                <w:color w:val="auto"/>
                <w:sz w:val="24"/>
                <w:szCs w:val="24"/>
                <w:highlight w:val="none"/>
              </w:rPr>
              <w:t>。</w:t>
            </w:r>
          </w:p>
          <w:p w14:paraId="2D61EEB3">
            <w:pPr>
              <w:pStyle w:val="207"/>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本项目的特定资格要求：</w:t>
            </w:r>
            <w:r>
              <w:rPr>
                <w:rFonts w:hint="eastAsia" w:ascii="宋体" w:hAnsi="宋体" w:eastAsia="宋体" w:cs="宋体"/>
                <w:color w:val="auto"/>
                <w:kern w:val="0"/>
                <w:sz w:val="24"/>
                <w:highlight w:val="none"/>
              </w:rPr>
              <w:t>（1）投标人具有会计师事务所执业证书，并在人员、设备、资金等方面具有承担本项目的能力。</w:t>
            </w:r>
          </w:p>
          <w:p w14:paraId="7C8ABB26">
            <w:pPr>
              <w:pStyle w:val="207"/>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（2）项目负责人必须具有注册会计师证书，且在有效期内。</w:t>
            </w:r>
          </w:p>
          <w:p w14:paraId="47DD917D">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w:t>
            </w:r>
          </w:p>
        </w:tc>
      </w:tr>
      <w:tr w14:paraId="1409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noWrap w:val="0"/>
            <w:vAlign w:val="center"/>
          </w:tcPr>
          <w:p w14:paraId="51078AE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676" w:type="dxa"/>
            <w:noWrap w:val="0"/>
            <w:vAlign w:val="center"/>
          </w:tcPr>
          <w:p w14:paraId="50D906C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w:t>
            </w:r>
          </w:p>
        </w:tc>
        <w:tc>
          <w:tcPr>
            <w:tcW w:w="6626" w:type="dxa"/>
            <w:noWrap w:val="0"/>
            <w:vAlign w:val="center"/>
          </w:tcPr>
          <w:p w14:paraId="3B7BC98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w:t>
            </w:r>
          </w:p>
        </w:tc>
      </w:tr>
      <w:tr w14:paraId="6BB7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23" w:type="dxa"/>
            <w:noWrap w:val="0"/>
            <w:vAlign w:val="center"/>
          </w:tcPr>
          <w:p w14:paraId="0983A04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p>
        </w:tc>
        <w:tc>
          <w:tcPr>
            <w:tcW w:w="1676" w:type="dxa"/>
            <w:noWrap w:val="0"/>
            <w:vAlign w:val="center"/>
          </w:tcPr>
          <w:p w14:paraId="747D6811">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质量标准</w:t>
            </w:r>
          </w:p>
        </w:tc>
        <w:tc>
          <w:tcPr>
            <w:tcW w:w="6626" w:type="dxa"/>
            <w:noWrap w:val="0"/>
            <w:vAlign w:val="center"/>
          </w:tcPr>
          <w:p w14:paraId="300E513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符合现行国家相关法律法规、标准和规范等，成果资料完整、真实准确、依据清晰。</w:t>
            </w:r>
          </w:p>
        </w:tc>
      </w:tr>
      <w:tr w14:paraId="61EB5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noWrap w:val="0"/>
            <w:vAlign w:val="center"/>
          </w:tcPr>
          <w:p w14:paraId="707F981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p>
        </w:tc>
        <w:tc>
          <w:tcPr>
            <w:tcW w:w="1676" w:type="dxa"/>
            <w:noWrap w:val="0"/>
            <w:vAlign w:val="center"/>
          </w:tcPr>
          <w:p w14:paraId="01DF905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服务期限</w:t>
            </w:r>
          </w:p>
        </w:tc>
        <w:tc>
          <w:tcPr>
            <w:tcW w:w="6626" w:type="dxa"/>
            <w:noWrap w:val="0"/>
            <w:vAlign w:val="center"/>
          </w:tcPr>
          <w:p w14:paraId="1E228011">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合同签订之日起至甲方将提供全部的财务决算审计资料移交给供应商40日内出具财务决算审计报告为止</w:t>
            </w:r>
            <w:r>
              <w:rPr>
                <w:rFonts w:hint="eastAsia" w:ascii="宋体" w:hAnsi="宋体" w:eastAsia="宋体" w:cs="宋体"/>
                <w:color w:val="auto"/>
                <w:sz w:val="24"/>
                <w:szCs w:val="24"/>
                <w:highlight w:val="none"/>
                <w:lang w:val="en-US" w:eastAsia="zh-CN"/>
              </w:rPr>
              <w:t>。</w:t>
            </w:r>
          </w:p>
        </w:tc>
      </w:tr>
      <w:tr w14:paraId="3DF7A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noWrap w:val="0"/>
            <w:vAlign w:val="center"/>
          </w:tcPr>
          <w:p w14:paraId="490765C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w:t>
            </w:r>
          </w:p>
        </w:tc>
        <w:tc>
          <w:tcPr>
            <w:tcW w:w="1676" w:type="dxa"/>
            <w:noWrap w:val="0"/>
            <w:vAlign w:val="center"/>
          </w:tcPr>
          <w:p w14:paraId="154CCB9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6626" w:type="dxa"/>
            <w:noWrap w:val="0"/>
            <w:vAlign w:val="center"/>
          </w:tcPr>
          <w:p w14:paraId="0F35AD4F">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详见合同条款</w:t>
            </w:r>
          </w:p>
        </w:tc>
      </w:tr>
      <w:tr w14:paraId="27E0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823" w:type="dxa"/>
            <w:noWrap w:val="0"/>
            <w:vAlign w:val="center"/>
          </w:tcPr>
          <w:p w14:paraId="04B56D7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676" w:type="dxa"/>
            <w:noWrap w:val="0"/>
            <w:vAlign w:val="center"/>
          </w:tcPr>
          <w:p w14:paraId="4B76802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响应文件份数</w:t>
            </w:r>
          </w:p>
        </w:tc>
        <w:tc>
          <w:tcPr>
            <w:tcW w:w="6626" w:type="dxa"/>
            <w:noWrap w:val="0"/>
            <w:vAlign w:val="center"/>
          </w:tcPr>
          <w:p w14:paraId="41AFE429">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项目采用不见面开标，中标单位在开标后5日内提供密封不加密的电子版标书一份（U盘介质，U盘存储一份电子版标书或WORD版本一份）和纸质版响应文件一正一副至招标代理公司处。纸质版响应文件内容须与电子版响应文件一致。</w:t>
            </w:r>
          </w:p>
        </w:tc>
      </w:tr>
      <w:tr w14:paraId="5BAC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23" w:type="dxa"/>
            <w:noWrap w:val="0"/>
            <w:vAlign w:val="center"/>
          </w:tcPr>
          <w:p w14:paraId="7071E8C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676" w:type="dxa"/>
            <w:noWrap w:val="0"/>
            <w:vAlign w:val="center"/>
          </w:tcPr>
          <w:p w14:paraId="2882449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6626" w:type="dxa"/>
            <w:noWrap w:val="0"/>
            <w:vAlign w:val="center"/>
          </w:tcPr>
          <w:p w14:paraId="72D750CA">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缴纳金额：</w:t>
            </w:r>
            <w:r>
              <w:rPr>
                <w:rFonts w:hint="eastAsia" w:ascii="宋体" w:hAnsi="宋体" w:cs="宋体"/>
                <w:color w:val="auto"/>
                <w:sz w:val="24"/>
                <w:szCs w:val="24"/>
                <w:highlight w:val="none"/>
                <w:lang w:val="en-US" w:eastAsia="zh-CN"/>
              </w:rPr>
              <w:t>2651</w:t>
            </w:r>
            <w:r>
              <w:rPr>
                <w:rFonts w:hint="eastAsia" w:ascii="宋体" w:hAnsi="宋体" w:eastAsia="宋体" w:cs="宋体"/>
                <w:color w:val="auto"/>
                <w:sz w:val="24"/>
                <w:szCs w:val="24"/>
                <w:highlight w:val="none"/>
                <w:lang w:val="en-US" w:eastAsia="zh-CN"/>
              </w:rPr>
              <w:t>.00元</w:t>
            </w:r>
          </w:p>
          <w:p w14:paraId="50BB73C6">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缴纳方式：电汇、转账，电子保函非现金形式缴纳。</w:t>
            </w:r>
          </w:p>
          <w:p w14:paraId="5AEFFE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公司名称：乌鲁木齐高新建设工程项目管理咨询有限公司</w:t>
            </w:r>
          </w:p>
          <w:p w14:paraId="4C36F4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账户：991905472010902</w:t>
            </w:r>
          </w:p>
          <w:p w14:paraId="1EA5A51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开户银行及机构：招商银行股份有限公司乌鲁木齐苏州路支行</w:t>
            </w:r>
          </w:p>
          <w:p w14:paraId="2194E75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行号：308881029091</w:t>
            </w:r>
          </w:p>
          <w:p w14:paraId="045A2C9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银行转账形式缴纳，请各参与投标人于投标文件递交截至时之前缴纳并到账，必须从投标人基本账户支出，在汇款凭证上备注栏须注明所投标段名称（若字数超标，可自行简写标段名称），特别提醒保证金转账账户与文件费及代理服务费非同一账户。</w:t>
            </w:r>
          </w:p>
          <w:p w14:paraId="18A452C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2、如采用保函形式缴纳，请各投标人</w:t>
            </w:r>
            <w:r>
              <w:rPr>
                <w:rFonts w:hint="eastAsia" w:ascii="宋体" w:hAnsi="宋体" w:eastAsia="宋体" w:cs="宋体"/>
                <w:color w:val="auto"/>
                <w:sz w:val="24"/>
                <w:szCs w:val="24"/>
                <w:highlight w:val="none"/>
                <w:lang w:val="en-US" w:eastAsia="zh-CN"/>
              </w:rPr>
              <w:t>自行</w:t>
            </w:r>
            <w:r>
              <w:rPr>
                <w:rFonts w:hint="eastAsia" w:ascii="宋体" w:hAnsi="宋体" w:eastAsia="宋体" w:cs="宋体"/>
                <w:color w:val="auto"/>
                <w:sz w:val="24"/>
                <w:szCs w:val="24"/>
                <w:highlight w:val="none"/>
              </w:rPr>
              <w:t>提供，须于上述投标递交截至时间之前开立完毕。</w:t>
            </w:r>
          </w:p>
          <w:p w14:paraId="775F5D5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未按照上述规定缴纳投标保证金，投标文件将被拒绝评审。</w:t>
            </w:r>
          </w:p>
          <w:p w14:paraId="0C4D2E9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保证金以到账时间为准。</w:t>
            </w:r>
          </w:p>
        </w:tc>
      </w:tr>
      <w:tr w14:paraId="3337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noWrap w:val="0"/>
            <w:vAlign w:val="center"/>
          </w:tcPr>
          <w:p w14:paraId="62D02E4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676" w:type="dxa"/>
            <w:noWrap w:val="0"/>
            <w:vAlign w:val="center"/>
          </w:tcPr>
          <w:p w14:paraId="0BEA3DE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磋商有效期</w:t>
            </w:r>
          </w:p>
        </w:tc>
        <w:tc>
          <w:tcPr>
            <w:tcW w:w="6626" w:type="dxa"/>
            <w:noWrap w:val="0"/>
            <w:vAlign w:val="center"/>
          </w:tcPr>
          <w:p w14:paraId="53DB9C4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日历天（从提交首次响应文件截止之日算起）</w:t>
            </w:r>
          </w:p>
        </w:tc>
      </w:tr>
      <w:tr w14:paraId="6DC9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823" w:type="dxa"/>
            <w:vMerge w:val="restart"/>
            <w:noWrap w:val="0"/>
            <w:vAlign w:val="center"/>
          </w:tcPr>
          <w:p w14:paraId="78BC4DB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676" w:type="dxa"/>
            <w:noWrap w:val="0"/>
            <w:vAlign w:val="center"/>
          </w:tcPr>
          <w:p w14:paraId="769BAA8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响应文件开启</w:t>
            </w:r>
          </w:p>
        </w:tc>
        <w:tc>
          <w:tcPr>
            <w:tcW w:w="6626" w:type="dxa"/>
            <w:noWrap w:val="0"/>
            <w:vAlign w:val="center"/>
          </w:tcPr>
          <w:p w14:paraId="2C544BF9">
            <w:pPr>
              <w:spacing w:line="360" w:lineRule="auto"/>
              <w:rPr>
                <w:rFonts w:hint="eastAsia" w:ascii="宋体" w:hAnsi="宋体" w:eastAsia="宋体" w:cs="宋体"/>
                <w:bCs/>
                <w:color w:val="auto"/>
                <w:sz w:val="28"/>
                <w:szCs w:val="28"/>
                <w:highlight w:val="none"/>
                <w:u w:val="single"/>
              </w:rPr>
            </w:pPr>
            <w:r>
              <w:rPr>
                <w:rFonts w:hint="eastAsia" w:ascii="宋体" w:hAnsi="宋体" w:eastAsia="宋体" w:cs="宋体"/>
                <w:color w:val="auto"/>
                <w:sz w:val="24"/>
                <w:szCs w:val="24"/>
                <w:highlight w:val="none"/>
              </w:rPr>
              <w:t>地</w:t>
            </w:r>
            <w:r>
              <w:rPr>
                <w:rFonts w:hint="eastAsia" w:ascii="宋体" w:hAnsi="宋体" w:eastAsia="宋体" w:cs="宋体"/>
                <w:color w:val="auto"/>
                <w:kern w:val="0"/>
                <w:sz w:val="24"/>
                <w:highlight w:val="none"/>
              </w:rPr>
              <w:t>点：</w:t>
            </w:r>
            <w:r>
              <w:rPr>
                <w:rFonts w:hint="eastAsia" w:ascii="宋体" w:hAnsi="宋体" w:eastAsia="宋体" w:cs="宋体"/>
                <w:color w:val="auto"/>
                <w:kern w:val="0"/>
                <w:sz w:val="24"/>
                <w:szCs w:val="24"/>
                <w:highlight w:val="none"/>
              </w:rPr>
              <w:t>新疆政府采购云平台（https://www.zcygov.cn/）</w:t>
            </w:r>
          </w:p>
          <w:p w14:paraId="1AA831DD">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时间：</w:t>
            </w:r>
            <w:r>
              <w:rPr>
                <w:rFonts w:hint="eastAsia" w:ascii="宋体" w:hAnsi="宋体" w:cs="宋体"/>
                <w:color w:val="auto"/>
                <w:sz w:val="24"/>
                <w:highlight w:val="none"/>
                <w:u w:val="single"/>
                <w:shd w:val="clear" w:color="auto" w:fill="auto"/>
                <w:lang w:eastAsia="zh-CN"/>
              </w:rPr>
              <w:t>2025年7月24日</w:t>
            </w:r>
            <w:r>
              <w:rPr>
                <w:rFonts w:hint="eastAsia" w:ascii="宋体" w:hAnsi="宋体" w:eastAsia="宋体" w:cs="宋体"/>
                <w:color w:val="auto"/>
                <w:sz w:val="24"/>
                <w:highlight w:val="none"/>
                <w:u w:val="single"/>
                <w:shd w:val="clear" w:color="auto" w:fill="auto"/>
                <w:lang w:eastAsia="zh-CN"/>
              </w:rPr>
              <w:t>11点00分</w:t>
            </w:r>
            <w:r>
              <w:rPr>
                <w:rFonts w:hint="eastAsia" w:ascii="宋体" w:hAnsi="宋体" w:eastAsia="宋体" w:cs="宋体"/>
                <w:color w:val="auto"/>
                <w:kern w:val="0"/>
                <w:sz w:val="24"/>
                <w:highlight w:val="none"/>
              </w:rPr>
              <w:t>（北京时间）响应文件请于送达截止当日截止时间之前</w:t>
            </w:r>
            <w:r>
              <w:rPr>
                <w:rFonts w:hint="eastAsia" w:ascii="宋体" w:hAnsi="宋体" w:eastAsia="宋体" w:cs="宋体"/>
                <w:color w:val="auto"/>
                <w:kern w:val="0"/>
                <w:sz w:val="24"/>
                <w:highlight w:val="none"/>
                <w:lang w:val="en-US" w:eastAsia="zh-CN"/>
              </w:rPr>
              <w:t>递交</w:t>
            </w:r>
            <w:r>
              <w:rPr>
                <w:rFonts w:hint="eastAsia" w:ascii="宋体" w:hAnsi="宋体" w:eastAsia="宋体" w:cs="宋体"/>
                <w:color w:val="auto"/>
                <w:kern w:val="0"/>
                <w:sz w:val="24"/>
                <w:highlight w:val="none"/>
              </w:rPr>
              <w:t>至开启地点，逾期收到或不符合规定的响应文件</w:t>
            </w:r>
            <w:r>
              <w:rPr>
                <w:rFonts w:hint="eastAsia" w:ascii="宋体" w:hAnsi="宋体" w:eastAsia="宋体" w:cs="宋体"/>
                <w:color w:val="auto"/>
                <w:kern w:val="0"/>
                <w:sz w:val="24"/>
                <w:highlight w:val="none"/>
                <w:lang w:val="en-US" w:eastAsia="zh-CN"/>
              </w:rPr>
              <w:t>将视为放弃响应资格</w:t>
            </w:r>
            <w:r>
              <w:rPr>
                <w:rFonts w:hint="eastAsia" w:ascii="宋体" w:hAnsi="宋体" w:eastAsia="宋体" w:cs="宋体"/>
                <w:color w:val="auto"/>
                <w:kern w:val="0"/>
                <w:sz w:val="24"/>
                <w:highlight w:val="none"/>
              </w:rPr>
              <w:t>。</w:t>
            </w:r>
          </w:p>
        </w:tc>
      </w:tr>
      <w:tr w14:paraId="41C9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23" w:type="dxa"/>
            <w:vMerge w:val="continue"/>
            <w:noWrap w:val="0"/>
            <w:vAlign w:val="center"/>
          </w:tcPr>
          <w:p w14:paraId="2082EB91">
            <w:pPr>
              <w:spacing w:line="360" w:lineRule="auto"/>
              <w:jc w:val="center"/>
              <w:rPr>
                <w:rFonts w:hint="eastAsia" w:ascii="宋体" w:hAnsi="宋体" w:eastAsia="宋体" w:cs="宋体"/>
                <w:color w:val="auto"/>
                <w:sz w:val="24"/>
                <w:szCs w:val="24"/>
                <w:highlight w:val="none"/>
              </w:rPr>
            </w:pPr>
          </w:p>
        </w:tc>
        <w:tc>
          <w:tcPr>
            <w:tcW w:w="1676" w:type="dxa"/>
            <w:noWrap w:val="0"/>
            <w:vAlign w:val="center"/>
          </w:tcPr>
          <w:p w14:paraId="2D89331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首次响应文件递交地点及截止日期</w:t>
            </w:r>
          </w:p>
        </w:tc>
        <w:tc>
          <w:tcPr>
            <w:tcW w:w="6626" w:type="dxa"/>
            <w:noWrap w:val="0"/>
            <w:vAlign w:val="center"/>
          </w:tcPr>
          <w:p w14:paraId="694381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递交地点：新疆政府采购云平台（https://www.zcygov.cn/）递交截止时间：</w:t>
            </w:r>
            <w:r>
              <w:rPr>
                <w:rFonts w:hint="eastAsia" w:ascii="宋体" w:hAnsi="宋体" w:cs="宋体"/>
                <w:color w:val="auto"/>
                <w:sz w:val="24"/>
                <w:highlight w:val="none"/>
                <w:u w:val="single"/>
                <w:shd w:val="clear" w:color="auto" w:fill="auto"/>
                <w:lang w:eastAsia="zh-CN"/>
              </w:rPr>
              <w:t>2025年7月24日</w:t>
            </w:r>
            <w:r>
              <w:rPr>
                <w:rFonts w:hint="eastAsia" w:ascii="宋体" w:hAnsi="宋体" w:eastAsia="宋体" w:cs="宋体"/>
                <w:color w:val="auto"/>
                <w:sz w:val="24"/>
                <w:highlight w:val="none"/>
                <w:u w:val="single"/>
                <w:shd w:val="clear" w:color="auto" w:fill="auto"/>
                <w:lang w:eastAsia="zh-CN"/>
              </w:rPr>
              <w:t>11点00分</w:t>
            </w:r>
            <w:r>
              <w:rPr>
                <w:rFonts w:hint="eastAsia" w:ascii="宋体" w:hAnsi="宋体" w:eastAsia="宋体" w:cs="宋体"/>
                <w:color w:val="auto"/>
                <w:kern w:val="0"/>
                <w:sz w:val="24"/>
                <w:highlight w:val="none"/>
              </w:rPr>
              <w:t>（北京时间）</w:t>
            </w:r>
          </w:p>
        </w:tc>
      </w:tr>
      <w:tr w14:paraId="4A19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23" w:type="dxa"/>
            <w:noWrap w:val="0"/>
            <w:vAlign w:val="center"/>
          </w:tcPr>
          <w:p w14:paraId="2837697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676" w:type="dxa"/>
            <w:noWrap w:val="0"/>
            <w:vAlign w:val="center"/>
          </w:tcPr>
          <w:p w14:paraId="35B611B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w:t>
            </w:r>
          </w:p>
        </w:tc>
        <w:tc>
          <w:tcPr>
            <w:tcW w:w="6626" w:type="dxa"/>
            <w:noWrap w:val="0"/>
            <w:vAlign w:val="center"/>
          </w:tcPr>
          <w:p w14:paraId="5E85E7D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本项目磋商小组人数为</w:t>
            </w:r>
            <w:r>
              <w:rPr>
                <w:rFonts w:hint="eastAsia" w:ascii="宋体" w:hAnsi="宋体" w:eastAsia="宋体" w:cs="宋体"/>
                <w:color w:val="auto"/>
                <w:sz w:val="24"/>
                <w:szCs w:val="24"/>
                <w:highlight w:val="none"/>
                <w:u w:val="single"/>
              </w:rPr>
              <w:t>三人</w:t>
            </w:r>
            <w:r>
              <w:rPr>
                <w:rFonts w:hint="eastAsia" w:ascii="宋体" w:hAnsi="宋体" w:eastAsia="宋体" w:cs="宋体"/>
                <w:color w:val="auto"/>
                <w:sz w:val="24"/>
                <w:szCs w:val="24"/>
                <w:highlight w:val="none"/>
              </w:rPr>
              <w:t>以上单数组成。</w:t>
            </w:r>
          </w:p>
        </w:tc>
      </w:tr>
      <w:tr w14:paraId="02B1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noWrap w:val="0"/>
            <w:vAlign w:val="center"/>
          </w:tcPr>
          <w:p w14:paraId="27803D2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676" w:type="dxa"/>
            <w:noWrap w:val="0"/>
            <w:vAlign w:val="center"/>
          </w:tcPr>
          <w:p w14:paraId="7358B93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资格审查方式</w:t>
            </w:r>
          </w:p>
        </w:tc>
        <w:tc>
          <w:tcPr>
            <w:tcW w:w="6626" w:type="dxa"/>
            <w:noWrap w:val="0"/>
            <w:vAlign w:val="center"/>
          </w:tcPr>
          <w:p w14:paraId="5109F61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资格后审</w:t>
            </w:r>
          </w:p>
        </w:tc>
      </w:tr>
      <w:tr w14:paraId="74E5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3" w:type="dxa"/>
            <w:noWrap w:val="0"/>
            <w:vAlign w:val="center"/>
          </w:tcPr>
          <w:p w14:paraId="6D4939C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p>
        </w:tc>
        <w:tc>
          <w:tcPr>
            <w:tcW w:w="1676" w:type="dxa"/>
            <w:noWrap w:val="0"/>
            <w:vAlign w:val="center"/>
          </w:tcPr>
          <w:p w14:paraId="735D43E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其它要求</w:t>
            </w:r>
          </w:p>
        </w:tc>
        <w:tc>
          <w:tcPr>
            <w:tcW w:w="6626" w:type="dxa"/>
            <w:noWrap w:val="0"/>
            <w:vAlign w:val="center"/>
          </w:tcPr>
          <w:p w14:paraId="7DA5CDD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最后磋商报价：二轮报价。响应文件中的报价为一次报价。</w:t>
            </w:r>
          </w:p>
          <w:p w14:paraId="564EB97C">
            <w:pPr>
              <w:spacing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本项目所属行业：</w:t>
            </w:r>
            <w:r>
              <w:rPr>
                <w:rFonts w:hint="eastAsia" w:ascii="宋体" w:hAnsi="宋体" w:eastAsia="宋体" w:cs="宋体"/>
                <w:color w:val="auto"/>
                <w:sz w:val="24"/>
                <w:szCs w:val="24"/>
                <w:highlight w:val="none"/>
                <w:u w:val="single"/>
                <w:lang w:val="en-US" w:eastAsia="zh-CN"/>
              </w:rPr>
              <w:t>租赁和商务服务业</w:t>
            </w:r>
          </w:p>
          <w:p w14:paraId="3AEDB654">
            <w:pPr>
              <w:spacing w:line="360" w:lineRule="auto"/>
              <w:rPr>
                <w:rFonts w:hint="eastAsia" w:ascii="宋体" w:hAnsi="宋体" w:eastAsia="宋体" w:cs="宋体"/>
                <w:color w:val="auto"/>
                <w:highlight w:val="none"/>
                <w:lang w:val="en-US" w:eastAsia="zh-CN"/>
              </w:rPr>
            </w:pPr>
            <w:r>
              <w:rPr>
                <w:rFonts w:hint="eastAsia" w:ascii="宋体" w:hAnsi="宋体" w:eastAsia="宋体" w:cs="宋体"/>
                <w:b/>
                <w:bCs/>
                <w:color w:val="auto"/>
                <w:sz w:val="24"/>
                <w:szCs w:val="24"/>
                <w:highlight w:val="none"/>
                <w:lang w:val="en-US" w:eastAsia="zh-CN"/>
              </w:rPr>
              <w:t>响应文件在线解密时长为30分钟，因供应商自身原因未在规定时间内解密响应文件导致废标的，由供应商自行承担后果。</w:t>
            </w:r>
          </w:p>
        </w:tc>
      </w:tr>
      <w:tr w14:paraId="61DF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125" w:type="dxa"/>
            <w:gridSpan w:val="3"/>
            <w:noWrap w:val="0"/>
            <w:vAlign w:val="center"/>
          </w:tcPr>
          <w:p w14:paraId="3885A372">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供应商对政府采购活动事项有疑问的，可以提出询问；</w:t>
            </w:r>
          </w:p>
          <w:p w14:paraId="09D508A6">
            <w:pPr>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供应商认为采购文件、采购过程、中标或者成交结果使自己的权益受到损害的，可以在知道或者应知权益受到损害之日起7个工作日内，提出质疑。</w:t>
            </w:r>
          </w:p>
          <w:p w14:paraId="44697E4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1、接收质疑函的方式：供应商应提交书面质疑函，供应商应在法定质疑期内一次性提出针对同一采购程序环节的质疑。</w:t>
            </w:r>
          </w:p>
          <w:p w14:paraId="51EF72B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2、供应商提出质疑应当提交质疑函和必要的证明材料。质疑函应当包括下列内容：</w:t>
            </w:r>
          </w:p>
          <w:p w14:paraId="4D1F1BEB">
            <w:pPr>
              <w:spacing w:line="440" w:lineRule="exact"/>
              <w:ind w:left="424" w:left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2.1供应商的姓名或者名称、地址、邮编、联系人及联系电话；</w:t>
            </w:r>
          </w:p>
          <w:p w14:paraId="3A7F0878">
            <w:pPr>
              <w:spacing w:line="440" w:lineRule="exact"/>
              <w:ind w:left="424" w:left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2.2质疑项目的名称、编号；</w:t>
            </w:r>
          </w:p>
          <w:p w14:paraId="3B68B1B3">
            <w:pPr>
              <w:spacing w:line="440" w:lineRule="exact"/>
              <w:ind w:left="424" w:left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2.3具体、明确的质疑事项和与质疑事项相关的请求；</w:t>
            </w:r>
          </w:p>
          <w:p w14:paraId="50EA6C5F">
            <w:pPr>
              <w:spacing w:line="440" w:lineRule="exact"/>
              <w:ind w:left="424" w:left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2.4事实依据；</w:t>
            </w:r>
          </w:p>
          <w:p w14:paraId="0E515827">
            <w:pPr>
              <w:spacing w:line="440" w:lineRule="exact"/>
              <w:ind w:left="424" w:left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2.5必要的法律依据；</w:t>
            </w:r>
          </w:p>
          <w:p w14:paraId="2A641BB0">
            <w:pPr>
              <w:spacing w:line="440" w:lineRule="exact"/>
              <w:ind w:left="424" w:left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2.6提出质疑的日期。</w:t>
            </w:r>
          </w:p>
          <w:p w14:paraId="10F6C45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供应商为自然人的，质疑函应当由本人签字；供应商为法人或者其他组织的，质疑函应当由法定代表人、主要负责人，或者其授权代表签字或者盖章，并加盖公章。</w:t>
            </w:r>
          </w:p>
          <w:p w14:paraId="45BDF00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委托代理人递交质疑函的，应提供法定代表人授权委托书和代理人身份证复印件。授权委托书应当载明代理人的姓名、授权事项、具体权限、期限和相关事项。供应商为自然人的，授权委托书应当由本人签字；供应商为法人或者其他组织的，授权委托书应当由法定代表人、主要负责人签字或者盖章，并加盖公章。</w:t>
            </w:r>
          </w:p>
          <w:p w14:paraId="4BFEA505">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3、联系人：</w:t>
            </w:r>
          </w:p>
          <w:p w14:paraId="4AAB7130">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4、联系电话：</w:t>
            </w:r>
          </w:p>
          <w:p w14:paraId="6F348C62">
            <w:pPr>
              <w:spacing w:line="440" w:lineRule="exact"/>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5、通讯地址：</w:t>
            </w:r>
          </w:p>
        </w:tc>
      </w:tr>
    </w:tbl>
    <w:p w14:paraId="3FA5B981">
      <w:pPr>
        <w:rPr>
          <w:rFonts w:hint="eastAsia" w:ascii="宋体" w:hAnsi="宋体" w:eastAsia="宋体" w:cs="宋体"/>
          <w:color w:val="auto"/>
          <w:highlight w:val="none"/>
        </w:rPr>
        <w:sectPr>
          <w:footerReference r:id="rId8" w:type="first"/>
          <w:footerReference r:id="rId7" w:type="default"/>
          <w:pgSz w:w="11907" w:h="16840"/>
          <w:pgMar w:top="1418" w:right="1418" w:bottom="1247" w:left="1418" w:header="964" w:footer="850" w:gutter="0"/>
          <w:pgNumType w:fmt="decimal" w:start="1"/>
          <w:cols w:space="720" w:num="1"/>
          <w:titlePg/>
          <w:docGrid w:linePitch="286" w:charSpace="0"/>
        </w:sectPr>
      </w:pPr>
    </w:p>
    <w:p w14:paraId="4C44D02A">
      <w:pPr>
        <w:pStyle w:val="3"/>
        <w:tabs>
          <w:tab w:val="left" w:pos="6320"/>
        </w:tabs>
        <w:spacing w:before="120" w:after="120" w:line="360" w:lineRule="auto"/>
        <w:jc w:val="center"/>
        <w:rPr>
          <w:rFonts w:hint="eastAsia" w:ascii="宋体" w:hAnsi="宋体" w:eastAsia="宋体" w:cs="宋体"/>
          <w:color w:val="auto"/>
          <w:highlight w:val="none"/>
        </w:rPr>
      </w:pPr>
      <w:bookmarkStart w:id="55" w:name="_Toc44700085"/>
      <w:bookmarkStart w:id="56" w:name="_Toc28285"/>
      <w:r>
        <w:rPr>
          <w:rFonts w:hint="eastAsia" w:ascii="宋体" w:hAnsi="宋体" w:eastAsia="宋体" w:cs="宋体"/>
          <w:color w:val="auto"/>
          <w:sz w:val="36"/>
          <w:highlight w:val="none"/>
        </w:rPr>
        <w:t>二、</w:t>
      </w:r>
      <w:bookmarkStart w:id="57" w:name="_Toc436256500"/>
      <w:r>
        <w:rPr>
          <w:rFonts w:hint="eastAsia" w:ascii="宋体" w:hAnsi="宋体" w:eastAsia="宋体" w:cs="宋体"/>
          <w:color w:val="auto"/>
          <w:sz w:val="36"/>
          <w:highlight w:val="none"/>
        </w:rPr>
        <w:t>供应商须知</w:t>
      </w:r>
      <w:bookmarkEnd w:id="55"/>
      <w:bookmarkEnd w:id="56"/>
      <w:bookmarkEnd w:id="57"/>
    </w:p>
    <w:p w14:paraId="25E2D28C">
      <w:pPr>
        <w:adjustRightInd w:val="0"/>
        <w:spacing w:line="360" w:lineRule="auto"/>
        <w:jc w:val="center"/>
        <w:textAlignment w:val="baseline"/>
        <w:rPr>
          <w:rFonts w:hint="eastAsia" w:ascii="宋体" w:hAnsi="宋体" w:eastAsia="宋体" w:cs="宋体"/>
          <w:b/>
          <w:color w:val="auto"/>
          <w:kern w:val="0"/>
          <w:sz w:val="24"/>
          <w:szCs w:val="24"/>
          <w:highlight w:val="none"/>
        </w:rPr>
      </w:pPr>
      <w:bookmarkStart w:id="58" w:name="_Toc436256501"/>
      <w:r>
        <w:rPr>
          <w:rFonts w:hint="eastAsia" w:ascii="宋体" w:hAnsi="宋体" w:eastAsia="宋体" w:cs="宋体"/>
          <w:b/>
          <w:color w:val="auto"/>
          <w:kern w:val="0"/>
          <w:sz w:val="24"/>
          <w:szCs w:val="24"/>
          <w:highlight w:val="none"/>
        </w:rPr>
        <w:t>（一）、总则</w:t>
      </w:r>
      <w:bookmarkEnd w:id="58"/>
    </w:p>
    <w:p w14:paraId="627A5877">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1、项目说明</w:t>
      </w:r>
    </w:p>
    <w:p w14:paraId="3099141C">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1.1项目名称：见前附表。</w:t>
      </w:r>
    </w:p>
    <w:p w14:paraId="2FC77F20">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1.2采购人：见前附表。</w:t>
      </w:r>
    </w:p>
    <w:p w14:paraId="21C5F0D3">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1.3项目内容：见前附表。</w:t>
      </w:r>
    </w:p>
    <w:p w14:paraId="50773402">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2、采购范围/服务范围</w:t>
      </w:r>
    </w:p>
    <w:p w14:paraId="74975994">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2.1本次采购范围/服务范围：见前附表。</w:t>
      </w:r>
    </w:p>
    <w:p w14:paraId="0D3FAF57">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3、资金来源、预算金额</w:t>
      </w:r>
    </w:p>
    <w:p w14:paraId="30C0802C">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3.1资金来源：见前附表。</w:t>
      </w:r>
    </w:p>
    <w:p w14:paraId="3FE9275A">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3.2预算金额：见前附表。</w:t>
      </w:r>
    </w:p>
    <w:p w14:paraId="116D17DC">
      <w:pPr>
        <w:pStyle w:val="2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3.3最高限价：见前附表。</w:t>
      </w:r>
    </w:p>
    <w:p w14:paraId="7794C129">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4、合格的供应商</w:t>
      </w:r>
    </w:p>
    <w:p w14:paraId="1B989D11">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4.1供应商须具备资格：见前附表。</w:t>
      </w:r>
    </w:p>
    <w:p w14:paraId="1CD997B3">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5．采购方式</w:t>
      </w:r>
    </w:p>
    <w:p w14:paraId="0239945A">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5.1．本采购项目按照《中华人民共和国政府采购法》等有关法律、行政法规和部门规章，通过竞争性磋商的方式，按竞争性磋商文件中规定的评审办法对供应商进行综合评价，择优选择服务单位。</w:t>
      </w:r>
    </w:p>
    <w:p w14:paraId="4B9866C2">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6．采购要求</w:t>
      </w:r>
    </w:p>
    <w:p w14:paraId="2D4F61D2">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6.1．本项目采购要求：供应商应承诺按照采购人规定的要求，在规定的时间内完成此项目。</w:t>
      </w:r>
    </w:p>
    <w:p w14:paraId="245C595B">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6.2.本项目</w:t>
      </w:r>
      <w:r>
        <w:rPr>
          <w:rFonts w:hint="eastAsia" w:ascii="宋体" w:hAnsi="宋体" w:eastAsia="宋体" w:cs="宋体"/>
          <w:color w:val="auto"/>
          <w:kern w:val="0"/>
          <w:sz w:val="24"/>
          <w:szCs w:val="24"/>
          <w:highlight w:val="none"/>
          <w:lang w:eastAsia="zh-CN"/>
        </w:rPr>
        <w:t>质量标准</w:t>
      </w:r>
      <w:r>
        <w:rPr>
          <w:rFonts w:hint="eastAsia" w:ascii="宋体" w:hAnsi="宋体" w:eastAsia="宋体" w:cs="宋体"/>
          <w:color w:val="auto"/>
          <w:kern w:val="0"/>
          <w:sz w:val="24"/>
          <w:szCs w:val="24"/>
          <w:highlight w:val="none"/>
        </w:rPr>
        <w:t>：见前附表。</w:t>
      </w:r>
    </w:p>
    <w:p w14:paraId="7A3F0A1D">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6.3.合同履行期限：见前附表。</w:t>
      </w:r>
    </w:p>
    <w:p w14:paraId="1FE16C19">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6.4.付款方式：见前附表</w:t>
      </w:r>
    </w:p>
    <w:p w14:paraId="0F0402B2">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7、参与本次采购的费用</w:t>
      </w:r>
    </w:p>
    <w:p w14:paraId="26371206">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7.1供应商应承担其编制响应文件与递交响应文件所涉及的一切费用。不论成交结果如何，采购人在任何情况下无义务也无责任承担这些费用。</w:t>
      </w:r>
    </w:p>
    <w:p w14:paraId="6DAF1B5B">
      <w:pPr>
        <w:adjustRightInd w:val="0"/>
        <w:spacing w:line="360" w:lineRule="auto"/>
        <w:jc w:val="center"/>
        <w:textAlignment w:val="baseline"/>
        <w:rPr>
          <w:rFonts w:hint="eastAsia" w:ascii="宋体" w:hAnsi="宋体" w:eastAsia="宋体" w:cs="宋体"/>
          <w:b/>
          <w:color w:val="auto"/>
          <w:kern w:val="0"/>
          <w:sz w:val="24"/>
          <w:szCs w:val="24"/>
          <w:highlight w:val="none"/>
        </w:rPr>
      </w:pPr>
      <w:bookmarkStart w:id="59" w:name="_Toc436256502"/>
      <w:r>
        <w:rPr>
          <w:rFonts w:hint="eastAsia" w:ascii="宋体" w:hAnsi="宋体" w:eastAsia="宋体" w:cs="宋体"/>
          <w:b/>
          <w:color w:val="auto"/>
          <w:kern w:val="0"/>
          <w:sz w:val="24"/>
          <w:szCs w:val="24"/>
          <w:highlight w:val="none"/>
        </w:rPr>
        <w:t>（二）、</w:t>
      </w:r>
      <w:bookmarkEnd w:id="59"/>
      <w:r>
        <w:rPr>
          <w:rFonts w:hint="eastAsia" w:ascii="宋体" w:hAnsi="宋体" w:eastAsia="宋体" w:cs="宋体"/>
          <w:b/>
          <w:color w:val="auto"/>
          <w:kern w:val="0"/>
          <w:sz w:val="24"/>
          <w:szCs w:val="24"/>
          <w:highlight w:val="none"/>
        </w:rPr>
        <w:t>竞争性磋商文件</w:t>
      </w:r>
    </w:p>
    <w:p w14:paraId="46124823">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8、竞争性磋商文件的组成</w:t>
      </w:r>
    </w:p>
    <w:p w14:paraId="3454E819">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8.1竞争性磋商文件除以下内容外，采购人在采购期间发出的答疑纪要和其它补充修改函件，均是竞争性磋商文件的组成部分，对供应商起约束作用。</w:t>
      </w:r>
    </w:p>
    <w:p w14:paraId="0E874522">
      <w:pPr>
        <w:adjustRightIn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竞争性磋商文件包括下列内容：</w:t>
      </w:r>
    </w:p>
    <w:p w14:paraId="3B96E94D">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第一章竞争性磋商邀请</w:t>
      </w:r>
      <w:r>
        <w:rPr>
          <w:rFonts w:hint="eastAsia" w:ascii="宋体" w:hAnsi="宋体" w:eastAsia="宋体" w:cs="宋体"/>
          <w:color w:val="auto"/>
          <w:szCs w:val="24"/>
          <w:highlight w:val="none"/>
        </w:rPr>
        <w:tab/>
      </w:r>
    </w:p>
    <w:p w14:paraId="2181B73F">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第二章供应商须知前附表及供应商须知</w:t>
      </w:r>
      <w:r>
        <w:rPr>
          <w:rFonts w:hint="eastAsia" w:ascii="宋体" w:hAnsi="宋体" w:eastAsia="宋体" w:cs="宋体"/>
          <w:color w:val="auto"/>
          <w:szCs w:val="24"/>
          <w:highlight w:val="none"/>
        </w:rPr>
        <w:tab/>
      </w:r>
    </w:p>
    <w:p w14:paraId="486EE659">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第三章评审办法</w:t>
      </w:r>
      <w:r>
        <w:rPr>
          <w:rFonts w:hint="eastAsia" w:ascii="宋体" w:hAnsi="宋体" w:eastAsia="宋体" w:cs="宋体"/>
          <w:color w:val="auto"/>
          <w:szCs w:val="24"/>
          <w:highlight w:val="none"/>
        </w:rPr>
        <w:tab/>
      </w:r>
    </w:p>
    <w:p w14:paraId="273A99D5">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第四章采购合同</w:t>
      </w:r>
      <w:r>
        <w:rPr>
          <w:rFonts w:hint="eastAsia" w:ascii="宋体" w:hAnsi="宋体" w:eastAsia="宋体" w:cs="宋体"/>
          <w:color w:val="auto"/>
          <w:szCs w:val="24"/>
          <w:highlight w:val="none"/>
        </w:rPr>
        <w:tab/>
      </w:r>
    </w:p>
    <w:p w14:paraId="1AD38F7A">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第五章技术要求</w:t>
      </w:r>
      <w:r>
        <w:rPr>
          <w:rFonts w:hint="eastAsia" w:ascii="宋体" w:hAnsi="宋体" w:eastAsia="宋体" w:cs="宋体"/>
          <w:color w:val="auto"/>
          <w:szCs w:val="24"/>
          <w:highlight w:val="none"/>
        </w:rPr>
        <w:tab/>
      </w:r>
    </w:p>
    <w:p w14:paraId="208855E2">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第六章响应文件投格式</w:t>
      </w:r>
      <w:r>
        <w:rPr>
          <w:rFonts w:hint="eastAsia" w:ascii="宋体" w:hAnsi="宋体" w:eastAsia="宋体" w:cs="宋体"/>
          <w:color w:val="auto"/>
          <w:szCs w:val="24"/>
          <w:highlight w:val="none"/>
        </w:rPr>
        <w:tab/>
      </w:r>
    </w:p>
    <w:p w14:paraId="3C333F79">
      <w:pPr>
        <w:adjustRightInd w:val="0"/>
        <w:spacing w:line="360" w:lineRule="auto"/>
        <w:jc w:val="left"/>
        <w:textAlignment w:val="baseline"/>
        <w:rPr>
          <w:rFonts w:hint="eastAsia" w:ascii="宋体" w:hAnsi="宋体" w:eastAsia="宋体" w:cs="宋体"/>
          <w:b/>
          <w:color w:val="auto"/>
          <w:kern w:val="0"/>
          <w:sz w:val="24"/>
          <w:szCs w:val="24"/>
          <w:highlight w:val="none"/>
        </w:rPr>
      </w:pPr>
      <w:bookmarkStart w:id="60" w:name="_Toc385992333"/>
      <w:bookmarkStart w:id="61" w:name="_Toc184043020"/>
      <w:bookmarkStart w:id="62" w:name="_Toc70687147"/>
      <w:bookmarkStart w:id="63" w:name="_Toc389620172"/>
      <w:r>
        <w:rPr>
          <w:rFonts w:hint="eastAsia" w:ascii="宋体" w:hAnsi="宋体" w:eastAsia="宋体" w:cs="宋体"/>
          <w:b/>
          <w:color w:val="auto"/>
          <w:kern w:val="0"/>
          <w:sz w:val="24"/>
          <w:szCs w:val="24"/>
          <w:highlight w:val="none"/>
        </w:rPr>
        <w:t>9.竞争性磋商文件的澄清</w:t>
      </w:r>
      <w:bookmarkEnd w:id="60"/>
      <w:bookmarkEnd w:id="61"/>
      <w:bookmarkEnd w:id="62"/>
      <w:bookmarkEnd w:id="63"/>
      <w:r>
        <w:rPr>
          <w:rFonts w:hint="eastAsia" w:ascii="宋体" w:hAnsi="宋体" w:eastAsia="宋体" w:cs="宋体"/>
          <w:b/>
          <w:color w:val="auto"/>
          <w:kern w:val="0"/>
          <w:sz w:val="24"/>
          <w:szCs w:val="24"/>
          <w:highlight w:val="none"/>
        </w:rPr>
        <w:t>和修改</w:t>
      </w:r>
    </w:p>
    <w:p w14:paraId="4A76FDCA">
      <w:pPr>
        <w:adjustRightIn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任何已登记领取了竞争性磋商文件的潜在供应商，在发现竞争性磋商文件存在混淆或错乱等问题时，可要求采购人或采购代理机构对竞争性磋商文件进行澄清。澄清要求应在响应文件截止期5日前，按竞争性磋商采购邀请书中的联系地址以书面形式送达采购人或采购代理机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或在政采云平台在线询问</w:t>
      </w:r>
      <w:r>
        <w:rPr>
          <w:rFonts w:hint="eastAsia" w:ascii="宋体" w:hAnsi="宋体" w:eastAsia="宋体" w:cs="宋体"/>
          <w:color w:val="auto"/>
          <w:kern w:val="0"/>
          <w:sz w:val="24"/>
          <w:szCs w:val="24"/>
          <w:highlight w:val="none"/>
        </w:rPr>
        <w:t>，采购人或采购代理机构将以书面形式予以答复，答复中包括原提出的问题，但不包括问题的来源。</w:t>
      </w:r>
    </w:p>
    <w:p w14:paraId="7DB3C047">
      <w:pPr>
        <w:adjustRightIn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9.2在响应文件截止期5日前任何时候，采购人或采购代理机构无论出于何种原因，均可对竞争性磋商文件用补充文件的方式进行澄清和修改。该文件为竞争性磋商文件的组成部分，对所有领取了竞争性磋商文件的潜在供应商均具有约束力。</w:t>
      </w:r>
    </w:p>
    <w:p w14:paraId="7E344FBE">
      <w:pPr>
        <w:adjustRightIn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9.3对竞争性磋商文件的澄清和修改，将书面通知已领取竞争性磋商文件的潜在供应商，并在刊登本次竞争性磋商采购邀请的媒体上发布变更公告。供应商应于收到补充文件的当日以书面形式回复确认。</w:t>
      </w:r>
    </w:p>
    <w:p w14:paraId="70472F78">
      <w:pPr>
        <w:adjustRightIn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9.4澄清或者修改的内容可能影响响应文件编制的，为使供应商有足够的时间按竞争性磋商文件的修改要求修正响应文件，采购人或采购代理机构可酌情推迟响应文件的递交截止日期和开启时间，并在提交响应文件递交截至时间5日前，书面通知所有登记并备案并领取了竞争性磋商文件的潜在服务商，同时在本次刊登竞争性磋商采购邀请的媒体上发布变更公告。采购人和供应商的权利及义务将受到新的截止期的约束。</w:t>
      </w:r>
    </w:p>
    <w:p w14:paraId="361314D6">
      <w:pPr>
        <w:adjustRightInd w:val="0"/>
        <w:spacing w:line="360" w:lineRule="auto"/>
        <w:ind w:left="420" w:leftChars="200" w:firstLine="120" w:firstLineChars="5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9.5采购人将视情况确定是否有必要召开磋商前答疑会。如果召开磋商前答疑会，</w:t>
      </w:r>
    </w:p>
    <w:p w14:paraId="120571D8">
      <w:pPr>
        <w:adjustRightInd w:val="0"/>
        <w:spacing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采购人或采购代理机构将通知所有已领取了竞争性磋商文件的供应商。</w:t>
      </w:r>
    </w:p>
    <w:p w14:paraId="5927C557">
      <w:pPr>
        <w:adjustRightInd w:val="0"/>
        <w:spacing w:line="360" w:lineRule="auto"/>
        <w:ind w:firstLine="480" w:firstLineChars="200"/>
        <w:textAlignment w:val="baseline"/>
        <w:rPr>
          <w:rFonts w:hint="eastAsia" w:ascii="宋体" w:hAnsi="宋体" w:eastAsia="宋体" w:cs="宋体"/>
          <w:b/>
          <w:color w:val="auto"/>
          <w:kern w:val="0"/>
          <w:szCs w:val="24"/>
          <w:highlight w:val="none"/>
        </w:rPr>
      </w:pPr>
      <w:r>
        <w:rPr>
          <w:rFonts w:hint="eastAsia" w:ascii="宋体" w:hAnsi="宋体" w:eastAsia="宋体" w:cs="宋体"/>
          <w:color w:val="auto"/>
          <w:kern w:val="0"/>
          <w:sz w:val="24"/>
          <w:szCs w:val="24"/>
          <w:highlight w:val="none"/>
        </w:rPr>
        <w:t>9.6供应商一旦参加磋商会议，将视为接受磋商文件内的一切条款。</w:t>
      </w:r>
    </w:p>
    <w:p w14:paraId="306BBE1F">
      <w:pPr>
        <w:adjustRightInd w:val="0"/>
        <w:spacing w:line="360" w:lineRule="auto"/>
        <w:jc w:val="center"/>
        <w:textAlignment w:val="baseline"/>
        <w:rPr>
          <w:rFonts w:hint="eastAsia" w:ascii="宋体" w:hAnsi="宋体" w:eastAsia="宋体" w:cs="宋体"/>
          <w:b/>
          <w:color w:val="auto"/>
          <w:kern w:val="0"/>
          <w:sz w:val="10"/>
          <w:szCs w:val="10"/>
          <w:highlight w:val="none"/>
        </w:rPr>
      </w:pPr>
      <w:bookmarkStart w:id="64" w:name="_Toc436256503"/>
    </w:p>
    <w:p w14:paraId="04D8B5B7">
      <w:pPr>
        <w:adjustRightInd w:val="0"/>
        <w:spacing w:line="360"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r>
        <w:rPr>
          <w:rFonts w:hint="eastAsia" w:ascii="宋体" w:hAnsi="宋体" w:eastAsia="宋体" w:cs="宋体"/>
          <w:b/>
          <w:color w:val="auto"/>
          <w:kern w:val="0"/>
          <w:sz w:val="24"/>
          <w:szCs w:val="24"/>
          <w:highlight w:val="none"/>
        </w:rPr>
        <w:t>（三）、响应文件的编制</w:t>
      </w:r>
      <w:bookmarkEnd w:id="64"/>
    </w:p>
    <w:p w14:paraId="35EBFCFC">
      <w:pPr>
        <w:adjustRightInd w:val="0"/>
        <w:spacing w:line="360" w:lineRule="auto"/>
        <w:jc w:val="left"/>
        <w:textAlignment w:val="baseline"/>
        <w:rPr>
          <w:rFonts w:hint="eastAsia" w:ascii="宋体" w:hAnsi="宋体" w:eastAsia="宋体" w:cs="宋体"/>
          <w:b/>
          <w:color w:val="auto"/>
          <w:kern w:val="0"/>
          <w:sz w:val="24"/>
          <w:szCs w:val="24"/>
          <w:highlight w:val="none"/>
        </w:rPr>
      </w:pPr>
      <w:bookmarkStart w:id="65" w:name="_Toc67626291"/>
      <w:bookmarkStart w:id="66" w:name="_Toc67626300"/>
      <w:r>
        <w:rPr>
          <w:rFonts w:hint="eastAsia" w:ascii="宋体" w:hAnsi="宋体" w:eastAsia="宋体" w:cs="宋体"/>
          <w:b/>
          <w:color w:val="auto"/>
          <w:kern w:val="0"/>
          <w:sz w:val="24"/>
          <w:szCs w:val="24"/>
          <w:highlight w:val="none"/>
          <w:lang w:val="en-US" w:eastAsia="zh-CN"/>
        </w:rPr>
        <w:t>10</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响应文件的语言</w:t>
      </w:r>
    </w:p>
    <w:p w14:paraId="459B3B47">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0B79D3E1">
      <w:pPr>
        <w:adjustRightInd w:val="0"/>
        <w:spacing w:line="360" w:lineRule="auto"/>
        <w:jc w:val="left"/>
        <w:textAlignment w:val="baseline"/>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11、响应文件的构成</w:t>
      </w:r>
    </w:p>
    <w:p w14:paraId="00A96B10">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.1供应商编制的响应文件应包括但不少于下列内容：</w:t>
      </w:r>
    </w:p>
    <w:p w14:paraId="2A503135">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（1)商务文件内容（详见第六章商务文件组成）</w:t>
      </w:r>
    </w:p>
    <w:p w14:paraId="2C5C64F3">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（2)技术文件内容（详见第六章技术文件组成）</w:t>
      </w:r>
    </w:p>
    <w:p w14:paraId="7A8AC3A1">
      <w:pPr>
        <w:adjustRightInd w:val="0"/>
        <w:spacing w:line="360" w:lineRule="auto"/>
        <w:jc w:val="left"/>
        <w:textAlignment w:val="baseline"/>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12、响应文件编制</w:t>
      </w:r>
    </w:p>
    <w:p w14:paraId="0336F600">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.1电子响应文件制作时，应按照统一的“响应文件制作工具”和磋商文件中明确的响应文件目录和投标技术规格、参数及相关要求格式进行编制，保证目录清晰、内容完整。</w:t>
      </w:r>
    </w:p>
    <w:p w14:paraId="024DFC53">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.2供应商应按照供应商须知前附表要求的份数编制响应文件。</w:t>
      </w:r>
    </w:p>
    <w:p w14:paraId="5C0EF852">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.3以网上提交的（加密）电子响应文件为准。</w:t>
      </w:r>
    </w:p>
    <w:p w14:paraId="65054B51">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.4供应商因自身原因导致电子响应文件无法上传至新疆政采云系统的，该响应文件视为无效文件。</w:t>
      </w:r>
    </w:p>
    <w:p w14:paraId="40C5F92A">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.5电子响应文件具有法律效力,与其他形式的响应文件在内容和格式上等同，若响应文件与磋商文件要求不一致，其内容影响成交结果时，责任由供应商自行承担。</w:t>
      </w:r>
    </w:p>
    <w:p w14:paraId="00764DDD">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.6为了保证电子标书的合法性、安全性和完整性，电子响应文件转换完成后，应在规定区域加盖单位和法定代表人CA印章。电子响应文件若无CA电子签章，则视为无效文件。</w:t>
      </w:r>
    </w:p>
    <w:p w14:paraId="4B1AB1AF">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.7供应商应完整地填写磋商文件中提供的《竞争性磋商函》、《竞争性磋商报价一览表》、《竞争性磋商报价明细表》等磋商文件中规定的所有内容。</w:t>
      </w:r>
    </w:p>
    <w:p w14:paraId="454E8F3F">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.8供应商必须保证响应文件所提供的全部资料真实可靠，并接受采购单位对其中任何资料进一步核实的要求。</w:t>
      </w:r>
    </w:p>
    <w:p w14:paraId="5736C90F">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13、</w:t>
      </w:r>
      <w:bookmarkEnd w:id="65"/>
      <w:r>
        <w:rPr>
          <w:rFonts w:hint="eastAsia" w:ascii="宋体" w:hAnsi="宋体" w:eastAsia="宋体" w:cs="宋体"/>
          <w:b/>
          <w:color w:val="auto"/>
          <w:kern w:val="0"/>
          <w:sz w:val="24"/>
          <w:szCs w:val="24"/>
          <w:highlight w:val="none"/>
        </w:rPr>
        <w:t>报价</w:t>
      </w:r>
    </w:p>
    <w:p w14:paraId="1DD04161">
      <w:pPr>
        <w:spacing w:line="360" w:lineRule="auto"/>
        <w:ind w:firstLine="480" w:firstLineChars="200"/>
        <w:rPr>
          <w:rFonts w:hint="eastAsia" w:ascii="宋体" w:hAnsi="宋体" w:eastAsia="宋体" w:cs="宋体"/>
          <w:color w:val="auto"/>
          <w:sz w:val="24"/>
          <w:highlight w:val="none"/>
        </w:rPr>
      </w:pPr>
      <w:bookmarkStart w:id="67" w:name="_Hlt26954846"/>
      <w:bookmarkEnd w:id="67"/>
      <w:bookmarkStart w:id="68" w:name="_Hlt26954848"/>
      <w:bookmarkEnd w:id="68"/>
      <w:bookmarkStart w:id="69" w:name="_Hlt26668983"/>
      <w:bookmarkEnd w:id="69"/>
      <w:bookmarkStart w:id="70" w:name="_Hlt26954844"/>
      <w:bookmarkEnd w:id="70"/>
      <w:bookmarkStart w:id="71" w:name="_Hlt26670425"/>
      <w:bookmarkEnd w:id="71"/>
      <w:bookmarkStart w:id="72" w:name="_Hlt26670482"/>
      <w:bookmarkEnd w:id="72"/>
      <w:bookmarkStart w:id="73" w:name="_Hlt26670403"/>
      <w:bookmarkEnd w:id="73"/>
      <w:bookmarkStart w:id="74" w:name="_Hlt26670486"/>
      <w:bookmarkEnd w:id="74"/>
      <w:bookmarkStart w:id="75" w:name="_Hlt26954731"/>
      <w:bookmarkEnd w:id="75"/>
      <w:bookmarkStart w:id="76" w:name="_Hlt26954842"/>
      <w:bookmarkEnd w:id="76"/>
      <w:bookmarkStart w:id="77" w:name="_Toc385992344"/>
      <w:bookmarkStart w:id="78" w:name="_Toc70687158"/>
      <w:bookmarkStart w:id="79" w:name="_Toc389620183"/>
      <w:bookmarkStart w:id="80" w:name="_Toc184043031"/>
      <w:bookmarkStart w:id="81" w:name="_Toc67626297"/>
      <w:r>
        <w:rPr>
          <w:rFonts w:hint="eastAsia" w:ascii="宋体" w:hAnsi="宋体" w:eastAsia="宋体" w:cs="宋体"/>
          <w:color w:val="auto"/>
          <w:sz w:val="24"/>
          <w:highlight w:val="none"/>
        </w:rPr>
        <w:t>本项目如非因重大需求变化导致成本增加，不得追加费用，供应商应该考虑但没有考虑到的任何费用将由供应商自行承担；</w:t>
      </w:r>
    </w:p>
    <w:p w14:paraId="081E3A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13.1响应报价超过最高限价的，该报价为无效报价，不进入商务评比。</w:t>
      </w:r>
    </w:p>
    <w:p w14:paraId="146764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13.2特别要求：响应文件中必须有备品备件、易损件和专用工具以及耗材的报价；</w:t>
      </w:r>
    </w:p>
    <w:p w14:paraId="5A015F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13.3磋商文件中特别要求的安装、调试、运输、保险及其它附带服务的全部费用；</w:t>
      </w:r>
    </w:p>
    <w:p w14:paraId="6327EF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13.4供应商提供的在中华人民共和国制造的货物，其货物的响应价即交货价中，包括制造、组装该货物所使用的零部件及原料已付的全部关税、销售税和其它税；</w:t>
      </w:r>
    </w:p>
    <w:p w14:paraId="3756A5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13.5供应商应对响应货物提供完整的详细的书面说明。</w:t>
      </w:r>
    </w:p>
    <w:p w14:paraId="3865BA41">
      <w:pPr>
        <w:adjustRightInd w:val="0"/>
        <w:spacing w:line="360" w:lineRule="auto"/>
        <w:ind w:firstLine="480"/>
        <w:jc w:val="left"/>
        <w:textAlignment w:val="baseline"/>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供应商根据本单位情况按照报价一览表的要求进行报价。</w:t>
      </w:r>
    </w:p>
    <w:p w14:paraId="720D2855">
      <w:pPr>
        <w:adjustRightInd w:val="0"/>
        <w:spacing w:line="360" w:lineRule="auto"/>
        <w:jc w:val="left"/>
        <w:textAlignment w:val="baseline"/>
        <w:rPr>
          <w:rFonts w:hint="eastAsia" w:ascii="宋体" w:hAnsi="宋体" w:eastAsia="宋体" w:cs="宋体"/>
          <w:b/>
          <w:color w:val="auto"/>
          <w:kern w:val="24"/>
          <w:sz w:val="24"/>
          <w:szCs w:val="24"/>
          <w:highlight w:val="none"/>
        </w:rPr>
      </w:pPr>
      <w:r>
        <w:rPr>
          <w:rFonts w:hint="eastAsia" w:ascii="宋体" w:hAnsi="宋体" w:eastAsia="宋体" w:cs="宋体"/>
          <w:b/>
          <w:color w:val="auto"/>
          <w:kern w:val="0"/>
          <w:sz w:val="24"/>
          <w:szCs w:val="24"/>
          <w:highlight w:val="none"/>
        </w:rPr>
        <w:t>14、磋商保证金</w:t>
      </w:r>
      <w:bookmarkEnd w:id="77"/>
      <w:bookmarkEnd w:id="78"/>
      <w:bookmarkEnd w:id="79"/>
      <w:bookmarkEnd w:id="80"/>
    </w:p>
    <w:p w14:paraId="75D9693A">
      <w:pPr>
        <w:tabs>
          <w:tab w:val="left" w:pos="0"/>
        </w:tabs>
        <w:spacing w:line="360" w:lineRule="auto"/>
        <w:ind w:firstLine="480" w:firstLineChars="200"/>
        <w:rPr>
          <w:rFonts w:hint="eastAsia" w:ascii="宋体" w:hAnsi="宋体" w:eastAsia="宋体" w:cs="宋体"/>
          <w:color w:val="auto"/>
          <w:kern w:val="24"/>
          <w:sz w:val="24"/>
          <w:szCs w:val="24"/>
          <w:highlight w:val="none"/>
          <w:lang w:eastAsia="zh-CN"/>
        </w:rPr>
      </w:pPr>
      <w:r>
        <w:rPr>
          <w:rFonts w:hint="eastAsia" w:ascii="宋体" w:hAnsi="宋体" w:eastAsia="宋体" w:cs="宋体"/>
          <w:color w:val="auto"/>
          <w:kern w:val="0"/>
          <w:sz w:val="24"/>
          <w:szCs w:val="24"/>
          <w:highlight w:val="none"/>
        </w:rPr>
        <w:t>14.1供应商应提交“供应商须知前附表”规定数额的磋商保证金，并作为其响应的一部分。</w:t>
      </w:r>
    </w:p>
    <w:p w14:paraId="2E15136D">
      <w:pPr>
        <w:tabs>
          <w:tab w:val="left" w:pos="0"/>
        </w:tabs>
        <w:spacing w:line="360" w:lineRule="auto"/>
        <w:ind w:firstLine="480" w:firstLineChars="200"/>
        <w:rPr>
          <w:rFonts w:hint="eastAsia" w:ascii="宋体" w:hAnsi="宋体" w:eastAsia="宋体" w:cs="宋体"/>
          <w:color w:val="auto"/>
          <w:kern w:val="24"/>
          <w:sz w:val="24"/>
          <w:szCs w:val="24"/>
          <w:highlight w:val="none"/>
        </w:rPr>
      </w:pPr>
      <w:r>
        <w:rPr>
          <w:rFonts w:hint="eastAsia" w:ascii="宋体" w:hAnsi="宋体" w:eastAsia="宋体" w:cs="宋体"/>
          <w:color w:val="auto"/>
          <w:kern w:val="0"/>
          <w:sz w:val="24"/>
          <w:szCs w:val="24"/>
          <w:highlight w:val="none"/>
        </w:rPr>
        <w:t>14.2磋商保证金是为了保护采购人免遭因供应商的行为而蒙受损失。采购人在因供应商的行为受到损害时可根据本须知第14.8条的规定不予退还供应商的磋商保证金。磋商保证金由采购代理机构代理收取并退回。</w:t>
      </w:r>
    </w:p>
    <w:p w14:paraId="7CDEF4AA">
      <w:pPr>
        <w:tabs>
          <w:tab w:val="left" w:pos="588"/>
        </w:tabs>
        <w:spacing w:line="360" w:lineRule="auto"/>
        <w:ind w:firstLine="480" w:firstLineChars="200"/>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14.3磋商保证金的货币为人民币，并采用下列任何一种形式：</w:t>
      </w:r>
    </w:p>
    <w:p w14:paraId="4FE6A06B">
      <w:pPr>
        <w:tabs>
          <w:tab w:val="left" w:pos="588"/>
        </w:tabs>
        <w:spacing w:line="360" w:lineRule="auto"/>
        <w:ind w:firstLine="480" w:firstLineChars="200"/>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（1）</w:t>
      </w:r>
      <w:r>
        <w:rPr>
          <w:rFonts w:hint="eastAsia" w:ascii="宋体" w:hAnsi="宋体" w:eastAsia="宋体" w:cs="宋体"/>
          <w:color w:val="auto"/>
          <w:kern w:val="0"/>
          <w:sz w:val="24"/>
          <w:szCs w:val="24"/>
          <w:highlight w:val="none"/>
        </w:rPr>
        <w:t>电汇（提供付款凭证复印件于开启当日，响应文件递交截止时间前与响应文件一同提交）</w:t>
      </w:r>
      <w:r>
        <w:rPr>
          <w:rFonts w:hint="eastAsia" w:ascii="宋体" w:hAnsi="宋体" w:eastAsia="宋体" w:cs="宋体"/>
          <w:color w:val="auto"/>
          <w:kern w:val="24"/>
          <w:sz w:val="24"/>
          <w:szCs w:val="24"/>
          <w:highlight w:val="none"/>
        </w:rPr>
        <w:t>；</w:t>
      </w:r>
    </w:p>
    <w:p w14:paraId="6B9A0BC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4"/>
          <w:sz w:val="24"/>
          <w:szCs w:val="24"/>
          <w:highlight w:val="none"/>
        </w:rPr>
        <w:t>（2）</w:t>
      </w:r>
      <w:r>
        <w:rPr>
          <w:rFonts w:hint="eastAsia" w:ascii="宋体" w:hAnsi="宋体" w:eastAsia="宋体" w:cs="宋体"/>
          <w:color w:val="auto"/>
          <w:kern w:val="0"/>
          <w:sz w:val="24"/>
          <w:szCs w:val="24"/>
          <w:highlight w:val="none"/>
        </w:rPr>
        <w:t>支票（仅限银行开具，凭密支付的须同时提供有效密码）、</w:t>
      </w:r>
      <w:r>
        <w:rPr>
          <w:rFonts w:hint="eastAsia" w:ascii="宋体" w:hAnsi="宋体" w:eastAsia="宋体" w:cs="宋体"/>
          <w:color w:val="auto"/>
          <w:sz w:val="24"/>
          <w:szCs w:val="24"/>
          <w:highlight w:val="none"/>
        </w:rPr>
        <w:t>银行汇票、本票或者金融机构、担保机构出具的保函等非现金形式。</w:t>
      </w:r>
    </w:p>
    <w:p w14:paraId="540030F8">
      <w:pPr>
        <w:tabs>
          <w:tab w:val="left" w:pos="588"/>
        </w:tabs>
        <w:spacing w:line="360" w:lineRule="auto"/>
        <w:ind w:firstLine="480" w:firstLineChars="200"/>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14.4</w:t>
      </w:r>
      <w:r>
        <w:rPr>
          <w:rFonts w:hint="eastAsia" w:ascii="宋体" w:hAnsi="宋体" w:eastAsia="宋体" w:cs="宋体"/>
          <w:color w:val="auto"/>
          <w:kern w:val="0"/>
          <w:sz w:val="24"/>
          <w:szCs w:val="24"/>
          <w:highlight w:val="none"/>
        </w:rPr>
        <w:t>磋商保证金应在响应有效期内有效</w:t>
      </w:r>
      <w:r>
        <w:rPr>
          <w:rFonts w:hint="eastAsia" w:ascii="宋体" w:hAnsi="宋体" w:eastAsia="宋体" w:cs="宋体"/>
          <w:color w:val="auto"/>
          <w:kern w:val="24"/>
          <w:sz w:val="24"/>
          <w:szCs w:val="24"/>
          <w:highlight w:val="none"/>
        </w:rPr>
        <w:t>。</w:t>
      </w:r>
    </w:p>
    <w:p w14:paraId="613D283C">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14.5凡没有根据本须知第14.1和14.3条的规定随附磋商保证金的，将被视为非响应性予以拒绝。</w:t>
      </w:r>
      <w:r>
        <w:rPr>
          <w:rFonts w:hint="eastAsia" w:ascii="宋体" w:hAnsi="宋体" w:eastAsia="宋体" w:cs="宋体"/>
          <w:b/>
          <w:color w:val="auto"/>
          <w:sz w:val="24"/>
          <w:szCs w:val="24"/>
          <w:highlight w:val="none"/>
        </w:rPr>
        <w:t>供应商提交的磋商保证金，无论成交与否均以转账形式予以退回。</w:t>
      </w:r>
    </w:p>
    <w:p w14:paraId="49B1F423">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14.6未成交供应商的磋商保证金，在《成交通知书》发出后5个工作日内退还；但本竞争性磋商文件规定不予退还的情形除外。</w:t>
      </w:r>
    </w:p>
    <w:p w14:paraId="0474F869">
      <w:pPr>
        <w:tabs>
          <w:tab w:val="left" w:pos="588"/>
        </w:tabs>
        <w:spacing w:line="360" w:lineRule="auto"/>
        <w:ind w:firstLine="480" w:firstLineChars="200"/>
        <w:rPr>
          <w:rFonts w:hint="eastAsia" w:ascii="宋体" w:hAnsi="宋体" w:eastAsia="宋体" w:cs="宋体"/>
          <w:color w:val="auto"/>
          <w:kern w:val="24"/>
          <w:sz w:val="24"/>
          <w:szCs w:val="24"/>
          <w:highlight w:val="none"/>
        </w:rPr>
      </w:pPr>
      <w:r>
        <w:rPr>
          <w:rFonts w:hint="eastAsia" w:ascii="宋体" w:hAnsi="宋体" w:eastAsia="宋体" w:cs="宋体"/>
          <w:color w:val="auto"/>
          <w:kern w:val="0"/>
          <w:sz w:val="24"/>
          <w:szCs w:val="24"/>
          <w:highlight w:val="none"/>
        </w:rPr>
        <w:t>14.7成交供应商的磋商保证金，在采购合同签订后5个工作日内退还。</w:t>
      </w:r>
    </w:p>
    <w:p w14:paraId="0F5E3C04">
      <w:pPr>
        <w:tabs>
          <w:tab w:val="left" w:pos="588"/>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14.8发生以下情况之一的，磋商保证金将不予退还：</w:t>
      </w:r>
    </w:p>
    <w:p w14:paraId="3DB168B4">
      <w:pPr>
        <w:numPr>
          <w:ilvl w:val="0"/>
          <w:numId w:val="3"/>
        </w:num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（1）供应商在提交响应文件截止时间后撤回响应文件的；</w:t>
      </w:r>
    </w:p>
    <w:p w14:paraId="319767EE">
      <w:pPr>
        <w:numPr>
          <w:ilvl w:val="0"/>
          <w:numId w:val="3"/>
        </w:num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（2）供应商在响应文件中提供虚假材料的；</w:t>
      </w:r>
    </w:p>
    <w:p w14:paraId="1BE18D9F">
      <w:pPr>
        <w:numPr>
          <w:ilvl w:val="0"/>
          <w:numId w:val="3"/>
        </w:num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（3）除因不可抗力或磋商文件认可的情形以外，成交供应商不与采购人签订合同的；</w:t>
      </w:r>
    </w:p>
    <w:p w14:paraId="79CD8975">
      <w:pPr>
        <w:numPr>
          <w:ilvl w:val="0"/>
          <w:numId w:val="3"/>
        </w:num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（4）供应商与采购人、其他供应商或者采购代理机构恶意串通的；</w:t>
      </w:r>
    </w:p>
    <w:p w14:paraId="217904E5">
      <w:pPr>
        <w:numPr>
          <w:ilvl w:val="0"/>
          <w:numId w:val="3"/>
        </w:num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（5）磋商文件规定的其他情形。</w:t>
      </w:r>
    </w:p>
    <w:p w14:paraId="7467C4E8">
      <w:pPr>
        <w:numPr>
          <w:ilvl w:val="0"/>
          <w:numId w:val="3"/>
        </w:num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若供应商或成交供应商的上述行为所造成的采购人的损失大于磋商保证金金额的，采购人不予退还保证金的同时，有权要求供应商或成交供应商就保证金未能涵盖部分的损失承担赔偿责任。</w:t>
      </w:r>
    </w:p>
    <w:p w14:paraId="33A3E823">
      <w:pPr>
        <w:adjustRightInd w:val="0"/>
        <w:spacing w:line="360" w:lineRule="auto"/>
        <w:jc w:val="left"/>
        <w:textAlignment w:val="baseline"/>
        <w:rPr>
          <w:rFonts w:hint="eastAsia" w:ascii="宋体" w:hAnsi="宋体" w:eastAsia="宋体" w:cs="宋体"/>
          <w:b/>
          <w:color w:val="auto"/>
          <w:kern w:val="0"/>
          <w:sz w:val="24"/>
          <w:szCs w:val="24"/>
          <w:highlight w:val="none"/>
        </w:rPr>
      </w:pPr>
      <w:bookmarkStart w:id="82" w:name="_Toc184043032"/>
      <w:bookmarkStart w:id="83" w:name="_Toc70687159"/>
      <w:bookmarkStart w:id="84" w:name="_Toc385992345"/>
      <w:bookmarkStart w:id="85" w:name="_Toc389620184"/>
      <w:r>
        <w:rPr>
          <w:rFonts w:hint="eastAsia" w:ascii="宋体" w:hAnsi="宋体" w:eastAsia="宋体" w:cs="宋体"/>
          <w:b/>
          <w:color w:val="auto"/>
          <w:kern w:val="0"/>
          <w:sz w:val="24"/>
          <w:szCs w:val="24"/>
          <w:highlight w:val="none"/>
        </w:rPr>
        <w:t>15、响应有效期</w:t>
      </w:r>
      <w:bookmarkEnd w:id="82"/>
      <w:bookmarkEnd w:id="83"/>
      <w:bookmarkEnd w:id="84"/>
      <w:bookmarkEnd w:id="85"/>
    </w:p>
    <w:p w14:paraId="3CA40D03">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15.1响应有效期见本须知前附表。在响应有效期内，所有响应文件均保持有效。响应文件的有效期比本须知规定的有效期短的，将被视为非实质性响应，采购人有权拒绝。</w:t>
      </w:r>
    </w:p>
    <w:p w14:paraId="1D319B37">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特殊情况下，采购人可于原响应有效期满之前要求供应商同意延长有效期，要求与答复均应为书面形式。供应商可以拒绝上述要求，其磋商保证金在规定时间内退还。对于同意该要求的供应商，既不要求也不允许其修改响应文件，但将要求其相应延长磋商保证金的有效期，有关退还和不予退还磋商保证金的规定在响应有效期的延长期内继续有效。</w:t>
      </w:r>
    </w:p>
    <w:p w14:paraId="054F990E">
      <w:pPr>
        <w:adjustRightInd w:val="0"/>
        <w:spacing w:line="360" w:lineRule="auto"/>
        <w:jc w:val="left"/>
        <w:textAlignment w:val="baseline"/>
        <w:rPr>
          <w:rFonts w:hint="eastAsia" w:ascii="宋体" w:hAnsi="宋体" w:eastAsia="宋体" w:cs="宋体"/>
          <w:b/>
          <w:color w:val="auto"/>
          <w:kern w:val="0"/>
          <w:sz w:val="24"/>
          <w:szCs w:val="24"/>
          <w:highlight w:val="none"/>
          <w:lang w:eastAsia="zh-CN"/>
        </w:rPr>
      </w:pPr>
      <w:bookmarkStart w:id="86" w:name="_Toc70687160"/>
      <w:bookmarkStart w:id="87" w:name="_Toc389620185"/>
      <w:bookmarkStart w:id="88" w:name="_Toc184043033"/>
      <w:bookmarkStart w:id="89" w:name="_Toc385992346"/>
      <w:r>
        <w:rPr>
          <w:rFonts w:hint="eastAsia" w:ascii="宋体" w:hAnsi="宋体" w:eastAsia="宋体" w:cs="宋体"/>
          <w:b/>
          <w:color w:val="auto"/>
          <w:kern w:val="0"/>
          <w:sz w:val="24"/>
          <w:szCs w:val="24"/>
          <w:highlight w:val="none"/>
        </w:rPr>
        <w:t>16、响应文件的制作和签署</w:t>
      </w:r>
      <w:bookmarkEnd w:id="86"/>
      <w:bookmarkEnd w:id="87"/>
      <w:bookmarkEnd w:id="88"/>
      <w:bookmarkEnd w:id="89"/>
    </w:p>
    <w:p w14:paraId="1B28CF3F">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供应商应准备一份响应文件正本和“供应商须知前附表”中规定数目的副本及电子版本（使用PDF格式，采用U盘或光盘），每套响应文件须清楚地标明“正本”“副本”“电子版本”。若正本和副本不符，以正本为准，电子版与纸制文件不符，以纸制文件为准。</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lang w:val="en-US" w:eastAsia="zh-CN"/>
        </w:rPr>
        <w:t>仅针对成交供应商</w:t>
      </w:r>
      <w:r>
        <w:rPr>
          <w:rFonts w:hint="eastAsia" w:ascii="宋体" w:hAnsi="宋体" w:eastAsia="宋体" w:cs="宋体"/>
          <w:b/>
          <w:color w:val="auto"/>
          <w:kern w:val="0"/>
          <w:sz w:val="24"/>
          <w:szCs w:val="24"/>
          <w:highlight w:val="none"/>
          <w:lang w:eastAsia="zh-CN"/>
        </w:rPr>
        <w:t>）</w:t>
      </w:r>
    </w:p>
    <w:p w14:paraId="3B0FE050">
      <w:pPr>
        <w:tabs>
          <w:tab w:val="left" w:pos="0"/>
        </w:tabs>
        <w:spacing w:line="360" w:lineRule="auto"/>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16.2</w:t>
      </w:r>
      <w:r>
        <w:rPr>
          <w:rFonts w:hint="eastAsia" w:ascii="宋体" w:hAnsi="宋体" w:eastAsia="宋体" w:cs="宋体"/>
          <w:b/>
          <w:color w:val="auto"/>
          <w:kern w:val="0"/>
          <w:sz w:val="24"/>
          <w:szCs w:val="24"/>
          <w:highlight w:val="none"/>
        </w:rPr>
        <w:t>响应文件须用中文编写，并须有序地装订成册，装订须牢固不易拆散和换页，不得采用活页方式装订，响应文件中不得留有空白页（如隔页纸）</w:t>
      </w:r>
      <w:r>
        <w:rPr>
          <w:rFonts w:hint="eastAsia" w:ascii="宋体" w:hAnsi="宋体" w:eastAsia="宋体" w:cs="宋体"/>
          <w:color w:val="auto"/>
          <w:kern w:val="0"/>
          <w:sz w:val="24"/>
          <w:szCs w:val="24"/>
          <w:highlight w:val="none"/>
        </w:rPr>
        <w:t>。</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lang w:val="en-US" w:eastAsia="zh-CN"/>
        </w:rPr>
        <w:t>仅针对成交供应商</w:t>
      </w:r>
      <w:r>
        <w:rPr>
          <w:rFonts w:hint="eastAsia" w:ascii="宋体" w:hAnsi="宋体" w:eastAsia="宋体" w:cs="宋体"/>
          <w:b/>
          <w:color w:val="auto"/>
          <w:kern w:val="0"/>
          <w:sz w:val="24"/>
          <w:szCs w:val="24"/>
          <w:highlight w:val="none"/>
          <w:lang w:eastAsia="zh-CN"/>
        </w:rPr>
        <w:t>）</w:t>
      </w:r>
    </w:p>
    <w:p w14:paraId="7B62E46A">
      <w:pPr>
        <w:tabs>
          <w:tab w:val="left" w:pos="588"/>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16.3响应文件的正本，一律用不褪色的墨水书写或打印，加盖供应商单位公章，并由供应商的法定代表人或其授权的代理人签字或盖章。响应文件的副本可采用正本的复印件。</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lang w:val="en-US" w:eastAsia="zh-CN"/>
        </w:rPr>
        <w:t>仅针对成交供应商</w:t>
      </w:r>
      <w:r>
        <w:rPr>
          <w:rFonts w:hint="eastAsia" w:ascii="宋体" w:hAnsi="宋体" w:eastAsia="宋体" w:cs="宋体"/>
          <w:b/>
          <w:color w:val="auto"/>
          <w:kern w:val="0"/>
          <w:sz w:val="24"/>
          <w:szCs w:val="24"/>
          <w:highlight w:val="none"/>
          <w:lang w:eastAsia="zh-CN"/>
        </w:rPr>
        <w:t>）</w:t>
      </w:r>
    </w:p>
    <w:p w14:paraId="1006131C">
      <w:pPr>
        <w:tabs>
          <w:tab w:val="left" w:pos="588"/>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16.4任何行间插字、涂改或增删，必须由响应文件签字人姓或首字母在旁边签字才有效。</w:t>
      </w:r>
    </w:p>
    <w:p w14:paraId="13C9BDC1">
      <w:pPr>
        <w:tabs>
          <w:tab w:val="left" w:pos="588"/>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16.5采购人拒绝接受以电报、电话、传真、电子邮件形式递交的响应。</w:t>
      </w:r>
    </w:p>
    <w:p w14:paraId="3A506445">
      <w:pPr>
        <w:tabs>
          <w:tab w:val="left" w:pos="588"/>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16.6供应商在磋商过程中相关文件的签订、履行、通知等事项的书面文件中的单位盖章、印章、公章等处均仅指与供应商名称全称相一致的法定代表人章，不得使用其他形式（如带有“专用章”等字样）的印章。</w:t>
      </w:r>
      <w:bookmarkStart w:id="90" w:name="_Hlt491765640"/>
      <w:bookmarkEnd w:id="90"/>
    </w:p>
    <w:p w14:paraId="1A1E2C04">
      <w:pPr>
        <w:adjustRightInd w:val="0"/>
        <w:spacing w:line="360" w:lineRule="auto"/>
        <w:jc w:val="center"/>
        <w:textAlignment w:val="baseline"/>
        <w:rPr>
          <w:rFonts w:hint="eastAsia" w:ascii="宋体" w:hAnsi="宋体" w:eastAsia="宋体" w:cs="宋体"/>
          <w:b/>
          <w:color w:val="auto"/>
          <w:kern w:val="0"/>
          <w:sz w:val="24"/>
          <w:szCs w:val="24"/>
          <w:highlight w:val="none"/>
        </w:rPr>
      </w:pPr>
      <w:bookmarkStart w:id="91" w:name="_Toc436256504"/>
      <w:r>
        <w:rPr>
          <w:rFonts w:hint="eastAsia" w:ascii="宋体" w:hAnsi="宋体" w:eastAsia="宋体" w:cs="宋体"/>
          <w:b/>
          <w:color w:val="auto"/>
          <w:kern w:val="0"/>
          <w:sz w:val="24"/>
          <w:szCs w:val="24"/>
          <w:highlight w:val="none"/>
        </w:rPr>
        <w:t>（四）、响应文件的提交</w:t>
      </w:r>
      <w:bookmarkEnd w:id="81"/>
      <w:bookmarkEnd w:id="91"/>
    </w:p>
    <w:p w14:paraId="5FEA346F">
      <w:pPr>
        <w:pStyle w:val="28"/>
        <w:spacing w:line="360" w:lineRule="auto"/>
        <w:rPr>
          <w:rFonts w:hint="eastAsia" w:ascii="宋体" w:hAnsi="宋体" w:eastAsia="宋体" w:cs="宋体"/>
          <w:b/>
          <w:color w:val="auto"/>
          <w:szCs w:val="24"/>
          <w:highlight w:val="none"/>
          <w:lang w:eastAsia="zh-CN"/>
        </w:rPr>
      </w:pPr>
      <w:bookmarkStart w:id="92" w:name="_Toc67626299"/>
      <w:r>
        <w:rPr>
          <w:rFonts w:hint="eastAsia" w:ascii="宋体" w:hAnsi="宋体" w:eastAsia="宋体" w:cs="宋体"/>
          <w:b/>
          <w:color w:val="auto"/>
          <w:szCs w:val="24"/>
          <w:highlight w:val="none"/>
        </w:rPr>
        <w:t>17、响应文件的密封和标记</w:t>
      </w:r>
      <w:r>
        <w:rPr>
          <w:rFonts w:hint="eastAsia" w:ascii="宋体" w:hAnsi="宋体" w:eastAsia="宋体" w:cs="宋体"/>
          <w:b/>
          <w:color w:val="auto"/>
          <w:szCs w:val="24"/>
          <w:highlight w:val="none"/>
          <w:lang w:eastAsia="zh-CN"/>
        </w:rPr>
        <w:t>（</w:t>
      </w:r>
      <w:r>
        <w:rPr>
          <w:rFonts w:hint="eastAsia" w:ascii="宋体" w:hAnsi="宋体" w:eastAsia="宋体" w:cs="宋体"/>
          <w:b/>
          <w:color w:val="auto"/>
          <w:szCs w:val="24"/>
          <w:highlight w:val="none"/>
          <w:lang w:val="en-US" w:eastAsia="zh-CN"/>
        </w:rPr>
        <w:t>电子开评标供应商响应文件无需密封</w:t>
      </w:r>
      <w:r>
        <w:rPr>
          <w:rFonts w:hint="eastAsia" w:ascii="宋体" w:hAnsi="宋体" w:eastAsia="宋体" w:cs="宋体"/>
          <w:b/>
          <w:color w:val="auto"/>
          <w:szCs w:val="24"/>
          <w:highlight w:val="none"/>
          <w:lang w:eastAsia="zh-CN"/>
        </w:rPr>
        <w:t>）</w:t>
      </w:r>
    </w:p>
    <w:p w14:paraId="2492B46F">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17.1本项目采用不见面开标，中标单位在开标后5日内提供密封不加密的电子版标书一份（U盘介质，U盘存储一份电子版标书或WORD版本一份）和纸质版响应文件一正一副至招标代理公司处。纸质版响应文件内容须与电子版响应文件一致。</w:t>
      </w:r>
    </w:p>
    <w:p w14:paraId="13C476F7">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17.2响应文件在密封好的外包封上应写明的标识：</w:t>
      </w:r>
    </w:p>
    <w:p w14:paraId="1F7EB776">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(1)外层密封的识别标志：</w:t>
      </w:r>
    </w:p>
    <w:p w14:paraId="4DAB6F69">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a.项目编号；</w:t>
      </w:r>
    </w:p>
    <w:p w14:paraId="5B79E633">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b.项目名称；</w:t>
      </w:r>
    </w:p>
    <w:p w14:paraId="7ADFAEB0">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c.采购人名称；</w:t>
      </w:r>
    </w:p>
    <w:p w14:paraId="6D4283BA">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d.供应商地址、联系方式；</w:t>
      </w:r>
    </w:p>
    <w:p w14:paraId="26A28518">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17.3响应文件须按本供应商须知及前附表相应项规定密封。对由此造成的提前开封的响应文件将予以拒绝，并退还给供应商；</w:t>
      </w:r>
    </w:p>
    <w:p w14:paraId="234D5786">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17.4所有响应文件的密封袋的封口处应加盖供应商公章。</w:t>
      </w:r>
    </w:p>
    <w:p w14:paraId="515D47C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17.5如果响应文件没有按规定密封，响应文件将被拒收。</w:t>
      </w:r>
    </w:p>
    <w:bookmarkEnd w:id="92"/>
    <w:p w14:paraId="3641B12C">
      <w:pPr>
        <w:pStyle w:val="28"/>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18、响应文件的提交</w:t>
      </w:r>
    </w:p>
    <w:p w14:paraId="3F0C208A">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18.1响应文件的递交地点：见供应商须知前附表。</w:t>
      </w:r>
    </w:p>
    <w:p w14:paraId="77B344D7">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18.2响应文件提交的截止时间</w:t>
      </w:r>
      <w:bookmarkEnd w:id="66"/>
    </w:p>
    <w:p w14:paraId="75CB74AA">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18.2.1响应文件递交的截止时间：见供应商须知前附表。</w:t>
      </w:r>
    </w:p>
    <w:p w14:paraId="5A9EFC1D">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18.2.2采购人可按本须知相应项规定以修改补充通知的方式，酌情延长提交响应文件的截止时间。在此情况下，供应商的所有权利和义务以及供应商受制约的截止时间，均以延长后新的响应文件递交的截止时间为准。</w:t>
      </w:r>
    </w:p>
    <w:p w14:paraId="66B710D5">
      <w:pPr>
        <w:pStyle w:val="28"/>
        <w:spacing w:line="360" w:lineRule="auto"/>
        <w:rPr>
          <w:rFonts w:hint="eastAsia" w:ascii="宋体" w:hAnsi="宋体" w:eastAsia="宋体" w:cs="宋体"/>
          <w:b/>
          <w:bCs/>
          <w:color w:val="auto"/>
          <w:szCs w:val="24"/>
          <w:highlight w:val="none"/>
        </w:rPr>
      </w:pPr>
      <w:bookmarkStart w:id="93" w:name="_Toc67626301"/>
      <w:r>
        <w:rPr>
          <w:rFonts w:hint="eastAsia" w:ascii="宋体" w:hAnsi="宋体" w:eastAsia="宋体" w:cs="宋体"/>
          <w:b/>
          <w:bCs/>
          <w:color w:val="auto"/>
          <w:szCs w:val="24"/>
          <w:highlight w:val="none"/>
        </w:rPr>
        <w:t>19、迟交的</w:t>
      </w:r>
      <w:bookmarkEnd w:id="93"/>
      <w:r>
        <w:rPr>
          <w:rFonts w:hint="eastAsia" w:ascii="宋体" w:hAnsi="宋体" w:eastAsia="宋体" w:cs="宋体"/>
          <w:b/>
          <w:bCs/>
          <w:color w:val="auto"/>
          <w:szCs w:val="24"/>
          <w:highlight w:val="none"/>
        </w:rPr>
        <w:t>响应文件</w:t>
      </w:r>
    </w:p>
    <w:p w14:paraId="4BDE50A5">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19.1采购人在本须知相应项规定的响应文件递交的截止时间以后收到的响应文件，将被拒绝并退回给供应商。</w:t>
      </w:r>
    </w:p>
    <w:p w14:paraId="407FB7A5">
      <w:pPr>
        <w:pStyle w:val="28"/>
        <w:spacing w:line="360" w:lineRule="auto"/>
        <w:rPr>
          <w:rFonts w:hint="eastAsia" w:ascii="宋体" w:hAnsi="宋体" w:eastAsia="宋体" w:cs="宋体"/>
          <w:b/>
          <w:bCs/>
          <w:color w:val="auto"/>
          <w:szCs w:val="24"/>
          <w:highlight w:val="none"/>
        </w:rPr>
      </w:pPr>
      <w:bookmarkStart w:id="94" w:name="_Toc67626302"/>
      <w:r>
        <w:rPr>
          <w:rFonts w:hint="eastAsia" w:ascii="宋体" w:hAnsi="宋体" w:eastAsia="宋体" w:cs="宋体"/>
          <w:b/>
          <w:bCs/>
          <w:color w:val="auto"/>
          <w:szCs w:val="24"/>
          <w:highlight w:val="none"/>
        </w:rPr>
        <w:t>20、响应文件的补充、修改与撤回</w:t>
      </w:r>
      <w:bookmarkEnd w:id="94"/>
    </w:p>
    <w:p w14:paraId="35EAC2AD">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20.1供应商在提交响应文件以后，在规定的响应文件递交的截止时间之前，可以书面形式补充修改或撤回已提交的响应文件，并以书面形式通知采购人。补充、修改的内容为响应文件的组成部分。</w:t>
      </w:r>
    </w:p>
    <w:p w14:paraId="2AA459DA">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20.2供应商对响应文件的补充、修改，应按本须知相应项有关规定密封、标记和提交，并在响应文件密封袋上清楚标明“补充、修改”或“撤回”字样。</w:t>
      </w:r>
    </w:p>
    <w:p w14:paraId="62926967">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20.3在响应文件递交的截止时间之后，供应商不得补充、修改响应文件。</w:t>
      </w:r>
    </w:p>
    <w:p w14:paraId="3DD49FCF">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20.4在响应文件递交的截止时间至响应有效期满之前，供应商不得撤回其响应文件，否则其响应保证金将不予退还。</w:t>
      </w:r>
    </w:p>
    <w:p w14:paraId="06B06F81">
      <w:pPr>
        <w:adjustRightInd w:val="0"/>
        <w:spacing w:line="360" w:lineRule="auto"/>
        <w:jc w:val="center"/>
        <w:textAlignment w:val="baseline"/>
        <w:rPr>
          <w:rFonts w:hint="eastAsia" w:ascii="宋体" w:hAnsi="宋体" w:eastAsia="宋体" w:cs="宋体"/>
          <w:b/>
          <w:color w:val="auto"/>
          <w:kern w:val="0"/>
          <w:sz w:val="24"/>
          <w:szCs w:val="24"/>
          <w:highlight w:val="none"/>
        </w:rPr>
      </w:pPr>
      <w:bookmarkStart w:id="95" w:name="_Toc232395217"/>
      <w:bookmarkStart w:id="96" w:name="_Toc235518471"/>
      <w:bookmarkStart w:id="97" w:name="_Toc232176277"/>
      <w:bookmarkStart w:id="98" w:name="_Toc239740356"/>
      <w:bookmarkStart w:id="99" w:name="_Toc214357452"/>
      <w:bookmarkStart w:id="100" w:name="_Toc265738865"/>
      <w:bookmarkStart w:id="101" w:name="_Toc499711048"/>
      <w:bookmarkStart w:id="102" w:name="_Toc184043039"/>
      <w:bookmarkStart w:id="103" w:name="_Toc499711889"/>
      <w:bookmarkStart w:id="104" w:name="_Toc177817339"/>
      <w:bookmarkStart w:id="105" w:name="_Toc176882547"/>
      <w:bookmarkStart w:id="106" w:name="_Toc177189240"/>
      <w:bookmarkStart w:id="107" w:name="_Toc492955420"/>
      <w:bookmarkStart w:id="108" w:name="_Toc177995478"/>
      <w:bookmarkStart w:id="109" w:name="_Toc70687166"/>
      <w:bookmarkStart w:id="110" w:name="_Toc385992352"/>
      <w:bookmarkStart w:id="111" w:name="_Toc496324584"/>
      <w:bookmarkStart w:id="112" w:name="_Toc500746971"/>
      <w:bookmarkStart w:id="113" w:name="_Toc500747194"/>
      <w:bookmarkStart w:id="114" w:name="_Toc53722845"/>
      <w:bookmarkStart w:id="115" w:name="_Toc389620191"/>
      <w:bookmarkStart w:id="116" w:name="_Toc503063427"/>
      <w:bookmarkStart w:id="117" w:name="_Toc500747067"/>
      <w:bookmarkStart w:id="118" w:name="_Toc67626304"/>
      <w:bookmarkStart w:id="119" w:name="_Toc436256505"/>
      <w:r>
        <w:rPr>
          <w:rFonts w:hint="eastAsia" w:ascii="宋体" w:hAnsi="宋体" w:eastAsia="宋体" w:cs="宋体"/>
          <w:b/>
          <w:color w:val="auto"/>
          <w:kern w:val="0"/>
          <w:sz w:val="24"/>
          <w:szCs w:val="24"/>
          <w:highlight w:val="none"/>
        </w:rPr>
        <w:br w:type="page"/>
      </w:r>
      <w:r>
        <w:rPr>
          <w:rFonts w:hint="eastAsia" w:ascii="宋体" w:hAnsi="宋体" w:eastAsia="宋体" w:cs="宋体"/>
          <w:b/>
          <w:color w:val="auto"/>
          <w:kern w:val="0"/>
          <w:sz w:val="24"/>
          <w:szCs w:val="24"/>
          <w:highlight w:val="none"/>
        </w:rPr>
        <w:t>（五</w:t>
      </w:r>
      <w:bookmarkEnd w:id="95"/>
      <w:bookmarkEnd w:id="96"/>
      <w:bookmarkEnd w:id="97"/>
      <w:bookmarkEnd w:id="98"/>
      <w:bookmarkEnd w:id="99"/>
      <w:bookmarkEnd w:id="100"/>
      <w:r>
        <w:rPr>
          <w:rFonts w:hint="eastAsia" w:ascii="宋体" w:hAnsi="宋体" w:eastAsia="宋体" w:cs="宋体"/>
          <w:b/>
          <w:color w:val="auto"/>
          <w:kern w:val="0"/>
          <w:sz w:val="24"/>
          <w:szCs w:val="24"/>
          <w:highlight w:val="none"/>
        </w:rPr>
        <w:t>）、评审与磋商</w:t>
      </w:r>
    </w:p>
    <w:p w14:paraId="360853D0">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21、磋商开启</w:t>
      </w:r>
    </w:p>
    <w:p w14:paraId="154712C2">
      <w:pPr>
        <w:tabs>
          <w:tab w:val="left" w:pos="588"/>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21.1采购单位</w:t>
      </w:r>
      <w:r>
        <w:rPr>
          <w:rFonts w:hint="eastAsia" w:ascii="宋体" w:hAnsi="宋体" w:eastAsia="宋体" w:cs="宋体"/>
          <w:color w:val="auto"/>
          <w:kern w:val="0"/>
          <w:sz w:val="24"/>
          <w:szCs w:val="21"/>
          <w:highlight w:val="none"/>
        </w:rPr>
        <w:t>应当按采购邀请的规定，在响应文件递交截止时间的同一时间和预先确定的</w:t>
      </w:r>
      <w:r>
        <w:rPr>
          <w:rFonts w:hint="eastAsia" w:ascii="宋体" w:hAnsi="宋体" w:eastAsia="宋体" w:cs="宋体"/>
          <w:color w:val="auto"/>
          <w:kern w:val="0"/>
          <w:sz w:val="24"/>
          <w:szCs w:val="21"/>
          <w:highlight w:val="none"/>
          <w:lang w:val="en-US" w:eastAsia="zh-CN"/>
        </w:rPr>
        <w:t>平台网址</w:t>
      </w:r>
      <w:r>
        <w:rPr>
          <w:rFonts w:hint="eastAsia" w:ascii="宋体" w:hAnsi="宋体" w:eastAsia="宋体" w:cs="宋体"/>
          <w:color w:val="auto"/>
          <w:kern w:val="0"/>
          <w:sz w:val="24"/>
          <w:szCs w:val="21"/>
          <w:highlight w:val="none"/>
        </w:rPr>
        <w:t>组织磋商活动，并邀请所有供应商代表参加。供应商代表应签名报到以证明其出席</w:t>
      </w:r>
      <w:r>
        <w:rPr>
          <w:rFonts w:hint="eastAsia" w:ascii="宋体" w:hAnsi="宋体" w:eastAsia="宋体" w:cs="宋体"/>
          <w:color w:val="auto"/>
          <w:kern w:val="0"/>
          <w:sz w:val="24"/>
          <w:szCs w:val="21"/>
          <w:highlight w:val="none"/>
          <w:lang w:eastAsia="zh-CN"/>
        </w:rPr>
        <w:t>，</w:t>
      </w:r>
      <w:r>
        <w:rPr>
          <w:rFonts w:hint="eastAsia" w:ascii="宋体" w:hAnsi="宋体" w:eastAsia="宋体" w:cs="宋体"/>
          <w:color w:val="auto"/>
          <w:kern w:val="0"/>
          <w:sz w:val="24"/>
          <w:szCs w:val="21"/>
          <w:highlight w:val="none"/>
          <w:lang w:val="en-US" w:eastAsia="zh-CN"/>
        </w:rPr>
        <w:t>并在开启环节全程保持在线</w:t>
      </w:r>
      <w:r>
        <w:rPr>
          <w:rFonts w:hint="eastAsia" w:ascii="宋体" w:hAnsi="宋体" w:eastAsia="宋体" w:cs="宋体"/>
          <w:color w:val="auto"/>
          <w:kern w:val="0"/>
          <w:sz w:val="24"/>
          <w:szCs w:val="21"/>
          <w:highlight w:val="none"/>
        </w:rPr>
        <w:t>。采购代理机构在线上开启</w:t>
      </w:r>
      <w:r>
        <w:rPr>
          <w:rFonts w:hint="eastAsia" w:ascii="宋体" w:hAnsi="宋体" w:eastAsia="宋体" w:cs="宋体"/>
          <w:color w:val="auto"/>
          <w:kern w:val="0"/>
          <w:sz w:val="24"/>
          <w:szCs w:val="21"/>
          <w:highlight w:val="none"/>
          <w:lang w:val="en-US" w:eastAsia="zh-CN"/>
        </w:rPr>
        <w:t>响应</w:t>
      </w:r>
      <w:r>
        <w:rPr>
          <w:rFonts w:hint="eastAsia" w:ascii="宋体" w:hAnsi="宋体" w:eastAsia="宋体" w:cs="宋体"/>
          <w:color w:val="auto"/>
          <w:kern w:val="0"/>
          <w:sz w:val="24"/>
          <w:szCs w:val="21"/>
          <w:highlight w:val="none"/>
        </w:rPr>
        <w:t>文件解密，后由各</w:t>
      </w:r>
      <w:r>
        <w:rPr>
          <w:rFonts w:hint="eastAsia" w:ascii="宋体" w:hAnsi="宋体" w:eastAsia="宋体" w:cs="宋体"/>
          <w:color w:val="auto"/>
          <w:kern w:val="0"/>
          <w:sz w:val="24"/>
          <w:szCs w:val="21"/>
          <w:highlight w:val="none"/>
          <w:lang w:val="en-US" w:eastAsia="zh-CN"/>
        </w:rPr>
        <w:t>供应商</w:t>
      </w:r>
      <w:r>
        <w:rPr>
          <w:rFonts w:hint="eastAsia" w:ascii="宋体" w:hAnsi="宋体" w:eastAsia="宋体" w:cs="宋体"/>
          <w:color w:val="auto"/>
          <w:kern w:val="0"/>
          <w:sz w:val="24"/>
          <w:szCs w:val="21"/>
          <w:highlight w:val="none"/>
        </w:rPr>
        <w:t>在规定时间内在线解密</w:t>
      </w:r>
      <w:r>
        <w:rPr>
          <w:rFonts w:hint="eastAsia" w:ascii="宋体" w:hAnsi="宋体" w:eastAsia="宋体" w:cs="宋体"/>
          <w:color w:val="auto"/>
          <w:kern w:val="0"/>
          <w:sz w:val="24"/>
          <w:szCs w:val="21"/>
          <w:highlight w:val="none"/>
          <w:lang w:val="en-US" w:eastAsia="zh-CN"/>
        </w:rPr>
        <w:t>其响应</w:t>
      </w:r>
      <w:r>
        <w:rPr>
          <w:rFonts w:hint="eastAsia" w:ascii="宋体" w:hAnsi="宋体" w:eastAsia="宋体" w:cs="宋体"/>
          <w:color w:val="auto"/>
          <w:kern w:val="0"/>
          <w:sz w:val="24"/>
          <w:szCs w:val="21"/>
          <w:highlight w:val="none"/>
        </w:rPr>
        <w:t>文件。未在规定时间内解密</w:t>
      </w:r>
      <w:r>
        <w:rPr>
          <w:rFonts w:hint="eastAsia" w:ascii="宋体" w:hAnsi="宋体" w:eastAsia="宋体" w:cs="宋体"/>
          <w:color w:val="auto"/>
          <w:kern w:val="0"/>
          <w:sz w:val="24"/>
          <w:szCs w:val="21"/>
          <w:highlight w:val="none"/>
          <w:lang w:val="en-US" w:eastAsia="zh-CN"/>
        </w:rPr>
        <w:t>响应</w:t>
      </w:r>
      <w:r>
        <w:rPr>
          <w:rFonts w:hint="eastAsia" w:ascii="宋体" w:hAnsi="宋体" w:eastAsia="宋体" w:cs="宋体"/>
          <w:color w:val="auto"/>
          <w:kern w:val="0"/>
          <w:sz w:val="24"/>
          <w:szCs w:val="21"/>
          <w:highlight w:val="none"/>
        </w:rPr>
        <w:t>文件的视为放弃</w:t>
      </w:r>
      <w:r>
        <w:rPr>
          <w:rFonts w:hint="eastAsia" w:ascii="宋体" w:hAnsi="宋体" w:eastAsia="宋体" w:cs="宋体"/>
          <w:color w:val="auto"/>
          <w:kern w:val="0"/>
          <w:sz w:val="24"/>
          <w:szCs w:val="21"/>
          <w:highlight w:val="none"/>
          <w:lang w:val="en-US" w:eastAsia="zh-CN"/>
        </w:rPr>
        <w:t>磋商</w:t>
      </w:r>
      <w:r>
        <w:rPr>
          <w:rFonts w:hint="eastAsia" w:ascii="宋体" w:hAnsi="宋体" w:eastAsia="宋体" w:cs="宋体"/>
          <w:color w:val="auto"/>
          <w:kern w:val="0"/>
          <w:sz w:val="24"/>
          <w:szCs w:val="21"/>
          <w:highlight w:val="none"/>
        </w:rPr>
        <w:t>资格，</w:t>
      </w:r>
      <w:r>
        <w:rPr>
          <w:rFonts w:hint="eastAsia" w:ascii="宋体" w:hAnsi="宋体" w:eastAsia="宋体" w:cs="宋体"/>
          <w:color w:val="auto"/>
          <w:kern w:val="0"/>
          <w:sz w:val="24"/>
          <w:szCs w:val="21"/>
          <w:highlight w:val="none"/>
          <w:lang w:val="en-US" w:eastAsia="zh-CN"/>
        </w:rPr>
        <w:t>响应</w:t>
      </w:r>
      <w:r>
        <w:rPr>
          <w:rFonts w:hint="eastAsia" w:ascii="宋体" w:hAnsi="宋体" w:eastAsia="宋体" w:cs="宋体"/>
          <w:color w:val="auto"/>
          <w:kern w:val="0"/>
          <w:sz w:val="24"/>
          <w:szCs w:val="21"/>
          <w:highlight w:val="none"/>
        </w:rPr>
        <w:t>文件在线解密时长为30分钟，因</w:t>
      </w:r>
      <w:r>
        <w:rPr>
          <w:rFonts w:hint="eastAsia" w:ascii="宋体" w:hAnsi="宋体" w:eastAsia="宋体" w:cs="宋体"/>
          <w:color w:val="auto"/>
          <w:kern w:val="0"/>
          <w:sz w:val="24"/>
          <w:szCs w:val="21"/>
          <w:highlight w:val="none"/>
          <w:lang w:val="en-US" w:eastAsia="zh-CN"/>
        </w:rPr>
        <w:t>供应商</w:t>
      </w:r>
      <w:r>
        <w:rPr>
          <w:rFonts w:hint="eastAsia" w:ascii="宋体" w:hAnsi="宋体" w:eastAsia="宋体" w:cs="宋体"/>
          <w:color w:val="auto"/>
          <w:kern w:val="0"/>
          <w:sz w:val="24"/>
          <w:szCs w:val="21"/>
          <w:highlight w:val="none"/>
        </w:rPr>
        <w:t>自身原因未在规定时间内解密</w:t>
      </w:r>
      <w:r>
        <w:rPr>
          <w:rFonts w:hint="eastAsia" w:ascii="宋体" w:hAnsi="宋体" w:eastAsia="宋体" w:cs="宋体"/>
          <w:color w:val="auto"/>
          <w:kern w:val="0"/>
          <w:sz w:val="24"/>
          <w:szCs w:val="21"/>
          <w:highlight w:val="none"/>
          <w:lang w:val="en-US" w:eastAsia="zh-CN"/>
        </w:rPr>
        <w:t>响应</w:t>
      </w:r>
      <w:r>
        <w:rPr>
          <w:rFonts w:hint="eastAsia" w:ascii="宋体" w:hAnsi="宋体" w:eastAsia="宋体" w:cs="宋体"/>
          <w:color w:val="auto"/>
          <w:kern w:val="0"/>
          <w:sz w:val="24"/>
          <w:szCs w:val="21"/>
          <w:highlight w:val="none"/>
        </w:rPr>
        <w:t>文件导致废标的，由</w:t>
      </w:r>
      <w:r>
        <w:rPr>
          <w:rFonts w:hint="eastAsia" w:ascii="宋体" w:hAnsi="宋体" w:eastAsia="宋体" w:cs="宋体"/>
          <w:color w:val="auto"/>
          <w:kern w:val="0"/>
          <w:sz w:val="24"/>
          <w:szCs w:val="21"/>
          <w:highlight w:val="none"/>
          <w:lang w:val="en-US" w:eastAsia="zh-CN"/>
        </w:rPr>
        <w:t>供应商</w:t>
      </w:r>
      <w:r>
        <w:rPr>
          <w:rFonts w:hint="eastAsia" w:ascii="宋体" w:hAnsi="宋体" w:eastAsia="宋体" w:cs="宋体"/>
          <w:color w:val="auto"/>
          <w:kern w:val="0"/>
          <w:sz w:val="24"/>
          <w:szCs w:val="21"/>
          <w:highlight w:val="none"/>
        </w:rPr>
        <w:t>自行承担后果。除了按照本须知第</w:t>
      </w:r>
      <w:r>
        <w:rPr>
          <w:rFonts w:hint="eastAsia" w:ascii="宋体" w:hAnsi="宋体" w:eastAsia="宋体" w:cs="宋体"/>
          <w:color w:val="auto"/>
          <w:kern w:val="0"/>
          <w:sz w:val="24"/>
          <w:szCs w:val="21"/>
          <w:highlight w:val="none"/>
          <w:lang w:val="en-US" w:eastAsia="zh-CN"/>
        </w:rPr>
        <w:t>19</w:t>
      </w:r>
      <w:r>
        <w:rPr>
          <w:rFonts w:hint="eastAsia" w:ascii="宋体" w:hAnsi="宋体" w:eastAsia="宋体" w:cs="宋体"/>
          <w:color w:val="auto"/>
          <w:kern w:val="0"/>
          <w:sz w:val="24"/>
          <w:szCs w:val="21"/>
          <w:highlight w:val="none"/>
        </w:rPr>
        <w:t>条的规定原封退回迟到的</w:t>
      </w:r>
      <w:r>
        <w:rPr>
          <w:rFonts w:hint="eastAsia" w:ascii="宋体" w:hAnsi="宋体" w:eastAsia="宋体" w:cs="宋体"/>
          <w:color w:val="auto"/>
          <w:kern w:val="0"/>
          <w:sz w:val="24"/>
          <w:szCs w:val="21"/>
          <w:highlight w:val="none"/>
          <w:lang w:val="en-US" w:eastAsia="zh-CN"/>
        </w:rPr>
        <w:t>供应商</w:t>
      </w:r>
      <w:r>
        <w:rPr>
          <w:rFonts w:hint="eastAsia" w:ascii="宋体" w:hAnsi="宋体" w:eastAsia="宋体" w:cs="宋体"/>
          <w:color w:val="auto"/>
          <w:kern w:val="0"/>
          <w:sz w:val="24"/>
          <w:szCs w:val="21"/>
          <w:highlight w:val="none"/>
        </w:rPr>
        <w:t>之外，开标时将不得拒绝任何投标。</w:t>
      </w:r>
    </w:p>
    <w:p w14:paraId="7DBBE541">
      <w:pPr>
        <w:adjustRightInd w:val="0"/>
        <w:spacing w:line="360" w:lineRule="auto"/>
        <w:jc w:val="left"/>
        <w:textAlignment w:val="baseline"/>
        <w:rPr>
          <w:rFonts w:hint="eastAsia" w:ascii="宋体" w:hAnsi="宋体" w:eastAsia="宋体" w:cs="宋体"/>
          <w:b/>
          <w:color w:val="auto"/>
          <w:kern w:val="0"/>
          <w:sz w:val="24"/>
          <w:szCs w:val="24"/>
          <w:highlight w:val="none"/>
        </w:rPr>
      </w:pPr>
      <w:bookmarkStart w:id="120" w:name="_Toc83547667"/>
      <w:r>
        <w:rPr>
          <w:rFonts w:hint="eastAsia" w:ascii="宋体" w:hAnsi="宋体" w:eastAsia="宋体" w:cs="宋体"/>
          <w:b/>
          <w:color w:val="auto"/>
          <w:kern w:val="0"/>
          <w:sz w:val="24"/>
          <w:szCs w:val="24"/>
          <w:highlight w:val="none"/>
        </w:rPr>
        <w:t>22、磋商小组</w:t>
      </w:r>
    </w:p>
    <w:p w14:paraId="3A02B8D8">
      <w:pPr>
        <w:tabs>
          <w:tab w:val="left" w:pos="588"/>
        </w:tabs>
        <w:spacing w:line="360" w:lineRule="auto"/>
        <w:ind w:left="420" w:leftChars="200"/>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4"/>
          <w:highlight w:val="none"/>
        </w:rPr>
        <w:t>22.1采购人根据有关法律法规，结合本项目特点组建磋商小组。</w:t>
      </w:r>
      <w:r>
        <w:rPr>
          <w:rFonts w:hint="eastAsia" w:ascii="宋体" w:hAnsi="宋体" w:eastAsia="宋体" w:cs="宋体"/>
          <w:color w:val="auto"/>
          <w:kern w:val="0"/>
          <w:sz w:val="24"/>
          <w:szCs w:val="21"/>
          <w:highlight w:val="none"/>
        </w:rPr>
        <w:t>磋商小组由采购人</w:t>
      </w:r>
    </w:p>
    <w:p w14:paraId="3543C9C0">
      <w:pPr>
        <w:tabs>
          <w:tab w:val="left" w:pos="588"/>
        </w:tabs>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1"/>
          <w:highlight w:val="none"/>
        </w:rPr>
        <w:t>代表和评审专家共三人以上单数组成，其中评审专家的人数不少于磋商小组成员总数的三分之二。</w:t>
      </w:r>
    </w:p>
    <w:p w14:paraId="0052B347">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23、响应文件的初审</w:t>
      </w:r>
      <w:bookmarkEnd w:id="120"/>
      <w:r>
        <w:rPr>
          <w:rFonts w:hint="eastAsia" w:ascii="宋体" w:hAnsi="宋体" w:eastAsia="宋体" w:cs="宋体"/>
          <w:b/>
          <w:color w:val="auto"/>
          <w:kern w:val="0"/>
          <w:sz w:val="24"/>
          <w:szCs w:val="24"/>
          <w:highlight w:val="none"/>
        </w:rPr>
        <w:t>与澄清</w:t>
      </w:r>
    </w:p>
    <w:p w14:paraId="0E42F585">
      <w:pPr>
        <w:tabs>
          <w:tab w:val="left" w:pos="588"/>
        </w:tabs>
        <w:spacing w:line="360" w:lineRule="auto"/>
        <w:ind w:firstLine="480" w:firstLineChars="200"/>
        <w:rPr>
          <w:rFonts w:hint="eastAsia" w:ascii="宋体" w:hAnsi="宋体" w:eastAsia="宋体" w:cs="宋体"/>
          <w:color w:val="auto"/>
          <w:kern w:val="0"/>
          <w:sz w:val="24"/>
          <w:szCs w:val="24"/>
          <w:highlight w:val="none"/>
        </w:rPr>
      </w:pPr>
      <w:bookmarkStart w:id="121" w:name="_Toc83547671"/>
      <w:r>
        <w:rPr>
          <w:rFonts w:hint="eastAsia" w:ascii="宋体" w:hAnsi="宋体" w:eastAsia="宋体" w:cs="宋体"/>
          <w:color w:val="auto"/>
          <w:kern w:val="0"/>
          <w:sz w:val="24"/>
          <w:szCs w:val="24"/>
          <w:highlight w:val="none"/>
        </w:rPr>
        <w:t>23.1响应文件的初审分为资格性检查和符合性检查。</w:t>
      </w:r>
    </w:p>
    <w:p w14:paraId="30146FD9">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23.1.1资格性检查：磋商小组依据竞争性磋商文件，对响应文件中的资格证明文件等进行审查，以确定供应商是否具备磋商资格。</w:t>
      </w:r>
    </w:p>
    <w:p w14:paraId="60622EE4">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23.1.2符合性检查：磋商小组依据竞争性磋商文件，对响应文件的有效性、完整</w:t>
      </w:r>
    </w:p>
    <w:p w14:paraId="479F9D40">
      <w:pPr>
        <w:adjustRightIn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性和对竞争性磋商文件的响应程度进行审查，以确定供应商是否对竞争性磋商文件的实质性要求做出响应。</w:t>
      </w:r>
    </w:p>
    <w:p w14:paraId="7A2E536C">
      <w:pPr>
        <w:tabs>
          <w:tab w:val="left" w:pos="588"/>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23.2响应文件的澄清</w:t>
      </w:r>
    </w:p>
    <w:p w14:paraId="1A085A98">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23.2.1在评审期间，磋商小组有权以书面方式要求供应商</w:t>
      </w:r>
      <w:r>
        <w:rPr>
          <w:rFonts w:hint="eastAsia" w:ascii="宋体" w:hAnsi="宋体" w:eastAsia="宋体" w:cs="宋体"/>
          <w:color w:val="auto"/>
          <w:kern w:val="0"/>
          <w:sz w:val="24"/>
          <w:szCs w:val="24"/>
          <w:highlight w:val="none"/>
          <w:lang w:val="en-US" w:eastAsia="zh-CN"/>
        </w:rPr>
        <w:t>在线</w:t>
      </w:r>
      <w:r>
        <w:rPr>
          <w:rFonts w:hint="eastAsia" w:ascii="宋体" w:hAnsi="宋体" w:eastAsia="宋体" w:cs="宋体"/>
          <w:color w:val="auto"/>
          <w:kern w:val="0"/>
          <w:sz w:val="24"/>
          <w:szCs w:val="24"/>
          <w:highlight w:val="none"/>
        </w:rPr>
        <w:t>对其响应文件中含义不明确、对同类问题表述不一致或者有明显文字和计算错误的内容作必要的澄清。供应商澄清应在磋商小组规定的时间内</w:t>
      </w:r>
      <w:r>
        <w:rPr>
          <w:rFonts w:hint="eastAsia" w:ascii="宋体" w:hAnsi="宋体" w:eastAsia="宋体" w:cs="宋体"/>
          <w:color w:val="auto"/>
          <w:kern w:val="0"/>
          <w:sz w:val="24"/>
          <w:szCs w:val="24"/>
          <w:highlight w:val="none"/>
          <w:lang w:val="en-US" w:eastAsia="zh-CN"/>
        </w:rPr>
        <w:t>在政采云平台线上</w:t>
      </w:r>
      <w:r>
        <w:rPr>
          <w:rFonts w:hint="eastAsia" w:ascii="宋体" w:hAnsi="宋体" w:eastAsia="宋体" w:cs="宋体"/>
          <w:color w:val="auto"/>
          <w:kern w:val="0"/>
          <w:sz w:val="24"/>
          <w:szCs w:val="24"/>
          <w:highlight w:val="none"/>
        </w:rPr>
        <w:t>以书面方式进行，并不得超出响应文件范围或者改变响应文件的实质性内容。</w:t>
      </w:r>
    </w:p>
    <w:p w14:paraId="6D9E14D2">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23.2.2磋商小组要求供应商澄清、说明或者更正响应文件应当以书面形式作出。</w:t>
      </w:r>
    </w:p>
    <w:p w14:paraId="5F929A28">
      <w:pPr>
        <w:adjustRightIn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供应商的澄清、说明或者更正应当加盖公章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电子章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381FB439">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23.2.3澄清文件将作为响应文件内容的一部分。</w:t>
      </w:r>
    </w:p>
    <w:p w14:paraId="0AAB7101">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23.2.4算术错误将按以下方法更正：响应文件中“响应报价一览表”（报价表）内容与响应文件中明细表内容不一致的，以“响应报价一览表”（报价表）为准；若单价计算的结果与总价不一致，以单价为准修改总价，但单价金额小数点有明显错位的，应以总价为准并修改单价；若用文字（大写）表示的数值与数字（小写表示的数值不一致，以文字表示的数值为准。对不同文字文本响应文件的解释发生异议的，以中文文本为准。如果供应商不接受对其错误的更改，其响应将被拒绝。</w:t>
      </w:r>
    </w:p>
    <w:p w14:paraId="7FD76154">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24、响应偏离与非实质性响应</w:t>
      </w:r>
    </w:p>
    <w:p w14:paraId="7E9C639F">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24.1对于响应文件中不构成实质性偏离的不正规、不一致或不规则，磋商小组可以接受，但这种接受不能损害或影响任何供应商的相对排序。</w:t>
      </w:r>
    </w:p>
    <w:p w14:paraId="74AB9D08">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在磋商之前，根据本须知的规定，磋商小组要审查每份响应文件是否实质上响应了竞争性磋商文件的要求。实质上响应是指与竞争性磋商文件要求的全部条款、条件和规格相符，没有重大偏离的响应。对关键条款，例如关于适用法律、缴税等内容的偏离、保留和反对，将被认为是实质上的偏离。</w:t>
      </w:r>
    </w:p>
    <w:p w14:paraId="6F9E4459">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24.3没有实质上响应竞争性磋商文件要求的响应文件及报价将被拒绝。供应商不得通过修正或撤销不符合要求的偏离从而使其响应文件及报价成为实质上响应的响应文件及报价。如发现下列情况之一的，其响应文件将被拒绝：</w:t>
      </w:r>
    </w:p>
    <w:p w14:paraId="7AE93339">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1）响应文件未按照磋商文件要求签署、盖章、提交的，或签字人无法定代表人有效委托书的；</w:t>
      </w:r>
    </w:p>
    <w:p w14:paraId="4AB99D42">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2)供应商不符合国家或者磋商文件规定的资格条件；</w:t>
      </w:r>
    </w:p>
    <w:p w14:paraId="1D41BDBC">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3)报价超过磋商文件中规定的预算金额或者最高限价的；</w:t>
      </w:r>
    </w:p>
    <w:p w14:paraId="3E90A99B">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4)合同履行期限不满足磋商文件要求的；</w:t>
      </w:r>
    </w:p>
    <w:p w14:paraId="67FBBF63">
      <w:pPr>
        <w:numPr>
          <w:ilvl w:val="0"/>
          <w:numId w:val="4"/>
        </w:num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响应文件含有采购人不能接受的附加条件的；</w:t>
      </w:r>
    </w:p>
    <w:p w14:paraId="3452ED7F">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6)磋商有效期不足；</w:t>
      </w:r>
    </w:p>
    <w:p w14:paraId="762A3794">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7)供应商在同一份响应文件中，对同一货物或服务报有两个或多个报价的，但磋商文件要求提交备选报价的除外；</w:t>
      </w:r>
    </w:p>
    <w:p w14:paraId="4F15108C">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8)不接受磋商小组对响应文件中算术错误更正；</w:t>
      </w:r>
    </w:p>
    <w:p w14:paraId="0BBD1F13">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9)供应商有串通投标、弄虚作假、行贿等违法行为；</w:t>
      </w:r>
    </w:p>
    <w:p w14:paraId="1DE9794D">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10)响应文件没有对磋商文件的实质性要求和条件作出响应的；</w:t>
      </w:r>
    </w:p>
    <w:p w14:paraId="2D0E120C">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11)法律、法规和磋商文件中规定的其他无效情形。</w:t>
      </w:r>
    </w:p>
    <w:p w14:paraId="60131570">
      <w:pPr>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25、磋商</w:t>
      </w:r>
    </w:p>
    <w:p w14:paraId="65EF8878">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25.1磋商小组所有成员集中与通过初审的单个供应商分别进行磋商，并给予所有通过初审的供应商平等的磋商机会。</w:t>
      </w:r>
    </w:p>
    <w:p w14:paraId="38483741">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25.2在磋商中，任何一方不得透露与磋商有关的其他供应商的技术资料、价格和其他信息。</w:t>
      </w:r>
    </w:p>
    <w:p w14:paraId="150700C2">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25.3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磋商小组将要求各供应商对实质性变动的内容进行签字确认。</w:t>
      </w:r>
    </w:p>
    <w:p w14:paraId="11527647">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25.4供应商应当按照磋商文件的变动情况和磋商小组的要求重新提交响应文件，并由其法定代表人或授权代表签字或者加盖公章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或电子公章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。由授权代表签字的，应当附法定代表人授权书。供应商为自然人的，应当由本人签字并附身份证明。</w:t>
      </w:r>
    </w:p>
    <w:p w14:paraId="2C7D7DB8">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25.5磋商小组根据项目情况可进行一轮或多轮磋商。采购代理机构将对磋商进行记录，磋商记录须由供应商的法定代表人或本项目的授权代表签字确认。经签字确认后的磋商记录将作为成交后采购人与供应商签署合同的依据，具有法律效力。</w:t>
      </w:r>
    </w:p>
    <w:p w14:paraId="40B02720">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25.6磋商结束后，磋商小组应当要求所有实质性响应的供应商在规定时间内提交最后报价，最后报价是供应商响应文件的有效组成部分。</w:t>
      </w:r>
    </w:p>
    <w:p w14:paraId="274E2253">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25.7供应商在规定时间内现场填写二轮或多轮报价表，由采购人或采购代理机构统一收取并密封送至评审现场，所有报价均不在开启现场公布，仅在评审现场开启密封并宣读报价。</w:t>
      </w:r>
    </w:p>
    <w:p w14:paraId="28F84D1A">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25.8已提交响应文件的供应商，在提交最后报价之前，可以根据磋商情况退出磋商。采购人、采购代理机构应当退还磋商供应商的磋商保证金。</w:t>
      </w:r>
    </w:p>
    <w:p w14:paraId="7A5BFB7A">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25.9如出现下述情形之一的，视为供应商自动放弃本项目成交资格，其响应将被拒绝：</w:t>
      </w:r>
    </w:p>
    <w:p w14:paraId="08C4056B">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1)供应商未按要求确认磋商小组确定的对磋商文件实质性变动的；</w:t>
      </w:r>
    </w:p>
    <w:p w14:paraId="0142274C">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2)最后报价未实质性响应磋商小组确定的对磋商文件实质性变动的，或附有采购方无法接受的条件的；</w:t>
      </w:r>
    </w:p>
    <w:p w14:paraId="2AD35056">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3)磋商报价超出采购预算的。</w:t>
      </w:r>
    </w:p>
    <w:p w14:paraId="1C114A23">
      <w:pPr>
        <w:adjustRightInd w:val="0"/>
        <w:spacing w:line="360" w:lineRule="auto"/>
        <w:jc w:val="left"/>
        <w:textAlignment w:val="baseline"/>
        <w:rPr>
          <w:rFonts w:hint="eastAsia" w:ascii="宋体" w:hAnsi="宋体" w:eastAsia="宋体" w:cs="宋体"/>
          <w:b/>
          <w:color w:val="auto"/>
          <w:kern w:val="0"/>
          <w:sz w:val="24"/>
          <w:szCs w:val="24"/>
          <w:highlight w:val="none"/>
        </w:rPr>
      </w:pPr>
      <w:bookmarkStart w:id="122" w:name="_Toc164351637"/>
      <w:bookmarkStart w:id="123" w:name="_Toc151193857"/>
      <w:bookmarkStart w:id="124" w:name="_Toc127151543"/>
      <w:bookmarkStart w:id="125" w:name="_Toc151193641"/>
      <w:bookmarkStart w:id="126" w:name="_Toc195842908"/>
      <w:bookmarkStart w:id="127" w:name="_Toc151193713"/>
      <w:bookmarkStart w:id="128" w:name="_Toc164229238"/>
      <w:bookmarkStart w:id="129" w:name="_Toc127161457"/>
      <w:bookmarkStart w:id="130" w:name="_Toc150774748"/>
      <w:bookmarkStart w:id="131" w:name="_Toc164608812"/>
      <w:bookmarkStart w:id="132" w:name="_Toc151190170"/>
      <w:bookmarkStart w:id="133" w:name="_Toc164229384"/>
      <w:bookmarkStart w:id="134" w:name="_Toc150480781"/>
      <w:bookmarkStart w:id="135" w:name="_Toc150774643"/>
      <w:bookmarkStart w:id="136" w:name="_Toc151193785"/>
      <w:bookmarkStart w:id="137" w:name="_Toc151193931"/>
      <w:bookmarkStart w:id="138" w:name="_Toc149720836"/>
      <w:bookmarkStart w:id="139" w:name="_Toc150509294"/>
      <w:bookmarkStart w:id="140" w:name="_Toc142311045"/>
      <w:bookmarkStart w:id="141" w:name="_Toc127151744"/>
      <w:bookmarkStart w:id="142" w:name="_Toc164608657"/>
      <w:r>
        <w:rPr>
          <w:rFonts w:hint="eastAsia" w:ascii="宋体" w:hAnsi="宋体" w:eastAsia="宋体" w:cs="宋体"/>
          <w:b/>
          <w:color w:val="auto"/>
          <w:kern w:val="0"/>
          <w:sz w:val="24"/>
          <w:szCs w:val="24"/>
          <w:highlight w:val="none"/>
        </w:rPr>
        <w:t>26</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rFonts w:hint="eastAsia" w:ascii="宋体" w:hAnsi="宋体" w:eastAsia="宋体" w:cs="宋体"/>
          <w:b/>
          <w:color w:val="auto"/>
          <w:kern w:val="0"/>
          <w:sz w:val="24"/>
          <w:szCs w:val="24"/>
          <w:highlight w:val="none"/>
        </w:rPr>
        <w:t>、详细评审</w:t>
      </w:r>
    </w:p>
    <w:p w14:paraId="23A26463">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26.1经磋商确定最终采购需求和提交最后报价的供应商后，由磋商小组采用综合评分法对提交最后报价的供应商的响应文件和最后报价进行综合评分。</w:t>
      </w:r>
    </w:p>
    <w:p w14:paraId="5813A68A">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26.2综合评分法，是指响应文件满足磋商文件全部实质性要求且按评审因素的量化指标评审得分最高的供应商为成交候选供应商的评审方法。</w:t>
      </w:r>
    </w:p>
    <w:p w14:paraId="13BF500B">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26.3综合评分法评分的主要考虑供应商在最后报价、商务部分、技术及服务部分以及响应的比重或者权值等。评审时，磋商小组各成员应当独立对每个有效供应商的响应文件进行评价、打分，然后汇总每个供应商每项评分因素的得分。评审办法详见竞争性磋商文件第三章。</w:t>
      </w:r>
    </w:p>
    <w:p w14:paraId="25B8F00F">
      <w:pPr>
        <w:adjustRightInd w:val="0"/>
        <w:spacing w:line="360" w:lineRule="auto"/>
        <w:jc w:val="left"/>
        <w:textAlignment w:val="baseline"/>
        <w:rPr>
          <w:rFonts w:hint="eastAsia" w:ascii="宋体" w:hAnsi="宋体" w:eastAsia="宋体" w:cs="宋体"/>
          <w:b/>
          <w:color w:val="auto"/>
          <w:kern w:val="0"/>
          <w:sz w:val="24"/>
          <w:szCs w:val="24"/>
          <w:highlight w:val="none"/>
        </w:rPr>
      </w:pPr>
      <w:bookmarkStart w:id="143" w:name="_Toc151193858"/>
      <w:bookmarkStart w:id="144" w:name="_Toc142311046"/>
      <w:bookmarkStart w:id="145" w:name="_Toc127151745"/>
      <w:bookmarkStart w:id="146" w:name="_Toc127161458"/>
      <w:bookmarkStart w:id="147" w:name="_Toc164608658"/>
      <w:bookmarkStart w:id="148" w:name="_Toc164229385"/>
      <w:bookmarkStart w:id="149" w:name="_Toc151193714"/>
      <w:bookmarkStart w:id="150" w:name="_Toc151193786"/>
      <w:bookmarkStart w:id="151" w:name="_Toc150774644"/>
      <w:bookmarkStart w:id="152" w:name="_Toc164229239"/>
      <w:bookmarkStart w:id="153" w:name="_Toc150480782"/>
      <w:bookmarkStart w:id="154" w:name="_Toc164351638"/>
      <w:bookmarkStart w:id="155" w:name="_Toc127151544"/>
      <w:bookmarkStart w:id="156" w:name="_Toc150509295"/>
      <w:bookmarkStart w:id="157" w:name="_Toc151193932"/>
      <w:bookmarkStart w:id="158" w:name="_Toc164608813"/>
      <w:bookmarkStart w:id="159" w:name="_Toc195842909"/>
      <w:bookmarkStart w:id="160" w:name="_Toc151193642"/>
      <w:bookmarkStart w:id="161" w:name="_Toc151190171"/>
      <w:bookmarkStart w:id="162" w:name="_Toc150774749"/>
      <w:bookmarkStart w:id="163" w:name="_Toc149720837"/>
      <w:r>
        <w:rPr>
          <w:rFonts w:hint="eastAsia" w:ascii="宋体" w:hAnsi="宋体" w:eastAsia="宋体" w:cs="宋体"/>
          <w:b/>
          <w:color w:val="auto"/>
          <w:kern w:val="0"/>
          <w:sz w:val="24"/>
          <w:szCs w:val="24"/>
          <w:highlight w:val="none"/>
        </w:rPr>
        <w:t>27、评审过程及保密原则</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5E11F1A7">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27.1递交响应文件之后，直到授予成交供应商合同止，凡与本次采购有关人员对属于评审、澄清、磋商的有关资料以及成交意向等，均不得向供应商或其他无关人员透露。</w:t>
      </w:r>
    </w:p>
    <w:p w14:paraId="647852D0">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27.2在评审期间，供应商试图影响采购单位和磋商小组的任何违规活动，其响应视为无效，并承担相应的法律责任。</w:t>
      </w:r>
    </w:p>
    <w:p w14:paraId="50F6A2A5">
      <w:pPr>
        <w:adjustRightInd w:val="0"/>
        <w:spacing w:line="360" w:lineRule="auto"/>
        <w:jc w:val="left"/>
        <w:textAlignment w:val="baseline"/>
        <w:rPr>
          <w:rFonts w:hint="eastAsia" w:ascii="宋体" w:hAnsi="宋体" w:eastAsia="宋体" w:cs="宋体"/>
          <w:b/>
          <w:color w:val="auto"/>
          <w:kern w:val="0"/>
          <w:sz w:val="24"/>
          <w:szCs w:val="24"/>
          <w:highlight w:val="none"/>
        </w:rPr>
      </w:pPr>
      <w:bookmarkStart w:id="164" w:name="_Toc151190173"/>
      <w:bookmarkStart w:id="165" w:name="_Toc127151747"/>
      <w:bookmarkStart w:id="166" w:name="_Ref467307010"/>
      <w:bookmarkStart w:id="167" w:name="_Toc149720839"/>
      <w:bookmarkStart w:id="168" w:name="_Toc520356170"/>
      <w:bookmarkStart w:id="169" w:name="_Toc151193860"/>
      <w:bookmarkStart w:id="170" w:name="_Toc150509297"/>
      <w:bookmarkStart w:id="171" w:name="_Toc150774646"/>
      <w:bookmarkStart w:id="172" w:name="_Toc164229241"/>
      <w:bookmarkStart w:id="173" w:name="_Toc127161460"/>
      <w:bookmarkStart w:id="174" w:name="_Toc151193716"/>
      <w:bookmarkStart w:id="175" w:name="_Toc151193788"/>
      <w:bookmarkStart w:id="176" w:name="_Toc151193934"/>
      <w:bookmarkStart w:id="177" w:name="_Toc195842911"/>
      <w:bookmarkStart w:id="178" w:name="_Toc164608660"/>
      <w:bookmarkStart w:id="179" w:name="_Toc151193644"/>
      <w:bookmarkStart w:id="180" w:name="_Toc127151546"/>
      <w:bookmarkStart w:id="181" w:name="_Toc142311048"/>
      <w:bookmarkStart w:id="182" w:name="_Toc164351640"/>
      <w:bookmarkStart w:id="183" w:name="_Toc164608815"/>
      <w:bookmarkStart w:id="184" w:name="_Toc164229387"/>
      <w:bookmarkStart w:id="185" w:name="_Toc150774751"/>
      <w:bookmarkStart w:id="186" w:name="_Toc150480784"/>
      <w:r>
        <w:rPr>
          <w:rFonts w:hint="eastAsia" w:ascii="宋体" w:hAnsi="宋体" w:eastAsia="宋体" w:cs="宋体"/>
          <w:b/>
          <w:color w:val="auto"/>
          <w:kern w:val="0"/>
          <w:sz w:val="24"/>
          <w:szCs w:val="24"/>
          <w:highlight w:val="none"/>
        </w:rPr>
        <w:t>28、成交供应商候选人的推荐</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Fonts w:hint="eastAsia" w:ascii="宋体" w:hAnsi="宋体" w:eastAsia="宋体" w:cs="宋体"/>
          <w:b/>
          <w:color w:val="auto"/>
          <w:kern w:val="0"/>
          <w:sz w:val="24"/>
          <w:szCs w:val="24"/>
          <w:highlight w:val="none"/>
        </w:rPr>
        <w:t>原则</w:t>
      </w:r>
    </w:p>
    <w:bookmarkEnd w:id="121"/>
    <w:p w14:paraId="4E10378E">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28.1磋商小组将根据综合评分情况，对实质上响应竞争性磋商文件的供应商按综合评审得分由高到低的顺序进行排序。评审得分相同的，按照最后报价由低到高顺序排列，评审得分且最后报价相同的，按技术指标优劣顺序排列。</w:t>
      </w:r>
    </w:p>
    <w:p w14:paraId="5888C642">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28.2磋商小组根据上述原则，依次推荐排序前三名的供应商为成交候选人。</w:t>
      </w:r>
    </w:p>
    <w:p w14:paraId="29204316">
      <w:pPr>
        <w:adjustRightInd w:val="0"/>
        <w:spacing w:line="360" w:lineRule="auto"/>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29、废标</w:t>
      </w:r>
    </w:p>
    <w:p w14:paraId="38F362F0">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29.1出现下列情况之一时，采购人根据磋商小组的意见有权宣布废标，并将理由通知所有供应商：</w:t>
      </w:r>
    </w:p>
    <w:p w14:paraId="15ADFBB3">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（1）在采购过程中符合要求的供应商或者报价未超过采购预算的供应商不足3家的；(财库〔2015〕124号《财政部关于政府采购竞争性磋商采购方式管理暂行办法有关问题的补充通知》中规定的情形除外)</w:t>
      </w:r>
    </w:p>
    <w:p w14:paraId="579841D6">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（2）提交最后报价的供应商少于3家的；</w:t>
      </w:r>
    </w:p>
    <w:p w14:paraId="26C4E6D6">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（3）出现影响采购公正的违法、违规行为的；</w:t>
      </w:r>
    </w:p>
    <w:p w14:paraId="267C2D9E">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（4）因重大变故，采购任务取消的。</w:t>
      </w:r>
    </w:p>
    <w:p w14:paraId="08C222E0">
      <w:pPr>
        <w:tabs>
          <w:tab w:val="left" w:pos="588"/>
        </w:tabs>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b/>
          <w:color w:val="auto"/>
          <w:kern w:val="0"/>
          <w:sz w:val="24"/>
          <w:szCs w:val="24"/>
          <w:highlight w:val="none"/>
        </w:rPr>
        <w:t>30、串标</w:t>
      </w:r>
    </w:p>
    <w:p w14:paraId="645732EE">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30.1供应商存在以下情形的，认定为串通投标行为，并按无效投标处理：</w:t>
      </w:r>
    </w:p>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14:paraId="6BA2A4B5">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bookmarkStart w:id="187" w:name="_Toc239740357"/>
      <w:bookmarkStart w:id="188" w:name="_Toc265738866"/>
      <w:bookmarkStart w:id="189" w:name="_Toc232395218"/>
      <w:bookmarkStart w:id="190" w:name="_Toc235518472"/>
      <w:bookmarkStart w:id="191" w:name="_Toc232176278"/>
      <w:bookmarkStart w:id="192" w:name="_Toc177189241"/>
      <w:bookmarkStart w:id="193" w:name="_Toc492955421"/>
      <w:bookmarkStart w:id="194" w:name="_Toc177995479"/>
      <w:bookmarkStart w:id="195" w:name="_Toc500746972"/>
      <w:bookmarkStart w:id="196" w:name="_Toc500747195"/>
      <w:bookmarkStart w:id="197" w:name="_Toc184043047"/>
      <w:bookmarkStart w:id="198" w:name="_Toc177817340"/>
      <w:bookmarkStart w:id="199" w:name="_Toc499711049"/>
      <w:bookmarkStart w:id="200" w:name="_Toc176882548"/>
      <w:bookmarkStart w:id="201" w:name="_Toc53722846"/>
      <w:bookmarkStart w:id="202" w:name="_Toc389620199"/>
      <w:bookmarkStart w:id="203" w:name="_Toc499711890"/>
      <w:bookmarkStart w:id="204" w:name="_Toc496324585"/>
      <w:bookmarkStart w:id="205" w:name="_Toc70687174"/>
      <w:bookmarkStart w:id="206" w:name="_Toc385992360"/>
      <w:bookmarkStart w:id="207" w:name="_Toc500747068"/>
      <w:bookmarkStart w:id="208" w:name="_Toc503063428"/>
      <w:r>
        <w:rPr>
          <w:rFonts w:hint="eastAsia" w:ascii="宋体" w:hAnsi="宋体" w:eastAsia="宋体" w:cs="宋体"/>
          <w:b/>
          <w:color w:val="auto"/>
          <w:kern w:val="0"/>
          <w:sz w:val="24"/>
          <w:szCs w:val="24"/>
          <w:highlight w:val="none"/>
        </w:rPr>
        <w:t>（1）不同供应商的响应文件由同一单位或者个人编制；</w:t>
      </w:r>
    </w:p>
    <w:p w14:paraId="2B9B2D8C">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（2）不同供应商委托同一单位或者个人办理磋商事宜；</w:t>
      </w:r>
    </w:p>
    <w:p w14:paraId="3DA7508E">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（3）不同供应商的响应文件载明的项目管理成员或者联系人员为同一人；</w:t>
      </w:r>
    </w:p>
    <w:p w14:paraId="2018F523">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（4）不同供应商的响应文件异常一致或者响应报价呈规律性差异；</w:t>
      </w:r>
    </w:p>
    <w:p w14:paraId="444583D6">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（5）不同供应商的响应文件相互混装；</w:t>
      </w:r>
    </w:p>
    <w:p w14:paraId="359754F6">
      <w:pPr>
        <w:adjustRightInd w:val="0"/>
        <w:spacing w:line="360" w:lineRule="auto"/>
        <w:ind w:firstLine="482"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（6）不同供应商的磋商保证金从同一单位或者个人的账户转出。</w:t>
      </w:r>
    </w:p>
    <w:p w14:paraId="4CF8D79A">
      <w:pPr>
        <w:adjustRightInd w:val="0"/>
        <w:spacing w:line="360"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（六）、授予采购</w:t>
      </w:r>
      <w:bookmarkEnd w:id="187"/>
      <w:bookmarkEnd w:id="188"/>
      <w:bookmarkEnd w:id="189"/>
      <w:bookmarkEnd w:id="190"/>
      <w:bookmarkEnd w:id="191"/>
      <w:r>
        <w:rPr>
          <w:rFonts w:hint="eastAsia" w:ascii="宋体" w:hAnsi="宋体" w:eastAsia="宋体" w:cs="宋体"/>
          <w:b/>
          <w:color w:val="auto"/>
          <w:kern w:val="0"/>
          <w:sz w:val="24"/>
          <w:szCs w:val="24"/>
          <w:highlight w:val="none"/>
        </w:rPr>
        <w:t>合同</w:t>
      </w:r>
    </w:p>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14:paraId="5EBC8216">
      <w:pPr>
        <w:adjustRightInd w:val="0"/>
        <w:spacing w:line="360" w:lineRule="auto"/>
        <w:jc w:val="left"/>
        <w:textAlignment w:val="baseline"/>
        <w:rPr>
          <w:rFonts w:hint="eastAsia" w:ascii="宋体" w:hAnsi="宋体" w:eastAsia="宋体" w:cs="宋体"/>
          <w:b/>
          <w:color w:val="auto"/>
          <w:kern w:val="0"/>
          <w:sz w:val="24"/>
          <w:szCs w:val="24"/>
          <w:highlight w:val="none"/>
        </w:rPr>
      </w:pPr>
      <w:bookmarkStart w:id="209" w:name="_Toc385992361"/>
      <w:bookmarkStart w:id="210" w:name="_Toc389620200"/>
      <w:bookmarkStart w:id="211" w:name="_Toc70687175"/>
      <w:bookmarkStart w:id="212" w:name="_Toc184043048"/>
      <w:r>
        <w:rPr>
          <w:rFonts w:hint="eastAsia" w:ascii="宋体" w:hAnsi="宋体" w:eastAsia="宋体" w:cs="宋体"/>
          <w:b/>
          <w:color w:val="auto"/>
          <w:kern w:val="0"/>
          <w:sz w:val="24"/>
          <w:szCs w:val="24"/>
          <w:highlight w:val="none"/>
        </w:rPr>
        <w:t>31、定标准则</w:t>
      </w:r>
      <w:bookmarkEnd w:id="209"/>
      <w:bookmarkEnd w:id="210"/>
      <w:bookmarkEnd w:id="211"/>
      <w:bookmarkEnd w:id="212"/>
    </w:p>
    <w:p w14:paraId="057DA4C1">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31.1除本须知第31条规定的情况外，采购人将按磋商小组推荐的排序将合同授予通过资格后审的综合评分最高的供应商。</w:t>
      </w:r>
    </w:p>
    <w:p w14:paraId="4103AC54">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31.2采购人不承诺将成交合同授予报价最低的供应商。</w:t>
      </w:r>
      <w:bookmarkStart w:id="213" w:name="_Toc389620202"/>
      <w:bookmarkStart w:id="214" w:name="_Toc385992363"/>
    </w:p>
    <w:bookmarkEnd w:id="213"/>
    <w:bookmarkEnd w:id="214"/>
    <w:p w14:paraId="53E9255E">
      <w:pPr>
        <w:adjustRightInd w:val="0"/>
        <w:spacing w:line="360" w:lineRule="auto"/>
        <w:jc w:val="left"/>
        <w:textAlignment w:val="baseline"/>
        <w:rPr>
          <w:rFonts w:hint="eastAsia" w:ascii="宋体" w:hAnsi="宋体" w:eastAsia="宋体" w:cs="宋体"/>
          <w:b/>
          <w:color w:val="auto"/>
          <w:kern w:val="0"/>
          <w:sz w:val="24"/>
          <w:szCs w:val="24"/>
          <w:highlight w:val="none"/>
        </w:rPr>
      </w:pPr>
      <w:bookmarkStart w:id="215" w:name="_Toc184043050"/>
      <w:bookmarkStart w:id="216" w:name="_Toc389620203"/>
      <w:bookmarkStart w:id="217" w:name="_Toc385992364"/>
      <w:bookmarkStart w:id="218" w:name="_Toc70687177"/>
      <w:r>
        <w:rPr>
          <w:rFonts w:hint="eastAsia" w:ascii="宋体" w:hAnsi="宋体" w:eastAsia="宋体" w:cs="宋体"/>
          <w:b/>
          <w:color w:val="auto"/>
          <w:kern w:val="0"/>
          <w:sz w:val="24"/>
          <w:szCs w:val="24"/>
          <w:highlight w:val="none"/>
        </w:rPr>
        <w:t>32、成交通知</w:t>
      </w:r>
      <w:bookmarkEnd w:id="215"/>
      <w:bookmarkEnd w:id="216"/>
      <w:bookmarkEnd w:id="217"/>
      <w:bookmarkEnd w:id="218"/>
    </w:p>
    <w:p w14:paraId="402D4C9A">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bookmarkStart w:id="219" w:name="_Toc385992365"/>
      <w:bookmarkStart w:id="220" w:name="_Toc389620204"/>
      <w:r>
        <w:rPr>
          <w:rFonts w:hint="eastAsia" w:ascii="宋体" w:hAnsi="宋体" w:eastAsia="宋体" w:cs="宋体"/>
          <w:color w:val="auto"/>
          <w:kern w:val="0"/>
          <w:sz w:val="24"/>
          <w:szCs w:val="24"/>
          <w:highlight w:val="none"/>
        </w:rPr>
        <w:t>33.1成交供应商确定后，采购人或采购代理机构将向成交供应商发出《成交通知书》，同时将成交结果通知所有供应商。</w:t>
      </w:r>
    </w:p>
    <w:p w14:paraId="16D874B2">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33.2《成交通知书》是合同文件的组成部分。</w:t>
      </w:r>
    </w:p>
    <w:p w14:paraId="32295764">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33.3对未成交者，采购人或采购代理机构不对未成交原因做出解释，同时亦不退还响应文件。</w:t>
      </w:r>
    </w:p>
    <w:p w14:paraId="2CC935AE">
      <w:pPr>
        <w:adjustRightInd w:val="0"/>
        <w:spacing w:line="360" w:lineRule="auto"/>
        <w:jc w:val="left"/>
        <w:textAlignment w:val="baseline"/>
        <w:rPr>
          <w:rFonts w:hint="eastAsia" w:ascii="宋体" w:hAnsi="宋体" w:eastAsia="宋体" w:cs="宋体"/>
          <w:b/>
          <w:color w:val="auto"/>
          <w:kern w:val="0"/>
          <w:sz w:val="24"/>
          <w:szCs w:val="24"/>
          <w:highlight w:val="none"/>
        </w:rPr>
      </w:pPr>
      <w:bookmarkStart w:id="221" w:name="_Toc70687178"/>
      <w:bookmarkStart w:id="222" w:name="_Toc184043051"/>
      <w:r>
        <w:rPr>
          <w:rFonts w:hint="eastAsia" w:ascii="宋体" w:hAnsi="宋体" w:eastAsia="宋体" w:cs="宋体"/>
          <w:b/>
          <w:color w:val="auto"/>
          <w:kern w:val="0"/>
          <w:sz w:val="24"/>
          <w:szCs w:val="24"/>
          <w:highlight w:val="none"/>
        </w:rPr>
        <w:t>33、授予合同时变更采购金额的权力</w:t>
      </w:r>
      <w:bookmarkEnd w:id="219"/>
      <w:bookmarkEnd w:id="220"/>
      <w:bookmarkEnd w:id="221"/>
      <w:bookmarkEnd w:id="222"/>
    </w:p>
    <w:p w14:paraId="5FF441F3">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bookmarkStart w:id="223" w:name="_Toc385992366"/>
      <w:bookmarkStart w:id="224" w:name="_Toc389620205"/>
      <w:r>
        <w:rPr>
          <w:rFonts w:hint="eastAsia" w:ascii="宋体" w:hAnsi="宋体" w:eastAsia="宋体" w:cs="宋体"/>
          <w:color w:val="auto"/>
          <w:kern w:val="0"/>
          <w:sz w:val="24"/>
          <w:szCs w:val="24"/>
          <w:highlight w:val="none"/>
        </w:rPr>
        <w:t>33.1采购人在授予合同时有权在竞争性磋商文件规定的范围内，采购人需追加与合同标的相同的货物、工程或者服务的，在不改变合同其他条款的前提下，可以与供应商协商签订补充合同，但是所有补充合同的采购金额不得超过原合同采购金额的百分之十。</w:t>
      </w:r>
    </w:p>
    <w:bookmarkEnd w:id="223"/>
    <w:bookmarkEnd w:id="224"/>
    <w:p w14:paraId="444A2C28">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34、签订合同</w:t>
      </w:r>
    </w:p>
    <w:p w14:paraId="7799FE83">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成交供应商应当自《成交通知书》发出之日起三十日内，与采购人签订合同，否则按开启后撤销磋商处理，其磋商保证金将按14.8款的规定不予退还。情节严重的，将被提请财政部门列入不良行为记录名单，在一至三年内禁止参加政府采购活动。</w:t>
      </w:r>
    </w:p>
    <w:p w14:paraId="1BCF99F2">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34.2竞争性磋商文件、成交供应商的响应文件及双方确认的澄清文件等，均为有法律约束力的经济合同组成的一部分。</w:t>
      </w:r>
    </w:p>
    <w:p w14:paraId="1CB96175">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34.3成交供应商在磋商期间按照竞争性磋商文件的要求提供的任何文稿，包括：报告、说明等书面材料或电子文档，其使用权和版权都归采购人所有（但该知识产权具有人身专属性的权利内容仍属成交供应商所有）。</w:t>
      </w:r>
    </w:p>
    <w:p w14:paraId="34B76470">
      <w:pPr>
        <w:adjustRightInd w:val="0"/>
        <w:spacing w:line="360" w:lineRule="auto"/>
        <w:jc w:val="left"/>
        <w:textAlignment w:val="baseline"/>
        <w:rPr>
          <w:rFonts w:hint="eastAsia" w:ascii="宋体" w:hAnsi="宋体" w:eastAsia="宋体" w:cs="宋体"/>
          <w:b/>
          <w:color w:val="auto"/>
          <w:kern w:val="0"/>
          <w:sz w:val="24"/>
          <w:szCs w:val="24"/>
          <w:highlight w:val="none"/>
        </w:rPr>
      </w:pPr>
      <w:bookmarkStart w:id="225" w:name="_Toc176705645"/>
      <w:r>
        <w:rPr>
          <w:rFonts w:hint="eastAsia" w:ascii="宋体" w:hAnsi="宋体" w:eastAsia="宋体" w:cs="宋体"/>
          <w:b/>
          <w:color w:val="auto"/>
          <w:kern w:val="0"/>
          <w:sz w:val="24"/>
          <w:szCs w:val="24"/>
          <w:highlight w:val="none"/>
        </w:rPr>
        <w:t>35、采购代理服务费</w:t>
      </w:r>
      <w:bookmarkEnd w:id="225"/>
    </w:p>
    <w:p w14:paraId="6C933194">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35.1本项目的成交供应商须在领取成交通知书时向采购代理机构一次性缴纳采购代理服务费。</w:t>
      </w:r>
    </w:p>
    <w:p w14:paraId="5161D3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35.2本项目服务费以成交金额为计费基数</w:t>
      </w:r>
      <w:bookmarkStart w:id="226" w:name="_Hlt58073159"/>
      <w:bookmarkEnd w:id="226"/>
      <w:r>
        <w:rPr>
          <w:rFonts w:hint="eastAsia" w:ascii="宋体" w:hAnsi="宋体" w:eastAsia="宋体" w:cs="宋体"/>
          <w:color w:val="auto"/>
          <w:kern w:val="0"/>
          <w:sz w:val="24"/>
          <w:szCs w:val="24"/>
          <w:highlight w:val="none"/>
        </w:rPr>
        <w:t>，</w:t>
      </w:r>
      <w:r>
        <w:rPr>
          <w:rFonts w:hint="eastAsia" w:ascii="宋体" w:hAnsi="宋体" w:eastAsia="宋体" w:cs="宋体"/>
          <w:color w:val="auto"/>
          <w:sz w:val="24"/>
          <w:highlight w:val="none"/>
        </w:rPr>
        <w:t>参照原《招标代理服务收费管理暂行办法》（计价格[2002]1980号）、发改办价格[2003]857号的标准执行，根据成交金额差额定率累进法计算。</w:t>
      </w:r>
    </w:p>
    <w:p w14:paraId="1F8A19A9">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36、其他</w:t>
      </w:r>
    </w:p>
    <w:p w14:paraId="12CD7C0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最后磋商报价。</w:t>
      </w:r>
    </w:p>
    <w:bookmarkEnd w:id="118"/>
    <w:bookmarkEnd w:id="119"/>
    <w:p w14:paraId="20197E77">
      <w:pPr>
        <w:rPr>
          <w:rFonts w:hint="eastAsia" w:ascii="宋体" w:hAnsi="宋体" w:eastAsia="宋体" w:cs="宋体"/>
          <w:color w:val="auto"/>
          <w:sz w:val="44"/>
          <w:szCs w:val="44"/>
          <w:highlight w:val="none"/>
        </w:rPr>
      </w:pPr>
      <w:bookmarkStart w:id="227" w:name="_Toc436256508"/>
      <w:bookmarkStart w:id="228" w:name="_Toc525983993"/>
      <w:bookmarkStart w:id="229" w:name="_Toc170635090"/>
      <w:r>
        <w:rPr>
          <w:rFonts w:hint="eastAsia" w:ascii="宋体" w:hAnsi="宋体" w:eastAsia="宋体" w:cs="宋体"/>
          <w:color w:val="auto"/>
          <w:sz w:val="44"/>
          <w:szCs w:val="44"/>
          <w:highlight w:val="none"/>
        </w:rPr>
        <w:br w:type="page"/>
      </w:r>
    </w:p>
    <w:p w14:paraId="5AB267AB">
      <w:pPr>
        <w:rPr>
          <w:rFonts w:hint="eastAsia" w:ascii="宋体" w:hAnsi="宋体" w:eastAsia="宋体" w:cs="宋体"/>
          <w:color w:val="auto"/>
          <w:sz w:val="44"/>
          <w:szCs w:val="44"/>
          <w:highlight w:val="none"/>
        </w:rPr>
      </w:pPr>
    </w:p>
    <w:p w14:paraId="5000B2EB">
      <w:pPr>
        <w:rPr>
          <w:rFonts w:hint="eastAsia" w:ascii="宋体" w:hAnsi="宋体" w:eastAsia="宋体" w:cs="宋体"/>
          <w:color w:val="auto"/>
          <w:sz w:val="44"/>
          <w:szCs w:val="44"/>
          <w:highlight w:val="none"/>
        </w:rPr>
      </w:pPr>
    </w:p>
    <w:p w14:paraId="66444D24">
      <w:pPr>
        <w:rPr>
          <w:rFonts w:hint="eastAsia" w:ascii="宋体" w:hAnsi="宋体" w:eastAsia="宋体" w:cs="宋体"/>
          <w:color w:val="auto"/>
          <w:sz w:val="44"/>
          <w:szCs w:val="44"/>
          <w:highlight w:val="none"/>
        </w:rPr>
      </w:pPr>
    </w:p>
    <w:p w14:paraId="675FE8B1">
      <w:pPr>
        <w:rPr>
          <w:rFonts w:hint="eastAsia" w:ascii="宋体" w:hAnsi="宋体" w:eastAsia="宋体" w:cs="宋体"/>
          <w:color w:val="auto"/>
          <w:sz w:val="44"/>
          <w:szCs w:val="44"/>
          <w:highlight w:val="none"/>
        </w:rPr>
      </w:pPr>
    </w:p>
    <w:p w14:paraId="60EF437E">
      <w:pPr>
        <w:pStyle w:val="20"/>
        <w:rPr>
          <w:rFonts w:hint="eastAsia" w:ascii="宋体" w:hAnsi="宋体" w:eastAsia="宋体" w:cs="宋体"/>
          <w:color w:val="auto"/>
          <w:sz w:val="44"/>
          <w:szCs w:val="44"/>
          <w:highlight w:val="none"/>
        </w:rPr>
      </w:pPr>
    </w:p>
    <w:p w14:paraId="3CC0FDC6">
      <w:pPr>
        <w:pStyle w:val="20"/>
        <w:rPr>
          <w:rFonts w:hint="eastAsia" w:ascii="宋体" w:hAnsi="宋体" w:eastAsia="宋体" w:cs="宋体"/>
          <w:color w:val="auto"/>
          <w:sz w:val="44"/>
          <w:szCs w:val="44"/>
          <w:highlight w:val="none"/>
        </w:rPr>
      </w:pPr>
    </w:p>
    <w:p w14:paraId="067352B2">
      <w:pPr>
        <w:pStyle w:val="20"/>
        <w:rPr>
          <w:rFonts w:hint="eastAsia" w:ascii="宋体" w:hAnsi="宋体" w:eastAsia="宋体" w:cs="宋体"/>
          <w:color w:val="auto"/>
          <w:sz w:val="44"/>
          <w:szCs w:val="44"/>
          <w:highlight w:val="none"/>
        </w:rPr>
      </w:pPr>
    </w:p>
    <w:p w14:paraId="49D1A7D3">
      <w:pPr>
        <w:pStyle w:val="20"/>
        <w:rPr>
          <w:rFonts w:hint="eastAsia" w:ascii="宋体" w:hAnsi="宋体" w:eastAsia="宋体" w:cs="宋体"/>
          <w:color w:val="auto"/>
          <w:sz w:val="44"/>
          <w:szCs w:val="44"/>
          <w:highlight w:val="none"/>
        </w:rPr>
      </w:pPr>
    </w:p>
    <w:p w14:paraId="2C47263C">
      <w:pPr>
        <w:rPr>
          <w:rFonts w:hint="eastAsia" w:ascii="宋体" w:hAnsi="宋体" w:eastAsia="宋体" w:cs="宋体"/>
          <w:color w:val="auto"/>
          <w:sz w:val="44"/>
          <w:szCs w:val="44"/>
          <w:highlight w:val="none"/>
        </w:rPr>
      </w:pPr>
    </w:p>
    <w:p w14:paraId="1BD4332D">
      <w:pPr>
        <w:pStyle w:val="2"/>
        <w:spacing w:line="360" w:lineRule="auto"/>
        <w:ind w:left="0" w:firstLine="0"/>
        <w:rPr>
          <w:rFonts w:hint="eastAsia" w:ascii="宋体" w:hAnsi="宋体" w:eastAsia="宋体" w:cs="宋体"/>
          <w:color w:val="auto"/>
          <w:sz w:val="44"/>
          <w:szCs w:val="44"/>
          <w:highlight w:val="none"/>
        </w:rPr>
      </w:pPr>
      <w:bookmarkStart w:id="230" w:name="_Toc17873"/>
      <w:r>
        <w:rPr>
          <w:rFonts w:hint="eastAsia" w:ascii="宋体" w:hAnsi="宋体" w:eastAsia="宋体" w:cs="宋体"/>
          <w:color w:val="auto"/>
          <w:sz w:val="44"/>
          <w:szCs w:val="44"/>
          <w:highlight w:val="none"/>
        </w:rPr>
        <w:t>第三章评审办法</w:t>
      </w:r>
      <w:bookmarkEnd w:id="227"/>
      <w:bookmarkEnd w:id="228"/>
      <w:bookmarkEnd w:id="229"/>
      <w:bookmarkEnd w:id="230"/>
    </w:p>
    <w:p w14:paraId="3DC9ADA9">
      <w:pPr>
        <w:pStyle w:val="3"/>
        <w:spacing w:before="0" w:after="0"/>
        <w:jc w:val="center"/>
        <w:rPr>
          <w:rFonts w:hint="eastAsia" w:ascii="宋体" w:hAnsi="宋体" w:eastAsia="宋体" w:cs="宋体"/>
          <w:color w:val="auto"/>
          <w:sz w:val="36"/>
          <w:szCs w:val="24"/>
          <w:highlight w:val="none"/>
        </w:rPr>
      </w:pPr>
      <w:r>
        <w:rPr>
          <w:rFonts w:hint="eastAsia" w:ascii="宋体" w:hAnsi="宋体" w:eastAsia="宋体" w:cs="宋体"/>
          <w:color w:val="auto"/>
          <w:sz w:val="44"/>
          <w:szCs w:val="44"/>
          <w:highlight w:val="none"/>
        </w:rPr>
        <w:br w:type="page"/>
      </w:r>
      <w:bookmarkStart w:id="231" w:name="_Toc13327"/>
      <w:bookmarkStart w:id="232" w:name="_Toc44700087"/>
      <w:r>
        <w:rPr>
          <w:rFonts w:hint="eastAsia" w:ascii="宋体" w:hAnsi="宋体" w:eastAsia="宋体" w:cs="宋体"/>
          <w:color w:val="auto"/>
          <w:sz w:val="36"/>
          <w:szCs w:val="24"/>
          <w:highlight w:val="none"/>
        </w:rPr>
        <w:t>第一部分符合性资格评审</w:t>
      </w:r>
      <w:bookmarkEnd w:id="231"/>
      <w:bookmarkEnd w:id="232"/>
    </w:p>
    <w:p w14:paraId="29A37CF2">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（一）资格评审</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286"/>
      </w:tblGrid>
      <w:tr w14:paraId="20348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722" w:type="dxa"/>
            <w:tcBorders>
              <w:top w:val="single" w:color="auto" w:sz="4" w:space="0"/>
              <w:left w:val="single" w:color="auto" w:sz="4" w:space="0"/>
              <w:right w:val="single" w:color="auto" w:sz="4" w:space="0"/>
            </w:tcBorders>
            <w:noWrap w:val="0"/>
            <w:vAlign w:val="center"/>
          </w:tcPr>
          <w:p w14:paraId="006BF099">
            <w:pP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286" w:type="dxa"/>
            <w:tcBorders>
              <w:top w:val="single" w:color="auto" w:sz="4" w:space="0"/>
              <w:left w:val="single" w:color="auto" w:sz="4" w:space="0"/>
              <w:right w:val="single" w:color="auto" w:sz="4" w:space="0"/>
            </w:tcBorders>
            <w:noWrap w:val="0"/>
            <w:vAlign w:val="center"/>
          </w:tcPr>
          <w:p w14:paraId="521D263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评审内容</w:t>
            </w:r>
          </w:p>
        </w:tc>
      </w:tr>
      <w:tr w14:paraId="71D5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2EFDB675">
            <w:pPr>
              <w:numPr>
                <w:ilvl w:val="0"/>
                <w:numId w:val="5"/>
              </w:numPr>
              <w:jc w:val="center"/>
              <w:rPr>
                <w:rFonts w:hint="eastAsia" w:ascii="宋体" w:hAnsi="宋体" w:eastAsia="宋体" w:cs="宋体"/>
                <w:color w:val="auto"/>
                <w:sz w:val="24"/>
                <w:highlight w:val="none"/>
              </w:rPr>
            </w:pPr>
          </w:p>
        </w:tc>
        <w:tc>
          <w:tcPr>
            <w:tcW w:w="8286" w:type="dxa"/>
            <w:tcBorders>
              <w:top w:val="single" w:color="auto" w:sz="4" w:space="0"/>
              <w:left w:val="single" w:color="auto" w:sz="4" w:space="0"/>
              <w:bottom w:val="single" w:color="auto" w:sz="4" w:space="0"/>
              <w:right w:val="single" w:color="auto" w:sz="4" w:space="0"/>
            </w:tcBorders>
            <w:noWrap w:val="0"/>
            <w:vAlign w:val="center"/>
          </w:tcPr>
          <w:p w14:paraId="76534FB5">
            <w:pPr>
              <w:rPr>
                <w:rFonts w:hint="eastAsia" w:ascii="宋体" w:hAnsi="宋体" w:eastAsia="宋体" w:cs="宋体"/>
                <w:color w:val="auto"/>
                <w:sz w:val="24"/>
                <w:highlight w:val="none"/>
              </w:rPr>
            </w:pPr>
            <w:r>
              <w:rPr>
                <w:rFonts w:hint="eastAsia" w:ascii="宋体" w:hAnsi="宋体" w:eastAsia="宋体" w:cs="宋体"/>
                <w:color w:val="auto"/>
                <w:sz w:val="24"/>
                <w:highlight w:val="none"/>
              </w:rPr>
              <w:t>具有独立承担民事责任的能力（详见第六章响应文件格式第8.1项要求）</w:t>
            </w:r>
          </w:p>
        </w:tc>
      </w:tr>
      <w:tr w14:paraId="6459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62B6E0A3">
            <w:pPr>
              <w:numPr>
                <w:ilvl w:val="0"/>
                <w:numId w:val="5"/>
              </w:numPr>
              <w:jc w:val="center"/>
              <w:rPr>
                <w:rFonts w:hint="eastAsia" w:ascii="宋体" w:hAnsi="宋体" w:eastAsia="宋体" w:cs="宋体"/>
                <w:color w:val="auto"/>
                <w:sz w:val="24"/>
                <w:highlight w:val="none"/>
              </w:rPr>
            </w:pPr>
          </w:p>
        </w:tc>
        <w:tc>
          <w:tcPr>
            <w:tcW w:w="8286" w:type="dxa"/>
            <w:tcBorders>
              <w:top w:val="single" w:color="auto" w:sz="4" w:space="0"/>
              <w:left w:val="single" w:color="auto" w:sz="4" w:space="0"/>
              <w:bottom w:val="single" w:color="auto" w:sz="4" w:space="0"/>
              <w:right w:val="single" w:color="auto" w:sz="4" w:space="0"/>
            </w:tcBorders>
            <w:noWrap w:val="0"/>
            <w:vAlign w:val="center"/>
          </w:tcPr>
          <w:p w14:paraId="6E7F0593">
            <w:pPr>
              <w:rPr>
                <w:rFonts w:hint="eastAsia" w:ascii="宋体" w:hAnsi="宋体" w:eastAsia="宋体" w:cs="宋体"/>
                <w:color w:val="auto"/>
                <w:sz w:val="24"/>
                <w:highlight w:val="none"/>
              </w:rPr>
            </w:pPr>
            <w:r>
              <w:rPr>
                <w:rFonts w:hint="eastAsia" w:ascii="宋体" w:hAnsi="宋体" w:eastAsia="宋体" w:cs="宋体"/>
                <w:color w:val="auto"/>
                <w:sz w:val="24"/>
                <w:highlight w:val="none"/>
              </w:rPr>
              <w:t>具有良好的商业信誉和健全的财务会计制度（详见第六章响应文件格式第8.2项要求）</w:t>
            </w:r>
          </w:p>
        </w:tc>
      </w:tr>
      <w:tr w14:paraId="3508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0B8ABA35">
            <w:pPr>
              <w:numPr>
                <w:ilvl w:val="0"/>
                <w:numId w:val="5"/>
              </w:numPr>
              <w:jc w:val="center"/>
              <w:rPr>
                <w:rFonts w:hint="eastAsia" w:ascii="宋体" w:hAnsi="宋体" w:eastAsia="宋体" w:cs="宋体"/>
                <w:color w:val="auto"/>
                <w:sz w:val="24"/>
                <w:highlight w:val="none"/>
              </w:rPr>
            </w:pPr>
          </w:p>
        </w:tc>
        <w:tc>
          <w:tcPr>
            <w:tcW w:w="8286" w:type="dxa"/>
            <w:tcBorders>
              <w:top w:val="single" w:color="auto" w:sz="4" w:space="0"/>
              <w:left w:val="single" w:color="auto" w:sz="4" w:space="0"/>
              <w:bottom w:val="single" w:color="auto" w:sz="4" w:space="0"/>
              <w:right w:val="single" w:color="auto" w:sz="4" w:space="0"/>
            </w:tcBorders>
            <w:noWrap w:val="0"/>
            <w:vAlign w:val="center"/>
          </w:tcPr>
          <w:p w14:paraId="09577DB0">
            <w:pPr>
              <w:rPr>
                <w:rFonts w:hint="eastAsia" w:ascii="宋体" w:hAnsi="宋体" w:eastAsia="宋体" w:cs="宋体"/>
                <w:color w:val="auto"/>
                <w:sz w:val="24"/>
                <w:highlight w:val="none"/>
              </w:rPr>
            </w:pPr>
            <w:r>
              <w:rPr>
                <w:rFonts w:hint="eastAsia" w:ascii="宋体" w:hAnsi="宋体" w:eastAsia="宋体" w:cs="宋体"/>
                <w:color w:val="auto"/>
                <w:sz w:val="24"/>
                <w:highlight w:val="none"/>
              </w:rPr>
              <w:t>具有履行合同所必需的设备和专业技术能力（详见第六章响应文件格式第8.3项要求）</w:t>
            </w:r>
          </w:p>
        </w:tc>
      </w:tr>
      <w:tr w14:paraId="0E36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43C91E54">
            <w:pPr>
              <w:numPr>
                <w:ilvl w:val="0"/>
                <w:numId w:val="5"/>
              </w:numPr>
              <w:jc w:val="center"/>
              <w:rPr>
                <w:rFonts w:hint="eastAsia" w:ascii="宋体" w:hAnsi="宋体" w:eastAsia="宋体" w:cs="宋体"/>
                <w:color w:val="auto"/>
                <w:sz w:val="24"/>
                <w:highlight w:val="none"/>
              </w:rPr>
            </w:pPr>
          </w:p>
        </w:tc>
        <w:tc>
          <w:tcPr>
            <w:tcW w:w="8286" w:type="dxa"/>
            <w:tcBorders>
              <w:top w:val="single" w:color="auto" w:sz="4" w:space="0"/>
              <w:left w:val="single" w:color="auto" w:sz="4" w:space="0"/>
              <w:bottom w:val="single" w:color="auto" w:sz="4" w:space="0"/>
              <w:right w:val="single" w:color="auto" w:sz="4" w:space="0"/>
            </w:tcBorders>
            <w:noWrap w:val="0"/>
            <w:vAlign w:val="center"/>
          </w:tcPr>
          <w:p w14:paraId="1F7BF8D7">
            <w:pPr>
              <w:rPr>
                <w:rFonts w:hint="eastAsia" w:ascii="宋体" w:hAnsi="宋体" w:eastAsia="宋体" w:cs="宋体"/>
                <w:color w:val="auto"/>
                <w:sz w:val="24"/>
                <w:highlight w:val="none"/>
              </w:rPr>
            </w:pPr>
            <w:r>
              <w:rPr>
                <w:rFonts w:hint="eastAsia" w:ascii="宋体" w:hAnsi="宋体" w:eastAsia="宋体" w:cs="宋体"/>
                <w:color w:val="auto"/>
                <w:sz w:val="24"/>
                <w:highlight w:val="none"/>
              </w:rPr>
              <w:t>有依法缴纳税收和社会保障资金的良好记录（详见第六章响应文件格式第8.4项要求）</w:t>
            </w:r>
          </w:p>
        </w:tc>
      </w:tr>
      <w:tr w14:paraId="4082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737B8C5F">
            <w:pPr>
              <w:numPr>
                <w:ilvl w:val="0"/>
                <w:numId w:val="5"/>
              </w:numPr>
              <w:jc w:val="center"/>
              <w:rPr>
                <w:rFonts w:hint="eastAsia" w:ascii="宋体" w:hAnsi="宋体" w:eastAsia="宋体" w:cs="宋体"/>
                <w:color w:val="auto"/>
                <w:sz w:val="24"/>
                <w:highlight w:val="none"/>
              </w:rPr>
            </w:pPr>
          </w:p>
        </w:tc>
        <w:tc>
          <w:tcPr>
            <w:tcW w:w="8286" w:type="dxa"/>
            <w:tcBorders>
              <w:top w:val="single" w:color="auto" w:sz="4" w:space="0"/>
              <w:left w:val="single" w:color="auto" w:sz="4" w:space="0"/>
              <w:bottom w:val="single" w:color="auto" w:sz="4" w:space="0"/>
              <w:right w:val="single" w:color="auto" w:sz="4" w:space="0"/>
            </w:tcBorders>
            <w:noWrap w:val="0"/>
            <w:vAlign w:val="center"/>
          </w:tcPr>
          <w:p w14:paraId="166D9624">
            <w:pP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参加政府采购活动前三年内，在经营活动中没有重大违法记录（详见第六章响应文件格式第8.5项要求）</w:t>
            </w:r>
          </w:p>
        </w:tc>
      </w:tr>
      <w:tr w14:paraId="1113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57AE6C96">
            <w:pPr>
              <w:numPr>
                <w:ilvl w:val="0"/>
                <w:numId w:val="5"/>
              </w:numPr>
              <w:jc w:val="center"/>
              <w:rPr>
                <w:rFonts w:hint="eastAsia" w:ascii="宋体" w:hAnsi="宋体" w:eastAsia="宋体" w:cs="宋体"/>
                <w:color w:val="auto"/>
                <w:sz w:val="24"/>
                <w:highlight w:val="none"/>
              </w:rPr>
            </w:pPr>
          </w:p>
        </w:tc>
        <w:tc>
          <w:tcPr>
            <w:tcW w:w="8286" w:type="dxa"/>
            <w:tcBorders>
              <w:top w:val="single" w:color="auto" w:sz="4" w:space="0"/>
              <w:left w:val="single" w:color="auto" w:sz="4" w:space="0"/>
              <w:bottom w:val="single" w:color="auto" w:sz="4" w:space="0"/>
              <w:right w:val="single" w:color="auto" w:sz="4" w:space="0"/>
            </w:tcBorders>
            <w:noWrap w:val="0"/>
            <w:vAlign w:val="center"/>
          </w:tcPr>
          <w:p w14:paraId="12200CCF">
            <w:pP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符合磋商文件第二章“</w:t>
            </w:r>
            <w:r>
              <w:rPr>
                <w:rFonts w:hint="eastAsia" w:ascii="宋体" w:hAnsi="宋体" w:eastAsia="宋体" w:cs="宋体"/>
                <w:bCs/>
                <w:color w:val="auto"/>
                <w:kern w:val="0"/>
                <w:sz w:val="24"/>
                <w:szCs w:val="24"/>
                <w:highlight w:val="none"/>
              </w:rPr>
              <w:t>供应商须知前附表”4.1中第2条的证明材料</w:t>
            </w:r>
            <w:r>
              <w:rPr>
                <w:rFonts w:hint="eastAsia" w:ascii="宋体" w:hAnsi="宋体" w:eastAsia="宋体" w:cs="宋体"/>
                <w:color w:val="auto"/>
                <w:sz w:val="24"/>
                <w:highlight w:val="none"/>
              </w:rPr>
              <w:t>（详见第六章响应文件格式第8.6项要求）信用查询截图</w:t>
            </w:r>
          </w:p>
        </w:tc>
      </w:tr>
      <w:tr w14:paraId="7C24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0492B909">
            <w:pPr>
              <w:numPr>
                <w:ilvl w:val="0"/>
                <w:numId w:val="5"/>
              </w:numPr>
              <w:jc w:val="center"/>
              <w:rPr>
                <w:rFonts w:hint="eastAsia" w:ascii="宋体" w:hAnsi="宋体" w:eastAsia="宋体" w:cs="宋体"/>
                <w:color w:val="auto"/>
                <w:sz w:val="24"/>
                <w:highlight w:val="none"/>
              </w:rPr>
            </w:pPr>
          </w:p>
        </w:tc>
        <w:tc>
          <w:tcPr>
            <w:tcW w:w="8286" w:type="dxa"/>
            <w:tcBorders>
              <w:top w:val="single" w:color="auto" w:sz="4" w:space="0"/>
              <w:left w:val="single" w:color="auto" w:sz="4" w:space="0"/>
              <w:bottom w:val="single" w:color="auto" w:sz="4" w:space="0"/>
              <w:right w:val="single" w:color="auto" w:sz="4" w:space="0"/>
            </w:tcBorders>
            <w:noWrap w:val="0"/>
            <w:vAlign w:val="center"/>
          </w:tcPr>
          <w:p w14:paraId="659E0F8B">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符合磋商文件第二章“</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供应商须知前附表”4.1中第3条的证明材料（详见第六章响应文件格式第8.7项要求）。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1）投标人具有会计师事务所执业证书，并在人员、设备、资金等方面具有承担本项目的能力。</w:t>
            </w:r>
          </w:p>
          <w:p w14:paraId="4BD87BF3">
            <w:pPr>
              <w:rPr>
                <w:rFonts w:hint="eastAsia" w:ascii="宋体" w:hAnsi="宋体" w:eastAsia="宋体" w:cs="宋体"/>
                <w:color w:val="auto"/>
                <w:sz w:val="24"/>
                <w:highlight w:val="none"/>
              </w:rPr>
            </w:pPr>
            <w:r>
              <w:rPr>
                <w:rFonts w:hint="eastAsia" w:ascii="宋体" w:hAnsi="宋体" w:eastAsia="宋体" w:cs="宋体"/>
                <w:color w:val="auto"/>
                <w:sz w:val="24"/>
                <w:highlight w:val="none"/>
              </w:rPr>
              <w:t>（2）项目负责人必须具有注册会计师证书，且在有效期内。</w:t>
            </w:r>
          </w:p>
        </w:tc>
      </w:tr>
      <w:tr w14:paraId="04E0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268B86C0">
            <w:pPr>
              <w:numPr>
                <w:ilvl w:val="0"/>
                <w:numId w:val="5"/>
              </w:numPr>
              <w:jc w:val="center"/>
              <w:rPr>
                <w:rFonts w:hint="eastAsia" w:ascii="宋体" w:hAnsi="宋体" w:eastAsia="宋体" w:cs="宋体"/>
                <w:color w:val="auto"/>
                <w:sz w:val="24"/>
                <w:highlight w:val="none"/>
              </w:rPr>
            </w:pPr>
          </w:p>
        </w:tc>
        <w:tc>
          <w:tcPr>
            <w:tcW w:w="8286" w:type="dxa"/>
            <w:tcBorders>
              <w:top w:val="single" w:color="auto" w:sz="4" w:space="0"/>
              <w:left w:val="single" w:color="auto" w:sz="4" w:space="0"/>
              <w:bottom w:val="single" w:color="auto" w:sz="4" w:space="0"/>
              <w:right w:val="single" w:color="auto" w:sz="4" w:space="0"/>
            </w:tcBorders>
            <w:noWrap w:val="0"/>
            <w:vAlign w:val="center"/>
          </w:tcPr>
          <w:p w14:paraId="48247B6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响应承诺书</w:t>
            </w:r>
            <w:r>
              <w:rPr>
                <w:rFonts w:hint="eastAsia" w:ascii="宋体" w:hAnsi="宋体" w:eastAsia="宋体" w:cs="宋体"/>
                <w:color w:val="auto"/>
                <w:sz w:val="24"/>
                <w:highlight w:val="none"/>
              </w:rPr>
              <w:t>（详见第六章响应文件格式第8.8项要求）</w:t>
            </w:r>
          </w:p>
        </w:tc>
      </w:tr>
      <w:tr w14:paraId="7CC4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77764EAE">
            <w:pPr>
              <w:numPr>
                <w:ilvl w:val="0"/>
                <w:numId w:val="5"/>
              </w:numPr>
              <w:jc w:val="center"/>
              <w:rPr>
                <w:rFonts w:hint="eastAsia" w:ascii="宋体" w:hAnsi="宋体" w:eastAsia="宋体" w:cs="宋体"/>
                <w:color w:val="auto"/>
                <w:sz w:val="24"/>
                <w:highlight w:val="none"/>
              </w:rPr>
            </w:pPr>
          </w:p>
        </w:tc>
        <w:tc>
          <w:tcPr>
            <w:tcW w:w="8286" w:type="dxa"/>
            <w:tcBorders>
              <w:top w:val="single" w:color="auto" w:sz="4" w:space="0"/>
              <w:left w:val="single" w:color="auto" w:sz="4" w:space="0"/>
              <w:bottom w:val="single" w:color="auto" w:sz="4" w:space="0"/>
              <w:right w:val="single" w:color="auto" w:sz="4" w:space="0"/>
            </w:tcBorders>
            <w:noWrap w:val="0"/>
            <w:vAlign w:val="center"/>
          </w:tcPr>
          <w:p w14:paraId="62D395C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本项目为专门面向中小微企业采购，供应商应承诺为中型/小型/微型企业</w:t>
            </w:r>
            <w:r>
              <w:rPr>
                <w:rFonts w:hint="eastAsia" w:ascii="宋体" w:hAnsi="宋体" w:eastAsia="宋体" w:cs="宋体"/>
                <w:color w:val="auto"/>
                <w:sz w:val="24"/>
                <w:highlight w:val="none"/>
              </w:rPr>
              <w:t>（详见第六章响应文件格式第8.13项要求）</w:t>
            </w:r>
          </w:p>
        </w:tc>
      </w:tr>
    </w:tbl>
    <w:p w14:paraId="5DDEF4BF">
      <w:pPr>
        <w:numPr>
          <w:ilvl w:val="0"/>
          <w:numId w:val="0"/>
        </w:numPr>
        <w:rPr>
          <w:rFonts w:hint="eastAsia" w:ascii="宋体" w:hAnsi="宋体" w:eastAsia="宋体" w:cs="宋体"/>
          <w:color w:val="auto"/>
          <w:kern w:val="2"/>
          <w:sz w:val="24"/>
          <w:highlight w:val="none"/>
          <w:lang w:val="en-US" w:eastAsia="zh-CN" w:bidi="ar-SA"/>
        </w:rPr>
      </w:pPr>
    </w:p>
    <w:p w14:paraId="2955F40D">
      <w:pPr>
        <w:numPr>
          <w:ilvl w:val="0"/>
          <w:numId w:val="0"/>
        </w:numPr>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highlight w:val="none"/>
          <w:lang w:val="en-US" w:eastAsia="zh-CN" w:bidi="ar-SA"/>
        </w:rPr>
        <w:t>（二）</w:t>
      </w:r>
      <w:r>
        <w:rPr>
          <w:rFonts w:hint="eastAsia" w:ascii="宋体" w:hAnsi="宋体" w:eastAsia="宋体" w:cs="宋体"/>
          <w:color w:val="auto"/>
          <w:sz w:val="24"/>
          <w:highlight w:val="none"/>
          <w:lang w:val="en-US" w:eastAsia="zh-CN"/>
        </w:rPr>
        <w:t>符合性评审</w:t>
      </w:r>
    </w:p>
    <w:tbl>
      <w:tblPr>
        <w:tblStyle w:val="5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8310"/>
      </w:tblGrid>
      <w:tr w14:paraId="4842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489C44DA">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8310" w:type="dxa"/>
            <w:noWrap w:val="0"/>
            <w:vAlign w:val="top"/>
          </w:tcPr>
          <w:p w14:paraId="57E1E869">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评审内容</w:t>
            </w:r>
          </w:p>
        </w:tc>
      </w:tr>
      <w:tr w14:paraId="29F6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0" w:type="dxa"/>
            <w:noWrap w:val="0"/>
            <w:vAlign w:val="top"/>
          </w:tcPr>
          <w:p w14:paraId="7582DD72">
            <w:pPr>
              <w:numPr>
                <w:ilvl w:val="0"/>
                <w:numId w:val="6"/>
              </w:numPr>
              <w:ind w:left="425" w:leftChars="0" w:hanging="425" w:firstLineChars="0"/>
              <w:rPr>
                <w:rFonts w:hint="eastAsia" w:ascii="宋体" w:hAnsi="宋体" w:eastAsia="宋体" w:cs="宋体"/>
                <w:color w:val="auto"/>
                <w:sz w:val="24"/>
                <w:highlight w:val="none"/>
                <w:lang w:val="en-US" w:eastAsia="zh-CN"/>
              </w:rPr>
            </w:pPr>
          </w:p>
        </w:tc>
        <w:tc>
          <w:tcPr>
            <w:tcW w:w="8310" w:type="dxa"/>
            <w:noWrap w:val="0"/>
            <w:vAlign w:val="center"/>
          </w:tcPr>
          <w:p w14:paraId="5E9BC171">
            <w:pP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szCs w:val="24"/>
                <w:highlight w:val="none"/>
              </w:rPr>
              <w:t>响</w:t>
            </w:r>
            <w:r>
              <w:rPr>
                <w:rFonts w:hint="eastAsia" w:ascii="宋体" w:hAnsi="宋体" w:eastAsia="宋体" w:cs="宋体"/>
                <w:b/>
                <w:bCs/>
                <w:color w:val="auto"/>
                <w:sz w:val="24"/>
                <w:szCs w:val="24"/>
                <w:highlight w:val="none"/>
              </w:rPr>
              <w:t>应文件按照磋商文件要求签署、盖章，签字人有法定代表人有效委托书</w:t>
            </w:r>
          </w:p>
        </w:tc>
      </w:tr>
      <w:tr w14:paraId="2AC9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20" w:type="dxa"/>
            <w:noWrap w:val="0"/>
            <w:vAlign w:val="top"/>
          </w:tcPr>
          <w:p w14:paraId="45346B78">
            <w:pPr>
              <w:numPr>
                <w:ilvl w:val="0"/>
                <w:numId w:val="6"/>
              </w:numPr>
              <w:ind w:left="425" w:leftChars="0" w:hanging="425" w:firstLineChars="0"/>
              <w:rPr>
                <w:rFonts w:hint="eastAsia" w:ascii="宋体" w:hAnsi="宋体" w:eastAsia="宋体" w:cs="宋体"/>
                <w:color w:val="auto"/>
                <w:sz w:val="24"/>
                <w:highlight w:val="none"/>
                <w:lang w:val="en-US" w:eastAsia="zh-CN"/>
              </w:rPr>
            </w:pPr>
          </w:p>
        </w:tc>
        <w:tc>
          <w:tcPr>
            <w:tcW w:w="8310" w:type="dxa"/>
            <w:noWrap w:val="0"/>
            <w:vAlign w:val="center"/>
          </w:tcPr>
          <w:p w14:paraId="2C451A1B">
            <w:pPr>
              <w:rPr>
                <w:rFonts w:hint="eastAsia" w:ascii="宋体" w:hAnsi="宋体" w:eastAsia="宋体" w:cs="宋体"/>
                <w:b/>
                <w:bCs/>
                <w:color w:val="auto"/>
                <w:kern w:val="2"/>
                <w:sz w:val="24"/>
                <w:highlight w:val="none"/>
                <w:lang w:val="en-US" w:eastAsia="zh-CN" w:bidi="ar-SA"/>
              </w:rPr>
            </w:pPr>
            <w:r>
              <w:rPr>
                <w:rFonts w:hint="eastAsia" w:ascii="宋体" w:hAnsi="宋体" w:eastAsia="宋体" w:cs="宋体"/>
                <w:b/>
                <w:bCs/>
                <w:color w:val="auto"/>
                <w:sz w:val="24"/>
                <w:highlight w:val="none"/>
              </w:rPr>
              <w:t>报价未超过磋商文件中规定的预算金额或者最高限价</w:t>
            </w:r>
          </w:p>
        </w:tc>
      </w:tr>
      <w:tr w14:paraId="0E64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20" w:type="dxa"/>
            <w:noWrap w:val="0"/>
            <w:vAlign w:val="top"/>
          </w:tcPr>
          <w:p w14:paraId="392950AF">
            <w:pPr>
              <w:numPr>
                <w:ilvl w:val="0"/>
                <w:numId w:val="6"/>
              </w:numPr>
              <w:ind w:left="425" w:leftChars="0" w:hanging="425" w:firstLineChars="0"/>
              <w:rPr>
                <w:rFonts w:hint="eastAsia" w:ascii="宋体" w:hAnsi="宋体" w:eastAsia="宋体" w:cs="宋体"/>
                <w:color w:val="auto"/>
                <w:sz w:val="24"/>
                <w:highlight w:val="none"/>
                <w:lang w:val="en-US" w:eastAsia="zh-CN"/>
              </w:rPr>
            </w:pPr>
          </w:p>
        </w:tc>
        <w:tc>
          <w:tcPr>
            <w:tcW w:w="8310" w:type="dxa"/>
            <w:noWrap w:val="0"/>
            <w:vAlign w:val="center"/>
          </w:tcPr>
          <w:p w14:paraId="618E5B21">
            <w:pPr>
              <w:rPr>
                <w:rFonts w:hint="eastAsia" w:ascii="宋体" w:hAnsi="宋体" w:eastAsia="宋体" w:cs="宋体"/>
                <w:b/>
                <w:bCs/>
                <w:color w:val="auto"/>
                <w:kern w:val="2"/>
                <w:sz w:val="24"/>
                <w:highlight w:val="none"/>
                <w:lang w:val="en-US" w:eastAsia="zh-CN" w:bidi="ar-SA"/>
              </w:rPr>
            </w:pPr>
            <w:r>
              <w:rPr>
                <w:rFonts w:hint="eastAsia" w:ascii="宋体" w:hAnsi="宋体" w:eastAsia="宋体" w:cs="宋体"/>
                <w:b/>
                <w:bCs/>
                <w:color w:val="auto"/>
                <w:sz w:val="24"/>
                <w:highlight w:val="none"/>
              </w:rPr>
              <w:t>合同履行期限满足磋商文件要求</w:t>
            </w:r>
          </w:p>
        </w:tc>
      </w:tr>
      <w:tr w14:paraId="185E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20" w:type="dxa"/>
            <w:noWrap w:val="0"/>
            <w:vAlign w:val="top"/>
          </w:tcPr>
          <w:p w14:paraId="1696EA24">
            <w:pPr>
              <w:numPr>
                <w:ilvl w:val="0"/>
                <w:numId w:val="6"/>
              </w:numPr>
              <w:ind w:left="425" w:leftChars="0" w:hanging="425" w:firstLineChars="0"/>
              <w:rPr>
                <w:rFonts w:hint="eastAsia" w:ascii="宋体" w:hAnsi="宋体" w:eastAsia="宋体" w:cs="宋体"/>
                <w:color w:val="auto"/>
                <w:sz w:val="24"/>
                <w:highlight w:val="none"/>
                <w:lang w:val="en-US" w:eastAsia="zh-CN"/>
              </w:rPr>
            </w:pPr>
          </w:p>
        </w:tc>
        <w:tc>
          <w:tcPr>
            <w:tcW w:w="8310" w:type="dxa"/>
            <w:noWrap w:val="0"/>
            <w:vAlign w:val="center"/>
          </w:tcPr>
          <w:p w14:paraId="4C8D0183">
            <w:pPr>
              <w:rPr>
                <w:rFonts w:hint="eastAsia" w:ascii="宋体" w:hAnsi="宋体" w:eastAsia="宋体" w:cs="宋体"/>
                <w:color w:val="auto"/>
                <w:kern w:val="2"/>
                <w:sz w:val="24"/>
                <w:highlight w:val="none"/>
                <w:lang w:val="en-US" w:eastAsia="zh-CN" w:bidi="ar-SA"/>
              </w:rPr>
            </w:pPr>
            <w:r>
              <w:rPr>
                <w:rFonts w:hint="eastAsia" w:ascii="宋体" w:hAnsi="宋体" w:eastAsia="宋体" w:cs="宋体"/>
                <w:b/>
                <w:bCs/>
                <w:color w:val="auto"/>
                <w:sz w:val="24"/>
                <w:highlight w:val="none"/>
              </w:rPr>
              <w:t>响应文件未含有采购人不能接受的附加条件</w:t>
            </w:r>
          </w:p>
        </w:tc>
      </w:tr>
      <w:tr w14:paraId="0A01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20" w:type="dxa"/>
            <w:noWrap w:val="0"/>
            <w:vAlign w:val="top"/>
          </w:tcPr>
          <w:p w14:paraId="2F7A487D">
            <w:pPr>
              <w:numPr>
                <w:ilvl w:val="0"/>
                <w:numId w:val="6"/>
              </w:numPr>
              <w:ind w:left="425" w:leftChars="0" w:hanging="425" w:firstLineChars="0"/>
              <w:rPr>
                <w:rFonts w:hint="eastAsia" w:ascii="宋体" w:hAnsi="宋体" w:eastAsia="宋体" w:cs="宋体"/>
                <w:color w:val="auto"/>
                <w:sz w:val="24"/>
                <w:highlight w:val="none"/>
                <w:lang w:val="en-US" w:eastAsia="zh-CN"/>
              </w:rPr>
            </w:pPr>
          </w:p>
        </w:tc>
        <w:tc>
          <w:tcPr>
            <w:tcW w:w="8310" w:type="dxa"/>
            <w:noWrap w:val="0"/>
            <w:vAlign w:val="center"/>
          </w:tcPr>
          <w:p w14:paraId="04B90611">
            <w:pPr>
              <w:rPr>
                <w:rFonts w:hint="eastAsia" w:ascii="宋体" w:hAnsi="宋体" w:eastAsia="宋体" w:cs="宋体"/>
                <w:color w:val="auto"/>
                <w:kern w:val="2"/>
                <w:sz w:val="24"/>
                <w:highlight w:val="none"/>
                <w:lang w:val="en-US" w:eastAsia="zh-CN" w:bidi="ar-SA"/>
              </w:rPr>
            </w:pPr>
            <w:r>
              <w:rPr>
                <w:rFonts w:hint="eastAsia" w:ascii="宋体" w:hAnsi="宋体" w:eastAsia="宋体" w:cs="宋体"/>
                <w:b/>
                <w:bCs/>
                <w:color w:val="auto"/>
                <w:sz w:val="24"/>
                <w:highlight w:val="none"/>
              </w:rPr>
              <w:t>磋商有效期90日历天满足磋商文件要求</w:t>
            </w:r>
          </w:p>
        </w:tc>
      </w:tr>
      <w:tr w14:paraId="32F1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20" w:type="dxa"/>
            <w:noWrap w:val="0"/>
            <w:vAlign w:val="top"/>
          </w:tcPr>
          <w:p w14:paraId="1E5923CF">
            <w:pPr>
              <w:numPr>
                <w:ilvl w:val="0"/>
                <w:numId w:val="6"/>
              </w:numPr>
              <w:ind w:left="425" w:leftChars="0" w:hanging="425" w:firstLineChars="0"/>
              <w:rPr>
                <w:rFonts w:hint="eastAsia" w:ascii="宋体" w:hAnsi="宋体" w:eastAsia="宋体" w:cs="宋体"/>
                <w:color w:val="auto"/>
                <w:sz w:val="24"/>
                <w:highlight w:val="none"/>
                <w:lang w:val="en-US" w:eastAsia="zh-CN"/>
              </w:rPr>
            </w:pPr>
          </w:p>
        </w:tc>
        <w:tc>
          <w:tcPr>
            <w:tcW w:w="8310" w:type="dxa"/>
            <w:noWrap w:val="0"/>
            <w:vAlign w:val="center"/>
          </w:tcPr>
          <w:p w14:paraId="1B90C16C">
            <w:pPr>
              <w:rPr>
                <w:rFonts w:hint="eastAsia" w:ascii="宋体" w:hAnsi="宋体" w:eastAsia="宋体" w:cs="宋体"/>
                <w:color w:val="auto"/>
                <w:kern w:val="2"/>
                <w:sz w:val="24"/>
                <w:highlight w:val="none"/>
                <w:lang w:val="en-US" w:eastAsia="zh-CN" w:bidi="ar-SA"/>
              </w:rPr>
            </w:pPr>
            <w:r>
              <w:rPr>
                <w:rFonts w:hint="eastAsia" w:ascii="宋体" w:hAnsi="宋体" w:eastAsia="宋体" w:cs="宋体"/>
                <w:b/>
                <w:bCs/>
                <w:color w:val="auto"/>
                <w:sz w:val="24"/>
                <w:highlight w:val="none"/>
              </w:rPr>
              <w:t>供应商未在同一份响应文件中，对同一货物或服务报有两个或多个报价，但磋商文件要求提交备选报价的除外</w:t>
            </w:r>
          </w:p>
        </w:tc>
      </w:tr>
      <w:tr w14:paraId="51D6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20" w:type="dxa"/>
            <w:noWrap w:val="0"/>
            <w:vAlign w:val="top"/>
          </w:tcPr>
          <w:p w14:paraId="0DD478FD">
            <w:pPr>
              <w:numPr>
                <w:ilvl w:val="0"/>
                <w:numId w:val="6"/>
              </w:numPr>
              <w:ind w:left="425" w:leftChars="0" w:hanging="425" w:firstLineChars="0"/>
              <w:rPr>
                <w:rFonts w:hint="eastAsia" w:ascii="宋体" w:hAnsi="宋体" w:eastAsia="宋体" w:cs="宋体"/>
                <w:color w:val="auto"/>
                <w:sz w:val="24"/>
                <w:highlight w:val="none"/>
                <w:lang w:val="en-US" w:eastAsia="zh-CN"/>
              </w:rPr>
            </w:pPr>
          </w:p>
        </w:tc>
        <w:tc>
          <w:tcPr>
            <w:tcW w:w="8310" w:type="dxa"/>
            <w:noWrap w:val="0"/>
            <w:vAlign w:val="center"/>
          </w:tcPr>
          <w:p w14:paraId="6B2E409C">
            <w:pPr>
              <w:rPr>
                <w:rFonts w:hint="eastAsia" w:ascii="宋体" w:hAnsi="宋体" w:eastAsia="宋体" w:cs="宋体"/>
                <w:color w:val="auto"/>
                <w:kern w:val="2"/>
                <w:sz w:val="24"/>
                <w:highlight w:val="none"/>
                <w:lang w:val="en-US" w:eastAsia="zh-CN" w:bidi="ar-SA"/>
              </w:rPr>
            </w:pPr>
            <w:r>
              <w:rPr>
                <w:rFonts w:hint="eastAsia" w:ascii="宋体" w:hAnsi="宋体" w:eastAsia="宋体" w:cs="宋体"/>
                <w:b/>
                <w:bCs/>
                <w:color w:val="auto"/>
                <w:sz w:val="24"/>
                <w:highlight w:val="none"/>
              </w:rPr>
              <w:t>供应商没有串通投标、弄虚作假、行贿等违法行为</w:t>
            </w:r>
          </w:p>
        </w:tc>
      </w:tr>
      <w:tr w14:paraId="6C08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20" w:type="dxa"/>
            <w:noWrap w:val="0"/>
            <w:vAlign w:val="top"/>
          </w:tcPr>
          <w:p w14:paraId="37FAA2B2">
            <w:pPr>
              <w:numPr>
                <w:ilvl w:val="0"/>
                <w:numId w:val="6"/>
              </w:numPr>
              <w:ind w:left="425" w:leftChars="0" w:hanging="425" w:firstLineChars="0"/>
              <w:rPr>
                <w:rFonts w:hint="eastAsia" w:ascii="宋体" w:hAnsi="宋体" w:eastAsia="宋体" w:cs="宋体"/>
                <w:color w:val="auto"/>
                <w:sz w:val="24"/>
                <w:highlight w:val="none"/>
                <w:lang w:val="en-US" w:eastAsia="zh-CN"/>
              </w:rPr>
            </w:pPr>
          </w:p>
        </w:tc>
        <w:tc>
          <w:tcPr>
            <w:tcW w:w="8310" w:type="dxa"/>
            <w:noWrap w:val="0"/>
            <w:vAlign w:val="center"/>
          </w:tcPr>
          <w:p w14:paraId="3545746D">
            <w:pP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响应文件对磋商文件的实</w:t>
            </w:r>
            <w:r>
              <w:rPr>
                <w:rFonts w:hint="eastAsia" w:ascii="宋体" w:hAnsi="宋体" w:eastAsia="宋体" w:cs="宋体"/>
                <w:b/>
                <w:bCs/>
                <w:color w:val="auto"/>
                <w:sz w:val="24"/>
                <w:highlight w:val="none"/>
              </w:rPr>
              <w:t>质性要求和条件作出响应</w:t>
            </w:r>
          </w:p>
        </w:tc>
      </w:tr>
      <w:tr w14:paraId="7A24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0" w:type="dxa"/>
            <w:noWrap w:val="0"/>
            <w:vAlign w:val="top"/>
          </w:tcPr>
          <w:p w14:paraId="027790BF">
            <w:pPr>
              <w:numPr>
                <w:ilvl w:val="0"/>
                <w:numId w:val="6"/>
              </w:numPr>
              <w:ind w:left="425" w:leftChars="0" w:hanging="425" w:firstLineChars="0"/>
              <w:rPr>
                <w:rFonts w:hint="eastAsia" w:ascii="宋体" w:hAnsi="宋体" w:eastAsia="宋体" w:cs="宋体"/>
                <w:color w:val="auto"/>
                <w:sz w:val="24"/>
                <w:highlight w:val="none"/>
                <w:lang w:val="en-US" w:eastAsia="zh-CN"/>
              </w:rPr>
            </w:pPr>
          </w:p>
        </w:tc>
        <w:tc>
          <w:tcPr>
            <w:tcW w:w="8310" w:type="dxa"/>
            <w:noWrap w:val="0"/>
            <w:vAlign w:val="center"/>
          </w:tcPr>
          <w:p w14:paraId="314138A3">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不存在法律、法规</w:t>
            </w:r>
            <w:r>
              <w:rPr>
                <w:rFonts w:hint="eastAsia" w:ascii="宋体" w:hAnsi="宋体" w:eastAsia="宋体" w:cs="宋体"/>
                <w:b/>
                <w:bCs/>
                <w:color w:val="auto"/>
                <w:sz w:val="24"/>
                <w:highlight w:val="none"/>
              </w:rPr>
              <w:t>和磋</w:t>
            </w:r>
            <w:r>
              <w:rPr>
                <w:rFonts w:hint="eastAsia" w:ascii="宋体" w:hAnsi="宋体" w:eastAsia="宋体" w:cs="宋体"/>
                <w:color w:val="auto"/>
                <w:sz w:val="24"/>
                <w:highlight w:val="none"/>
              </w:rPr>
              <w:t>商文件中规定的其他无效情形。</w:t>
            </w:r>
          </w:p>
        </w:tc>
      </w:tr>
      <w:tr w14:paraId="16F5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20" w:type="dxa"/>
            <w:noWrap w:val="0"/>
            <w:vAlign w:val="top"/>
          </w:tcPr>
          <w:p w14:paraId="3C90C025">
            <w:pPr>
              <w:numPr>
                <w:ilvl w:val="0"/>
                <w:numId w:val="6"/>
              </w:numPr>
              <w:ind w:left="425" w:leftChars="0" w:hanging="425" w:firstLineChars="0"/>
              <w:rPr>
                <w:rFonts w:hint="eastAsia" w:ascii="宋体" w:hAnsi="宋体" w:eastAsia="宋体" w:cs="宋体"/>
                <w:color w:val="auto"/>
                <w:sz w:val="24"/>
                <w:highlight w:val="none"/>
                <w:lang w:val="en-US" w:eastAsia="zh-CN"/>
              </w:rPr>
            </w:pPr>
          </w:p>
        </w:tc>
        <w:tc>
          <w:tcPr>
            <w:tcW w:w="8310" w:type="dxa"/>
            <w:noWrap w:val="0"/>
            <w:vAlign w:val="center"/>
          </w:tcPr>
          <w:p w14:paraId="2121A43B">
            <w:pP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按磋商文件要求的金额、形式、时间提交磋商保证金并附磋商保证金凭证</w:t>
            </w:r>
          </w:p>
        </w:tc>
      </w:tr>
    </w:tbl>
    <w:p w14:paraId="777D1A47">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说明：</w:t>
      </w:r>
      <w:r>
        <w:rPr>
          <w:rFonts w:hint="eastAsia" w:ascii="宋体" w:hAnsi="宋体" w:eastAsia="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对审查通过的，在对应栏打“√”</w:t>
      </w:r>
      <w:r>
        <w:rPr>
          <w:rFonts w:hint="eastAsia" w:ascii="宋体" w:hAnsi="宋体" w:eastAsia="宋体" w:cs="宋体"/>
          <w:color w:val="auto"/>
          <w:kern w:val="0"/>
          <w:sz w:val="24"/>
          <w:szCs w:val="24"/>
          <w:highlight w:val="none"/>
          <w:lang w:val="en-US" w:eastAsia="zh-CN"/>
        </w:rPr>
        <w:t>或写“通过”</w:t>
      </w:r>
      <w:r>
        <w:rPr>
          <w:rFonts w:hint="eastAsia" w:ascii="宋体" w:hAnsi="宋体" w:eastAsia="宋体" w:cs="宋体"/>
          <w:color w:val="auto"/>
          <w:kern w:val="0"/>
          <w:sz w:val="24"/>
          <w:szCs w:val="24"/>
          <w:highlight w:val="none"/>
        </w:rPr>
        <w:t>，未审查通过的，在对应栏打“×”</w:t>
      </w:r>
      <w:r>
        <w:rPr>
          <w:rFonts w:hint="eastAsia" w:ascii="宋体" w:hAnsi="宋体" w:eastAsia="宋体" w:cs="宋体"/>
          <w:color w:val="auto"/>
          <w:kern w:val="0"/>
          <w:sz w:val="24"/>
          <w:szCs w:val="24"/>
          <w:highlight w:val="none"/>
          <w:lang w:val="en-US" w:eastAsia="zh-CN"/>
        </w:rPr>
        <w:t>或写“不通过”若专家意见不一致时，则按少数服从多数的原则，由专家投票决定该供应商是否通过审查，进入下一阶段评审。</w:t>
      </w:r>
    </w:p>
    <w:p w14:paraId="14559DE5">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（三）有下列情形之一时，评标委员会应予废标，并将理由通知所有投标：</w:t>
      </w:r>
    </w:p>
    <w:p w14:paraId="669A1BC1">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(1)未按照招标文件的规定提交投标保证金的</w:t>
      </w:r>
    </w:p>
    <w:p w14:paraId="28929E0F">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(2)磋商文件未按招标文件要求签署、盖章的</w:t>
      </w:r>
    </w:p>
    <w:p w14:paraId="11DE33C3">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(3)不具备招标文件中规定的资格要求</w:t>
      </w:r>
    </w:p>
    <w:p w14:paraId="640E429A">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(4)报价超过招标文件中规定的预算金额或者最高限价的</w:t>
      </w:r>
    </w:p>
    <w:p w14:paraId="505198C9">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(5)磋商文件含有采购人不能接受的附加条件的</w:t>
      </w:r>
    </w:p>
    <w:p w14:paraId="5660557D">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(6)法律、法规和招标文件规定的其他无效情形</w:t>
      </w:r>
    </w:p>
    <w:p w14:paraId="7D751853">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4.磋商、响应文件有关事项的澄清、说明或者更正和最后报价</w:t>
      </w:r>
    </w:p>
    <w:p w14:paraId="58E7412B">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4.1对响应文件中含义不明确、同类问题表述不一致或者有明显文字和计算错误的内容，评标委员会将以书面形式通知供应商作出必要的澄清、说明，但不得超出响应文件的范围或对响应文件做实质性的修改（计算错误修正除外）。评标委员会不接受供应商主动提出的澄清、说明。</w:t>
      </w:r>
    </w:p>
    <w:p w14:paraId="4567F845">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4.2供应商不得对下列内容进行澄清或补充：</w:t>
      </w:r>
    </w:p>
    <w:p w14:paraId="6ED1516C">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（1）开标时，未宣读的投标价格、价格折扣等实质性内容。</w:t>
      </w:r>
    </w:p>
    <w:p w14:paraId="144CA702">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（2）不满足磋商文件的实质性要求的响应文件内容，</w:t>
      </w:r>
    </w:p>
    <w:p w14:paraId="502E3F60">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4.3计算错误将按以下方法修正：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若供应商拒绝接受上述修正，在评标时将其视为无效投标。</w:t>
      </w:r>
    </w:p>
    <w:p w14:paraId="785CBE3E">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4.4供应商的澄清、说明或者补正应该采用书面形式，由法定代表人或其授权的代理人签字，并按评标委员会的通知要求递交。</w:t>
      </w:r>
    </w:p>
    <w:p w14:paraId="19B991C6">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4.5有效的书面澄清材料，是响应文件的补充材料，成为响应文件的组成部分。</w:t>
      </w:r>
    </w:p>
    <w:p w14:paraId="5DEE9582">
      <w:pPr>
        <w:pStyle w:val="3"/>
        <w:spacing w:before="0" w:after="0"/>
        <w:jc w:val="center"/>
        <w:rPr>
          <w:rFonts w:hint="eastAsia" w:ascii="宋体" w:hAnsi="宋体" w:eastAsia="宋体" w:cs="宋体"/>
          <w:color w:val="auto"/>
          <w:sz w:val="36"/>
          <w:szCs w:val="24"/>
          <w:highlight w:val="none"/>
        </w:rPr>
      </w:pPr>
      <w:r>
        <w:rPr>
          <w:rFonts w:hint="eastAsia" w:ascii="宋体" w:hAnsi="宋体" w:eastAsia="宋体" w:cs="宋体"/>
          <w:color w:val="auto"/>
          <w:sz w:val="36"/>
          <w:szCs w:val="24"/>
          <w:highlight w:val="none"/>
        </w:rPr>
        <w:br w:type="page"/>
      </w:r>
      <w:bookmarkStart w:id="233" w:name="_Toc19859"/>
      <w:bookmarkStart w:id="234" w:name="_Toc44700088"/>
      <w:r>
        <w:rPr>
          <w:rFonts w:hint="eastAsia" w:ascii="宋体" w:hAnsi="宋体" w:eastAsia="宋体" w:cs="宋体"/>
          <w:color w:val="auto"/>
          <w:sz w:val="36"/>
          <w:szCs w:val="24"/>
          <w:highlight w:val="none"/>
        </w:rPr>
        <w:t>第二部分评审方法</w:t>
      </w:r>
      <w:bookmarkEnd w:id="233"/>
      <w:bookmarkEnd w:id="234"/>
    </w:p>
    <w:p w14:paraId="5075AFAA">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本项目采用综合评分法。总分100分。其中商务、技术占70分，价格占30分。</w:t>
      </w:r>
    </w:p>
    <w:p w14:paraId="4C83B828">
      <w:pPr>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第二部分：评审标准</w:t>
      </w:r>
    </w:p>
    <w:p w14:paraId="4913A159">
      <w:pPr>
        <w:spacing w:line="4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一、价格评分标准（30分）</w:t>
      </w:r>
    </w:p>
    <w:p w14:paraId="4B732BDF">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1.评审价格以人民币计价。</w:t>
      </w:r>
    </w:p>
    <w:p w14:paraId="2B723998">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2.以供应商的二次（最终）报价，作为最后磋商报价；</w:t>
      </w:r>
    </w:p>
    <w:p w14:paraId="582FB8C6">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3．价格分统一采用低价优先法计算即满足采购文件要求且最后磋商报价最低的有效报价（即除低于成本报价以外的所有报价）为磋商基准价，其价格分为满分。</w:t>
      </w:r>
    </w:p>
    <w:p w14:paraId="040C498B">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4．其他供应商的价格分统一按照以下公式计算：</w:t>
      </w:r>
    </w:p>
    <w:p w14:paraId="4AE78809">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磋商报价得分=（磋商基准价/最后磋商报价）×30</w:t>
      </w:r>
    </w:p>
    <w:p w14:paraId="5D5ADCA1">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5.最低报价不作为成交的保证。</w:t>
      </w:r>
    </w:p>
    <w:p w14:paraId="79B247EF">
      <w:pPr>
        <w:spacing w:line="480" w:lineRule="exac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6.“小型和微型企业产品”的价格按扣除</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%后的价格参与评审</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由于</w:t>
      </w:r>
      <w:r>
        <w:rPr>
          <w:rFonts w:hint="eastAsia" w:ascii="宋体" w:hAnsi="宋体" w:eastAsia="宋体" w:cs="宋体"/>
          <w:b/>
          <w:bCs/>
          <w:color w:val="auto"/>
          <w:sz w:val="24"/>
          <w:szCs w:val="24"/>
          <w:highlight w:val="none"/>
        </w:rPr>
        <w:t>本项目为专门面向中小企业采购的项目，不再执行“价格评审优惠”的扶持政策。</w:t>
      </w:r>
    </w:p>
    <w:p w14:paraId="6F60C433">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中小企业划分标准参照《关于印发&lt;政府采购促进中小企业发展管理办法&gt;的通知》(财库〔2020〕46号）及《关于印发中小企业划型标准规定的通知》（工信部联企业[2011]300号）。提供对应的《中小企业声明函》（详见附件）</w:t>
      </w:r>
    </w:p>
    <w:p w14:paraId="50FF38C9">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监狱企业视同小型、微型企业,监狱企业应当提供由省级以上监狱管理局、戒毒管理局(含新疆生产建设兵团)出具的属于监狱企业的证明文件。监狱企业应当提供市监狱管理局、市教育矫治局出具的监狱企业的证明文件。</w:t>
      </w:r>
    </w:p>
    <w:p w14:paraId="7ECDF3A9">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6.3残疾人福利性单位视同小型、微型企业，符合条件的残疾人福利性单位在参加政府采购活动时，应当提供本通知规定的《残疾人福利性单位声明函》，并对声明的真实性负责。</w:t>
      </w:r>
    </w:p>
    <w:p w14:paraId="3A5BCAA9">
      <w:pPr>
        <w:spacing w:line="480" w:lineRule="exac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6.</w:t>
      </w: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采购的产品为财政部、发展改革委、生态环境部等部门发布的品目清单中属于实施政府强制采购品目清单范围的节能产品，需提供节能产品认证证书，如供应商所投产品不具备依据国家确定的认证机构出具的、处于有效期之内的节能产品认证证书，其响应将被认定为响应无效。在同等条件下，优先采购具有环境标志、节能的产品。</w:t>
      </w:r>
    </w:p>
    <w:p w14:paraId="5581969E">
      <w:pPr>
        <w:numPr>
          <w:ilvl w:val="0"/>
          <w:numId w:val="7"/>
        </w:num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商务、技术评分标准（70分）</w:t>
      </w:r>
    </w:p>
    <w:tbl>
      <w:tblPr>
        <w:tblStyle w:val="5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983"/>
        <w:gridCol w:w="1664"/>
        <w:gridCol w:w="6306"/>
      </w:tblGrid>
      <w:tr w14:paraId="2B3B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81" w:type="dxa"/>
            <w:noWrap w:val="0"/>
            <w:vAlign w:val="center"/>
          </w:tcPr>
          <w:p w14:paraId="430F0525">
            <w:pPr>
              <w:spacing w:line="288"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647" w:type="dxa"/>
            <w:gridSpan w:val="2"/>
            <w:noWrap w:val="0"/>
            <w:vAlign w:val="center"/>
          </w:tcPr>
          <w:p w14:paraId="78181FE6">
            <w:pPr>
              <w:spacing w:line="288"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评审项目</w:t>
            </w:r>
            <w:r>
              <w:rPr>
                <w:rFonts w:hint="eastAsia" w:ascii="宋体" w:hAnsi="宋体" w:eastAsia="宋体" w:cs="宋体"/>
                <w:b/>
                <w:bCs/>
                <w:color w:val="auto"/>
                <w:sz w:val="24"/>
                <w:szCs w:val="24"/>
                <w:highlight w:val="none"/>
                <w:lang w:eastAsia="zh-CN"/>
              </w:rPr>
              <w:t>及分值</w:t>
            </w:r>
          </w:p>
        </w:tc>
        <w:tc>
          <w:tcPr>
            <w:tcW w:w="6306" w:type="dxa"/>
            <w:noWrap w:val="0"/>
            <w:vAlign w:val="center"/>
          </w:tcPr>
          <w:p w14:paraId="30039769">
            <w:pPr>
              <w:spacing w:line="288"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r>
      <w:tr w14:paraId="22D4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14:paraId="6F75163B">
            <w:pPr>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47" w:type="dxa"/>
            <w:gridSpan w:val="2"/>
            <w:noWrap w:val="0"/>
            <w:vAlign w:val="center"/>
          </w:tcPr>
          <w:p w14:paraId="4AD6E88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业绩</w:t>
            </w:r>
            <w:r>
              <w:rPr>
                <w:rFonts w:hint="eastAsia" w:ascii="宋体" w:hAnsi="宋体" w:eastAsia="宋体" w:cs="宋体"/>
                <w:color w:val="auto"/>
                <w:sz w:val="24"/>
                <w:szCs w:val="24"/>
                <w:highlight w:val="none"/>
                <w:lang w:val="en-US" w:eastAsia="zh-CN"/>
              </w:rPr>
              <w:t>（10分）</w:t>
            </w:r>
          </w:p>
        </w:tc>
        <w:tc>
          <w:tcPr>
            <w:tcW w:w="6306" w:type="dxa"/>
            <w:noWrap w:val="0"/>
            <w:vAlign w:val="center"/>
          </w:tcPr>
          <w:p w14:paraId="494F18C4">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供应商2022年1月1日至今承担过同类项目业绩，每项业绩得2分，最多得10分</w:t>
            </w:r>
          </w:p>
          <w:p w14:paraId="4F54723A">
            <w:pPr>
              <w:pStyle w:val="202"/>
              <w:snapToGri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注：响应文件中附合同复印件或中标通知书扫描件，否则不得分。</w:t>
            </w:r>
          </w:p>
        </w:tc>
      </w:tr>
      <w:tr w14:paraId="08DD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681" w:type="dxa"/>
            <w:noWrap w:val="0"/>
            <w:vAlign w:val="center"/>
          </w:tcPr>
          <w:p w14:paraId="6421F2E5">
            <w:pPr>
              <w:spacing w:line="360" w:lineRule="auto"/>
              <w:jc w:val="center"/>
              <w:rPr>
                <w:rFonts w:hint="eastAsia" w:ascii="宋体" w:hAnsi="宋体" w:eastAsia="宋体" w:cs="宋体"/>
                <w:strike/>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2647" w:type="dxa"/>
            <w:gridSpan w:val="2"/>
            <w:noWrap w:val="0"/>
            <w:vAlign w:val="center"/>
          </w:tcPr>
          <w:p w14:paraId="6288BFE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项目成员（8分）</w:t>
            </w:r>
          </w:p>
        </w:tc>
        <w:tc>
          <w:tcPr>
            <w:tcW w:w="6306" w:type="dxa"/>
            <w:noWrap w:val="0"/>
            <w:vAlign w:val="center"/>
          </w:tcPr>
          <w:p w14:paraId="4E1DE3B2">
            <w:pPr>
              <w:pStyle w:val="202"/>
              <w:snapToGrid w:val="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rPr>
              <w:t>本项目拟派人员每增加一个注册会计师加2分，最高可加4分；其他参审人员每增加一个中级及以上职业资格（职称）证书，加2分，最高可加4分。（需提供参审人员注册会计师及专业技术职称资格证书复印件及近半年的社保缴纳证明等材料，否则不得分并不予加分。）</w:t>
            </w:r>
          </w:p>
        </w:tc>
      </w:tr>
      <w:tr w14:paraId="7962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681" w:type="dxa"/>
            <w:noWrap w:val="0"/>
            <w:vAlign w:val="center"/>
          </w:tcPr>
          <w:p w14:paraId="05FC301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83" w:type="dxa"/>
            <w:vMerge w:val="restart"/>
            <w:noWrap w:val="0"/>
            <w:vAlign w:val="center"/>
          </w:tcPr>
          <w:p w14:paraId="2A52C8DF">
            <w:pPr>
              <w:pStyle w:val="1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服务工作方案</w:t>
            </w:r>
          </w:p>
        </w:tc>
        <w:tc>
          <w:tcPr>
            <w:tcW w:w="1664" w:type="dxa"/>
            <w:noWrap w:val="0"/>
            <w:vAlign w:val="center"/>
          </w:tcPr>
          <w:p w14:paraId="2C2CB93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总体方案（20分）</w:t>
            </w:r>
          </w:p>
        </w:tc>
        <w:tc>
          <w:tcPr>
            <w:tcW w:w="6306" w:type="dxa"/>
            <w:noWrap w:val="0"/>
            <w:vAlign w:val="center"/>
          </w:tcPr>
          <w:p w14:paraId="381A2E92">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总体框架、思路清晰、目标明确，对项目管理的各项工作和要求理解到位，符合本项目管理的要求得20分；</w:t>
            </w:r>
          </w:p>
          <w:p w14:paraId="4DD2CBDE">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方案内容存在缺漏但不影响项目主体内容得，得15分；</w:t>
            </w:r>
          </w:p>
          <w:p w14:paraId="7AE778AA">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提供方案，但方案内容与项目实际情况不相符的得，得10分；</w:t>
            </w:r>
          </w:p>
          <w:p w14:paraId="2C22244F">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不提供不得分。</w:t>
            </w:r>
          </w:p>
        </w:tc>
      </w:tr>
      <w:tr w14:paraId="23914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681" w:type="dxa"/>
            <w:noWrap w:val="0"/>
            <w:vAlign w:val="center"/>
          </w:tcPr>
          <w:p w14:paraId="130E0854">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983" w:type="dxa"/>
            <w:vMerge w:val="continue"/>
            <w:noWrap w:val="0"/>
            <w:vAlign w:val="center"/>
          </w:tcPr>
          <w:p w14:paraId="67EB121A">
            <w:pPr>
              <w:pStyle w:val="118"/>
              <w:jc w:val="center"/>
              <w:rPr>
                <w:rFonts w:hint="eastAsia" w:ascii="宋体" w:hAnsi="宋体" w:eastAsia="宋体" w:cs="宋体"/>
                <w:color w:val="auto"/>
                <w:sz w:val="24"/>
                <w:szCs w:val="24"/>
                <w:highlight w:val="none"/>
              </w:rPr>
            </w:pPr>
          </w:p>
        </w:tc>
        <w:tc>
          <w:tcPr>
            <w:tcW w:w="1664" w:type="dxa"/>
            <w:noWrap w:val="0"/>
            <w:vAlign w:val="center"/>
          </w:tcPr>
          <w:p w14:paraId="3D1D015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项目进度（10分）</w:t>
            </w:r>
          </w:p>
        </w:tc>
        <w:tc>
          <w:tcPr>
            <w:tcW w:w="6306" w:type="dxa"/>
            <w:noWrap w:val="0"/>
            <w:vAlign w:val="center"/>
          </w:tcPr>
          <w:p w14:paraId="49746F59">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项目进度安排合理、措施全面、可操作性强得10分；</w:t>
            </w:r>
          </w:p>
          <w:p w14:paraId="2A6A806B">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进度安排基本合理、措施基本完善、具有一定的可操作性得6分；</w:t>
            </w:r>
          </w:p>
          <w:p w14:paraId="2DBB8330">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进度安排不合理、控制措施不全面、无可操作性酌情减分最低得3分。</w:t>
            </w:r>
          </w:p>
        </w:tc>
      </w:tr>
      <w:tr w14:paraId="0C92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1" w:type="dxa"/>
            <w:noWrap w:val="0"/>
            <w:vAlign w:val="center"/>
          </w:tcPr>
          <w:p w14:paraId="25F0C125">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983" w:type="dxa"/>
            <w:vMerge w:val="continue"/>
            <w:noWrap w:val="0"/>
            <w:vAlign w:val="center"/>
          </w:tcPr>
          <w:p w14:paraId="68AE3701">
            <w:pPr>
              <w:pStyle w:val="118"/>
              <w:jc w:val="center"/>
              <w:rPr>
                <w:rFonts w:hint="eastAsia" w:ascii="宋体" w:hAnsi="宋体" w:eastAsia="宋体" w:cs="宋体"/>
                <w:color w:val="auto"/>
                <w:sz w:val="24"/>
                <w:szCs w:val="24"/>
                <w:highlight w:val="none"/>
              </w:rPr>
            </w:pPr>
          </w:p>
        </w:tc>
        <w:tc>
          <w:tcPr>
            <w:tcW w:w="1664" w:type="dxa"/>
            <w:noWrap w:val="0"/>
            <w:vAlign w:val="center"/>
          </w:tcPr>
          <w:p w14:paraId="6FFFFD5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内部管理制度（14分）</w:t>
            </w:r>
          </w:p>
        </w:tc>
        <w:tc>
          <w:tcPr>
            <w:tcW w:w="6306" w:type="dxa"/>
            <w:noWrap w:val="0"/>
            <w:vAlign w:val="center"/>
          </w:tcPr>
          <w:p w14:paraId="298E3413">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有健全的审计质量控制制度、财务管理制度、风险管理制度、经营管理制度、廉政管理制度、技术档案管理制度及保密制度，完善的得14分，每缺一项扣2分。</w:t>
            </w:r>
          </w:p>
        </w:tc>
      </w:tr>
      <w:tr w14:paraId="2876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14:paraId="7E1F291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983" w:type="dxa"/>
            <w:vMerge w:val="continue"/>
            <w:noWrap w:val="0"/>
            <w:vAlign w:val="center"/>
          </w:tcPr>
          <w:p w14:paraId="1BFFDA2E">
            <w:pPr>
              <w:pStyle w:val="118"/>
              <w:jc w:val="center"/>
              <w:rPr>
                <w:rFonts w:hint="eastAsia" w:ascii="宋体" w:hAnsi="宋体" w:eastAsia="宋体" w:cs="宋体"/>
                <w:color w:val="auto"/>
                <w:sz w:val="24"/>
                <w:szCs w:val="24"/>
                <w:highlight w:val="none"/>
              </w:rPr>
            </w:pPr>
          </w:p>
        </w:tc>
        <w:tc>
          <w:tcPr>
            <w:tcW w:w="1664" w:type="dxa"/>
            <w:noWrap w:val="0"/>
            <w:vAlign w:val="center"/>
          </w:tcPr>
          <w:p w14:paraId="17791F2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服务承诺及服务保障措施（5分）</w:t>
            </w:r>
          </w:p>
        </w:tc>
        <w:tc>
          <w:tcPr>
            <w:tcW w:w="6306" w:type="dxa"/>
            <w:noWrap w:val="0"/>
            <w:vAlign w:val="center"/>
          </w:tcPr>
          <w:p w14:paraId="20CFAC00">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方案内容完整、可行、符合项目实际情况的得5分；</w:t>
            </w:r>
          </w:p>
          <w:p w14:paraId="61096E93">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方案内容存在缺漏但不影响项目主体内容得3分；</w:t>
            </w:r>
          </w:p>
          <w:p w14:paraId="416879C7">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提供方案但内容与项目实际情况不相符的得1分；</w:t>
            </w:r>
          </w:p>
          <w:p w14:paraId="3F716EC1">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未提供不得分。</w:t>
            </w:r>
          </w:p>
        </w:tc>
      </w:tr>
      <w:tr w14:paraId="2062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14:paraId="021EA8F4">
            <w:pPr>
              <w:spacing w:line="360" w:lineRule="auto"/>
              <w:jc w:val="center"/>
              <w:rPr>
                <w:rFonts w:hint="eastAsia" w:ascii="宋体" w:hAnsi="宋体" w:eastAsia="宋体" w:cs="宋体"/>
                <w:color w:val="auto"/>
                <w:sz w:val="24"/>
                <w:szCs w:val="24"/>
                <w:highlight w:val="none"/>
                <w:lang w:val="en-US" w:eastAsia="zh-CN"/>
              </w:rPr>
            </w:pPr>
            <w:bookmarkStart w:id="235" w:name="_Toc436256515"/>
            <w:bookmarkStart w:id="236" w:name="_Toc525984000"/>
            <w:r>
              <w:rPr>
                <w:rFonts w:hint="eastAsia" w:ascii="宋体" w:hAnsi="宋体" w:eastAsia="宋体" w:cs="宋体"/>
                <w:color w:val="auto"/>
                <w:sz w:val="24"/>
                <w:szCs w:val="24"/>
                <w:highlight w:val="none"/>
                <w:lang w:val="en-US" w:eastAsia="zh-CN"/>
              </w:rPr>
              <w:t>7</w:t>
            </w:r>
          </w:p>
        </w:tc>
        <w:tc>
          <w:tcPr>
            <w:tcW w:w="983" w:type="dxa"/>
            <w:vMerge w:val="continue"/>
            <w:noWrap w:val="0"/>
            <w:vAlign w:val="center"/>
          </w:tcPr>
          <w:p w14:paraId="4B5C3C1B">
            <w:pPr>
              <w:pStyle w:val="118"/>
              <w:jc w:val="center"/>
              <w:rPr>
                <w:rFonts w:hint="eastAsia" w:ascii="宋体" w:hAnsi="宋体" w:eastAsia="宋体" w:cs="宋体"/>
                <w:color w:val="auto"/>
                <w:sz w:val="24"/>
                <w:szCs w:val="24"/>
                <w:highlight w:val="none"/>
              </w:rPr>
            </w:pPr>
          </w:p>
        </w:tc>
        <w:tc>
          <w:tcPr>
            <w:tcW w:w="1664" w:type="dxa"/>
            <w:noWrap w:val="0"/>
            <w:vAlign w:val="center"/>
          </w:tcPr>
          <w:p w14:paraId="0364E78E">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合理化建议（3分）</w:t>
            </w:r>
          </w:p>
        </w:tc>
        <w:tc>
          <w:tcPr>
            <w:tcW w:w="6306" w:type="dxa"/>
            <w:noWrap w:val="0"/>
            <w:vAlign w:val="center"/>
          </w:tcPr>
          <w:p w14:paraId="5ABCE03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针对本项目提供合理化建议，每条加1分，满分3分。</w:t>
            </w:r>
          </w:p>
        </w:tc>
      </w:tr>
      <w:tr w14:paraId="6CB0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9634" w:type="dxa"/>
            <w:gridSpan w:val="4"/>
            <w:noWrap w:val="0"/>
            <w:vAlign w:val="center"/>
          </w:tcPr>
          <w:p w14:paraId="403E3FFB">
            <w:pPr>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注：1.应答人必须针对打分内容提供相应证明文件，不能承诺或复制磋商文件要求作为响应方案。未提供证明资料或提供证明资料不完整的，评标专家有权按0分处理。</w:t>
            </w:r>
          </w:p>
          <w:p w14:paraId="04BCAB10">
            <w:pPr>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2.得分保留小数点后两位，第三位四舍五入。</w:t>
            </w:r>
          </w:p>
          <w:p w14:paraId="71E91F82">
            <w:pPr>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3.应答人单项（商务或技术部分）得分为所有评委打分的算术平均值。4.应答人最终得分为商务部分、价格部分和技术部分之和。</w:t>
            </w:r>
          </w:p>
        </w:tc>
      </w:tr>
    </w:tbl>
    <w:p w14:paraId="67F5CF11">
      <w:pPr>
        <w:spacing w:before="0"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注1：价格分数保留两位小数。</w:t>
      </w:r>
    </w:p>
    <w:p w14:paraId="564D7ACF">
      <w:pPr>
        <w:spacing w:before="0" w:line="36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注2：根据《政府采购促进中小企业发展管理办法》（财库﹝202</w:t>
      </w:r>
      <w:r>
        <w:rPr>
          <w:rFonts w:hint="eastAsia" w:ascii="宋体" w:hAnsi="宋体" w:eastAsia="宋体" w:cs="宋体"/>
          <w:color w:val="auto"/>
          <w:spacing w:val="0"/>
          <w:sz w:val="24"/>
          <w:szCs w:val="24"/>
          <w:highlight w:val="none"/>
        </w:rPr>
        <w:t>0﹞46号）和《财政部司法部关于政府采购支持监狱企业发展有关问题的通知》（财库〔2014〕68号）的规定，对满足价格扣</w:t>
      </w:r>
      <w:r>
        <w:rPr>
          <w:rFonts w:hint="eastAsia" w:ascii="宋体" w:hAnsi="宋体" w:eastAsia="宋体" w:cs="宋体"/>
          <w:color w:val="auto"/>
          <w:sz w:val="24"/>
          <w:szCs w:val="24"/>
          <w:highlight w:val="none"/>
        </w:rPr>
        <w:t>除条件且在响应文件中提交了《中小企业声明函》或省级以上监狱管理局、戒毒</w:t>
      </w:r>
      <w:r>
        <w:rPr>
          <w:rFonts w:hint="eastAsia" w:ascii="宋体" w:hAnsi="宋体" w:eastAsia="宋体" w:cs="宋体"/>
          <w:color w:val="auto"/>
          <w:spacing w:val="0"/>
          <w:sz w:val="24"/>
          <w:szCs w:val="24"/>
          <w:highlight w:val="none"/>
        </w:rPr>
        <w:t>管理局（含新疆</w:t>
      </w:r>
      <w:r>
        <w:rPr>
          <w:rFonts w:hint="eastAsia" w:ascii="宋体" w:hAnsi="宋体" w:eastAsia="宋体" w:cs="宋体"/>
          <w:color w:val="auto"/>
          <w:sz w:val="24"/>
          <w:szCs w:val="24"/>
          <w:highlight w:val="none"/>
        </w:rPr>
        <w:t>生产建设兵团）出具的属于监狱企业的证明文件的供应商，其投标报价扣除前附</w:t>
      </w:r>
      <w:r>
        <w:rPr>
          <w:rFonts w:hint="eastAsia" w:ascii="宋体" w:hAnsi="宋体" w:eastAsia="宋体" w:cs="宋体"/>
          <w:color w:val="auto"/>
          <w:spacing w:val="0"/>
          <w:sz w:val="24"/>
          <w:szCs w:val="24"/>
          <w:highlight w:val="none"/>
        </w:rPr>
        <w:t>表中规定的比例后参与评审。</w:t>
      </w:r>
    </w:p>
    <w:p w14:paraId="083D3248">
      <w:pPr>
        <w:spacing w:before="0" w:line="36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注3：联合协议中约定，小型、微型企业和监狱企业的协议合同金额占到联合体协议合同总金额30%以上的，可给予联合体前附表中规定比例的价格扣除。</w:t>
      </w:r>
    </w:p>
    <w:p w14:paraId="21091227">
      <w:pPr>
        <w:spacing w:before="0"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联合体各方均为小型、微型企业和监狱企业的，联合体视同为小型、微型企业和监狱企业。</w:t>
      </w:r>
    </w:p>
    <w:p w14:paraId="7F08DBC2">
      <w:pPr>
        <w:spacing w:before="0" w:line="36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注4：供应商所投产品如被列入财政部与国家主管部</w:t>
      </w:r>
      <w:r>
        <w:rPr>
          <w:rFonts w:hint="eastAsia" w:ascii="宋体" w:hAnsi="宋体" w:eastAsia="宋体" w:cs="宋体"/>
          <w:color w:val="auto"/>
          <w:sz w:val="24"/>
          <w:szCs w:val="24"/>
          <w:highlight w:val="none"/>
        </w:rPr>
        <w:t>门颁发的节能产品目录或环境标志产品目录</w:t>
      </w:r>
      <w:r>
        <w:rPr>
          <w:rFonts w:hint="eastAsia" w:ascii="宋体" w:hAnsi="宋体" w:eastAsia="宋体" w:cs="宋体"/>
          <w:color w:val="auto"/>
          <w:spacing w:val="0"/>
          <w:sz w:val="24"/>
          <w:szCs w:val="24"/>
          <w:highlight w:val="none"/>
        </w:rPr>
        <w:t>或无线局域网产品目录，应提供相关证明，在评标时予以优先采购。</w:t>
      </w:r>
    </w:p>
    <w:p w14:paraId="16D2E154">
      <w:pPr>
        <w:spacing w:before="0" w:line="36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注5：如采购人所采购产品为政府强制采购的节能产品，供应商所投产品的品牌及型号必须为清</w:t>
      </w:r>
      <w:r>
        <w:rPr>
          <w:rFonts w:hint="eastAsia" w:ascii="宋体" w:hAnsi="宋体" w:eastAsia="宋体" w:cs="宋体"/>
          <w:color w:val="auto"/>
          <w:spacing w:val="0"/>
          <w:sz w:val="24"/>
          <w:szCs w:val="24"/>
          <w:highlight w:val="none"/>
        </w:rPr>
        <w:t>单中有效期内产品并提供证明文件，否则其投标将作为无效投标被拒绝。</w:t>
      </w:r>
    </w:p>
    <w:p w14:paraId="33B89A21">
      <w:pPr>
        <w:pStyle w:val="2"/>
        <w:numPr>
          <w:ilvl w:val="0"/>
          <w:numId w:val="8"/>
        </w:numPr>
        <w:spacing w:line="360" w:lineRule="auto"/>
        <w:ind w:left="0" w:firstLine="0"/>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bookmarkEnd w:id="235"/>
      <w:bookmarkStart w:id="237" w:name="_Toc20863"/>
      <w:r>
        <w:rPr>
          <w:rFonts w:hint="eastAsia" w:ascii="宋体" w:hAnsi="宋体" w:eastAsia="宋体" w:cs="宋体"/>
          <w:color w:val="auto"/>
          <w:sz w:val="44"/>
          <w:szCs w:val="44"/>
          <w:highlight w:val="none"/>
        </w:rPr>
        <w:t>政府采购合同</w:t>
      </w:r>
      <w:bookmarkEnd w:id="236"/>
      <w:bookmarkEnd w:id="237"/>
    </w:p>
    <w:p w14:paraId="59469B27">
      <w:pPr>
        <w:pStyle w:val="205"/>
        <w:jc w:val="center"/>
        <w:rPr>
          <w:rFonts w:hint="eastAsia" w:ascii="宋体" w:hAnsi="宋体" w:eastAsia="宋体" w:cs="宋体"/>
          <w:b/>
          <w:bCs/>
          <w:color w:val="auto"/>
          <w:kern w:val="2"/>
          <w:sz w:val="32"/>
          <w:szCs w:val="32"/>
          <w:highlight w:val="none"/>
        </w:rPr>
      </w:pPr>
      <w:bookmarkStart w:id="238" w:name="_Toc497666659"/>
      <w:bookmarkStart w:id="239" w:name="_Toc380404623"/>
      <w:r>
        <w:rPr>
          <w:rFonts w:hint="eastAsia" w:ascii="宋体" w:hAnsi="宋体" w:eastAsia="宋体" w:cs="宋体"/>
          <w:b/>
          <w:bCs/>
          <w:color w:val="auto"/>
          <w:kern w:val="2"/>
          <w:sz w:val="32"/>
          <w:szCs w:val="32"/>
          <w:highlight w:val="none"/>
        </w:rPr>
        <w:t>政府采购合同书</w:t>
      </w:r>
    </w:p>
    <w:p w14:paraId="32C6DB91">
      <w:pPr>
        <w:pStyle w:val="205"/>
        <w:jc w:val="center"/>
        <w:rPr>
          <w:rFonts w:hint="eastAsia" w:ascii="宋体" w:hAnsi="宋体" w:eastAsia="宋体" w:cs="宋体"/>
          <w:b/>
          <w:bCs/>
          <w:color w:val="auto"/>
          <w:kern w:val="2"/>
          <w:sz w:val="28"/>
          <w:szCs w:val="32"/>
          <w:highlight w:val="none"/>
        </w:rPr>
      </w:pPr>
      <w:r>
        <w:rPr>
          <w:rFonts w:hint="eastAsia" w:ascii="宋体" w:hAnsi="宋体" w:eastAsia="宋体" w:cs="宋体"/>
          <w:b/>
          <w:bCs/>
          <w:color w:val="auto"/>
          <w:kern w:val="2"/>
          <w:sz w:val="28"/>
          <w:szCs w:val="32"/>
          <w:highlight w:val="none"/>
        </w:rPr>
        <w:t>（仅供参考，以具体实际签订为准）</w:t>
      </w:r>
    </w:p>
    <w:p w14:paraId="038CFB58">
      <w:pPr>
        <w:pStyle w:val="205"/>
        <w:ind w:firstLine="2880" w:firstLineChars="1200"/>
        <w:jc w:val="both"/>
        <w:rPr>
          <w:rFonts w:hint="eastAsia" w:ascii="宋体" w:hAnsi="宋体" w:eastAsia="宋体" w:cs="宋体"/>
          <w:bCs/>
          <w:color w:val="auto"/>
          <w:kern w:val="2"/>
          <w:highlight w:val="none"/>
        </w:rPr>
      </w:pPr>
    </w:p>
    <w:p w14:paraId="7BD821B8">
      <w:pPr>
        <w:pStyle w:val="206"/>
        <w:spacing w:line="360" w:lineRule="auto"/>
        <w:ind w:left="2340" w:leftChars="200" w:hanging="1920" w:hangingChars="8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甲方：</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p>
    <w:p w14:paraId="46C13ABE">
      <w:pPr>
        <w:pStyle w:val="206"/>
        <w:spacing w:line="360" w:lineRule="auto"/>
        <w:ind w:left="420" w:left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乙方：</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u w:val="single"/>
        </w:rPr>
        <w:tab/>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u w:val="single"/>
        </w:rPr>
        <w:tab/>
      </w:r>
      <w:r>
        <w:rPr>
          <w:rFonts w:hint="eastAsia" w:ascii="宋体" w:hAnsi="宋体" w:eastAsia="宋体" w:cs="宋体"/>
          <w:bCs/>
          <w:color w:val="auto"/>
          <w:kern w:val="2"/>
          <w:sz w:val="24"/>
          <w:szCs w:val="24"/>
          <w:highlight w:val="none"/>
          <w:u w:val="single"/>
        </w:rPr>
        <w:tab/>
      </w:r>
      <w:r>
        <w:rPr>
          <w:rFonts w:hint="eastAsia" w:ascii="宋体" w:hAnsi="宋体" w:eastAsia="宋体" w:cs="宋体"/>
          <w:bCs/>
          <w:color w:val="auto"/>
          <w:kern w:val="2"/>
          <w:sz w:val="24"/>
          <w:szCs w:val="24"/>
          <w:highlight w:val="none"/>
          <w:u w:val="single"/>
        </w:rPr>
        <w:t xml:space="preserve">  </w:t>
      </w:r>
    </w:p>
    <w:p w14:paraId="790D6AB5">
      <w:pPr>
        <w:pStyle w:val="206"/>
        <w:spacing w:line="360" w:lineRule="auto"/>
        <w:ind w:left="420" w:left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根据《</w:t>
      </w:r>
      <w:r>
        <w:rPr>
          <w:rFonts w:hint="eastAsia" w:ascii="宋体" w:hAnsi="宋体" w:eastAsia="宋体" w:cs="宋体"/>
          <w:bCs/>
          <w:color w:val="auto"/>
          <w:kern w:val="2"/>
          <w:sz w:val="24"/>
          <w:szCs w:val="24"/>
          <w:highlight w:val="none"/>
        </w:rPr>
        <w:fldChar w:fldCharType="begin"/>
      </w:r>
      <w:r>
        <w:rPr>
          <w:rFonts w:hint="eastAsia" w:ascii="宋体" w:hAnsi="宋体" w:eastAsia="宋体" w:cs="宋体"/>
          <w:bCs/>
          <w:color w:val="auto"/>
          <w:kern w:val="2"/>
          <w:sz w:val="24"/>
          <w:szCs w:val="24"/>
          <w:highlight w:val="none"/>
        </w:rPr>
        <w:instrText xml:space="preserve"> HYPERLINK "javascript:SLC(21651,0)" </w:instrText>
      </w:r>
      <w:r>
        <w:rPr>
          <w:rFonts w:hint="eastAsia" w:ascii="宋体" w:hAnsi="宋体" w:eastAsia="宋体" w:cs="宋体"/>
          <w:bCs/>
          <w:color w:val="auto"/>
          <w:kern w:val="2"/>
          <w:sz w:val="24"/>
          <w:szCs w:val="24"/>
          <w:highlight w:val="none"/>
        </w:rPr>
        <w:fldChar w:fldCharType="separate"/>
      </w:r>
      <w:r>
        <w:rPr>
          <w:rFonts w:hint="eastAsia" w:ascii="宋体" w:hAnsi="宋体" w:eastAsia="宋体" w:cs="宋体"/>
          <w:bCs/>
          <w:color w:val="auto"/>
          <w:kern w:val="2"/>
          <w:sz w:val="24"/>
          <w:szCs w:val="24"/>
          <w:highlight w:val="none"/>
        </w:rPr>
        <w:t>中华人民共和国民法典</w:t>
      </w:r>
      <w:r>
        <w:rPr>
          <w:rFonts w:hint="eastAsia" w:ascii="宋体" w:hAnsi="宋体" w:eastAsia="宋体" w:cs="宋体"/>
          <w:bCs/>
          <w:color w:val="auto"/>
          <w:kern w:val="2"/>
          <w:sz w:val="24"/>
          <w:szCs w:val="24"/>
          <w:highlight w:val="none"/>
        </w:rPr>
        <w:fldChar w:fldCharType="end"/>
      </w:r>
      <w:r>
        <w:rPr>
          <w:rFonts w:hint="eastAsia" w:ascii="宋体" w:hAnsi="宋体" w:eastAsia="宋体" w:cs="宋体"/>
          <w:bCs/>
          <w:color w:val="auto"/>
          <w:kern w:val="2"/>
          <w:sz w:val="24"/>
          <w:szCs w:val="24"/>
          <w:highlight w:val="none"/>
        </w:rPr>
        <w:t>》及其他有关法律、法规，遵循平等、自愿、公平和诚实信用的原则，就下述建设项目委托造价咨询与其他服务事项协商一致，订立本合同。</w:t>
      </w:r>
    </w:p>
    <w:p w14:paraId="054D8B49">
      <w:pPr>
        <w:rPr>
          <w:rFonts w:hint="eastAsia" w:ascii="宋体" w:hAnsi="宋体" w:eastAsia="宋体" w:cs="宋体"/>
          <w:b/>
          <w:bCs/>
          <w:color w:val="auto"/>
          <w:sz w:val="28"/>
          <w:szCs w:val="24"/>
          <w:highlight w:val="none"/>
        </w:rPr>
      </w:pPr>
      <w:bookmarkStart w:id="240" w:name="_Toc422322471"/>
      <w:bookmarkStart w:id="241" w:name="_Toc419045056"/>
      <w:r>
        <w:rPr>
          <w:rFonts w:hint="eastAsia" w:ascii="宋体" w:hAnsi="宋体" w:eastAsia="宋体" w:cs="宋体"/>
          <w:b/>
          <w:bCs/>
          <w:color w:val="auto"/>
          <w:sz w:val="28"/>
          <w:szCs w:val="24"/>
          <w:highlight w:val="none"/>
        </w:rPr>
        <w:t>一、项目概况</w:t>
      </w:r>
      <w:bookmarkEnd w:id="240"/>
    </w:p>
    <w:p w14:paraId="1F467BFD">
      <w:pPr>
        <w:spacing w:line="360" w:lineRule="auto"/>
        <w:ind w:left="2445" w:leftChars="250" w:hanging="1920" w:hangingChars="8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1.项目名称：</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635DF0D4">
      <w:p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2.项目地点：</w:t>
      </w:r>
      <w:bookmarkEnd w:id="241"/>
      <w:r>
        <w:rPr>
          <w:rFonts w:hint="eastAsia" w:ascii="宋体" w:hAnsi="宋体" w:eastAsia="宋体" w:cs="宋体"/>
          <w:bCs/>
          <w:color w:val="auto"/>
          <w:sz w:val="24"/>
          <w:szCs w:val="24"/>
          <w:highlight w:val="none"/>
          <w:u w:val="single"/>
          <w:lang w:val="en-US" w:eastAsia="zh-CN"/>
        </w:rPr>
        <w:t xml:space="preserve">                                      </w:t>
      </w:r>
    </w:p>
    <w:p w14:paraId="6DF9F283">
      <w:pPr>
        <w:pStyle w:val="206"/>
        <w:spacing w:line="360" w:lineRule="auto"/>
        <w:ind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3.项目规模：</w:t>
      </w:r>
      <w:r>
        <w:rPr>
          <w:rFonts w:hint="eastAsia" w:ascii="宋体" w:hAnsi="宋体" w:eastAsia="宋体" w:cs="宋体"/>
          <w:bCs/>
          <w:color w:val="auto"/>
          <w:kern w:val="2"/>
          <w:sz w:val="24"/>
          <w:szCs w:val="24"/>
          <w:highlight w:val="none"/>
          <w:u w:val="single"/>
        </w:rPr>
        <w:t xml:space="preserve">             /           </w:t>
      </w:r>
      <w:r>
        <w:rPr>
          <w:rFonts w:hint="eastAsia" w:ascii="宋体" w:hAnsi="宋体" w:eastAsia="宋体" w:cs="宋体"/>
          <w:bCs/>
          <w:color w:val="auto"/>
          <w:kern w:val="2"/>
          <w:sz w:val="24"/>
          <w:szCs w:val="24"/>
          <w:highlight w:val="none"/>
          <w:u w:val="single"/>
        </w:rPr>
        <w:tab/>
      </w:r>
      <w:r>
        <w:rPr>
          <w:rFonts w:hint="eastAsia" w:ascii="宋体" w:hAnsi="宋体" w:eastAsia="宋体" w:cs="宋体"/>
          <w:bCs/>
          <w:color w:val="auto"/>
          <w:kern w:val="2"/>
          <w:sz w:val="24"/>
          <w:szCs w:val="24"/>
          <w:highlight w:val="none"/>
          <w:u w:val="single"/>
        </w:rPr>
        <w:tab/>
      </w:r>
      <w:r>
        <w:rPr>
          <w:rFonts w:hint="eastAsia" w:ascii="宋体" w:hAnsi="宋体" w:eastAsia="宋体" w:cs="宋体"/>
          <w:bCs/>
          <w:color w:val="auto"/>
          <w:kern w:val="2"/>
          <w:sz w:val="24"/>
          <w:szCs w:val="24"/>
          <w:highlight w:val="none"/>
          <w:u w:val="single"/>
        </w:rPr>
        <w:t xml:space="preserve">    </w:t>
      </w:r>
    </w:p>
    <w:p w14:paraId="3932D610">
      <w:pPr>
        <w:pStyle w:val="206"/>
        <w:spacing w:line="360" w:lineRule="auto"/>
        <w:ind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4.投资金额：</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u w:val="single"/>
        </w:rPr>
        <w:tab/>
      </w:r>
      <w:r>
        <w:rPr>
          <w:rFonts w:hint="eastAsia" w:ascii="宋体" w:hAnsi="宋体" w:eastAsia="宋体" w:cs="宋体"/>
          <w:bCs/>
          <w:color w:val="auto"/>
          <w:kern w:val="2"/>
          <w:sz w:val="24"/>
          <w:szCs w:val="24"/>
          <w:highlight w:val="none"/>
          <w:u w:val="single"/>
        </w:rPr>
        <w:tab/>
      </w:r>
      <w:r>
        <w:rPr>
          <w:rFonts w:hint="eastAsia" w:ascii="宋体" w:hAnsi="宋体" w:eastAsia="宋体" w:cs="宋体"/>
          <w:bCs/>
          <w:color w:val="auto"/>
          <w:kern w:val="2"/>
          <w:sz w:val="24"/>
          <w:szCs w:val="24"/>
          <w:highlight w:val="none"/>
          <w:u w:val="single"/>
        </w:rPr>
        <w:t xml:space="preserve">   /    </w:t>
      </w:r>
      <w:r>
        <w:rPr>
          <w:rFonts w:hint="eastAsia" w:ascii="宋体" w:hAnsi="宋体" w:eastAsia="宋体" w:cs="宋体"/>
          <w:bCs/>
          <w:color w:val="auto"/>
          <w:kern w:val="2"/>
          <w:sz w:val="24"/>
          <w:szCs w:val="24"/>
          <w:highlight w:val="none"/>
          <w:u w:val="single"/>
        </w:rPr>
        <w:tab/>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u w:val="single"/>
        </w:rPr>
        <w:tab/>
      </w:r>
      <w:r>
        <w:rPr>
          <w:rFonts w:hint="eastAsia" w:ascii="宋体" w:hAnsi="宋体" w:eastAsia="宋体" w:cs="宋体"/>
          <w:bCs/>
          <w:color w:val="auto"/>
          <w:kern w:val="2"/>
          <w:sz w:val="24"/>
          <w:szCs w:val="24"/>
          <w:highlight w:val="none"/>
          <w:u w:val="single"/>
        </w:rPr>
        <w:tab/>
      </w:r>
      <w:r>
        <w:rPr>
          <w:rFonts w:hint="eastAsia" w:ascii="宋体" w:hAnsi="宋体" w:eastAsia="宋体" w:cs="宋体"/>
          <w:bCs/>
          <w:color w:val="auto"/>
          <w:kern w:val="2"/>
          <w:sz w:val="24"/>
          <w:szCs w:val="24"/>
          <w:highlight w:val="none"/>
          <w:u w:val="single"/>
        </w:rPr>
        <w:t xml:space="preserve"> </w:t>
      </w:r>
    </w:p>
    <w:p w14:paraId="12FE8F3C">
      <w:pPr>
        <w:pStyle w:val="206"/>
        <w:spacing w:line="360" w:lineRule="auto"/>
        <w:ind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5.资金来源：</w:t>
      </w:r>
      <w:r>
        <w:rPr>
          <w:rFonts w:hint="eastAsia" w:ascii="宋体" w:hAnsi="宋体" w:eastAsia="宋体" w:cs="宋体"/>
          <w:bCs/>
          <w:color w:val="auto"/>
          <w:kern w:val="2"/>
          <w:sz w:val="24"/>
          <w:szCs w:val="24"/>
          <w:highlight w:val="none"/>
          <w:u w:val="single"/>
        </w:rPr>
        <w:t xml:space="preserve">                                  </w:t>
      </w:r>
    </w:p>
    <w:p w14:paraId="420D6F99">
      <w:pPr>
        <w:pStyle w:val="206"/>
        <w:spacing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6.其他：</w:t>
      </w:r>
      <w:r>
        <w:rPr>
          <w:rFonts w:hint="eastAsia" w:ascii="宋体" w:hAnsi="宋体" w:eastAsia="宋体" w:cs="宋体"/>
          <w:bCs/>
          <w:color w:val="auto"/>
          <w:kern w:val="2"/>
          <w:sz w:val="24"/>
          <w:szCs w:val="24"/>
          <w:highlight w:val="none"/>
          <w:u w:val="single"/>
        </w:rPr>
        <w:t xml:space="preserve">            /       </w:t>
      </w:r>
      <w:r>
        <w:rPr>
          <w:rFonts w:hint="eastAsia" w:ascii="宋体" w:hAnsi="宋体" w:eastAsia="宋体" w:cs="宋体"/>
          <w:bCs/>
          <w:color w:val="auto"/>
          <w:kern w:val="2"/>
          <w:sz w:val="24"/>
          <w:szCs w:val="24"/>
          <w:highlight w:val="none"/>
          <w:u w:val="single"/>
        </w:rPr>
        <w:tab/>
      </w:r>
      <w:r>
        <w:rPr>
          <w:rFonts w:hint="eastAsia" w:ascii="宋体" w:hAnsi="宋体" w:eastAsia="宋体" w:cs="宋体"/>
          <w:bCs/>
          <w:color w:val="auto"/>
          <w:kern w:val="2"/>
          <w:sz w:val="24"/>
          <w:szCs w:val="24"/>
          <w:highlight w:val="none"/>
        </w:rPr>
        <w:tab/>
      </w:r>
      <w:r>
        <w:rPr>
          <w:rFonts w:hint="eastAsia" w:ascii="宋体" w:hAnsi="宋体" w:eastAsia="宋体" w:cs="宋体"/>
          <w:bCs/>
          <w:color w:val="auto"/>
          <w:kern w:val="2"/>
          <w:sz w:val="24"/>
          <w:szCs w:val="24"/>
          <w:highlight w:val="none"/>
        </w:rPr>
        <w:t>。</w:t>
      </w:r>
    </w:p>
    <w:p w14:paraId="5C1961F4">
      <w:pPr>
        <w:rPr>
          <w:rFonts w:hint="eastAsia" w:ascii="宋体" w:hAnsi="宋体" w:eastAsia="宋体" w:cs="宋体"/>
          <w:b/>
          <w:bCs/>
          <w:color w:val="auto"/>
          <w:sz w:val="28"/>
          <w:szCs w:val="24"/>
          <w:highlight w:val="none"/>
        </w:rPr>
      </w:pPr>
      <w:bookmarkStart w:id="242" w:name="_Toc422322472"/>
      <w:bookmarkStart w:id="243" w:name="_Toc419045059"/>
      <w:r>
        <w:rPr>
          <w:rFonts w:hint="eastAsia" w:ascii="宋体" w:hAnsi="宋体" w:eastAsia="宋体" w:cs="宋体"/>
          <w:b/>
          <w:bCs/>
          <w:color w:val="auto"/>
          <w:sz w:val="28"/>
          <w:szCs w:val="24"/>
          <w:highlight w:val="none"/>
        </w:rPr>
        <w:t>二、服务范围及工作内容</w:t>
      </w:r>
      <w:bookmarkEnd w:id="242"/>
      <w:bookmarkEnd w:id="243"/>
    </w:p>
    <w:p w14:paraId="68DB9427">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highlight w:val="none"/>
        </w:rPr>
        <w:t xml:space="preserve">  </w:t>
      </w:r>
      <w:r>
        <w:rPr>
          <w:rFonts w:hint="eastAsia" w:ascii="宋体" w:hAnsi="宋体" w:eastAsia="宋体" w:cs="宋体"/>
          <w:bCs/>
          <w:color w:val="auto"/>
          <w:sz w:val="24"/>
          <w:szCs w:val="24"/>
          <w:highlight w:val="none"/>
        </w:rPr>
        <w:t xml:space="preserve">   约定的服务范围及工作内容：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bookmarkStart w:id="244" w:name="_Toc419045060"/>
      <w:bookmarkStart w:id="245" w:name="_Toc422322473"/>
    </w:p>
    <w:p w14:paraId="19ABA963">
      <w:pPr>
        <w:spacing w:line="360" w:lineRule="auto"/>
        <w:rPr>
          <w:rFonts w:hint="eastAsia" w:ascii="宋体" w:hAnsi="宋体" w:eastAsia="宋体" w:cs="宋体"/>
          <w:b/>
          <w:bCs/>
          <w:color w:val="auto"/>
          <w:sz w:val="28"/>
          <w:szCs w:val="24"/>
          <w:highlight w:val="none"/>
        </w:rPr>
      </w:pPr>
      <w:r>
        <w:rPr>
          <w:rFonts w:hint="eastAsia" w:ascii="宋体" w:hAnsi="宋体" w:eastAsia="宋体" w:cs="宋体"/>
          <w:b/>
          <w:bCs/>
          <w:color w:val="auto"/>
          <w:sz w:val="28"/>
          <w:szCs w:val="24"/>
          <w:highlight w:val="none"/>
        </w:rPr>
        <w:t>三、服务期限</w:t>
      </w:r>
      <w:bookmarkEnd w:id="244"/>
      <w:bookmarkEnd w:id="245"/>
    </w:p>
    <w:p w14:paraId="5B2E0B36">
      <w:pPr>
        <w:pStyle w:val="206"/>
        <w:spacing w:line="360" w:lineRule="auto"/>
        <w:ind w:left="525" w:leftChars="25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本合同约定的建设项目造价咨询服务自</w:t>
      </w:r>
      <w:r>
        <w:rPr>
          <w:rFonts w:hint="eastAsia" w:ascii="宋体" w:hAnsi="宋体" w:eastAsia="宋体" w:cs="宋体"/>
          <w:color w:val="auto"/>
          <w:sz w:val="24"/>
          <w:highlight w:val="none"/>
          <w:u w:val="single"/>
        </w:rPr>
        <w:t xml:space="preserve">                            。</w:t>
      </w:r>
      <w:bookmarkStart w:id="246" w:name="_Toc419045061"/>
      <w:bookmarkStart w:id="247" w:name="_Toc422322474"/>
    </w:p>
    <w:p w14:paraId="4F39F188">
      <w:pPr>
        <w:pStyle w:val="206"/>
        <w:spacing w:line="360" w:lineRule="auto"/>
        <w:rPr>
          <w:rFonts w:hint="eastAsia" w:ascii="宋体" w:hAnsi="宋体" w:eastAsia="宋体" w:cs="宋体"/>
          <w:b/>
          <w:bCs/>
          <w:color w:val="auto"/>
          <w:sz w:val="28"/>
          <w:szCs w:val="24"/>
          <w:highlight w:val="none"/>
        </w:rPr>
      </w:pPr>
      <w:r>
        <w:rPr>
          <w:rFonts w:hint="eastAsia" w:ascii="宋体" w:hAnsi="宋体" w:eastAsia="宋体" w:cs="宋体"/>
          <w:b/>
          <w:bCs/>
          <w:color w:val="auto"/>
          <w:sz w:val="28"/>
          <w:szCs w:val="24"/>
          <w:highlight w:val="none"/>
        </w:rPr>
        <w:t>四、质量标准</w:t>
      </w:r>
      <w:bookmarkEnd w:id="246"/>
      <w:bookmarkEnd w:id="247"/>
    </w:p>
    <w:p w14:paraId="134A6AB3">
      <w:pPr>
        <w:pStyle w:val="206"/>
        <w:spacing w:line="360" w:lineRule="auto"/>
        <w:ind w:firstLine="600" w:firstLineChars="250"/>
        <w:rPr>
          <w:rFonts w:hint="eastAsia" w:ascii="宋体" w:hAnsi="宋体" w:eastAsia="宋体" w:cs="宋体"/>
          <w:b/>
          <w:bCs/>
          <w:color w:val="auto"/>
          <w:sz w:val="28"/>
          <w:szCs w:val="24"/>
          <w:highlight w:val="none"/>
        </w:rPr>
      </w:pPr>
      <w:r>
        <w:rPr>
          <w:rFonts w:hint="eastAsia" w:ascii="宋体" w:hAnsi="宋体" w:eastAsia="宋体" w:cs="宋体"/>
          <w:color w:val="auto"/>
          <w:sz w:val="24"/>
          <w:highlight w:val="none"/>
        </w:rPr>
        <w:t>项目造价咨询成果文件应符合：</w:t>
      </w:r>
      <w:r>
        <w:rPr>
          <w:rFonts w:hint="eastAsia" w:ascii="宋体" w:hAnsi="宋体" w:eastAsia="宋体" w:cs="宋体"/>
          <w:color w:val="auto"/>
          <w:sz w:val="24"/>
          <w:highlight w:val="none"/>
          <w:u w:val="single"/>
        </w:rPr>
        <w:t xml:space="preserve"> 现行国家标准或行业标准                                                                                                                           </w:t>
      </w:r>
      <w:bookmarkStart w:id="248" w:name="12"/>
      <w:bookmarkEnd w:id="248"/>
      <w:bookmarkStart w:id="249" w:name="_Toc422322475"/>
      <w:bookmarkStart w:id="250" w:name="_Toc419045062"/>
      <w:r>
        <w:rPr>
          <w:rFonts w:hint="eastAsia" w:ascii="宋体" w:hAnsi="宋体" w:eastAsia="宋体" w:cs="宋体"/>
          <w:b/>
          <w:bCs/>
          <w:color w:val="auto"/>
          <w:sz w:val="28"/>
          <w:szCs w:val="24"/>
          <w:highlight w:val="none"/>
        </w:rPr>
        <w:t>五、酬金或计取方式</w:t>
      </w:r>
      <w:bookmarkEnd w:id="249"/>
      <w:bookmarkEnd w:id="250"/>
    </w:p>
    <w:p w14:paraId="309EFA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1.酬金： 以财务决算金额为基数，费率</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 xml:space="preserve">     </w:t>
      </w:r>
    </w:p>
    <w:p w14:paraId="6C67C3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2.计取方式：/</w:t>
      </w:r>
    </w:p>
    <w:p w14:paraId="494543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3.付款方式：第一次结算审核报告书出具后7日内，以结算审定价为基数支付结算金额的50%；第二次决算编制报告书出具后7日内，支付剩余全部金额。</w:t>
      </w:r>
    </w:p>
    <w:p w14:paraId="1310885C">
      <w:pPr>
        <w:pStyle w:val="206"/>
        <w:spacing w:line="360" w:lineRule="auto"/>
        <w:jc w:val="left"/>
        <w:rPr>
          <w:rFonts w:hint="eastAsia" w:ascii="宋体" w:hAnsi="宋体" w:eastAsia="宋体" w:cs="宋体"/>
          <w:b/>
          <w:bCs/>
          <w:color w:val="auto"/>
          <w:kern w:val="2"/>
          <w:sz w:val="28"/>
          <w:szCs w:val="24"/>
          <w:highlight w:val="none"/>
        </w:rPr>
      </w:pPr>
      <w:bookmarkStart w:id="251" w:name="_Toc419045058"/>
      <w:bookmarkStart w:id="252" w:name="_Toc422322476"/>
      <w:r>
        <w:rPr>
          <w:rFonts w:hint="eastAsia" w:ascii="宋体" w:hAnsi="宋体" w:eastAsia="宋体" w:cs="宋体"/>
          <w:b/>
          <w:bCs/>
          <w:color w:val="auto"/>
          <w:kern w:val="2"/>
          <w:sz w:val="28"/>
          <w:szCs w:val="24"/>
          <w:highlight w:val="none"/>
        </w:rPr>
        <w:t>六、合同文件的构成</w:t>
      </w:r>
      <w:bookmarkEnd w:id="251"/>
      <w:bookmarkEnd w:id="252"/>
    </w:p>
    <w:p w14:paraId="4731CA16">
      <w:pPr>
        <w:pStyle w:val="206"/>
        <w:spacing w:line="360" w:lineRule="auto"/>
        <w:ind w:left="48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本协议书与下列文件一起构成合同文件:</w:t>
      </w:r>
    </w:p>
    <w:p w14:paraId="4864FD7E">
      <w:pPr>
        <w:pStyle w:val="206"/>
        <w:spacing w:line="360" w:lineRule="auto"/>
        <w:ind w:left="48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1.中标通知书或委托书（如果有）；</w:t>
      </w:r>
    </w:p>
    <w:p w14:paraId="0A904292">
      <w:pPr>
        <w:pStyle w:val="206"/>
        <w:spacing w:line="360" w:lineRule="auto"/>
        <w:ind w:left="48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2.投标函及投标函附录或造价咨询服务建议书（如果有）；</w:t>
      </w:r>
    </w:p>
    <w:p w14:paraId="57C45889">
      <w:pPr>
        <w:pStyle w:val="206"/>
        <w:spacing w:line="360" w:lineRule="auto"/>
        <w:ind w:left="48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3.专用条件；</w:t>
      </w:r>
    </w:p>
    <w:p w14:paraId="2E001D88">
      <w:pPr>
        <w:pStyle w:val="206"/>
        <w:spacing w:line="360" w:lineRule="auto"/>
        <w:ind w:left="48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4.通用条件；</w:t>
      </w:r>
    </w:p>
    <w:p w14:paraId="0A2C81F2">
      <w:pPr>
        <w:pStyle w:val="206"/>
        <w:spacing w:line="360" w:lineRule="auto"/>
        <w:ind w:left="48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5.其他合同文件。</w:t>
      </w:r>
    </w:p>
    <w:p w14:paraId="55D1815A">
      <w:pPr>
        <w:pStyle w:val="206"/>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上述各项合同文件包括合同当事人就该项合同文件所作出的补充和修改，属于同一类内容的文件，应以最新签署的为准。</w:t>
      </w:r>
    </w:p>
    <w:p w14:paraId="2D1D239E">
      <w:pPr>
        <w:pStyle w:val="206"/>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在合同订立及履行过程中形成的与合同有关的文件（包括补充协议）均构</w:t>
      </w:r>
    </w:p>
    <w:p w14:paraId="2622BF9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成合同文件的组成部分。</w:t>
      </w:r>
      <w:bookmarkStart w:id="253" w:name="_Toc419045057"/>
      <w:bookmarkStart w:id="254" w:name="_Toc422322477"/>
    </w:p>
    <w:p w14:paraId="65EAB412">
      <w:pPr>
        <w:spacing w:line="360" w:lineRule="auto"/>
        <w:rPr>
          <w:rFonts w:hint="eastAsia" w:ascii="宋体" w:hAnsi="宋体" w:eastAsia="宋体" w:cs="宋体"/>
          <w:smallCaps/>
          <w:color w:val="auto"/>
          <w:highlight w:val="none"/>
        </w:rPr>
      </w:pPr>
      <w:r>
        <w:rPr>
          <w:rFonts w:hint="eastAsia" w:ascii="宋体" w:hAnsi="宋体" w:eastAsia="宋体" w:cs="宋体"/>
          <w:b/>
          <w:bCs/>
          <w:color w:val="auto"/>
          <w:sz w:val="28"/>
          <w:szCs w:val="24"/>
          <w:highlight w:val="none"/>
        </w:rPr>
        <w:t>七、</w:t>
      </w:r>
      <w:bookmarkStart w:id="255" w:name="8"/>
      <w:bookmarkEnd w:id="255"/>
      <w:r>
        <w:rPr>
          <w:rFonts w:hint="eastAsia" w:ascii="宋体" w:hAnsi="宋体" w:eastAsia="宋体" w:cs="宋体"/>
          <w:b/>
          <w:bCs/>
          <w:color w:val="auto"/>
          <w:sz w:val="28"/>
          <w:szCs w:val="24"/>
          <w:highlight w:val="none"/>
        </w:rPr>
        <w:t>词语</w:t>
      </w:r>
      <w:bookmarkEnd w:id="253"/>
      <w:r>
        <w:rPr>
          <w:rFonts w:hint="eastAsia" w:ascii="宋体" w:hAnsi="宋体" w:eastAsia="宋体" w:cs="宋体"/>
          <w:b/>
          <w:bCs/>
          <w:color w:val="auto"/>
          <w:sz w:val="28"/>
          <w:szCs w:val="24"/>
          <w:highlight w:val="none"/>
        </w:rPr>
        <w:t>定义</w:t>
      </w:r>
      <w:bookmarkEnd w:id="254"/>
    </w:p>
    <w:p w14:paraId="42280B15">
      <w:pPr>
        <w:spacing w:line="360" w:lineRule="auto"/>
        <w:ind w:firstLine="480" w:firstLineChars="200"/>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协议书中相关词语的含义与通用条件中的定义与解释相同。</w:t>
      </w:r>
      <w:bookmarkStart w:id="256" w:name="_Toc419045063"/>
      <w:bookmarkStart w:id="257" w:name="_Toc422322478"/>
    </w:p>
    <w:p w14:paraId="457AF205">
      <w:pPr>
        <w:spacing w:line="360" w:lineRule="auto"/>
        <w:rPr>
          <w:rFonts w:hint="eastAsia" w:ascii="宋体" w:hAnsi="宋体" w:eastAsia="宋体" w:cs="宋体"/>
          <w:color w:val="auto"/>
          <w:highlight w:val="none"/>
        </w:rPr>
      </w:pPr>
      <w:r>
        <w:rPr>
          <w:rFonts w:hint="eastAsia" w:ascii="宋体" w:hAnsi="宋体" w:eastAsia="宋体" w:cs="宋体"/>
          <w:b/>
          <w:bCs/>
          <w:color w:val="auto"/>
          <w:sz w:val="28"/>
          <w:szCs w:val="24"/>
          <w:highlight w:val="none"/>
        </w:rPr>
        <w:t>八、合同订立</w:t>
      </w:r>
      <w:bookmarkEnd w:id="256"/>
      <w:bookmarkEnd w:id="257"/>
    </w:p>
    <w:p w14:paraId="43528E07">
      <w:pPr>
        <w:pStyle w:val="20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1.订立时间：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46C8C93A">
      <w:pPr>
        <w:pStyle w:val="20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2.订立地点：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bookmarkStart w:id="258" w:name="_Toc422322479"/>
      <w:bookmarkStart w:id="259" w:name="_Toc419045064"/>
    </w:p>
    <w:p w14:paraId="4D87B045">
      <w:pPr>
        <w:pStyle w:val="206"/>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8"/>
          <w:szCs w:val="24"/>
          <w:highlight w:val="none"/>
        </w:rPr>
        <w:t>九、合同生效</w:t>
      </w:r>
      <w:bookmarkEnd w:id="258"/>
      <w:bookmarkEnd w:id="259"/>
    </w:p>
    <w:p w14:paraId="0325252A">
      <w:pPr>
        <w:pStyle w:val="20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本合同自</w:t>
      </w:r>
      <w:r>
        <w:rPr>
          <w:rFonts w:hint="eastAsia" w:ascii="宋体" w:hAnsi="宋体" w:eastAsia="宋体" w:cs="宋体"/>
          <w:color w:val="auto"/>
          <w:sz w:val="24"/>
          <w:highlight w:val="none"/>
          <w:u w:val="single"/>
        </w:rPr>
        <w:t xml:space="preserve">            合同签订之日起                </w:t>
      </w:r>
      <w:r>
        <w:rPr>
          <w:rFonts w:hint="eastAsia" w:ascii="宋体" w:hAnsi="宋体" w:eastAsia="宋体" w:cs="宋体"/>
          <w:color w:val="auto"/>
          <w:sz w:val="24"/>
          <w:highlight w:val="none"/>
        </w:rPr>
        <w:t>生效。</w:t>
      </w:r>
      <w:bookmarkStart w:id="260" w:name="_Toc419045065"/>
      <w:bookmarkStart w:id="261" w:name="_Toc422322480"/>
    </w:p>
    <w:p w14:paraId="1FC3E7A6">
      <w:pPr>
        <w:pStyle w:val="206"/>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8"/>
          <w:szCs w:val="24"/>
          <w:highlight w:val="none"/>
        </w:rPr>
        <w:t>十、合同份数</w:t>
      </w:r>
      <w:bookmarkEnd w:id="260"/>
      <w:bookmarkEnd w:id="261"/>
    </w:p>
    <w:p w14:paraId="1577E938">
      <w:pPr>
        <w:pStyle w:val="20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w:t>
      </w:r>
      <w:r>
        <w:rPr>
          <w:rFonts w:hint="eastAsia" w:ascii="宋体" w:hAnsi="宋体" w:eastAsia="宋体" w:cs="宋体"/>
          <w:color w:val="auto"/>
          <w:sz w:val="24"/>
          <w:highlight w:val="none"/>
          <w:u w:val="single"/>
        </w:rPr>
        <w:t>四</w:t>
      </w:r>
      <w:r>
        <w:rPr>
          <w:rFonts w:hint="eastAsia" w:ascii="宋体" w:hAnsi="宋体" w:eastAsia="宋体" w:cs="宋体"/>
          <w:color w:val="auto"/>
          <w:sz w:val="24"/>
          <w:highlight w:val="none"/>
        </w:rPr>
        <w:t>份，具有同等法律效力，其中甲方执</w:t>
      </w:r>
      <w:r>
        <w:rPr>
          <w:rFonts w:hint="eastAsia" w:ascii="宋体" w:hAnsi="宋体" w:eastAsia="宋体" w:cs="宋体"/>
          <w:color w:val="auto"/>
          <w:sz w:val="24"/>
          <w:highlight w:val="none"/>
          <w:u w:val="single"/>
        </w:rPr>
        <w:t>两</w:t>
      </w:r>
      <w:r>
        <w:rPr>
          <w:rFonts w:hint="eastAsia" w:ascii="宋体" w:hAnsi="宋体" w:eastAsia="宋体" w:cs="宋体"/>
          <w:color w:val="auto"/>
          <w:sz w:val="24"/>
          <w:highlight w:val="none"/>
        </w:rPr>
        <w:t>份，乙方执</w:t>
      </w:r>
      <w:r>
        <w:rPr>
          <w:rFonts w:hint="eastAsia" w:ascii="宋体" w:hAnsi="宋体" w:eastAsia="宋体" w:cs="宋体"/>
          <w:color w:val="auto"/>
          <w:sz w:val="24"/>
          <w:highlight w:val="none"/>
          <w:u w:val="single"/>
        </w:rPr>
        <w:t>两</w:t>
      </w:r>
      <w:r>
        <w:rPr>
          <w:rFonts w:hint="eastAsia" w:ascii="宋体" w:hAnsi="宋体" w:eastAsia="宋体" w:cs="宋体"/>
          <w:color w:val="auto"/>
          <w:sz w:val="24"/>
          <w:highlight w:val="none"/>
        </w:rPr>
        <w:t>份</w:t>
      </w:r>
    </w:p>
    <w:p w14:paraId="245B7E35">
      <w:pPr>
        <w:pStyle w:val="20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27E0642">
      <w:pPr>
        <w:pStyle w:val="20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甲方：___________（盖章）           乙方：___________（盖章） </w:t>
      </w:r>
    </w:p>
    <w:p w14:paraId="55880C0D">
      <w:pPr>
        <w:pStyle w:val="20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法定代表人或其授权的                法定代表人或其授权的</w:t>
      </w:r>
    </w:p>
    <w:p w14:paraId="12FD33D6">
      <w:pPr>
        <w:pStyle w:val="20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代理人：_________（签字或盖章）     代理人：_________（签字或盖章）         </w:t>
      </w:r>
    </w:p>
    <w:p w14:paraId="1AA4720A">
      <w:pPr>
        <w:pStyle w:val="206"/>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纳税人识别码：                      纳税人识别码：</w:t>
      </w:r>
    </w:p>
    <w:p w14:paraId="50510DAF">
      <w:pPr>
        <w:pStyle w:val="206"/>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住    所：                          住    所：</w:t>
      </w:r>
    </w:p>
    <w:p w14:paraId="46F38F3F">
      <w:pPr>
        <w:pStyle w:val="20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                          账    号：</w:t>
      </w:r>
    </w:p>
    <w:p w14:paraId="0905106D">
      <w:pPr>
        <w:pStyle w:val="206"/>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18"/>
          <w:highlight w:val="none"/>
        </w:rPr>
        <w:t xml:space="preserve">                         </w:t>
      </w:r>
      <w:r>
        <w:rPr>
          <w:rFonts w:hint="eastAsia" w:ascii="宋体" w:hAnsi="宋体" w:eastAsia="宋体" w:cs="宋体"/>
          <w:color w:val="auto"/>
          <w:sz w:val="24"/>
          <w:highlight w:val="none"/>
        </w:rPr>
        <w:t xml:space="preserve">       开户银行：</w:t>
      </w:r>
    </w:p>
    <w:p w14:paraId="6BCB5C3C">
      <w:pPr>
        <w:pStyle w:val="206"/>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                          邮政编码：</w:t>
      </w:r>
    </w:p>
    <w:p w14:paraId="1C424218">
      <w:pPr>
        <w:pStyle w:val="206"/>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                          电    话：</w:t>
      </w:r>
    </w:p>
    <w:p w14:paraId="6C1C123C">
      <w:pPr>
        <w:pStyle w:val="206"/>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传    真：</w:t>
      </w:r>
    </w:p>
    <w:p w14:paraId="02C21C43">
      <w:pPr>
        <w:pStyle w:val="206"/>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电子信箱：                          电子信箱：</w:t>
      </w:r>
    </w:p>
    <w:bookmarkEnd w:id="238"/>
    <w:bookmarkEnd w:id="239"/>
    <w:p w14:paraId="3EAB9027">
      <w:pPr>
        <w:pStyle w:val="2"/>
        <w:spacing w:line="360" w:lineRule="auto"/>
        <w:ind w:left="0" w:firstLine="0"/>
        <w:jc w:val="both"/>
        <w:rPr>
          <w:rFonts w:hint="eastAsia" w:ascii="宋体" w:hAnsi="宋体" w:eastAsia="宋体" w:cs="宋体"/>
          <w:color w:val="auto"/>
          <w:sz w:val="44"/>
          <w:szCs w:val="44"/>
          <w:highlight w:val="none"/>
        </w:rPr>
      </w:pPr>
      <w:bookmarkStart w:id="262" w:name="_合同文件的组成及解释顺序"/>
      <w:bookmarkEnd w:id="262"/>
      <w:bookmarkStart w:id="263" w:name="_Hlt487972895"/>
      <w:bookmarkEnd w:id="263"/>
      <w:bookmarkStart w:id="264" w:name="_Hlt503233640"/>
      <w:bookmarkEnd w:id="264"/>
      <w:bookmarkStart w:id="265" w:name="_Toc138638718"/>
      <w:bookmarkEnd w:id="265"/>
      <w:bookmarkStart w:id="266" w:name="_Toc138638702"/>
      <w:bookmarkEnd w:id="266"/>
      <w:bookmarkStart w:id="267" w:name="_Toc232607139"/>
      <w:bookmarkEnd w:id="267"/>
      <w:bookmarkStart w:id="268" w:name="_Toc223449636"/>
      <w:bookmarkEnd w:id="268"/>
      <w:bookmarkStart w:id="269" w:name="_Toc138638509"/>
      <w:bookmarkEnd w:id="269"/>
      <w:bookmarkStart w:id="270" w:name="_Toc239498608"/>
      <w:bookmarkEnd w:id="270"/>
      <w:bookmarkStart w:id="271" w:name="_Toc138638510"/>
      <w:bookmarkEnd w:id="271"/>
      <w:bookmarkStart w:id="272" w:name="_Toc374452960"/>
      <w:bookmarkEnd w:id="272"/>
      <w:bookmarkStart w:id="273" w:name="_Toc374452951"/>
      <w:bookmarkEnd w:id="273"/>
      <w:bookmarkStart w:id="274" w:name="_Toc374452953"/>
      <w:bookmarkEnd w:id="274"/>
      <w:bookmarkStart w:id="275" w:name="_Toc138638910"/>
      <w:bookmarkEnd w:id="275"/>
      <w:bookmarkStart w:id="276" w:name="_Toc535659269"/>
      <w:bookmarkEnd w:id="276"/>
      <w:bookmarkStart w:id="277" w:name="_Toc374452954"/>
      <w:bookmarkEnd w:id="277"/>
      <w:bookmarkStart w:id="278" w:name="_Toc374452950"/>
      <w:bookmarkEnd w:id="278"/>
      <w:bookmarkStart w:id="279" w:name="_Toc374452962"/>
      <w:bookmarkEnd w:id="279"/>
      <w:bookmarkStart w:id="280" w:name="_Toc374452966"/>
      <w:bookmarkEnd w:id="280"/>
      <w:bookmarkStart w:id="281" w:name="_Toc138639091"/>
      <w:bookmarkEnd w:id="281"/>
      <w:bookmarkStart w:id="282" w:name="_Toc138638773"/>
      <w:bookmarkEnd w:id="282"/>
      <w:bookmarkStart w:id="283" w:name="_Toc218253426"/>
      <w:bookmarkEnd w:id="283"/>
      <w:bookmarkStart w:id="284" w:name="_Toc138638719"/>
      <w:bookmarkEnd w:id="284"/>
      <w:bookmarkStart w:id="285" w:name="_Toc374452952"/>
      <w:bookmarkEnd w:id="285"/>
      <w:bookmarkStart w:id="286" w:name="_Toc246906537"/>
      <w:bookmarkEnd w:id="286"/>
      <w:bookmarkStart w:id="287" w:name="_Toc374452955"/>
      <w:bookmarkEnd w:id="287"/>
      <w:bookmarkStart w:id="288" w:name="_Toc138638534"/>
      <w:bookmarkEnd w:id="288"/>
      <w:bookmarkStart w:id="289" w:name="_Toc374452965"/>
      <w:bookmarkEnd w:id="289"/>
      <w:bookmarkStart w:id="290" w:name="_Toc246906533"/>
      <w:bookmarkEnd w:id="290"/>
      <w:bookmarkStart w:id="291" w:name="_Toc138638906"/>
      <w:bookmarkEnd w:id="291"/>
      <w:bookmarkStart w:id="292" w:name="_Toc374452963"/>
      <w:bookmarkEnd w:id="292"/>
      <w:bookmarkStart w:id="293" w:name="_Toc138638535"/>
      <w:bookmarkEnd w:id="293"/>
      <w:bookmarkStart w:id="294" w:name="_Toc374452949"/>
      <w:bookmarkEnd w:id="294"/>
      <w:bookmarkStart w:id="295" w:name="_Toc374452959"/>
      <w:bookmarkEnd w:id="295"/>
      <w:bookmarkStart w:id="296" w:name="_Toc138638907"/>
      <w:bookmarkEnd w:id="296"/>
      <w:bookmarkStart w:id="297" w:name="_Toc138638884"/>
      <w:bookmarkEnd w:id="297"/>
      <w:bookmarkStart w:id="298" w:name="_Toc374452964"/>
      <w:bookmarkEnd w:id="298"/>
      <w:bookmarkStart w:id="299" w:name="_Toc138639145"/>
      <w:bookmarkEnd w:id="299"/>
      <w:bookmarkStart w:id="300" w:name="_Toc138638538"/>
      <w:bookmarkEnd w:id="300"/>
      <w:bookmarkStart w:id="301" w:name="_Toc138639074"/>
      <w:bookmarkEnd w:id="301"/>
      <w:bookmarkStart w:id="302" w:name="_Toc239494036"/>
      <w:bookmarkEnd w:id="302"/>
      <w:bookmarkStart w:id="303" w:name="_Toc374452961"/>
      <w:bookmarkEnd w:id="303"/>
      <w:bookmarkStart w:id="304" w:name="_Toc370416823"/>
      <w:bookmarkEnd w:id="304"/>
      <w:bookmarkStart w:id="305" w:name="_Toc138638883"/>
      <w:bookmarkEnd w:id="305"/>
      <w:bookmarkStart w:id="306" w:name="_Toc138639090"/>
      <w:bookmarkEnd w:id="306"/>
      <w:bookmarkStart w:id="307" w:name="_Toc374452957"/>
      <w:bookmarkEnd w:id="307"/>
      <w:bookmarkStart w:id="308" w:name="_Toc525984001"/>
      <w:bookmarkStart w:id="309" w:name="_Toc436256535"/>
    </w:p>
    <w:p w14:paraId="2129849C">
      <w:pPr>
        <w:pStyle w:val="2"/>
        <w:spacing w:line="360" w:lineRule="auto"/>
        <w:ind w:left="0" w:firstLine="0"/>
        <w:rPr>
          <w:rFonts w:hint="eastAsia" w:ascii="宋体" w:hAnsi="宋体" w:eastAsia="宋体" w:cs="宋体"/>
          <w:color w:val="auto"/>
          <w:sz w:val="44"/>
          <w:szCs w:val="44"/>
          <w:highlight w:val="none"/>
        </w:rPr>
      </w:pPr>
    </w:p>
    <w:p w14:paraId="4C2832E0">
      <w:pPr>
        <w:pStyle w:val="2"/>
        <w:spacing w:line="360" w:lineRule="auto"/>
        <w:ind w:left="0" w:firstLine="0"/>
        <w:rPr>
          <w:rFonts w:hint="eastAsia" w:ascii="宋体" w:hAnsi="宋体" w:eastAsia="宋体" w:cs="宋体"/>
          <w:color w:val="auto"/>
          <w:sz w:val="44"/>
          <w:szCs w:val="44"/>
          <w:highlight w:val="none"/>
        </w:rPr>
      </w:pPr>
    </w:p>
    <w:p w14:paraId="02808802">
      <w:pPr>
        <w:pStyle w:val="47"/>
        <w:rPr>
          <w:rFonts w:hint="eastAsia" w:ascii="宋体" w:hAnsi="宋体" w:eastAsia="宋体" w:cs="宋体"/>
          <w:color w:val="auto"/>
          <w:sz w:val="44"/>
          <w:szCs w:val="44"/>
          <w:highlight w:val="none"/>
        </w:rPr>
      </w:pPr>
    </w:p>
    <w:p w14:paraId="7576E711">
      <w:pPr>
        <w:pStyle w:val="47"/>
        <w:rPr>
          <w:rFonts w:hint="eastAsia" w:ascii="宋体" w:hAnsi="宋体" w:eastAsia="宋体" w:cs="宋体"/>
          <w:color w:val="auto"/>
          <w:sz w:val="44"/>
          <w:szCs w:val="44"/>
          <w:highlight w:val="none"/>
        </w:rPr>
      </w:pPr>
    </w:p>
    <w:p w14:paraId="19D756CF">
      <w:pPr>
        <w:pStyle w:val="47"/>
        <w:rPr>
          <w:rFonts w:hint="eastAsia" w:ascii="宋体" w:hAnsi="宋体" w:eastAsia="宋体" w:cs="宋体"/>
          <w:color w:val="auto"/>
          <w:sz w:val="44"/>
          <w:szCs w:val="44"/>
          <w:highlight w:val="none"/>
        </w:rPr>
      </w:pPr>
    </w:p>
    <w:p w14:paraId="3411058E">
      <w:pPr>
        <w:pStyle w:val="2"/>
        <w:spacing w:line="360" w:lineRule="auto"/>
        <w:ind w:left="0" w:firstLine="0"/>
        <w:rPr>
          <w:rFonts w:hint="eastAsia" w:ascii="宋体" w:hAnsi="宋体" w:eastAsia="宋体" w:cs="宋体"/>
          <w:color w:val="auto"/>
          <w:sz w:val="44"/>
          <w:szCs w:val="44"/>
          <w:highlight w:val="none"/>
        </w:rPr>
      </w:pPr>
    </w:p>
    <w:p w14:paraId="3F7E7053">
      <w:pPr>
        <w:pStyle w:val="2"/>
        <w:spacing w:line="360" w:lineRule="auto"/>
        <w:ind w:left="0" w:firstLine="0"/>
        <w:rPr>
          <w:rFonts w:hint="eastAsia" w:ascii="宋体" w:hAnsi="宋体" w:eastAsia="宋体" w:cs="宋体"/>
          <w:color w:val="auto"/>
          <w:sz w:val="44"/>
          <w:szCs w:val="44"/>
          <w:highlight w:val="none"/>
        </w:rPr>
      </w:pPr>
    </w:p>
    <w:p w14:paraId="6E14E7DF">
      <w:pPr>
        <w:rPr>
          <w:rFonts w:hint="eastAsia" w:ascii="宋体" w:hAnsi="宋体" w:eastAsia="宋体" w:cs="宋体"/>
          <w:color w:val="auto"/>
          <w:sz w:val="44"/>
          <w:szCs w:val="44"/>
          <w:highlight w:val="none"/>
        </w:rPr>
      </w:pPr>
    </w:p>
    <w:p w14:paraId="1E68B678">
      <w:pPr>
        <w:pStyle w:val="2"/>
        <w:spacing w:line="360" w:lineRule="auto"/>
        <w:ind w:left="0" w:firstLine="0"/>
        <w:rPr>
          <w:rFonts w:hint="eastAsia" w:ascii="宋体" w:hAnsi="宋体" w:eastAsia="宋体" w:cs="宋体"/>
          <w:color w:val="auto"/>
          <w:sz w:val="44"/>
          <w:szCs w:val="44"/>
          <w:highlight w:val="none"/>
          <w:lang w:eastAsia="zh-CN"/>
        </w:rPr>
      </w:pPr>
      <w:bookmarkStart w:id="310" w:name="_Toc7364"/>
      <w:r>
        <w:rPr>
          <w:rFonts w:hint="eastAsia" w:ascii="宋体" w:hAnsi="宋体" w:eastAsia="宋体" w:cs="宋体"/>
          <w:color w:val="auto"/>
          <w:sz w:val="44"/>
          <w:szCs w:val="44"/>
          <w:highlight w:val="none"/>
        </w:rPr>
        <w:t>第</w:t>
      </w:r>
      <w:r>
        <w:rPr>
          <w:rFonts w:hint="eastAsia" w:ascii="宋体" w:hAnsi="宋体" w:eastAsia="宋体" w:cs="宋体"/>
          <w:color w:val="auto"/>
          <w:sz w:val="44"/>
          <w:szCs w:val="44"/>
          <w:highlight w:val="none"/>
          <w:lang w:val="en-US" w:eastAsia="zh-CN"/>
        </w:rPr>
        <w:t>五</w:t>
      </w:r>
      <w:r>
        <w:rPr>
          <w:rFonts w:hint="eastAsia" w:ascii="宋体" w:hAnsi="宋体" w:eastAsia="宋体" w:cs="宋体"/>
          <w:color w:val="auto"/>
          <w:sz w:val="44"/>
          <w:szCs w:val="44"/>
          <w:highlight w:val="none"/>
        </w:rPr>
        <w:t>章</w:t>
      </w:r>
      <w:r>
        <w:rPr>
          <w:rFonts w:hint="eastAsia" w:ascii="宋体" w:hAnsi="宋体" w:eastAsia="宋体" w:cs="宋体"/>
          <w:color w:val="auto"/>
          <w:sz w:val="44"/>
          <w:szCs w:val="44"/>
          <w:highlight w:val="none"/>
          <w:lang w:val="en-US" w:eastAsia="zh-CN"/>
        </w:rPr>
        <w:t>技术要求</w:t>
      </w:r>
      <w:bookmarkEnd w:id="310"/>
    </w:p>
    <w:p w14:paraId="450DDC52">
      <w:pPr>
        <w:jc w:val="center"/>
        <w:rPr>
          <w:rFonts w:hint="eastAsia" w:ascii="宋体" w:hAnsi="宋体" w:eastAsia="宋体" w:cs="宋体"/>
          <w:b/>
          <w:color w:val="auto"/>
          <w:sz w:val="8"/>
          <w:szCs w:val="2"/>
          <w:highlight w:val="none"/>
        </w:rPr>
      </w:pPr>
      <w:r>
        <w:rPr>
          <w:rFonts w:hint="eastAsia" w:ascii="宋体" w:hAnsi="宋体" w:eastAsia="宋体" w:cs="宋体"/>
          <w:b/>
          <w:color w:val="auto"/>
          <w:sz w:val="24"/>
          <w:highlight w:val="none"/>
        </w:rPr>
        <w:br w:type="page"/>
      </w:r>
      <w:bookmarkEnd w:id="308"/>
      <w:bookmarkEnd w:id="309"/>
    </w:p>
    <w:p w14:paraId="2F937028">
      <w:pPr>
        <w:pStyle w:val="118"/>
        <w:spacing w:line="360" w:lineRule="auto"/>
        <w:ind w:left="479" w:leftChars="228"/>
        <w:jc w:val="center"/>
        <w:rPr>
          <w:rFonts w:hint="eastAsia" w:ascii="宋体" w:hAnsi="宋体" w:eastAsia="宋体" w:cs="宋体"/>
          <w:color w:val="auto"/>
          <w:sz w:val="28"/>
          <w:szCs w:val="28"/>
          <w:highlight w:val="none"/>
          <w:lang w:eastAsia="zh-CN"/>
        </w:rPr>
      </w:pPr>
      <w:bookmarkStart w:id="311" w:name="_Toc436256539"/>
      <w:bookmarkStart w:id="312" w:name="_Toc525984003"/>
      <w:r>
        <w:rPr>
          <w:rFonts w:hint="eastAsia" w:hAnsi="宋体" w:cs="宋体"/>
          <w:color w:val="auto"/>
          <w:sz w:val="28"/>
          <w:szCs w:val="28"/>
          <w:highlight w:val="none"/>
          <w:lang w:eastAsia="zh-CN"/>
        </w:rPr>
        <w:t>技术要求</w:t>
      </w:r>
    </w:p>
    <w:p w14:paraId="5318A9E7">
      <w:pPr>
        <w:pStyle w:val="118"/>
        <w:spacing w:line="360" w:lineRule="auto"/>
        <w:ind w:left="479" w:left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一、项目名称：</w:t>
      </w:r>
      <w:r>
        <w:rPr>
          <w:rFonts w:hint="eastAsia" w:hAnsi="宋体" w:cs="宋体"/>
          <w:color w:val="auto"/>
          <w:sz w:val="24"/>
          <w:szCs w:val="24"/>
          <w:highlight w:val="none"/>
          <w:lang w:eastAsia="zh-CN"/>
        </w:rPr>
        <w:t>乌鲁木齐高新区（新市区）2017年美丽乡村建设ppp项目（B包）、乌鲁木齐高新区（新市区）城北新区路灯及农村路灯建设ppp复核项目审计</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30"/>
          <w:szCs w:val="30"/>
          <w:highlight w:val="none"/>
        </w:rPr>
        <w:t xml:space="preserve"> </w:t>
      </w:r>
    </w:p>
    <w:p w14:paraId="281A4D7C">
      <w:pPr>
        <w:pStyle w:val="118"/>
        <w:spacing w:line="360" w:lineRule="auto"/>
        <w:ind w:left="479" w:left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二、招标人：乌鲁木齐高新技术产业开发区（乌鲁木齐市新市区）建设局      </w:t>
      </w:r>
    </w:p>
    <w:p w14:paraId="67347877">
      <w:pPr>
        <w:pStyle w:val="118"/>
        <w:spacing w:line="360" w:lineRule="auto"/>
        <w:ind w:left="479" w:left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三、服务期限：</w:t>
      </w:r>
      <w:r>
        <w:rPr>
          <w:rFonts w:hint="eastAsia" w:hAnsi="宋体" w:cs="宋体"/>
          <w:color w:val="auto"/>
          <w:sz w:val="24"/>
          <w:szCs w:val="24"/>
          <w:highlight w:val="none"/>
          <w:lang w:val="en-US" w:eastAsia="zh-CN"/>
        </w:rPr>
        <w:t>合同签订之日起至甲方将提供全部的财务决算审计资料移交给供应商40日内出具财务决算审计报告为止</w:t>
      </w:r>
      <w:r>
        <w:rPr>
          <w:rFonts w:hint="eastAsia" w:ascii="宋体" w:hAnsi="宋体" w:eastAsia="宋体" w:cs="宋体"/>
          <w:color w:val="auto"/>
          <w:sz w:val="24"/>
          <w:szCs w:val="24"/>
          <w:highlight w:val="none"/>
          <w:lang w:val="en-US" w:eastAsia="zh-CN"/>
        </w:rPr>
        <w:t>。</w:t>
      </w:r>
    </w:p>
    <w:p w14:paraId="6F0C46B0">
      <w:pPr>
        <w:pStyle w:val="118"/>
        <w:spacing w:line="360" w:lineRule="auto"/>
        <w:ind w:left="479" w:left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四、采购范围及内容：</w:t>
      </w:r>
    </w:p>
    <w:p w14:paraId="7358C083">
      <w:pPr>
        <w:pStyle w:val="118"/>
        <w:spacing w:line="360" w:lineRule="auto"/>
        <w:ind w:left="479" w:leftChars="228"/>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选</w:t>
      </w:r>
      <w:r>
        <w:rPr>
          <w:rFonts w:hint="eastAsia" w:hAnsi="宋体" w:cs="宋体"/>
          <w:color w:val="auto"/>
          <w:sz w:val="24"/>
          <w:szCs w:val="24"/>
          <w:highlight w:val="none"/>
          <w:lang w:eastAsia="zh-CN"/>
        </w:rPr>
        <w:t>选取一家单位，复校市核该顶昌己气战的竣工财务决算报当成果，并按期出县复审审核报告</w:t>
      </w:r>
      <w:r>
        <w:rPr>
          <w:rFonts w:hint="eastAsia" w:ascii="宋体" w:hAnsi="宋体" w:eastAsia="宋体" w:cs="宋体"/>
          <w:color w:val="auto"/>
          <w:sz w:val="24"/>
          <w:szCs w:val="24"/>
          <w:highlight w:val="none"/>
          <w:lang w:val="en-US" w:eastAsia="zh-CN"/>
        </w:rPr>
        <w:t>。</w:t>
      </w:r>
    </w:p>
    <w:p w14:paraId="4C0FC094">
      <w:pPr>
        <w:pStyle w:val="118"/>
        <w:spacing w:line="360" w:lineRule="auto"/>
        <w:ind w:left="479" w:leftChars="228"/>
        <w:jc w:val="left"/>
        <w:rPr>
          <w:rFonts w:hint="eastAsia" w:ascii="宋体" w:hAnsi="宋体" w:eastAsia="宋体" w:cs="宋体"/>
          <w:color w:val="auto"/>
          <w:sz w:val="24"/>
          <w:szCs w:val="24"/>
          <w:highlight w:val="none"/>
          <w:lang w:eastAsia="zh-CN"/>
        </w:rPr>
        <w:sectPr>
          <w:footerReference r:id="rId9" w:type="default"/>
          <w:pgSz w:w="11905" w:h="16838"/>
          <w:pgMar w:top="1151" w:right="1304" w:bottom="1151" w:left="1304" w:header="0" w:footer="0" w:gutter="0"/>
          <w:pgNumType w:fmt="decimal"/>
          <w:cols w:space="720" w:num="1"/>
          <w:rtlGutter w:val="0"/>
          <w:docGrid w:linePitch="1" w:charSpace="0"/>
        </w:sectPr>
      </w:pPr>
      <w:r>
        <w:rPr>
          <w:rFonts w:hint="eastAsia" w:ascii="宋体" w:hAnsi="宋体" w:eastAsia="宋体" w:cs="宋体"/>
          <w:color w:val="auto"/>
          <w:sz w:val="24"/>
          <w:szCs w:val="24"/>
          <w:highlight w:val="none"/>
          <w:lang w:val="en-US" w:eastAsia="zh-CN"/>
        </w:rPr>
        <w:t>五、质量标准：符合现行国家相关法律法规、标准和规范等，成果资料完整、真实准确、依据清晰</w:t>
      </w:r>
      <w:r>
        <w:rPr>
          <w:rFonts w:hint="eastAsia" w:ascii="宋体" w:hAnsi="宋体" w:eastAsia="宋体" w:cs="宋体"/>
          <w:color w:val="auto"/>
          <w:sz w:val="24"/>
          <w:szCs w:val="24"/>
          <w:highlight w:val="none"/>
          <w:lang w:eastAsia="zh-CN"/>
        </w:rPr>
        <w:t>。</w:t>
      </w:r>
    </w:p>
    <w:p w14:paraId="15B501C4">
      <w:pPr>
        <w:pStyle w:val="38"/>
        <w:rPr>
          <w:rFonts w:hint="eastAsia" w:ascii="宋体" w:hAnsi="宋体" w:eastAsia="宋体" w:cs="宋体"/>
          <w:color w:val="auto"/>
          <w:sz w:val="44"/>
          <w:szCs w:val="44"/>
          <w:highlight w:val="none"/>
        </w:rPr>
      </w:pPr>
    </w:p>
    <w:p w14:paraId="228D8052">
      <w:pPr>
        <w:pStyle w:val="38"/>
        <w:rPr>
          <w:rFonts w:hint="eastAsia" w:ascii="宋体" w:hAnsi="宋体" w:eastAsia="宋体" w:cs="宋体"/>
          <w:color w:val="auto"/>
          <w:sz w:val="44"/>
          <w:szCs w:val="44"/>
          <w:highlight w:val="none"/>
        </w:rPr>
      </w:pPr>
    </w:p>
    <w:p w14:paraId="1C1A82C3">
      <w:pPr>
        <w:pStyle w:val="38"/>
        <w:rPr>
          <w:rFonts w:hint="eastAsia" w:ascii="宋体" w:hAnsi="宋体" w:eastAsia="宋体" w:cs="宋体"/>
          <w:color w:val="auto"/>
          <w:sz w:val="44"/>
          <w:szCs w:val="44"/>
          <w:highlight w:val="none"/>
        </w:rPr>
      </w:pPr>
    </w:p>
    <w:p w14:paraId="3C0E6359">
      <w:pPr>
        <w:pStyle w:val="38"/>
        <w:rPr>
          <w:rFonts w:hint="eastAsia" w:ascii="宋体" w:hAnsi="宋体" w:eastAsia="宋体" w:cs="宋体"/>
          <w:color w:val="auto"/>
          <w:sz w:val="44"/>
          <w:szCs w:val="44"/>
          <w:highlight w:val="none"/>
        </w:rPr>
      </w:pPr>
    </w:p>
    <w:p w14:paraId="3D7E5A46">
      <w:pPr>
        <w:pStyle w:val="38"/>
        <w:rPr>
          <w:rFonts w:hint="eastAsia" w:ascii="宋体" w:hAnsi="宋体" w:eastAsia="宋体" w:cs="宋体"/>
          <w:color w:val="auto"/>
          <w:sz w:val="44"/>
          <w:szCs w:val="44"/>
          <w:highlight w:val="none"/>
        </w:rPr>
      </w:pPr>
    </w:p>
    <w:p w14:paraId="2C385A7D">
      <w:pPr>
        <w:pStyle w:val="38"/>
        <w:rPr>
          <w:rFonts w:hint="eastAsia" w:ascii="宋体" w:hAnsi="宋体" w:eastAsia="宋体" w:cs="宋体"/>
          <w:color w:val="auto"/>
          <w:sz w:val="44"/>
          <w:szCs w:val="44"/>
          <w:highlight w:val="none"/>
        </w:rPr>
      </w:pPr>
    </w:p>
    <w:p w14:paraId="569C660A">
      <w:pPr>
        <w:pStyle w:val="38"/>
        <w:rPr>
          <w:rFonts w:hint="eastAsia" w:ascii="宋体" w:hAnsi="宋体" w:eastAsia="宋体" w:cs="宋体"/>
          <w:color w:val="auto"/>
          <w:sz w:val="44"/>
          <w:szCs w:val="44"/>
          <w:highlight w:val="none"/>
        </w:rPr>
      </w:pPr>
    </w:p>
    <w:p w14:paraId="1AB54BF2">
      <w:pPr>
        <w:pStyle w:val="38"/>
        <w:rPr>
          <w:rFonts w:hint="eastAsia" w:ascii="宋体" w:hAnsi="宋体" w:eastAsia="宋体" w:cs="宋体"/>
          <w:color w:val="auto"/>
          <w:sz w:val="44"/>
          <w:szCs w:val="44"/>
          <w:highlight w:val="none"/>
        </w:rPr>
      </w:pPr>
    </w:p>
    <w:p w14:paraId="19AD2926">
      <w:pPr>
        <w:pStyle w:val="38"/>
        <w:rPr>
          <w:rFonts w:hint="eastAsia" w:ascii="宋体" w:hAnsi="宋体" w:eastAsia="宋体" w:cs="宋体"/>
          <w:color w:val="auto"/>
          <w:sz w:val="44"/>
          <w:szCs w:val="44"/>
          <w:highlight w:val="none"/>
        </w:rPr>
      </w:pPr>
    </w:p>
    <w:p w14:paraId="7FA4A5DB">
      <w:pPr>
        <w:pStyle w:val="38"/>
        <w:rPr>
          <w:rFonts w:hint="eastAsia" w:ascii="宋体" w:hAnsi="宋体" w:eastAsia="宋体" w:cs="宋体"/>
          <w:color w:val="auto"/>
          <w:sz w:val="44"/>
          <w:szCs w:val="44"/>
          <w:highlight w:val="none"/>
        </w:rPr>
      </w:pPr>
    </w:p>
    <w:p w14:paraId="704A5481">
      <w:pPr>
        <w:pStyle w:val="2"/>
        <w:spacing w:line="360" w:lineRule="auto"/>
        <w:ind w:left="0" w:firstLine="0"/>
        <w:rPr>
          <w:rFonts w:hint="eastAsia" w:ascii="宋体" w:hAnsi="宋体" w:eastAsia="宋体" w:cs="宋体"/>
          <w:color w:val="auto"/>
          <w:sz w:val="44"/>
          <w:szCs w:val="44"/>
          <w:highlight w:val="none"/>
        </w:rPr>
      </w:pPr>
    </w:p>
    <w:p w14:paraId="34CED094">
      <w:pPr>
        <w:pStyle w:val="2"/>
        <w:spacing w:line="360" w:lineRule="auto"/>
        <w:ind w:left="0" w:firstLine="0"/>
        <w:rPr>
          <w:rFonts w:hint="eastAsia" w:ascii="宋体" w:hAnsi="宋体" w:eastAsia="宋体" w:cs="宋体"/>
          <w:color w:val="auto"/>
          <w:sz w:val="44"/>
          <w:szCs w:val="44"/>
          <w:highlight w:val="none"/>
        </w:rPr>
      </w:pPr>
      <w:bookmarkStart w:id="313" w:name="_Toc7305"/>
      <w:r>
        <w:rPr>
          <w:rFonts w:hint="eastAsia" w:ascii="宋体" w:hAnsi="宋体" w:eastAsia="宋体" w:cs="宋体"/>
          <w:color w:val="auto"/>
          <w:sz w:val="44"/>
          <w:szCs w:val="44"/>
          <w:highlight w:val="none"/>
        </w:rPr>
        <w:t>第六章响应文件格式</w:t>
      </w:r>
      <w:bookmarkEnd w:id="311"/>
      <w:bookmarkEnd w:id="312"/>
      <w:bookmarkEnd w:id="313"/>
    </w:p>
    <w:p w14:paraId="7F7FFF7E">
      <w:pPr>
        <w:keepNext/>
        <w:keepLines/>
        <w:outlineLvl w:val="1"/>
        <w:rPr>
          <w:rFonts w:hint="eastAsia" w:ascii="宋体" w:hAnsi="宋体" w:eastAsia="宋体" w:cs="宋体"/>
          <w:b/>
          <w:color w:val="auto"/>
          <w:kern w:val="0"/>
          <w:sz w:val="20"/>
          <w:highlight w:val="none"/>
        </w:rPr>
      </w:pPr>
      <w:r>
        <w:rPr>
          <w:rFonts w:hint="eastAsia" w:ascii="宋体" w:hAnsi="宋体" w:eastAsia="宋体" w:cs="宋体"/>
          <w:b/>
          <w:color w:val="auto"/>
          <w:sz w:val="32"/>
          <w:highlight w:val="none"/>
        </w:rPr>
        <w:br w:type="page"/>
      </w:r>
      <w:bookmarkStart w:id="314" w:name="_Toc47262062"/>
      <w:bookmarkStart w:id="315" w:name="_Toc47261878"/>
      <w:bookmarkStart w:id="316" w:name="_Toc243946199"/>
      <w:bookmarkStart w:id="317" w:name="_Toc47418931"/>
      <w:bookmarkStart w:id="318" w:name="_Toc155772922"/>
      <w:bookmarkStart w:id="319" w:name="_Toc146011778"/>
      <w:bookmarkStart w:id="320" w:name="_Toc48995844"/>
      <w:bookmarkStart w:id="321" w:name="_Toc47261683"/>
      <w:bookmarkStart w:id="322" w:name="_Toc47418724"/>
      <w:bookmarkStart w:id="323" w:name="_Toc153353715"/>
      <w:bookmarkStart w:id="324" w:name="_Toc155772030"/>
      <w:bookmarkStart w:id="325" w:name="_Toc195427222"/>
      <w:bookmarkStart w:id="326" w:name="_Toc44700092"/>
      <w:bookmarkStart w:id="327" w:name="_Toc193858788"/>
      <w:bookmarkStart w:id="328" w:name="_Toc47418248"/>
      <w:bookmarkStart w:id="329" w:name="_Toc243680606"/>
      <w:bookmarkStart w:id="330" w:name="_Toc48791228"/>
      <w:bookmarkStart w:id="331" w:name="_Toc1139"/>
      <w:bookmarkStart w:id="332" w:name="_Toc245740648"/>
      <w:bookmarkStart w:id="333" w:name="_Toc49019229"/>
      <w:r>
        <w:rPr>
          <w:rFonts w:hint="eastAsia" w:ascii="宋体" w:hAnsi="宋体" w:eastAsia="宋体" w:cs="宋体"/>
          <w:b/>
          <w:color w:val="auto"/>
          <w:kern w:val="0"/>
          <w:sz w:val="36"/>
          <w:szCs w:val="21"/>
          <w:highlight w:val="none"/>
        </w:rPr>
        <w:t>1、响应函格式</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5AF8087D">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响应函</w:t>
      </w:r>
    </w:p>
    <w:p w14:paraId="4C574104">
      <w:pPr>
        <w:tabs>
          <w:tab w:val="left" w:pos="2880"/>
        </w:tabs>
        <w:spacing w:before="78" w:line="240" w:lineRule="auto"/>
        <w:rPr>
          <w:rFonts w:hint="eastAsia" w:ascii="宋体" w:hAnsi="宋体" w:eastAsia="宋体" w:cs="宋体"/>
          <w:smallCaps w:val="0"/>
          <w:color w:val="auto"/>
          <w:spacing w:val="0"/>
          <w:sz w:val="24"/>
          <w:szCs w:val="24"/>
          <w:highlight w:val="none"/>
        </w:rPr>
      </w:pPr>
      <w:bookmarkStart w:id="334" w:name="_Toc155772923"/>
      <w:bookmarkStart w:id="335" w:name="_Toc243680607"/>
      <w:bookmarkStart w:id="336" w:name="_Toc243946200"/>
      <w:bookmarkStart w:id="337" w:name="_Toc153353716"/>
      <w:bookmarkStart w:id="338" w:name="_Toc193858789"/>
      <w:bookmarkStart w:id="339" w:name="_Toc195427223"/>
      <w:bookmarkStart w:id="340" w:name="_Toc155772031"/>
      <w:bookmarkStart w:id="341" w:name="_Toc146011779"/>
      <w:bookmarkStart w:id="342" w:name="_Toc245740649"/>
      <w:r>
        <w:rPr>
          <w:rFonts w:hint="eastAsia" w:ascii="宋体" w:hAnsi="宋体" w:eastAsia="宋体" w:cs="宋体"/>
          <w:smallCaps w:val="0"/>
          <w:color w:val="auto"/>
          <w:spacing w:val="0"/>
          <w:sz w:val="24"/>
          <w:szCs w:val="24"/>
          <w:highlight w:val="none"/>
          <w:u w:val="single" w:color="auto"/>
        </w:rPr>
        <w:tab/>
      </w:r>
      <w:r>
        <w:rPr>
          <w:rFonts w:hint="eastAsia" w:ascii="宋体" w:hAnsi="宋体" w:eastAsia="宋体" w:cs="宋体"/>
          <w:smallCaps w:val="0"/>
          <w:color w:val="auto"/>
          <w:spacing w:val="0"/>
          <w:sz w:val="24"/>
          <w:szCs w:val="24"/>
          <w:highlight w:val="none"/>
        </w:rPr>
        <w:t>（采购人名称）：</w:t>
      </w:r>
    </w:p>
    <w:p w14:paraId="02F0B070">
      <w:pPr>
        <w:pStyle w:val="20"/>
        <w:spacing w:line="240" w:lineRule="auto"/>
        <w:rPr>
          <w:rFonts w:hint="eastAsia" w:ascii="宋体" w:hAnsi="宋体" w:eastAsia="宋体" w:cs="宋体"/>
          <w:smallCaps w:val="0"/>
          <w:color w:val="auto"/>
          <w:spacing w:val="0"/>
          <w:highlight w:val="none"/>
        </w:rPr>
      </w:pPr>
    </w:p>
    <w:p w14:paraId="063CD154">
      <w:pPr>
        <w:pStyle w:val="20"/>
        <w:spacing w:line="240" w:lineRule="auto"/>
        <w:rPr>
          <w:rFonts w:hint="eastAsia" w:ascii="宋体" w:hAnsi="宋体" w:eastAsia="宋体" w:cs="宋体"/>
          <w:smallCaps w:val="0"/>
          <w:color w:val="auto"/>
          <w:spacing w:val="0"/>
          <w:highlight w:val="none"/>
        </w:rPr>
      </w:pPr>
    </w:p>
    <w:p w14:paraId="5568DBD2">
      <w:pPr>
        <w:keepNext w:val="0"/>
        <w:keepLines w:val="0"/>
        <w:pageBreakBefore w:val="0"/>
        <w:widowControl w:val="0"/>
        <w:kinsoku/>
        <w:wordWrap/>
        <w:overflowPunct/>
        <w:topLinePunct w:val="0"/>
        <w:autoSpaceDE/>
        <w:autoSpaceDN/>
        <w:bidi w:val="0"/>
        <w:adjustRightInd/>
        <w:snapToGrid/>
        <w:spacing w:before="78" w:line="360" w:lineRule="auto"/>
        <w:ind w:right="138"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1．我方已仔细研究了</w:t>
      </w:r>
      <w:r>
        <w:rPr>
          <w:rFonts w:hint="eastAsia" w:ascii="宋体" w:hAnsi="宋体" w:eastAsia="宋体" w:cs="宋体"/>
          <w:smallCaps w:val="0"/>
          <w:color w:val="auto"/>
          <w:spacing w:val="0"/>
          <w:sz w:val="24"/>
          <w:szCs w:val="24"/>
          <w:highlight w:val="none"/>
          <w:u w:val="single" w:color="auto"/>
        </w:rPr>
        <w:t xml:space="preserve">          （项目名称）      </w:t>
      </w:r>
      <w:r>
        <w:rPr>
          <w:rFonts w:hint="eastAsia" w:ascii="宋体" w:hAnsi="宋体" w:eastAsia="宋体" w:cs="宋体"/>
          <w:smallCaps w:val="0"/>
          <w:color w:val="auto"/>
          <w:spacing w:val="0"/>
          <w:sz w:val="24"/>
          <w:szCs w:val="24"/>
          <w:highlight w:val="none"/>
        </w:rPr>
        <w:t xml:space="preserve"> </w:t>
      </w:r>
      <w:r>
        <w:rPr>
          <w:rFonts w:hint="eastAsia" w:ascii="宋体" w:hAnsi="宋体" w:eastAsia="宋体" w:cs="宋体"/>
          <w:smallCaps w:val="0"/>
          <w:color w:val="auto"/>
          <w:spacing w:val="0"/>
          <w:sz w:val="24"/>
          <w:szCs w:val="24"/>
          <w:highlight w:val="none"/>
          <w:lang w:val="en-US" w:eastAsia="zh-CN"/>
        </w:rPr>
        <w:t>磋商</w:t>
      </w:r>
      <w:r>
        <w:rPr>
          <w:rFonts w:hint="eastAsia" w:ascii="宋体" w:hAnsi="宋体" w:eastAsia="宋体" w:cs="宋体"/>
          <w:smallCaps w:val="0"/>
          <w:color w:val="auto"/>
          <w:spacing w:val="0"/>
          <w:sz w:val="24"/>
          <w:szCs w:val="24"/>
          <w:highlight w:val="none"/>
        </w:rPr>
        <w:t>文件的全部内容，愿意以人民币（大写）</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元(¥</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)的投标总报价，服务期限为</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 按合同约定实施和完成本合同中的全部合同内容，质量</w:t>
      </w:r>
      <w:r>
        <w:rPr>
          <w:rFonts w:hint="eastAsia" w:ascii="宋体" w:hAnsi="宋体" w:eastAsia="宋体" w:cs="宋体"/>
          <w:smallCaps w:val="0"/>
          <w:color w:val="auto"/>
          <w:spacing w:val="0"/>
          <w:sz w:val="24"/>
          <w:szCs w:val="24"/>
          <w:highlight w:val="none"/>
          <w:lang w:eastAsia="zh-CN"/>
        </w:rPr>
        <w:t>标准</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w:t>
      </w:r>
    </w:p>
    <w:p w14:paraId="0B56F3A7">
      <w:pPr>
        <w:keepNext w:val="0"/>
        <w:keepLines w:val="0"/>
        <w:pageBreakBefore w:val="0"/>
        <w:widowControl w:val="0"/>
        <w:kinsoku/>
        <w:wordWrap/>
        <w:overflowPunct/>
        <w:topLinePunct w:val="0"/>
        <w:autoSpaceDE/>
        <w:autoSpaceDN/>
        <w:bidi w:val="0"/>
        <w:adjustRightInd/>
        <w:snapToGrid/>
        <w:spacing w:before="157" w:line="360" w:lineRule="auto"/>
        <w:ind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 xml:space="preserve">2．我方承诺在投标有效期（ </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日历天）内不修改、撤销响应文件。</w:t>
      </w:r>
    </w:p>
    <w:p w14:paraId="654215F8">
      <w:pPr>
        <w:keepNext w:val="0"/>
        <w:keepLines w:val="0"/>
        <w:pageBreakBefore w:val="0"/>
        <w:widowControl w:val="0"/>
        <w:kinsoku/>
        <w:wordWrap/>
        <w:overflowPunct/>
        <w:topLinePunct w:val="0"/>
        <w:autoSpaceDE/>
        <w:autoSpaceDN/>
        <w:bidi w:val="0"/>
        <w:adjustRightInd/>
        <w:snapToGrid/>
        <w:spacing w:before="153" w:line="360" w:lineRule="auto"/>
        <w:ind w:firstLine="480" w:firstLineChars="200"/>
        <w:jc w:val="left"/>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3．随同本投标函提交投标保证金一份，金额为人民币（大写）</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元(¥</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u w:val="single" w:color="auto"/>
          <w:lang w:val="en-US" w:eastAsia="zh-CN"/>
        </w:rPr>
        <w:t xml:space="preserve">  </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u w:val="single" w:color="auto"/>
          <w:lang w:val="en-US" w:eastAsia="zh-CN"/>
        </w:rPr>
        <w:t xml:space="preserve">   </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w:t>
      </w:r>
    </w:p>
    <w:p w14:paraId="78D46908">
      <w:pPr>
        <w:keepNext w:val="0"/>
        <w:keepLines w:val="0"/>
        <w:pageBreakBefore w:val="0"/>
        <w:widowControl w:val="0"/>
        <w:kinsoku/>
        <w:wordWrap/>
        <w:overflowPunct/>
        <w:topLinePunct w:val="0"/>
        <w:autoSpaceDE/>
        <w:autoSpaceDN/>
        <w:bidi w:val="0"/>
        <w:adjustRightInd/>
        <w:snapToGrid/>
        <w:spacing w:before="155" w:line="360" w:lineRule="auto"/>
        <w:ind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4．如我方中标：</w:t>
      </w:r>
    </w:p>
    <w:p w14:paraId="3F2AC07C">
      <w:pPr>
        <w:keepNext w:val="0"/>
        <w:keepLines w:val="0"/>
        <w:pageBreakBefore w:val="0"/>
        <w:widowControl w:val="0"/>
        <w:kinsoku/>
        <w:wordWrap/>
        <w:overflowPunct/>
        <w:topLinePunct w:val="0"/>
        <w:autoSpaceDE/>
        <w:autoSpaceDN/>
        <w:bidi w:val="0"/>
        <w:adjustRightInd/>
        <w:snapToGrid/>
        <w:spacing w:before="156" w:line="360" w:lineRule="auto"/>
        <w:ind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（1）我方承诺在收到中标通知书后，在中标通知书规定的期限内与你方签订合同。</w:t>
      </w:r>
    </w:p>
    <w:p w14:paraId="728892CC">
      <w:pPr>
        <w:keepNext w:val="0"/>
        <w:keepLines w:val="0"/>
        <w:pageBreakBefore w:val="0"/>
        <w:widowControl w:val="0"/>
        <w:kinsoku/>
        <w:wordWrap/>
        <w:overflowPunct/>
        <w:topLinePunct w:val="0"/>
        <w:autoSpaceDE/>
        <w:autoSpaceDN/>
        <w:bidi w:val="0"/>
        <w:adjustRightInd/>
        <w:snapToGrid/>
        <w:spacing w:before="155" w:line="360" w:lineRule="auto"/>
        <w:ind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（2）我方承诺在合同约定的期限内完成并移交全部合同。</w:t>
      </w:r>
    </w:p>
    <w:p w14:paraId="273A0C48">
      <w:pPr>
        <w:keepNext w:val="0"/>
        <w:keepLines w:val="0"/>
        <w:pageBreakBefore w:val="0"/>
        <w:widowControl w:val="0"/>
        <w:kinsoku/>
        <w:wordWrap/>
        <w:overflowPunct/>
        <w:topLinePunct w:val="0"/>
        <w:autoSpaceDE/>
        <w:autoSpaceDN/>
        <w:bidi w:val="0"/>
        <w:adjustRightInd/>
        <w:snapToGrid/>
        <w:spacing w:before="154" w:line="360" w:lineRule="auto"/>
        <w:ind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5．我方在此声明，所递交的响应文件及有关资料内容完整、真实和准确。</w:t>
      </w:r>
    </w:p>
    <w:p w14:paraId="6C4D9C3D">
      <w:pPr>
        <w:pStyle w:val="20"/>
        <w:spacing w:line="240" w:lineRule="auto"/>
        <w:rPr>
          <w:rFonts w:hint="eastAsia" w:ascii="宋体" w:hAnsi="宋体" w:eastAsia="宋体" w:cs="宋体"/>
          <w:smallCaps w:val="0"/>
          <w:color w:val="auto"/>
          <w:spacing w:val="0"/>
          <w:highlight w:val="none"/>
        </w:rPr>
      </w:pPr>
    </w:p>
    <w:p w14:paraId="0E70FB65">
      <w:pPr>
        <w:pStyle w:val="20"/>
        <w:spacing w:line="240" w:lineRule="auto"/>
        <w:rPr>
          <w:rFonts w:hint="eastAsia" w:ascii="宋体" w:hAnsi="宋体" w:eastAsia="宋体" w:cs="宋体"/>
          <w:smallCaps w:val="0"/>
          <w:color w:val="auto"/>
          <w:spacing w:val="0"/>
          <w:highlight w:val="none"/>
        </w:rPr>
      </w:pPr>
    </w:p>
    <w:p w14:paraId="423A05E0">
      <w:pPr>
        <w:pStyle w:val="20"/>
        <w:spacing w:line="240" w:lineRule="auto"/>
        <w:rPr>
          <w:rFonts w:hint="eastAsia" w:ascii="宋体" w:hAnsi="宋体" w:eastAsia="宋体" w:cs="宋体"/>
          <w:smallCaps w:val="0"/>
          <w:color w:val="auto"/>
          <w:spacing w:val="0"/>
          <w:highlight w:val="none"/>
        </w:rPr>
      </w:pPr>
    </w:p>
    <w:p w14:paraId="1C86282C">
      <w:pPr>
        <w:pStyle w:val="20"/>
        <w:spacing w:line="240" w:lineRule="auto"/>
        <w:rPr>
          <w:rFonts w:hint="eastAsia" w:ascii="宋体" w:hAnsi="宋体" w:eastAsia="宋体" w:cs="宋体"/>
          <w:smallCaps w:val="0"/>
          <w:color w:val="auto"/>
          <w:spacing w:val="0"/>
          <w:highlight w:val="none"/>
        </w:rPr>
      </w:pPr>
    </w:p>
    <w:p w14:paraId="65138925">
      <w:pPr>
        <w:pStyle w:val="20"/>
        <w:spacing w:line="240" w:lineRule="auto"/>
        <w:rPr>
          <w:rFonts w:hint="eastAsia" w:ascii="宋体" w:hAnsi="宋体" w:eastAsia="宋体" w:cs="宋体"/>
          <w:smallCaps w:val="0"/>
          <w:color w:val="auto"/>
          <w:spacing w:val="0"/>
          <w:highlight w:val="none"/>
        </w:rPr>
      </w:pPr>
    </w:p>
    <w:p w14:paraId="3C14566A">
      <w:pPr>
        <w:spacing w:before="79" w:line="240" w:lineRule="auto"/>
        <w:ind w:left="489"/>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供应商：</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（电子签章）</w:t>
      </w:r>
    </w:p>
    <w:p w14:paraId="7D02F8DF">
      <w:pPr>
        <w:spacing w:before="155" w:line="240" w:lineRule="auto"/>
        <w:ind w:left="490"/>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法定代表人：</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（电子签章或签名）</w:t>
      </w:r>
    </w:p>
    <w:p w14:paraId="0D83BE62">
      <w:pPr>
        <w:spacing w:before="157" w:line="240" w:lineRule="auto"/>
        <w:ind w:left="489"/>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地址：</w:t>
      </w:r>
      <w:r>
        <w:rPr>
          <w:rFonts w:hint="eastAsia" w:ascii="宋体" w:hAnsi="宋体" w:eastAsia="宋体" w:cs="宋体"/>
          <w:smallCaps w:val="0"/>
          <w:color w:val="auto"/>
          <w:spacing w:val="0"/>
          <w:sz w:val="24"/>
          <w:szCs w:val="24"/>
          <w:highlight w:val="none"/>
          <w:u w:val="single" w:color="auto"/>
        </w:rPr>
        <w:t xml:space="preserve">                                      </w:t>
      </w:r>
    </w:p>
    <w:p w14:paraId="23B2636B">
      <w:pPr>
        <w:spacing w:before="142" w:line="240" w:lineRule="auto"/>
        <w:ind w:left="517"/>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电话：</w:t>
      </w:r>
      <w:r>
        <w:rPr>
          <w:rFonts w:hint="eastAsia" w:ascii="宋体" w:hAnsi="宋体" w:eastAsia="宋体" w:cs="宋体"/>
          <w:smallCaps w:val="0"/>
          <w:color w:val="auto"/>
          <w:spacing w:val="0"/>
          <w:sz w:val="24"/>
          <w:szCs w:val="24"/>
          <w:highlight w:val="none"/>
          <w:u w:val="single" w:color="auto"/>
        </w:rPr>
        <w:t xml:space="preserve">                                      </w:t>
      </w:r>
    </w:p>
    <w:p w14:paraId="322907F0">
      <w:pPr>
        <w:spacing w:before="151" w:line="240" w:lineRule="auto"/>
        <w:ind w:left="487"/>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传真：</w:t>
      </w:r>
      <w:r>
        <w:rPr>
          <w:rFonts w:hint="eastAsia" w:ascii="宋体" w:hAnsi="宋体" w:eastAsia="宋体" w:cs="宋体"/>
          <w:smallCaps w:val="0"/>
          <w:color w:val="auto"/>
          <w:spacing w:val="0"/>
          <w:sz w:val="24"/>
          <w:szCs w:val="24"/>
          <w:highlight w:val="none"/>
          <w:u w:val="single" w:color="auto"/>
        </w:rPr>
        <w:t xml:space="preserve">                                      </w:t>
      </w:r>
    </w:p>
    <w:p w14:paraId="16A88C95">
      <w:pPr>
        <w:spacing w:before="158" w:line="240" w:lineRule="auto"/>
        <w:ind w:left="507"/>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邮政编码：</w:t>
      </w:r>
      <w:r>
        <w:rPr>
          <w:rFonts w:hint="eastAsia" w:ascii="宋体" w:hAnsi="宋体" w:eastAsia="宋体" w:cs="宋体"/>
          <w:smallCaps w:val="0"/>
          <w:color w:val="auto"/>
          <w:spacing w:val="0"/>
          <w:sz w:val="24"/>
          <w:szCs w:val="24"/>
          <w:highlight w:val="none"/>
          <w:u w:val="single" w:color="auto"/>
        </w:rPr>
        <w:t xml:space="preserve">                                  </w:t>
      </w:r>
    </w:p>
    <w:p w14:paraId="24A6DB69">
      <w:pPr>
        <w:tabs>
          <w:tab w:val="left" w:pos="1440"/>
        </w:tabs>
        <w:spacing w:before="155" w:line="240" w:lineRule="auto"/>
        <w:ind w:left="480"/>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u w:val="single" w:color="auto"/>
        </w:rPr>
        <w:tab/>
      </w:r>
      <w:r>
        <w:rPr>
          <w:rFonts w:hint="eastAsia" w:ascii="宋体" w:hAnsi="宋体" w:eastAsia="宋体" w:cs="宋体"/>
          <w:smallCaps w:val="0"/>
          <w:color w:val="auto"/>
          <w:spacing w:val="0"/>
          <w:sz w:val="24"/>
          <w:szCs w:val="24"/>
          <w:highlight w:val="none"/>
        </w:rPr>
        <w:t xml:space="preserve"> 年</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月</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日</w:t>
      </w:r>
    </w:p>
    <w:p w14:paraId="074CFD5A">
      <w:pPr>
        <w:spacing w:line="240" w:lineRule="auto"/>
        <w:rPr>
          <w:rFonts w:hint="eastAsia" w:ascii="宋体" w:hAnsi="宋体" w:eastAsia="宋体" w:cs="宋体"/>
          <w:smallCaps w:val="0"/>
          <w:color w:val="auto"/>
          <w:spacing w:val="0"/>
          <w:sz w:val="24"/>
          <w:szCs w:val="24"/>
          <w:highlight w:val="none"/>
        </w:rPr>
        <w:sectPr>
          <w:footerReference r:id="rId10" w:type="default"/>
          <w:pgSz w:w="11905" w:h="16839"/>
          <w:pgMar w:top="1440" w:right="1800" w:bottom="1440" w:left="1800" w:header="0" w:footer="1013" w:gutter="0"/>
          <w:cols w:space="720" w:num="1"/>
        </w:sectPr>
      </w:pPr>
    </w:p>
    <w:p w14:paraId="5312D6AD">
      <w:pPr>
        <w:keepNext/>
        <w:keepLines/>
        <w:outlineLvl w:val="1"/>
        <w:rPr>
          <w:rFonts w:hint="eastAsia" w:ascii="宋体" w:hAnsi="宋体" w:eastAsia="宋体" w:cs="宋体"/>
          <w:b/>
          <w:color w:val="auto"/>
          <w:kern w:val="0"/>
          <w:sz w:val="36"/>
          <w:szCs w:val="21"/>
          <w:highlight w:val="none"/>
        </w:rPr>
      </w:pPr>
      <w:bookmarkStart w:id="343" w:name="_Toc13112"/>
      <w:bookmarkStart w:id="344" w:name="_Toc44700093"/>
      <w:r>
        <w:rPr>
          <w:rFonts w:hint="eastAsia" w:ascii="宋体" w:hAnsi="宋体" w:eastAsia="宋体" w:cs="宋体"/>
          <w:b/>
          <w:color w:val="auto"/>
          <w:kern w:val="0"/>
          <w:sz w:val="36"/>
          <w:szCs w:val="21"/>
          <w:highlight w:val="none"/>
        </w:rPr>
        <w:t>2、报价一览表格式</w:t>
      </w:r>
      <w:bookmarkEnd w:id="334"/>
      <w:bookmarkEnd w:id="335"/>
      <w:bookmarkEnd w:id="336"/>
      <w:bookmarkEnd w:id="337"/>
      <w:bookmarkEnd w:id="338"/>
      <w:bookmarkEnd w:id="339"/>
      <w:bookmarkEnd w:id="340"/>
      <w:bookmarkEnd w:id="341"/>
      <w:bookmarkEnd w:id="342"/>
      <w:bookmarkEnd w:id="343"/>
      <w:bookmarkEnd w:id="344"/>
    </w:p>
    <w:p w14:paraId="15050022">
      <w:pPr>
        <w:spacing w:line="48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报价一览表</w:t>
      </w:r>
    </w:p>
    <w:tbl>
      <w:tblPr>
        <w:tblStyle w:val="222"/>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3"/>
        <w:gridCol w:w="6771"/>
      </w:tblGrid>
      <w:tr w14:paraId="48EA2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2413" w:type="dxa"/>
            <w:noWrap w:val="0"/>
            <w:vAlign w:val="top"/>
          </w:tcPr>
          <w:p w14:paraId="6A98A1F6">
            <w:pPr>
              <w:spacing w:line="240" w:lineRule="auto"/>
              <w:rPr>
                <w:rFonts w:hint="eastAsia" w:ascii="宋体" w:hAnsi="宋体" w:eastAsia="宋体" w:cs="宋体"/>
                <w:smallCaps w:val="0"/>
                <w:color w:val="auto"/>
                <w:spacing w:val="0"/>
                <w:sz w:val="21"/>
                <w:highlight w:val="none"/>
              </w:rPr>
            </w:pPr>
          </w:p>
          <w:p w14:paraId="4BC1338B">
            <w:pPr>
              <w:pStyle w:val="223"/>
              <w:spacing w:before="78" w:line="240" w:lineRule="auto"/>
              <w:ind w:left="739"/>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项目名称</w:t>
            </w:r>
          </w:p>
        </w:tc>
        <w:tc>
          <w:tcPr>
            <w:tcW w:w="6771" w:type="dxa"/>
            <w:noWrap w:val="0"/>
            <w:vAlign w:val="top"/>
          </w:tcPr>
          <w:p w14:paraId="45AFF776">
            <w:pPr>
              <w:spacing w:line="240" w:lineRule="auto"/>
              <w:rPr>
                <w:rFonts w:hint="eastAsia" w:ascii="宋体" w:hAnsi="宋体" w:eastAsia="宋体" w:cs="宋体"/>
                <w:smallCaps w:val="0"/>
                <w:color w:val="auto"/>
                <w:spacing w:val="0"/>
                <w:sz w:val="21"/>
                <w:highlight w:val="none"/>
              </w:rPr>
            </w:pPr>
          </w:p>
        </w:tc>
      </w:tr>
      <w:tr w14:paraId="3358C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7" w:hRule="atLeast"/>
        </w:trPr>
        <w:tc>
          <w:tcPr>
            <w:tcW w:w="2413" w:type="dxa"/>
            <w:noWrap w:val="0"/>
            <w:vAlign w:val="top"/>
          </w:tcPr>
          <w:p w14:paraId="216AD862">
            <w:pPr>
              <w:spacing w:line="240" w:lineRule="auto"/>
              <w:rPr>
                <w:rFonts w:hint="eastAsia" w:ascii="宋体" w:hAnsi="宋体" w:eastAsia="宋体" w:cs="宋体"/>
                <w:smallCaps w:val="0"/>
                <w:color w:val="auto"/>
                <w:spacing w:val="0"/>
                <w:sz w:val="21"/>
                <w:highlight w:val="none"/>
              </w:rPr>
            </w:pPr>
          </w:p>
          <w:p w14:paraId="3D375A55">
            <w:pPr>
              <w:spacing w:line="240" w:lineRule="auto"/>
              <w:rPr>
                <w:rFonts w:hint="eastAsia" w:ascii="宋体" w:hAnsi="宋体" w:eastAsia="宋体" w:cs="宋体"/>
                <w:smallCaps w:val="0"/>
                <w:color w:val="auto"/>
                <w:spacing w:val="0"/>
                <w:sz w:val="21"/>
                <w:highlight w:val="none"/>
              </w:rPr>
            </w:pPr>
          </w:p>
          <w:p w14:paraId="2EA7DABD">
            <w:pPr>
              <w:pStyle w:val="223"/>
              <w:spacing w:before="78" w:line="240" w:lineRule="auto"/>
              <w:ind w:left="738"/>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投标报价</w:t>
            </w:r>
          </w:p>
        </w:tc>
        <w:tc>
          <w:tcPr>
            <w:tcW w:w="6771" w:type="dxa"/>
            <w:noWrap w:val="0"/>
            <w:vAlign w:val="top"/>
          </w:tcPr>
          <w:p w14:paraId="6F26232A">
            <w:pPr>
              <w:spacing w:line="240" w:lineRule="auto"/>
              <w:rPr>
                <w:rFonts w:hint="eastAsia" w:ascii="宋体" w:hAnsi="宋体" w:eastAsia="宋体" w:cs="宋体"/>
                <w:smallCaps w:val="0"/>
                <w:color w:val="auto"/>
                <w:spacing w:val="0"/>
                <w:sz w:val="21"/>
                <w:highlight w:val="none"/>
              </w:rPr>
            </w:pPr>
          </w:p>
          <w:p w14:paraId="56D34D87">
            <w:pPr>
              <w:pStyle w:val="223"/>
              <w:spacing w:before="78" w:line="240" w:lineRule="auto"/>
              <w:ind w:left="121"/>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小写：</w:t>
            </w:r>
          </w:p>
          <w:p w14:paraId="4092ED7E">
            <w:pPr>
              <w:pStyle w:val="223"/>
              <w:spacing w:before="211" w:line="240" w:lineRule="auto"/>
              <w:ind w:left="117"/>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大写：</w:t>
            </w:r>
          </w:p>
        </w:tc>
      </w:tr>
      <w:tr w14:paraId="097AE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2413" w:type="dxa"/>
            <w:noWrap w:val="0"/>
            <w:vAlign w:val="top"/>
          </w:tcPr>
          <w:p w14:paraId="2E2EC5A6">
            <w:pPr>
              <w:spacing w:line="240" w:lineRule="auto"/>
              <w:rPr>
                <w:rFonts w:hint="eastAsia" w:ascii="宋体" w:hAnsi="宋体" w:eastAsia="宋体" w:cs="宋体"/>
                <w:smallCaps w:val="0"/>
                <w:color w:val="auto"/>
                <w:spacing w:val="0"/>
                <w:sz w:val="21"/>
                <w:highlight w:val="none"/>
              </w:rPr>
            </w:pPr>
          </w:p>
          <w:p w14:paraId="45B2CCB3">
            <w:pPr>
              <w:pStyle w:val="223"/>
              <w:spacing w:before="78" w:line="240" w:lineRule="auto"/>
              <w:ind w:left="619"/>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lang w:val="en-US" w:eastAsia="zh-CN"/>
              </w:rPr>
              <w:t>项目</w:t>
            </w:r>
            <w:r>
              <w:rPr>
                <w:rFonts w:hint="eastAsia" w:ascii="宋体" w:hAnsi="宋体" w:eastAsia="宋体" w:cs="宋体"/>
                <w:smallCaps w:val="0"/>
                <w:color w:val="auto"/>
                <w:spacing w:val="0"/>
                <w:highlight w:val="none"/>
              </w:rPr>
              <w:t>负责人</w:t>
            </w:r>
          </w:p>
        </w:tc>
        <w:tc>
          <w:tcPr>
            <w:tcW w:w="6771" w:type="dxa"/>
            <w:noWrap w:val="0"/>
            <w:vAlign w:val="top"/>
          </w:tcPr>
          <w:p w14:paraId="3145AB5D">
            <w:pPr>
              <w:spacing w:line="240" w:lineRule="auto"/>
              <w:rPr>
                <w:rFonts w:hint="eastAsia" w:ascii="宋体" w:hAnsi="宋体" w:eastAsia="宋体" w:cs="宋体"/>
                <w:smallCaps w:val="0"/>
                <w:color w:val="auto"/>
                <w:spacing w:val="0"/>
                <w:sz w:val="21"/>
                <w:highlight w:val="none"/>
              </w:rPr>
            </w:pPr>
          </w:p>
        </w:tc>
      </w:tr>
      <w:tr w14:paraId="4CD84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2413" w:type="dxa"/>
            <w:noWrap w:val="0"/>
            <w:vAlign w:val="top"/>
          </w:tcPr>
          <w:p w14:paraId="3AC5F0B9">
            <w:pPr>
              <w:spacing w:line="240" w:lineRule="auto"/>
              <w:rPr>
                <w:rFonts w:hint="eastAsia" w:ascii="宋体" w:hAnsi="宋体" w:eastAsia="宋体" w:cs="宋体"/>
                <w:smallCaps w:val="0"/>
                <w:color w:val="auto"/>
                <w:spacing w:val="0"/>
                <w:sz w:val="21"/>
                <w:highlight w:val="none"/>
              </w:rPr>
            </w:pPr>
          </w:p>
          <w:p w14:paraId="6519990C">
            <w:pPr>
              <w:pStyle w:val="223"/>
              <w:spacing w:before="78" w:line="240" w:lineRule="auto"/>
              <w:ind w:left="735"/>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服务期限</w:t>
            </w:r>
          </w:p>
        </w:tc>
        <w:tc>
          <w:tcPr>
            <w:tcW w:w="6771" w:type="dxa"/>
            <w:noWrap w:val="0"/>
            <w:vAlign w:val="top"/>
          </w:tcPr>
          <w:p w14:paraId="18747300">
            <w:pPr>
              <w:spacing w:line="240" w:lineRule="auto"/>
              <w:rPr>
                <w:rFonts w:hint="eastAsia" w:ascii="宋体" w:hAnsi="宋体" w:eastAsia="宋体" w:cs="宋体"/>
                <w:smallCaps w:val="0"/>
                <w:color w:val="auto"/>
                <w:spacing w:val="0"/>
                <w:sz w:val="21"/>
                <w:highlight w:val="none"/>
              </w:rPr>
            </w:pPr>
          </w:p>
        </w:tc>
      </w:tr>
      <w:tr w14:paraId="5F5C5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2413" w:type="dxa"/>
            <w:noWrap w:val="0"/>
            <w:vAlign w:val="top"/>
          </w:tcPr>
          <w:p w14:paraId="27CD24D5">
            <w:pPr>
              <w:spacing w:line="240" w:lineRule="auto"/>
              <w:rPr>
                <w:rFonts w:hint="eastAsia" w:ascii="宋体" w:hAnsi="宋体" w:eastAsia="宋体" w:cs="宋体"/>
                <w:smallCaps w:val="0"/>
                <w:color w:val="auto"/>
                <w:spacing w:val="0"/>
                <w:sz w:val="21"/>
                <w:highlight w:val="none"/>
              </w:rPr>
            </w:pPr>
          </w:p>
          <w:p w14:paraId="7828A3BD">
            <w:pPr>
              <w:pStyle w:val="223"/>
              <w:spacing w:before="78" w:line="240" w:lineRule="auto"/>
              <w:ind w:left="735"/>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服务质量</w:t>
            </w:r>
          </w:p>
        </w:tc>
        <w:tc>
          <w:tcPr>
            <w:tcW w:w="6771" w:type="dxa"/>
            <w:noWrap w:val="0"/>
            <w:vAlign w:val="top"/>
          </w:tcPr>
          <w:p w14:paraId="51F7324A">
            <w:pPr>
              <w:spacing w:line="240" w:lineRule="auto"/>
              <w:rPr>
                <w:rFonts w:hint="eastAsia" w:ascii="宋体" w:hAnsi="宋体" w:eastAsia="宋体" w:cs="宋体"/>
                <w:smallCaps w:val="0"/>
                <w:color w:val="auto"/>
                <w:spacing w:val="0"/>
                <w:sz w:val="21"/>
                <w:highlight w:val="none"/>
              </w:rPr>
            </w:pPr>
          </w:p>
        </w:tc>
      </w:tr>
      <w:tr w14:paraId="75D22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4" w:hRule="atLeast"/>
        </w:trPr>
        <w:tc>
          <w:tcPr>
            <w:tcW w:w="9184" w:type="dxa"/>
            <w:gridSpan w:val="2"/>
            <w:noWrap w:val="0"/>
            <w:vAlign w:val="top"/>
          </w:tcPr>
          <w:p w14:paraId="144E988E">
            <w:pPr>
              <w:pStyle w:val="223"/>
              <w:spacing w:before="58" w:line="240" w:lineRule="auto"/>
              <w:ind w:left="120" w:right="113" w:hanging="3"/>
              <w:rPr>
                <w:rFonts w:hint="eastAsia" w:ascii="宋体" w:hAnsi="宋体" w:eastAsia="宋体" w:cs="宋体"/>
                <w:smallCaps w:val="0"/>
                <w:color w:val="auto"/>
                <w:spacing w:val="0"/>
                <w:sz w:val="20"/>
                <w:szCs w:val="20"/>
                <w:highlight w:val="none"/>
              </w:rPr>
            </w:pPr>
            <w:r>
              <w:rPr>
                <w:rFonts w:hint="eastAsia" w:ascii="宋体" w:hAnsi="宋体" w:eastAsia="宋体" w:cs="宋体"/>
                <w:b/>
                <w:bCs/>
                <w:smallCaps w:val="0"/>
                <w:color w:val="auto"/>
                <w:spacing w:val="0"/>
                <w:sz w:val="20"/>
                <w:szCs w:val="20"/>
                <w:highlight w:val="none"/>
              </w:rPr>
              <w:t>备注：说明：1、供应商严格按照规定的格式填写，并须经法定代表人或法人授权代表签字并加盖公章，否则，投标无效。</w:t>
            </w:r>
          </w:p>
          <w:p w14:paraId="52B6471F">
            <w:pPr>
              <w:pStyle w:val="223"/>
              <w:spacing w:line="240" w:lineRule="auto"/>
              <w:ind w:left="117"/>
              <w:rPr>
                <w:rFonts w:hint="eastAsia" w:ascii="宋体" w:hAnsi="宋体" w:eastAsia="宋体" w:cs="宋体"/>
                <w:smallCaps w:val="0"/>
                <w:color w:val="auto"/>
                <w:spacing w:val="0"/>
                <w:sz w:val="20"/>
                <w:szCs w:val="20"/>
                <w:highlight w:val="none"/>
              </w:rPr>
            </w:pPr>
            <w:r>
              <w:rPr>
                <w:rFonts w:hint="eastAsia" w:ascii="宋体" w:hAnsi="宋体" w:eastAsia="宋体" w:cs="宋体"/>
                <w:b/>
                <w:bCs/>
                <w:smallCaps w:val="0"/>
                <w:color w:val="auto"/>
                <w:spacing w:val="0"/>
                <w:sz w:val="20"/>
                <w:szCs w:val="20"/>
                <w:highlight w:val="none"/>
              </w:rPr>
              <w:t>2、符合招标文件中列明的可享受中小企业扶持政策的供应商，请填写中小企业声明函。</w:t>
            </w:r>
          </w:p>
          <w:p w14:paraId="7ABB6B8A">
            <w:pPr>
              <w:pStyle w:val="223"/>
              <w:spacing w:before="71" w:line="240" w:lineRule="auto"/>
              <w:ind w:left="134" w:right="108" w:hanging="20"/>
              <w:rPr>
                <w:rFonts w:hint="eastAsia" w:ascii="宋体" w:hAnsi="宋体" w:eastAsia="宋体" w:cs="宋体"/>
                <w:smallCaps w:val="0"/>
                <w:color w:val="auto"/>
                <w:spacing w:val="0"/>
                <w:sz w:val="20"/>
                <w:szCs w:val="20"/>
                <w:highlight w:val="none"/>
              </w:rPr>
            </w:pPr>
            <w:r>
              <w:rPr>
                <w:rFonts w:hint="eastAsia" w:ascii="宋体" w:hAnsi="宋体" w:eastAsia="宋体" w:cs="宋体"/>
                <w:b/>
                <w:bCs/>
                <w:smallCaps w:val="0"/>
                <w:color w:val="auto"/>
                <w:spacing w:val="0"/>
                <w:sz w:val="20"/>
                <w:szCs w:val="20"/>
                <w:highlight w:val="none"/>
              </w:rPr>
              <w:t>注：供应商提供的中小企业声明函内容不实的，属于提供虚假材料谋取中标、成交，依照《中华人民共和国政府采购法》等国家有关规定追究相应责任。</w:t>
            </w:r>
          </w:p>
        </w:tc>
      </w:tr>
    </w:tbl>
    <w:p w14:paraId="4B680ACC">
      <w:pPr>
        <w:keepNext w:val="0"/>
        <w:keepLines w:val="0"/>
        <w:pageBreakBefore w:val="0"/>
        <w:widowControl w:val="0"/>
        <w:kinsoku/>
        <w:wordWrap/>
        <w:overflowPunct/>
        <w:topLinePunct w:val="0"/>
        <w:autoSpaceDE/>
        <w:autoSpaceDN/>
        <w:bidi w:val="0"/>
        <w:adjustRightInd/>
        <w:snapToGrid/>
        <w:spacing w:before="78" w:line="360" w:lineRule="auto"/>
        <w:ind w:left="58"/>
        <w:textAlignment w:val="auto"/>
        <w:rPr>
          <w:rFonts w:hint="eastAsia" w:ascii="宋体" w:hAnsi="宋体" w:eastAsia="宋体" w:cs="宋体"/>
          <w:smallCaps w:val="0"/>
          <w:color w:val="auto"/>
          <w:spacing w:val="0"/>
          <w:sz w:val="24"/>
          <w:szCs w:val="24"/>
          <w:highlight w:val="none"/>
        </w:rPr>
      </w:pPr>
    </w:p>
    <w:p w14:paraId="67A9E316">
      <w:pPr>
        <w:keepNext w:val="0"/>
        <w:keepLines w:val="0"/>
        <w:pageBreakBefore w:val="0"/>
        <w:widowControl w:val="0"/>
        <w:kinsoku/>
        <w:wordWrap/>
        <w:overflowPunct/>
        <w:topLinePunct w:val="0"/>
        <w:autoSpaceDE/>
        <w:autoSpaceDN/>
        <w:bidi w:val="0"/>
        <w:adjustRightInd/>
        <w:snapToGrid/>
        <w:spacing w:before="78" w:line="360" w:lineRule="auto"/>
        <w:ind w:left="58"/>
        <w:textAlignment w:val="auto"/>
        <w:rPr>
          <w:rFonts w:hint="eastAsia" w:ascii="宋体" w:hAnsi="宋体" w:eastAsia="宋体" w:cs="宋体"/>
          <w:smallCaps w:val="0"/>
          <w:color w:val="auto"/>
          <w:spacing w:val="0"/>
          <w:sz w:val="24"/>
          <w:szCs w:val="24"/>
          <w:highlight w:val="none"/>
        </w:rPr>
      </w:pPr>
    </w:p>
    <w:p w14:paraId="1252E407">
      <w:pPr>
        <w:keepNext w:val="0"/>
        <w:keepLines w:val="0"/>
        <w:pageBreakBefore w:val="0"/>
        <w:widowControl w:val="0"/>
        <w:kinsoku/>
        <w:wordWrap/>
        <w:overflowPunct/>
        <w:topLinePunct w:val="0"/>
        <w:autoSpaceDE/>
        <w:autoSpaceDN/>
        <w:bidi w:val="0"/>
        <w:adjustRightInd/>
        <w:snapToGrid/>
        <w:spacing w:before="78" w:line="360" w:lineRule="auto"/>
        <w:ind w:left="58"/>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供应商（电子签章）：</w:t>
      </w:r>
    </w:p>
    <w:p w14:paraId="5BB6FDB3">
      <w:pPr>
        <w:keepNext w:val="0"/>
        <w:keepLines w:val="0"/>
        <w:pageBreakBefore w:val="0"/>
        <w:widowControl w:val="0"/>
        <w:kinsoku/>
        <w:wordWrap/>
        <w:overflowPunct/>
        <w:topLinePunct w:val="0"/>
        <w:autoSpaceDE/>
        <w:autoSpaceDN/>
        <w:bidi w:val="0"/>
        <w:adjustRightInd/>
        <w:snapToGrid/>
        <w:spacing w:before="78" w:line="360" w:lineRule="auto"/>
        <w:ind w:left="58"/>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法定代表人或授权委托代理人（电子签章或签名）：</w:t>
      </w:r>
    </w:p>
    <w:p w14:paraId="0700E0EA">
      <w:pPr>
        <w:keepNext w:val="0"/>
        <w:keepLines w:val="0"/>
        <w:pageBreakBefore w:val="0"/>
        <w:widowControl w:val="0"/>
        <w:kinsoku/>
        <w:wordWrap/>
        <w:overflowPunct/>
        <w:topLinePunct w:val="0"/>
        <w:autoSpaceDE/>
        <w:autoSpaceDN/>
        <w:bidi w:val="0"/>
        <w:adjustRightInd/>
        <w:snapToGrid/>
        <w:spacing w:before="78" w:line="360" w:lineRule="auto"/>
        <w:ind w:left="58"/>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 xml:space="preserve"> </w:t>
      </w:r>
      <w:r>
        <w:rPr>
          <w:rFonts w:hint="eastAsia" w:ascii="宋体" w:hAnsi="宋体" w:eastAsia="宋体" w:cs="宋体"/>
          <w:smallCaps w:val="0"/>
          <w:color w:val="auto"/>
          <w:spacing w:val="0"/>
          <w:sz w:val="24"/>
          <w:szCs w:val="24"/>
          <w:highlight w:val="none"/>
          <w:u w:val="single" w:color="auto"/>
          <w:lang w:val="en-US" w:eastAsia="zh-CN"/>
        </w:rPr>
        <w:t xml:space="preserve">    </w:t>
      </w:r>
      <w:r>
        <w:rPr>
          <w:rFonts w:hint="eastAsia" w:ascii="宋体" w:hAnsi="宋体" w:eastAsia="宋体" w:cs="宋体"/>
          <w:smallCaps w:val="0"/>
          <w:color w:val="auto"/>
          <w:spacing w:val="0"/>
          <w:sz w:val="24"/>
          <w:szCs w:val="24"/>
          <w:highlight w:val="none"/>
          <w:u w:val="single" w:color="auto"/>
        </w:rPr>
        <w:tab/>
      </w:r>
      <w:r>
        <w:rPr>
          <w:rFonts w:hint="eastAsia" w:ascii="宋体" w:hAnsi="宋体" w:eastAsia="宋体" w:cs="宋体"/>
          <w:smallCaps w:val="0"/>
          <w:color w:val="auto"/>
          <w:spacing w:val="0"/>
          <w:sz w:val="24"/>
          <w:szCs w:val="24"/>
          <w:highlight w:val="none"/>
        </w:rPr>
        <w:t xml:space="preserve"> 年</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月</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u w:val="single" w:color="auto"/>
          <w:lang w:val="en-US" w:eastAsia="zh-CN"/>
        </w:rPr>
        <w:t xml:space="preserve">  </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日</w:t>
      </w:r>
    </w:p>
    <w:p w14:paraId="5BE9E0AA">
      <w:pPr>
        <w:spacing w:line="240" w:lineRule="auto"/>
        <w:rPr>
          <w:rFonts w:hint="eastAsia" w:ascii="宋体" w:hAnsi="宋体" w:eastAsia="宋体" w:cs="宋体"/>
          <w:smallCaps w:val="0"/>
          <w:color w:val="auto"/>
          <w:spacing w:val="0"/>
          <w:sz w:val="24"/>
          <w:szCs w:val="24"/>
          <w:highlight w:val="none"/>
        </w:rPr>
      </w:pPr>
    </w:p>
    <w:p w14:paraId="19E814A4">
      <w:pPr>
        <w:rPr>
          <w:rFonts w:hint="eastAsia" w:ascii="宋体" w:hAnsi="宋体" w:eastAsia="宋体" w:cs="宋体"/>
          <w:color w:val="auto"/>
          <w:highlight w:val="none"/>
        </w:rPr>
      </w:pPr>
    </w:p>
    <w:p w14:paraId="5EC25209">
      <w:pPr>
        <w:spacing w:before="97" w:line="240" w:lineRule="auto"/>
        <w:ind w:left="3180"/>
        <w:outlineLvl w:val="1"/>
        <w:rPr>
          <w:rFonts w:hint="eastAsia" w:ascii="宋体" w:hAnsi="宋体" w:eastAsia="宋体" w:cs="宋体"/>
          <w:b/>
          <w:bCs/>
          <w:smallCaps w:val="0"/>
          <w:color w:val="auto"/>
          <w:spacing w:val="0"/>
          <w:sz w:val="30"/>
          <w:szCs w:val="30"/>
          <w:highlight w:val="none"/>
        </w:rPr>
      </w:pPr>
    </w:p>
    <w:p w14:paraId="742BE2E2">
      <w:pPr>
        <w:spacing w:before="97" w:line="240" w:lineRule="auto"/>
        <w:ind w:left="3180"/>
        <w:outlineLvl w:val="1"/>
        <w:rPr>
          <w:rFonts w:hint="eastAsia" w:ascii="宋体" w:hAnsi="宋体" w:eastAsia="宋体" w:cs="宋体"/>
          <w:b/>
          <w:bCs/>
          <w:smallCaps w:val="0"/>
          <w:color w:val="auto"/>
          <w:spacing w:val="0"/>
          <w:sz w:val="30"/>
          <w:szCs w:val="30"/>
          <w:highlight w:val="none"/>
        </w:rPr>
      </w:pPr>
    </w:p>
    <w:p w14:paraId="6E7766A8">
      <w:pPr>
        <w:spacing w:before="97" w:line="240" w:lineRule="auto"/>
        <w:ind w:left="3180"/>
        <w:outlineLvl w:val="1"/>
        <w:rPr>
          <w:rFonts w:hint="eastAsia" w:ascii="宋体" w:hAnsi="宋体" w:eastAsia="宋体" w:cs="宋体"/>
          <w:b/>
          <w:bCs/>
          <w:smallCaps w:val="0"/>
          <w:color w:val="auto"/>
          <w:spacing w:val="0"/>
          <w:sz w:val="30"/>
          <w:szCs w:val="30"/>
          <w:highlight w:val="none"/>
        </w:rPr>
      </w:pPr>
    </w:p>
    <w:p w14:paraId="09DB6335">
      <w:pPr>
        <w:spacing w:before="97" w:line="240" w:lineRule="auto"/>
        <w:ind w:left="3180"/>
        <w:outlineLvl w:val="1"/>
        <w:rPr>
          <w:rFonts w:hint="eastAsia" w:ascii="宋体" w:hAnsi="宋体" w:eastAsia="宋体" w:cs="宋体"/>
          <w:b/>
          <w:bCs/>
          <w:smallCaps w:val="0"/>
          <w:color w:val="auto"/>
          <w:spacing w:val="0"/>
          <w:sz w:val="30"/>
          <w:szCs w:val="30"/>
          <w:highlight w:val="none"/>
        </w:rPr>
      </w:pPr>
    </w:p>
    <w:p w14:paraId="24136D47">
      <w:pPr>
        <w:spacing w:before="97" w:line="240" w:lineRule="auto"/>
        <w:ind w:left="3180"/>
        <w:outlineLvl w:val="1"/>
        <w:rPr>
          <w:rFonts w:hint="eastAsia" w:ascii="宋体" w:hAnsi="宋体" w:eastAsia="宋体" w:cs="宋体"/>
          <w:b/>
          <w:bCs/>
          <w:smallCaps w:val="0"/>
          <w:color w:val="auto"/>
          <w:spacing w:val="0"/>
          <w:sz w:val="30"/>
          <w:szCs w:val="30"/>
          <w:highlight w:val="none"/>
        </w:rPr>
      </w:pPr>
    </w:p>
    <w:p w14:paraId="6A05019C">
      <w:pPr>
        <w:spacing w:before="97" w:line="240" w:lineRule="auto"/>
        <w:ind w:left="3180"/>
        <w:outlineLvl w:val="1"/>
        <w:rPr>
          <w:rFonts w:hint="eastAsia" w:ascii="宋体" w:hAnsi="宋体" w:eastAsia="宋体" w:cs="宋体"/>
          <w:b/>
          <w:bCs/>
          <w:smallCaps w:val="0"/>
          <w:color w:val="auto"/>
          <w:spacing w:val="0"/>
          <w:sz w:val="30"/>
          <w:szCs w:val="30"/>
          <w:highlight w:val="none"/>
        </w:rPr>
      </w:pPr>
    </w:p>
    <w:p w14:paraId="18FC737F">
      <w:pPr>
        <w:spacing w:before="97" w:line="240" w:lineRule="auto"/>
        <w:ind w:left="3180"/>
        <w:outlineLvl w:val="1"/>
        <w:rPr>
          <w:rFonts w:hint="eastAsia" w:ascii="宋体" w:hAnsi="宋体" w:eastAsia="宋体" w:cs="宋体"/>
          <w:b/>
          <w:bCs/>
          <w:smallCaps w:val="0"/>
          <w:color w:val="auto"/>
          <w:spacing w:val="0"/>
          <w:sz w:val="30"/>
          <w:szCs w:val="30"/>
          <w:highlight w:val="none"/>
        </w:rPr>
      </w:pPr>
    </w:p>
    <w:p w14:paraId="077044D9">
      <w:pPr>
        <w:spacing w:before="97" w:line="240" w:lineRule="auto"/>
        <w:jc w:val="both"/>
        <w:outlineLvl w:val="1"/>
        <w:rPr>
          <w:rFonts w:hint="eastAsia" w:ascii="宋体" w:hAnsi="宋体" w:eastAsia="宋体" w:cs="宋体"/>
          <w:smallCaps w:val="0"/>
          <w:color w:val="auto"/>
          <w:spacing w:val="0"/>
          <w:sz w:val="30"/>
          <w:szCs w:val="30"/>
          <w:highlight w:val="none"/>
        </w:rPr>
      </w:pPr>
      <w:bookmarkStart w:id="345" w:name="_Toc24268"/>
      <w:r>
        <w:rPr>
          <w:rFonts w:hint="eastAsia" w:ascii="宋体" w:hAnsi="宋体" w:eastAsia="宋体" w:cs="宋体"/>
          <w:b/>
          <w:bCs/>
          <w:smallCaps w:val="0"/>
          <w:color w:val="auto"/>
          <w:spacing w:val="0"/>
          <w:sz w:val="30"/>
          <w:szCs w:val="30"/>
          <w:highlight w:val="none"/>
          <w:lang w:val="en-US" w:eastAsia="zh-CN"/>
        </w:rPr>
        <w:t>3</w:t>
      </w:r>
      <w:r>
        <w:rPr>
          <w:rFonts w:hint="eastAsia" w:ascii="宋体" w:hAnsi="宋体" w:eastAsia="宋体" w:cs="宋体"/>
          <w:b/>
          <w:bCs/>
          <w:smallCaps w:val="0"/>
          <w:color w:val="auto"/>
          <w:spacing w:val="0"/>
          <w:sz w:val="30"/>
          <w:szCs w:val="30"/>
          <w:highlight w:val="none"/>
        </w:rPr>
        <w:t>、企业基本情况表</w:t>
      </w:r>
      <w:bookmarkEnd w:id="345"/>
    </w:p>
    <w:p w14:paraId="419179F0">
      <w:pPr>
        <w:spacing w:line="240" w:lineRule="auto"/>
        <w:rPr>
          <w:rFonts w:hint="eastAsia" w:ascii="宋体" w:hAnsi="宋体" w:eastAsia="宋体" w:cs="宋体"/>
          <w:smallCaps w:val="0"/>
          <w:color w:val="auto"/>
          <w:spacing w:val="0"/>
          <w:highlight w:val="none"/>
        </w:rPr>
      </w:pPr>
    </w:p>
    <w:tbl>
      <w:tblPr>
        <w:tblStyle w:val="222"/>
        <w:tblW w:w="91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7"/>
        <w:gridCol w:w="2211"/>
        <w:gridCol w:w="1862"/>
        <w:gridCol w:w="3157"/>
      </w:tblGrid>
      <w:tr w14:paraId="4ABEF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887" w:type="dxa"/>
            <w:noWrap w:val="0"/>
            <w:vAlign w:val="top"/>
          </w:tcPr>
          <w:p w14:paraId="19742EEC">
            <w:pPr>
              <w:pStyle w:val="223"/>
              <w:spacing w:before="301" w:line="240" w:lineRule="auto"/>
              <w:ind w:left="410"/>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供应商名称</w:t>
            </w:r>
          </w:p>
        </w:tc>
        <w:tc>
          <w:tcPr>
            <w:tcW w:w="7230" w:type="dxa"/>
            <w:gridSpan w:val="3"/>
            <w:noWrap w:val="0"/>
            <w:vAlign w:val="top"/>
          </w:tcPr>
          <w:p w14:paraId="12C343A2">
            <w:pPr>
              <w:spacing w:line="240" w:lineRule="auto"/>
              <w:rPr>
                <w:rFonts w:hint="eastAsia" w:ascii="宋体" w:hAnsi="宋体" w:eastAsia="宋体" w:cs="宋体"/>
                <w:smallCaps w:val="0"/>
                <w:color w:val="auto"/>
                <w:spacing w:val="0"/>
                <w:sz w:val="21"/>
                <w:highlight w:val="none"/>
              </w:rPr>
            </w:pPr>
          </w:p>
        </w:tc>
      </w:tr>
      <w:tr w14:paraId="662FF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1887" w:type="dxa"/>
            <w:noWrap w:val="0"/>
            <w:vAlign w:val="top"/>
          </w:tcPr>
          <w:p w14:paraId="1A5B686E">
            <w:pPr>
              <w:pStyle w:val="223"/>
              <w:spacing w:before="271" w:line="240" w:lineRule="auto"/>
              <w:ind w:left="532"/>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成立时间</w:t>
            </w:r>
          </w:p>
        </w:tc>
        <w:tc>
          <w:tcPr>
            <w:tcW w:w="7230" w:type="dxa"/>
            <w:gridSpan w:val="3"/>
            <w:noWrap w:val="0"/>
            <w:vAlign w:val="top"/>
          </w:tcPr>
          <w:p w14:paraId="49ABCB5F">
            <w:pPr>
              <w:spacing w:line="240" w:lineRule="auto"/>
              <w:rPr>
                <w:rFonts w:hint="eastAsia" w:ascii="宋体" w:hAnsi="宋体" w:eastAsia="宋体" w:cs="宋体"/>
                <w:smallCaps w:val="0"/>
                <w:color w:val="auto"/>
                <w:spacing w:val="0"/>
                <w:sz w:val="21"/>
                <w:highlight w:val="none"/>
              </w:rPr>
            </w:pPr>
          </w:p>
        </w:tc>
      </w:tr>
      <w:tr w14:paraId="16E83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887" w:type="dxa"/>
            <w:noWrap w:val="0"/>
            <w:vAlign w:val="top"/>
          </w:tcPr>
          <w:p w14:paraId="4DA7FF6B">
            <w:pPr>
              <w:pStyle w:val="223"/>
              <w:spacing w:before="306" w:line="240" w:lineRule="auto"/>
              <w:ind w:left="533"/>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详细地址</w:t>
            </w:r>
          </w:p>
        </w:tc>
        <w:tc>
          <w:tcPr>
            <w:tcW w:w="7230" w:type="dxa"/>
            <w:gridSpan w:val="3"/>
            <w:noWrap w:val="0"/>
            <w:vAlign w:val="top"/>
          </w:tcPr>
          <w:p w14:paraId="4FA01B58">
            <w:pPr>
              <w:spacing w:line="240" w:lineRule="auto"/>
              <w:rPr>
                <w:rFonts w:hint="eastAsia" w:ascii="宋体" w:hAnsi="宋体" w:eastAsia="宋体" w:cs="宋体"/>
                <w:smallCaps w:val="0"/>
                <w:color w:val="auto"/>
                <w:spacing w:val="0"/>
                <w:sz w:val="21"/>
                <w:highlight w:val="none"/>
              </w:rPr>
            </w:pPr>
          </w:p>
        </w:tc>
      </w:tr>
      <w:tr w14:paraId="4B9C9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887" w:type="dxa"/>
            <w:noWrap w:val="0"/>
            <w:vAlign w:val="top"/>
          </w:tcPr>
          <w:p w14:paraId="064C722E">
            <w:pPr>
              <w:pStyle w:val="223"/>
              <w:spacing w:before="303" w:line="240" w:lineRule="auto"/>
              <w:ind w:left="548"/>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邮政编码</w:t>
            </w:r>
          </w:p>
        </w:tc>
        <w:tc>
          <w:tcPr>
            <w:tcW w:w="7230" w:type="dxa"/>
            <w:gridSpan w:val="3"/>
            <w:noWrap w:val="0"/>
            <w:vAlign w:val="top"/>
          </w:tcPr>
          <w:p w14:paraId="0AD1FB47">
            <w:pPr>
              <w:spacing w:line="240" w:lineRule="auto"/>
              <w:rPr>
                <w:rFonts w:hint="eastAsia" w:ascii="宋体" w:hAnsi="宋体" w:eastAsia="宋体" w:cs="宋体"/>
                <w:smallCaps w:val="0"/>
                <w:color w:val="auto"/>
                <w:spacing w:val="0"/>
                <w:sz w:val="21"/>
                <w:highlight w:val="none"/>
              </w:rPr>
            </w:pPr>
          </w:p>
        </w:tc>
      </w:tr>
      <w:tr w14:paraId="23D2E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887" w:type="dxa"/>
            <w:noWrap w:val="0"/>
            <w:vAlign w:val="top"/>
          </w:tcPr>
          <w:p w14:paraId="523D9622">
            <w:pPr>
              <w:pStyle w:val="223"/>
              <w:spacing w:before="305" w:line="240" w:lineRule="auto"/>
              <w:ind w:left="531"/>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联系电话</w:t>
            </w:r>
          </w:p>
        </w:tc>
        <w:tc>
          <w:tcPr>
            <w:tcW w:w="7230" w:type="dxa"/>
            <w:gridSpan w:val="3"/>
            <w:noWrap w:val="0"/>
            <w:vAlign w:val="top"/>
          </w:tcPr>
          <w:p w14:paraId="6FE1E752">
            <w:pPr>
              <w:spacing w:line="240" w:lineRule="auto"/>
              <w:rPr>
                <w:rFonts w:hint="eastAsia" w:ascii="宋体" w:hAnsi="宋体" w:eastAsia="宋体" w:cs="宋体"/>
                <w:smallCaps w:val="0"/>
                <w:color w:val="auto"/>
                <w:spacing w:val="0"/>
                <w:sz w:val="21"/>
                <w:highlight w:val="none"/>
              </w:rPr>
            </w:pPr>
          </w:p>
        </w:tc>
      </w:tr>
      <w:tr w14:paraId="79DFA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887" w:type="dxa"/>
            <w:noWrap w:val="0"/>
            <w:vAlign w:val="top"/>
          </w:tcPr>
          <w:p w14:paraId="6684CBC9">
            <w:pPr>
              <w:pStyle w:val="223"/>
              <w:spacing w:before="299" w:line="240" w:lineRule="auto"/>
              <w:ind w:left="768"/>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传真</w:t>
            </w:r>
          </w:p>
        </w:tc>
        <w:tc>
          <w:tcPr>
            <w:tcW w:w="7230" w:type="dxa"/>
            <w:gridSpan w:val="3"/>
            <w:noWrap w:val="0"/>
            <w:vAlign w:val="top"/>
          </w:tcPr>
          <w:p w14:paraId="277D881F">
            <w:pPr>
              <w:spacing w:line="240" w:lineRule="auto"/>
              <w:rPr>
                <w:rFonts w:hint="eastAsia" w:ascii="宋体" w:hAnsi="宋体" w:eastAsia="宋体" w:cs="宋体"/>
                <w:smallCaps w:val="0"/>
                <w:color w:val="auto"/>
                <w:spacing w:val="0"/>
                <w:sz w:val="21"/>
                <w:highlight w:val="none"/>
              </w:rPr>
            </w:pPr>
          </w:p>
        </w:tc>
      </w:tr>
      <w:tr w14:paraId="7ABBE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887" w:type="dxa"/>
            <w:noWrap w:val="0"/>
            <w:vAlign w:val="top"/>
          </w:tcPr>
          <w:p w14:paraId="0D34ED6F">
            <w:pPr>
              <w:pStyle w:val="223"/>
              <w:spacing w:before="297" w:line="240" w:lineRule="auto"/>
              <w:ind w:left="558"/>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电子邮箱</w:t>
            </w:r>
          </w:p>
        </w:tc>
        <w:tc>
          <w:tcPr>
            <w:tcW w:w="7230" w:type="dxa"/>
            <w:gridSpan w:val="3"/>
            <w:noWrap w:val="0"/>
            <w:vAlign w:val="top"/>
          </w:tcPr>
          <w:p w14:paraId="6EDC9318">
            <w:pPr>
              <w:spacing w:line="240" w:lineRule="auto"/>
              <w:rPr>
                <w:rFonts w:hint="eastAsia" w:ascii="宋体" w:hAnsi="宋体" w:eastAsia="宋体" w:cs="宋体"/>
                <w:smallCaps w:val="0"/>
                <w:color w:val="auto"/>
                <w:spacing w:val="0"/>
                <w:sz w:val="21"/>
                <w:highlight w:val="none"/>
              </w:rPr>
            </w:pPr>
          </w:p>
        </w:tc>
      </w:tr>
      <w:tr w14:paraId="75D91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887" w:type="dxa"/>
            <w:noWrap w:val="0"/>
            <w:vAlign w:val="top"/>
          </w:tcPr>
          <w:p w14:paraId="20BB0418">
            <w:pPr>
              <w:pStyle w:val="223"/>
              <w:spacing w:before="298" w:line="240" w:lineRule="auto"/>
              <w:ind w:left="411"/>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法定代表人</w:t>
            </w:r>
          </w:p>
        </w:tc>
        <w:tc>
          <w:tcPr>
            <w:tcW w:w="2211" w:type="dxa"/>
            <w:noWrap w:val="0"/>
            <w:vAlign w:val="top"/>
          </w:tcPr>
          <w:p w14:paraId="10ADDAA2">
            <w:pPr>
              <w:spacing w:line="240" w:lineRule="auto"/>
              <w:rPr>
                <w:rFonts w:hint="eastAsia" w:ascii="宋体" w:hAnsi="宋体" w:eastAsia="宋体" w:cs="宋体"/>
                <w:smallCaps w:val="0"/>
                <w:color w:val="auto"/>
                <w:spacing w:val="0"/>
                <w:sz w:val="21"/>
                <w:highlight w:val="none"/>
              </w:rPr>
            </w:pPr>
          </w:p>
        </w:tc>
        <w:tc>
          <w:tcPr>
            <w:tcW w:w="1862" w:type="dxa"/>
            <w:noWrap w:val="0"/>
            <w:vAlign w:val="top"/>
          </w:tcPr>
          <w:p w14:paraId="1CA0D121">
            <w:pPr>
              <w:pStyle w:val="223"/>
              <w:spacing w:before="297" w:line="240" w:lineRule="auto"/>
              <w:ind w:right="29"/>
              <w:jc w:val="right"/>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电话（含手机）</w:t>
            </w:r>
          </w:p>
        </w:tc>
        <w:tc>
          <w:tcPr>
            <w:tcW w:w="3157" w:type="dxa"/>
            <w:noWrap w:val="0"/>
            <w:vAlign w:val="top"/>
          </w:tcPr>
          <w:p w14:paraId="3F337A6D">
            <w:pPr>
              <w:spacing w:line="240" w:lineRule="auto"/>
              <w:rPr>
                <w:rFonts w:hint="eastAsia" w:ascii="宋体" w:hAnsi="宋体" w:eastAsia="宋体" w:cs="宋体"/>
                <w:smallCaps w:val="0"/>
                <w:color w:val="auto"/>
                <w:spacing w:val="0"/>
                <w:sz w:val="21"/>
                <w:highlight w:val="none"/>
              </w:rPr>
            </w:pPr>
          </w:p>
        </w:tc>
      </w:tr>
      <w:tr w14:paraId="4F48A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887" w:type="dxa"/>
            <w:noWrap w:val="0"/>
            <w:vAlign w:val="top"/>
          </w:tcPr>
          <w:p w14:paraId="61E3E7DB">
            <w:pPr>
              <w:pStyle w:val="223"/>
              <w:spacing w:before="301" w:line="240" w:lineRule="auto"/>
              <w:ind w:left="537"/>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公司类型</w:t>
            </w:r>
          </w:p>
        </w:tc>
        <w:tc>
          <w:tcPr>
            <w:tcW w:w="7230" w:type="dxa"/>
            <w:gridSpan w:val="3"/>
            <w:noWrap w:val="0"/>
            <w:vAlign w:val="top"/>
          </w:tcPr>
          <w:p w14:paraId="746ACD72">
            <w:pPr>
              <w:spacing w:line="240" w:lineRule="auto"/>
              <w:rPr>
                <w:rFonts w:hint="eastAsia" w:ascii="宋体" w:hAnsi="宋体" w:eastAsia="宋体" w:cs="宋体"/>
                <w:smallCaps w:val="0"/>
                <w:color w:val="auto"/>
                <w:spacing w:val="0"/>
                <w:sz w:val="21"/>
                <w:highlight w:val="none"/>
              </w:rPr>
            </w:pPr>
          </w:p>
        </w:tc>
      </w:tr>
      <w:tr w14:paraId="404CC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887" w:type="dxa"/>
            <w:noWrap w:val="0"/>
            <w:vAlign w:val="top"/>
          </w:tcPr>
          <w:p w14:paraId="312C2B86">
            <w:pPr>
              <w:pStyle w:val="223"/>
              <w:spacing w:before="298" w:line="240" w:lineRule="auto"/>
              <w:ind w:left="530"/>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注册资本</w:t>
            </w:r>
          </w:p>
        </w:tc>
        <w:tc>
          <w:tcPr>
            <w:tcW w:w="7230" w:type="dxa"/>
            <w:gridSpan w:val="3"/>
            <w:noWrap w:val="0"/>
            <w:vAlign w:val="top"/>
          </w:tcPr>
          <w:p w14:paraId="3157D22D">
            <w:pPr>
              <w:spacing w:line="240" w:lineRule="auto"/>
              <w:rPr>
                <w:rFonts w:hint="eastAsia" w:ascii="宋体" w:hAnsi="宋体" w:eastAsia="宋体" w:cs="宋体"/>
                <w:smallCaps w:val="0"/>
                <w:color w:val="auto"/>
                <w:spacing w:val="0"/>
                <w:sz w:val="21"/>
                <w:highlight w:val="none"/>
              </w:rPr>
            </w:pPr>
          </w:p>
        </w:tc>
      </w:tr>
      <w:tr w14:paraId="29B33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5" w:hRule="atLeast"/>
        </w:trPr>
        <w:tc>
          <w:tcPr>
            <w:tcW w:w="1887" w:type="dxa"/>
            <w:noWrap w:val="0"/>
            <w:vAlign w:val="top"/>
          </w:tcPr>
          <w:p w14:paraId="19FE68D2">
            <w:pPr>
              <w:spacing w:line="240" w:lineRule="auto"/>
              <w:rPr>
                <w:rFonts w:hint="eastAsia" w:ascii="宋体" w:hAnsi="宋体" w:eastAsia="宋体" w:cs="宋体"/>
                <w:smallCaps w:val="0"/>
                <w:color w:val="auto"/>
                <w:spacing w:val="0"/>
                <w:sz w:val="21"/>
                <w:highlight w:val="none"/>
              </w:rPr>
            </w:pPr>
          </w:p>
          <w:p w14:paraId="14CFE36B">
            <w:pPr>
              <w:spacing w:line="240" w:lineRule="auto"/>
              <w:rPr>
                <w:rFonts w:hint="eastAsia" w:ascii="宋体" w:hAnsi="宋体" w:eastAsia="宋体" w:cs="宋体"/>
                <w:smallCaps w:val="0"/>
                <w:color w:val="auto"/>
                <w:spacing w:val="0"/>
                <w:sz w:val="21"/>
                <w:highlight w:val="none"/>
              </w:rPr>
            </w:pPr>
          </w:p>
          <w:p w14:paraId="677DEB87">
            <w:pPr>
              <w:pStyle w:val="223"/>
              <w:spacing w:before="78" w:line="240" w:lineRule="auto"/>
              <w:ind w:left="532"/>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经营范围</w:t>
            </w:r>
          </w:p>
        </w:tc>
        <w:tc>
          <w:tcPr>
            <w:tcW w:w="7230" w:type="dxa"/>
            <w:gridSpan w:val="3"/>
            <w:noWrap w:val="0"/>
            <w:vAlign w:val="top"/>
          </w:tcPr>
          <w:p w14:paraId="66D22095">
            <w:pPr>
              <w:spacing w:line="240" w:lineRule="auto"/>
              <w:rPr>
                <w:rFonts w:hint="eastAsia" w:ascii="宋体" w:hAnsi="宋体" w:eastAsia="宋体" w:cs="宋体"/>
                <w:smallCaps w:val="0"/>
                <w:color w:val="auto"/>
                <w:spacing w:val="0"/>
                <w:sz w:val="21"/>
                <w:highlight w:val="none"/>
              </w:rPr>
            </w:pPr>
          </w:p>
        </w:tc>
      </w:tr>
      <w:tr w14:paraId="56FB3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1887" w:type="dxa"/>
            <w:noWrap w:val="0"/>
            <w:vAlign w:val="top"/>
          </w:tcPr>
          <w:p w14:paraId="1DE3191F">
            <w:pPr>
              <w:spacing w:line="240" w:lineRule="auto"/>
              <w:rPr>
                <w:rFonts w:hint="eastAsia" w:ascii="宋体" w:hAnsi="宋体" w:eastAsia="宋体" w:cs="宋体"/>
                <w:smallCaps w:val="0"/>
                <w:color w:val="auto"/>
                <w:spacing w:val="0"/>
                <w:sz w:val="21"/>
                <w:highlight w:val="none"/>
              </w:rPr>
            </w:pPr>
          </w:p>
          <w:p w14:paraId="58F962E1">
            <w:pPr>
              <w:pStyle w:val="223"/>
              <w:spacing w:before="78" w:line="240" w:lineRule="auto"/>
              <w:ind w:left="289"/>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业务开始时间</w:t>
            </w:r>
          </w:p>
        </w:tc>
        <w:tc>
          <w:tcPr>
            <w:tcW w:w="7230" w:type="dxa"/>
            <w:gridSpan w:val="3"/>
            <w:noWrap w:val="0"/>
            <w:vAlign w:val="top"/>
          </w:tcPr>
          <w:p w14:paraId="3076492D">
            <w:pPr>
              <w:spacing w:line="240" w:lineRule="auto"/>
              <w:rPr>
                <w:rFonts w:hint="eastAsia" w:ascii="宋体" w:hAnsi="宋体" w:eastAsia="宋体" w:cs="宋体"/>
                <w:smallCaps w:val="0"/>
                <w:color w:val="auto"/>
                <w:spacing w:val="0"/>
                <w:sz w:val="21"/>
                <w:highlight w:val="none"/>
              </w:rPr>
            </w:pPr>
          </w:p>
        </w:tc>
      </w:tr>
      <w:tr w14:paraId="1F8DF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887" w:type="dxa"/>
            <w:noWrap w:val="0"/>
            <w:vAlign w:val="top"/>
          </w:tcPr>
          <w:p w14:paraId="1641CDC1">
            <w:pPr>
              <w:pStyle w:val="223"/>
              <w:spacing w:before="304" w:line="240" w:lineRule="auto"/>
              <w:ind w:left="297"/>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公司人员情况</w:t>
            </w:r>
          </w:p>
        </w:tc>
        <w:tc>
          <w:tcPr>
            <w:tcW w:w="7230" w:type="dxa"/>
            <w:gridSpan w:val="3"/>
            <w:noWrap w:val="0"/>
            <w:vAlign w:val="top"/>
          </w:tcPr>
          <w:p w14:paraId="48CE6015">
            <w:pPr>
              <w:spacing w:line="240" w:lineRule="auto"/>
              <w:rPr>
                <w:rFonts w:hint="eastAsia" w:ascii="宋体" w:hAnsi="宋体" w:eastAsia="宋体" w:cs="宋体"/>
                <w:smallCaps w:val="0"/>
                <w:color w:val="auto"/>
                <w:spacing w:val="0"/>
                <w:sz w:val="21"/>
                <w:highlight w:val="none"/>
              </w:rPr>
            </w:pPr>
          </w:p>
        </w:tc>
      </w:tr>
    </w:tbl>
    <w:p w14:paraId="3326E68C">
      <w:pPr>
        <w:pStyle w:val="20"/>
        <w:spacing w:line="240" w:lineRule="auto"/>
        <w:rPr>
          <w:rFonts w:hint="eastAsia" w:ascii="宋体" w:hAnsi="宋体" w:eastAsia="宋体" w:cs="宋体"/>
          <w:smallCaps w:val="0"/>
          <w:color w:val="auto"/>
          <w:spacing w:val="0"/>
          <w:highlight w:val="none"/>
        </w:rPr>
      </w:pPr>
    </w:p>
    <w:p w14:paraId="13357EA0">
      <w:pPr>
        <w:pStyle w:val="223"/>
        <w:spacing w:before="78" w:line="240" w:lineRule="auto"/>
        <w:ind w:left="289"/>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注：此表后附营业执照资质证书材料</w:t>
      </w:r>
    </w:p>
    <w:p w14:paraId="56CBBC46">
      <w:pPr>
        <w:pStyle w:val="223"/>
        <w:spacing w:before="78" w:line="240" w:lineRule="auto"/>
        <w:ind w:left="289"/>
        <w:rPr>
          <w:rFonts w:hint="eastAsia" w:ascii="宋体" w:hAnsi="宋体" w:eastAsia="宋体" w:cs="宋体"/>
          <w:smallCaps w:val="0"/>
          <w:color w:val="auto"/>
          <w:spacing w:val="0"/>
          <w:highlight w:val="none"/>
        </w:rPr>
        <w:sectPr>
          <w:footerReference r:id="rId11" w:type="default"/>
          <w:pgSz w:w="11905" w:h="16839"/>
          <w:pgMar w:top="1440" w:right="1800" w:bottom="1440" w:left="1800" w:header="0" w:footer="1013" w:gutter="0"/>
          <w:cols w:space="720" w:num="1"/>
        </w:sectPr>
      </w:pPr>
    </w:p>
    <w:p w14:paraId="50F36BDE">
      <w:pPr>
        <w:adjustRightInd w:val="0"/>
        <w:snapToGrid w:val="0"/>
        <w:spacing w:line="360" w:lineRule="auto"/>
        <w:ind w:right="105" w:rightChars="50"/>
        <w:rPr>
          <w:rFonts w:hint="eastAsia" w:ascii="宋体" w:hAnsi="宋体" w:eastAsia="宋体" w:cs="宋体"/>
          <w:bCs/>
          <w:color w:val="auto"/>
          <w:sz w:val="24"/>
          <w:highlight w:val="none"/>
        </w:rPr>
      </w:pPr>
      <w:bookmarkStart w:id="346" w:name="_Toc44700095"/>
    </w:p>
    <w:p w14:paraId="1363422D">
      <w:pPr>
        <w:keepNext/>
        <w:keepLines/>
        <w:tabs>
          <w:tab w:val="left" w:pos="3905"/>
        </w:tabs>
        <w:outlineLvl w:val="1"/>
        <w:rPr>
          <w:rFonts w:hint="eastAsia" w:ascii="宋体" w:hAnsi="宋体" w:eastAsia="宋体" w:cs="宋体"/>
          <w:b/>
          <w:color w:val="auto"/>
          <w:kern w:val="0"/>
          <w:sz w:val="36"/>
          <w:szCs w:val="21"/>
          <w:highlight w:val="none"/>
        </w:rPr>
      </w:pPr>
      <w:bookmarkStart w:id="347" w:name="_Toc12822"/>
      <w:r>
        <w:rPr>
          <w:rFonts w:hint="eastAsia" w:ascii="宋体" w:hAnsi="宋体" w:eastAsia="宋体" w:cs="宋体"/>
          <w:b/>
          <w:color w:val="auto"/>
          <w:kern w:val="0"/>
          <w:sz w:val="36"/>
          <w:szCs w:val="21"/>
          <w:highlight w:val="none"/>
        </w:rPr>
        <w:t>4、法定代表人资格证明格式</w:t>
      </w:r>
      <w:bookmarkEnd w:id="346"/>
      <w:bookmarkEnd w:id="347"/>
      <w:r>
        <w:rPr>
          <w:rFonts w:hint="eastAsia" w:ascii="宋体" w:hAnsi="宋体" w:eastAsia="宋体" w:cs="宋体"/>
          <w:b/>
          <w:color w:val="auto"/>
          <w:kern w:val="0"/>
          <w:sz w:val="36"/>
          <w:szCs w:val="21"/>
          <w:highlight w:val="none"/>
        </w:rPr>
        <w:tab/>
      </w:r>
    </w:p>
    <w:p w14:paraId="519E73E0">
      <w:pPr>
        <w:spacing w:line="360" w:lineRule="auto"/>
        <w:ind w:firstLine="602" w:firstLineChars="200"/>
        <w:jc w:val="center"/>
        <w:rPr>
          <w:rFonts w:hint="eastAsia" w:ascii="宋体" w:hAnsi="宋体" w:eastAsia="宋体" w:cs="宋体"/>
          <w:b/>
          <w:color w:val="auto"/>
          <w:sz w:val="30"/>
          <w:szCs w:val="30"/>
          <w:highlight w:val="none"/>
        </w:rPr>
      </w:pPr>
    </w:p>
    <w:p w14:paraId="50E1D124">
      <w:pPr>
        <w:spacing w:line="360" w:lineRule="auto"/>
        <w:ind w:firstLine="602" w:firstLineChars="20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法定代表人资格证明</w:t>
      </w:r>
    </w:p>
    <w:p w14:paraId="4B0D917D">
      <w:pPr>
        <w:spacing w:line="360" w:lineRule="auto"/>
        <w:ind w:firstLine="420" w:firstLineChars="200"/>
        <w:rPr>
          <w:rFonts w:hint="eastAsia" w:ascii="宋体" w:hAnsi="宋体" w:eastAsia="宋体" w:cs="宋体"/>
          <w:color w:val="auto"/>
          <w:szCs w:val="21"/>
          <w:highlight w:val="none"/>
        </w:rPr>
      </w:pPr>
    </w:p>
    <w:p w14:paraId="59F30353">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单位名称：</w:t>
      </w:r>
    </w:p>
    <w:p w14:paraId="3FCE494C">
      <w:pPr>
        <w:spacing w:line="360"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地址：</w:t>
      </w:r>
    </w:p>
    <w:p w14:paraId="3AF37E2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姓名：性别：年龄：职务：系的法定代表人，为项目，签署响应文件、进行合同谈判、签署合同和处理与之有关的一切事务。</w:t>
      </w:r>
    </w:p>
    <w:p w14:paraId="3E5F443C">
      <w:pPr>
        <w:spacing w:line="360" w:lineRule="auto"/>
        <w:rPr>
          <w:rFonts w:hint="eastAsia" w:ascii="宋体" w:hAnsi="宋体" w:eastAsia="宋体" w:cs="宋体"/>
          <w:color w:val="auto"/>
          <w:sz w:val="24"/>
          <w:szCs w:val="24"/>
          <w:highlight w:val="none"/>
        </w:rPr>
      </w:pPr>
    </w:p>
    <w:p w14:paraId="6EAEF09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5F14F74C">
      <w:pPr>
        <w:spacing w:line="360" w:lineRule="auto"/>
        <w:rPr>
          <w:rFonts w:hint="eastAsia" w:ascii="宋体" w:hAnsi="宋体" w:eastAsia="宋体" w:cs="宋体"/>
          <w:color w:val="auto"/>
          <w:sz w:val="24"/>
          <w:szCs w:val="24"/>
          <w:highlight w:val="none"/>
        </w:rPr>
      </w:pPr>
    </w:p>
    <w:p w14:paraId="3AE24598">
      <w:pPr>
        <w:spacing w:line="360" w:lineRule="auto"/>
        <w:rPr>
          <w:rFonts w:hint="eastAsia" w:ascii="宋体" w:hAnsi="宋体" w:eastAsia="宋体" w:cs="宋体"/>
          <w:color w:val="auto"/>
          <w:sz w:val="24"/>
          <w:szCs w:val="24"/>
          <w:highlight w:val="none"/>
        </w:rPr>
      </w:pPr>
    </w:p>
    <w:p w14:paraId="7177E140">
      <w:pPr>
        <w:spacing w:line="360" w:lineRule="auto"/>
        <w:rPr>
          <w:rFonts w:hint="eastAsia" w:ascii="宋体" w:hAnsi="宋体" w:eastAsia="宋体" w:cs="宋体"/>
          <w:color w:val="auto"/>
          <w:sz w:val="24"/>
          <w:szCs w:val="24"/>
          <w:highlight w:val="none"/>
        </w:rPr>
      </w:pPr>
    </w:p>
    <w:p w14:paraId="4E0F7FF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r>
        <w:rPr>
          <w:rFonts w:hint="eastAsia" w:ascii="宋体" w:hAnsi="宋体" w:eastAsia="宋体" w:cs="宋体"/>
          <w:color w:val="auto"/>
          <w:sz w:val="24"/>
          <w:szCs w:val="24"/>
          <w:highlight w:val="none"/>
          <w:lang w:val="en-US" w:eastAsia="zh-CN"/>
        </w:rPr>
        <w:t>或电子公章</w:t>
      </w:r>
      <w:r>
        <w:rPr>
          <w:rFonts w:hint="eastAsia" w:ascii="宋体" w:hAnsi="宋体" w:eastAsia="宋体" w:cs="宋体"/>
          <w:color w:val="auto"/>
          <w:sz w:val="24"/>
          <w:szCs w:val="24"/>
          <w:highlight w:val="none"/>
        </w:rPr>
        <w:t>）</w:t>
      </w:r>
    </w:p>
    <w:p w14:paraId="491994D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日期：年月日</w:t>
      </w:r>
    </w:p>
    <w:p w14:paraId="7EE5319F">
      <w:pPr>
        <w:keepNext/>
        <w:keepLines/>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bookmarkStart w:id="348" w:name="_Toc32023"/>
      <w:bookmarkStart w:id="349" w:name="_Toc44700096"/>
      <w:r>
        <w:rPr>
          <w:rFonts w:hint="eastAsia" w:ascii="宋体" w:hAnsi="宋体" w:eastAsia="宋体" w:cs="宋体"/>
          <w:b/>
          <w:color w:val="auto"/>
          <w:kern w:val="0"/>
          <w:sz w:val="36"/>
          <w:szCs w:val="21"/>
          <w:highlight w:val="none"/>
        </w:rPr>
        <w:t>5、法定代表人授权委托书格式</w:t>
      </w:r>
      <w:bookmarkEnd w:id="348"/>
      <w:bookmarkEnd w:id="349"/>
    </w:p>
    <w:p w14:paraId="788915C1">
      <w:pPr>
        <w:spacing w:line="480" w:lineRule="auto"/>
        <w:ind w:firstLine="602" w:firstLineChars="20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法定代表人授权委托书</w:t>
      </w:r>
    </w:p>
    <w:p w14:paraId="7C4CF8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本授权书声明：注册于（国家或地区的名称）的</w:t>
      </w:r>
      <w:r>
        <w:rPr>
          <w:rFonts w:hint="eastAsia" w:ascii="宋体" w:hAnsi="宋体" w:eastAsia="宋体" w:cs="宋体"/>
          <w:color w:val="auto"/>
          <w:sz w:val="24"/>
          <w:szCs w:val="24"/>
          <w:highlight w:val="none"/>
          <w:u w:val="single"/>
          <w:shd w:val="clear" w:color="auto" w:fill="FFFFFF"/>
        </w:rPr>
        <w:t>（供应商名称）</w:t>
      </w:r>
      <w:r>
        <w:rPr>
          <w:rFonts w:hint="eastAsia" w:ascii="宋体" w:hAnsi="宋体" w:eastAsia="宋体" w:cs="宋体"/>
          <w:color w:val="auto"/>
          <w:sz w:val="24"/>
          <w:szCs w:val="24"/>
          <w:highlight w:val="none"/>
          <w:shd w:val="clear" w:color="auto" w:fill="FFFFFF"/>
        </w:rPr>
        <w:t>的在下面签字的</w:t>
      </w:r>
      <w:r>
        <w:rPr>
          <w:rFonts w:hint="eastAsia" w:ascii="宋体" w:hAnsi="宋体" w:eastAsia="宋体" w:cs="宋体"/>
          <w:color w:val="auto"/>
          <w:sz w:val="24"/>
          <w:szCs w:val="24"/>
          <w:highlight w:val="none"/>
          <w:u w:val="single"/>
          <w:shd w:val="clear" w:color="auto" w:fill="FFFFFF"/>
        </w:rPr>
        <w:t>（法定代表人姓名、职务）</w:t>
      </w:r>
      <w:r>
        <w:rPr>
          <w:rFonts w:hint="eastAsia" w:ascii="宋体" w:hAnsi="宋体" w:eastAsia="宋体" w:cs="宋体"/>
          <w:color w:val="auto"/>
          <w:sz w:val="24"/>
          <w:szCs w:val="24"/>
          <w:highlight w:val="none"/>
          <w:shd w:val="clear" w:color="auto" w:fill="FFFFFF"/>
        </w:rPr>
        <w:t>代表本公司授权的在下面签字的</w:t>
      </w:r>
      <w:r>
        <w:rPr>
          <w:rFonts w:hint="eastAsia" w:ascii="宋体" w:hAnsi="宋体" w:eastAsia="宋体" w:cs="宋体"/>
          <w:color w:val="auto"/>
          <w:sz w:val="24"/>
          <w:szCs w:val="24"/>
          <w:highlight w:val="none"/>
          <w:u w:val="single"/>
          <w:shd w:val="clear" w:color="auto" w:fill="FFFFFF"/>
        </w:rPr>
        <w:t>（被授权人的姓名、职务）</w:t>
      </w:r>
      <w:r>
        <w:rPr>
          <w:rFonts w:hint="eastAsia" w:ascii="宋体" w:hAnsi="宋体" w:eastAsia="宋体" w:cs="宋体"/>
          <w:color w:val="auto"/>
          <w:sz w:val="24"/>
          <w:szCs w:val="24"/>
          <w:highlight w:val="none"/>
          <w:shd w:val="clear" w:color="auto" w:fill="FFFFFF"/>
        </w:rPr>
        <w:t>为本公司的合法代理人，就项目（项目编号：</w:t>
      </w:r>
      <w:r>
        <w:rPr>
          <w:rFonts w:hint="eastAsia" w:ascii="宋体" w:hAnsi="宋体" w:eastAsia="宋体" w:cs="宋体"/>
          <w:color w:val="auto"/>
          <w:sz w:val="24"/>
          <w:szCs w:val="24"/>
          <w:highlight w:val="none"/>
          <w:u w:val="single"/>
          <w:shd w:val="clear" w:color="auto" w:fill="FFFFFF"/>
        </w:rPr>
        <w:t>）的</w:t>
      </w:r>
      <w:r>
        <w:rPr>
          <w:rFonts w:hint="eastAsia" w:ascii="宋体" w:hAnsi="宋体" w:eastAsia="宋体" w:cs="宋体"/>
          <w:color w:val="auto"/>
          <w:sz w:val="24"/>
          <w:szCs w:val="24"/>
          <w:highlight w:val="none"/>
          <w:shd w:val="clear" w:color="auto" w:fill="FFFFFF"/>
        </w:rPr>
        <w:t>采购（含响应和转为其他方式），以本公司名义处理一切与之有关的事务。</w:t>
      </w:r>
      <w:r>
        <w:rPr>
          <w:rFonts w:hint="eastAsia" w:ascii="宋体" w:hAnsi="宋体" w:eastAsia="宋体" w:cs="宋体"/>
          <w:b/>
          <w:color w:val="auto"/>
          <w:sz w:val="24"/>
          <w:highlight w:val="none"/>
        </w:rPr>
        <w:t>法定代表人授权委托书所授权的权限包括但不限于参加磋商会、填报及签署一轮或多轮最后报价（报价清单）。</w:t>
      </w:r>
      <w:r>
        <w:rPr>
          <w:rFonts w:hint="eastAsia" w:ascii="宋体" w:hAnsi="宋体" w:eastAsia="宋体" w:cs="宋体"/>
          <w:color w:val="auto"/>
          <w:sz w:val="24"/>
          <w:szCs w:val="24"/>
          <w:highlight w:val="none"/>
          <w:shd w:val="clear" w:color="auto" w:fill="FFFFFF"/>
        </w:rPr>
        <w:t>我公司对被授权人的签名负全部法律责任。</w:t>
      </w:r>
    </w:p>
    <w:p w14:paraId="0C976C6D">
      <w:pPr>
        <w:spacing w:line="360" w:lineRule="auto"/>
        <w:ind w:firstLine="435"/>
        <w:rPr>
          <w:rFonts w:hint="eastAsia" w:ascii="宋体" w:hAnsi="宋体" w:eastAsia="宋体" w:cs="宋体"/>
          <w:color w:val="auto"/>
          <w:sz w:val="24"/>
          <w:szCs w:val="24"/>
          <w:highlight w:val="none"/>
          <w:shd w:val="clear" w:color="auto" w:fill="FFFFFF"/>
        </w:rPr>
      </w:pPr>
    </w:p>
    <w:p w14:paraId="321878AA">
      <w:pPr>
        <w:spacing w:line="360" w:lineRule="auto"/>
        <w:ind w:firstLine="435"/>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本授权书于年月日签字生效，特此声明。</w:t>
      </w:r>
    </w:p>
    <w:p w14:paraId="24AF93E4">
      <w:pPr>
        <w:spacing w:line="360" w:lineRule="auto"/>
        <w:ind w:firstLine="435"/>
        <w:rPr>
          <w:rFonts w:hint="eastAsia" w:ascii="宋体" w:hAnsi="宋体" w:eastAsia="宋体" w:cs="宋体"/>
          <w:color w:val="auto"/>
          <w:sz w:val="24"/>
          <w:szCs w:val="24"/>
          <w:highlight w:val="none"/>
          <w:shd w:val="clear" w:color="auto" w:fill="FFFFFF"/>
        </w:rPr>
      </w:pPr>
    </w:p>
    <w:p w14:paraId="2BEE1780">
      <w:pPr>
        <w:spacing w:line="360" w:lineRule="auto"/>
        <w:ind w:firstLine="435"/>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(须后附法定代表人、被授权人身份证正反面复印件并加盖公章)</w:t>
      </w:r>
    </w:p>
    <w:p w14:paraId="04349139">
      <w:pPr>
        <w:spacing w:line="360" w:lineRule="auto"/>
        <w:ind w:firstLine="435"/>
        <w:rPr>
          <w:rFonts w:hint="eastAsia" w:ascii="宋体" w:hAnsi="宋体" w:eastAsia="宋体" w:cs="宋体"/>
          <w:color w:val="auto"/>
          <w:sz w:val="24"/>
          <w:szCs w:val="24"/>
          <w:highlight w:val="none"/>
          <w:shd w:val="clear" w:color="auto" w:fill="FFFFFF"/>
        </w:rPr>
      </w:pPr>
    </w:p>
    <w:p w14:paraId="49BDABB8">
      <w:pPr>
        <w:spacing w:line="360" w:lineRule="auto"/>
        <w:ind w:firstLine="435"/>
        <w:jc w:val="right"/>
        <w:rPr>
          <w:rFonts w:hint="eastAsia" w:ascii="宋体" w:hAnsi="宋体" w:eastAsia="宋体" w:cs="宋体"/>
          <w:color w:val="auto"/>
          <w:sz w:val="24"/>
          <w:szCs w:val="24"/>
          <w:highlight w:val="none"/>
          <w:u w:val="single"/>
          <w:shd w:val="clear" w:color="auto" w:fill="FFFFFF"/>
        </w:rPr>
      </w:pPr>
      <w:r>
        <w:rPr>
          <w:rFonts w:hint="eastAsia" w:ascii="宋体" w:hAnsi="宋体" w:eastAsia="宋体" w:cs="宋体"/>
          <w:color w:val="auto"/>
          <w:sz w:val="24"/>
          <w:szCs w:val="24"/>
          <w:highlight w:val="none"/>
          <w:shd w:val="clear" w:color="auto" w:fill="FFFFFF"/>
        </w:rPr>
        <w:t>法定代表人签字或盖章：</w:t>
      </w:r>
    </w:p>
    <w:p w14:paraId="56FB3357">
      <w:pPr>
        <w:spacing w:line="360" w:lineRule="auto"/>
        <w:ind w:firstLine="435"/>
        <w:jc w:val="right"/>
        <w:rPr>
          <w:rFonts w:hint="eastAsia" w:ascii="宋体" w:hAnsi="宋体" w:eastAsia="宋体" w:cs="宋体"/>
          <w:color w:val="auto"/>
          <w:sz w:val="24"/>
          <w:szCs w:val="24"/>
          <w:highlight w:val="none"/>
          <w:u w:val="single"/>
          <w:shd w:val="clear" w:color="auto" w:fill="FFFFFF"/>
        </w:rPr>
      </w:pPr>
      <w:r>
        <w:rPr>
          <w:rFonts w:hint="eastAsia" w:ascii="宋体" w:hAnsi="宋体" w:eastAsia="宋体" w:cs="宋体"/>
          <w:color w:val="auto"/>
          <w:sz w:val="24"/>
          <w:szCs w:val="24"/>
          <w:highlight w:val="none"/>
          <w:shd w:val="clear" w:color="auto" w:fill="FFFFFF"/>
        </w:rPr>
        <w:t>被授权人签字：</w:t>
      </w:r>
    </w:p>
    <w:p w14:paraId="06622AE0">
      <w:pPr>
        <w:spacing w:line="360" w:lineRule="auto"/>
        <w:ind w:firstLine="435"/>
        <w:jc w:val="right"/>
        <w:rPr>
          <w:rFonts w:hint="eastAsia" w:ascii="宋体" w:hAnsi="宋体" w:eastAsia="宋体" w:cs="宋体"/>
          <w:color w:val="auto"/>
          <w:highlight w:val="none"/>
          <w:shd w:val="clear" w:color="auto" w:fill="FFFFFF"/>
        </w:rPr>
      </w:pPr>
      <w:r>
        <w:rPr>
          <w:rFonts w:hint="eastAsia" w:ascii="宋体" w:hAnsi="宋体" w:eastAsia="宋体" w:cs="宋体"/>
          <w:color w:val="auto"/>
          <w:sz w:val="24"/>
          <w:highlight w:val="none"/>
          <w:shd w:val="clear" w:color="auto" w:fill="FFFFFF"/>
        </w:rPr>
        <w:t>供应商名称（公章</w:t>
      </w:r>
      <w:r>
        <w:rPr>
          <w:rFonts w:hint="eastAsia" w:ascii="宋体" w:hAnsi="宋体" w:eastAsia="宋体" w:cs="宋体"/>
          <w:color w:val="auto"/>
          <w:sz w:val="24"/>
          <w:szCs w:val="24"/>
          <w:highlight w:val="none"/>
          <w:lang w:val="en-US" w:eastAsia="zh-CN"/>
        </w:rPr>
        <w:t>或电子公章</w:t>
      </w: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highlight w:val="none"/>
          <w:shd w:val="clear" w:color="auto" w:fill="FFFFFF"/>
        </w:rPr>
        <w:t>：</w:t>
      </w:r>
    </w:p>
    <w:p w14:paraId="209B312C">
      <w:pPr>
        <w:spacing w:line="360" w:lineRule="auto"/>
        <w:ind w:firstLine="435"/>
        <w:rPr>
          <w:rFonts w:hint="eastAsia" w:ascii="宋体" w:hAnsi="宋体" w:eastAsia="宋体" w:cs="宋体"/>
          <w:color w:val="auto"/>
          <w:highlight w:val="none"/>
          <w:shd w:val="clear" w:color="auto" w:fill="FFFFFF"/>
        </w:rPr>
      </w:pPr>
    </w:p>
    <w:p w14:paraId="3EAD4585">
      <w:pPr>
        <w:spacing w:line="360" w:lineRule="auto"/>
        <w:ind w:firstLine="435"/>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附：</w:t>
      </w:r>
    </w:p>
    <w:p w14:paraId="0D9F11F9">
      <w:pPr>
        <w:spacing w:line="360" w:lineRule="auto"/>
        <w:ind w:firstLine="435"/>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被授权人姓名：</w:t>
      </w:r>
    </w:p>
    <w:p w14:paraId="5FF0A433">
      <w:pPr>
        <w:spacing w:line="360" w:lineRule="auto"/>
        <w:ind w:firstLine="435"/>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职务：</w:t>
      </w:r>
    </w:p>
    <w:p w14:paraId="61E4EC70">
      <w:pPr>
        <w:spacing w:line="360" w:lineRule="auto"/>
        <w:ind w:firstLine="435"/>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详细通讯地址：</w:t>
      </w:r>
    </w:p>
    <w:p w14:paraId="79C2EEA2">
      <w:pPr>
        <w:spacing w:line="360" w:lineRule="auto"/>
        <w:ind w:firstLine="435"/>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邮政编码：</w:t>
      </w:r>
    </w:p>
    <w:p w14:paraId="05F7648F">
      <w:pPr>
        <w:spacing w:line="360" w:lineRule="auto"/>
        <w:ind w:firstLine="435"/>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传真：</w:t>
      </w:r>
    </w:p>
    <w:p w14:paraId="5C46EFFE">
      <w:pPr>
        <w:spacing w:line="360" w:lineRule="auto"/>
        <w:ind w:firstLine="435"/>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电话：</w:t>
      </w:r>
    </w:p>
    <w:p w14:paraId="37AA27C4">
      <w:pPr>
        <w:spacing w:line="360" w:lineRule="auto"/>
        <w:ind w:firstLine="435"/>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手机：</w:t>
      </w:r>
    </w:p>
    <w:p w14:paraId="6D1B4192">
      <w:pPr>
        <w:spacing w:line="360" w:lineRule="auto"/>
        <w:ind w:firstLine="435"/>
        <w:rPr>
          <w:rFonts w:hint="eastAsia" w:ascii="宋体" w:hAnsi="宋体" w:eastAsia="宋体" w:cs="宋体"/>
          <w:color w:val="auto"/>
          <w:highlight w:val="none"/>
          <w:shd w:val="clear" w:color="auto" w:fill="FFFFFF"/>
        </w:rPr>
      </w:pPr>
    </w:p>
    <w:p w14:paraId="12658EBB">
      <w:pPr>
        <w:spacing w:line="360" w:lineRule="auto"/>
        <w:ind w:firstLine="435"/>
        <w:rPr>
          <w:rFonts w:hint="eastAsia" w:ascii="宋体" w:hAnsi="宋体" w:eastAsia="宋体" w:cs="宋体"/>
          <w:b/>
          <w:color w:val="auto"/>
          <w:highlight w:val="none"/>
        </w:rPr>
      </w:pPr>
      <w:r>
        <w:rPr>
          <w:rFonts w:hint="eastAsia" w:ascii="宋体" w:hAnsi="宋体" w:eastAsia="宋体" w:cs="宋体"/>
          <w:b/>
          <w:color w:val="auto"/>
          <w:highlight w:val="none"/>
        </w:rPr>
        <w:t>（注：供应商应当按照此格式出具授权委托书，作为响应文件一部分；同时单独提供一份，供被授权人在递交响应文件及参加开启会时出示。）</w:t>
      </w:r>
    </w:p>
    <w:p w14:paraId="3A666FA1">
      <w:pPr>
        <w:keepNext/>
        <w:keepLines/>
        <w:outlineLvl w:val="1"/>
        <w:rPr>
          <w:rFonts w:hint="eastAsia" w:ascii="宋体" w:hAnsi="宋体" w:eastAsia="宋体" w:cs="宋体"/>
          <w:b/>
          <w:color w:val="auto"/>
          <w:kern w:val="0"/>
          <w:sz w:val="36"/>
          <w:szCs w:val="21"/>
          <w:highlight w:val="none"/>
        </w:rPr>
      </w:pPr>
      <w:r>
        <w:rPr>
          <w:rFonts w:hint="eastAsia" w:ascii="宋体" w:hAnsi="宋体" w:eastAsia="宋体" w:cs="宋体"/>
          <w:b/>
          <w:color w:val="auto"/>
          <w:kern w:val="0"/>
          <w:sz w:val="36"/>
          <w:szCs w:val="21"/>
          <w:highlight w:val="none"/>
        </w:rPr>
        <w:br w:type="page"/>
      </w:r>
      <w:bookmarkStart w:id="350" w:name="_Toc44700097"/>
      <w:bookmarkStart w:id="351" w:name="_Toc14498"/>
      <w:r>
        <w:rPr>
          <w:rFonts w:hint="eastAsia" w:ascii="宋体" w:hAnsi="宋体" w:eastAsia="宋体" w:cs="宋体"/>
          <w:b/>
          <w:color w:val="auto"/>
          <w:kern w:val="0"/>
          <w:sz w:val="36"/>
          <w:szCs w:val="21"/>
          <w:highlight w:val="none"/>
        </w:rPr>
        <w:t>6、技术条款偏离表格式</w:t>
      </w:r>
      <w:bookmarkEnd w:id="350"/>
      <w:bookmarkEnd w:id="351"/>
    </w:p>
    <w:p w14:paraId="769CD4BF">
      <w:pPr>
        <w:spacing w:line="360" w:lineRule="auto"/>
        <w:jc w:val="center"/>
        <w:rPr>
          <w:rFonts w:hint="eastAsia" w:ascii="宋体" w:hAnsi="宋体" w:eastAsia="宋体" w:cs="宋体"/>
          <w:b/>
          <w:bCs/>
          <w:color w:val="auto"/>
          <w:sz w:val="32"/>
          <w:szCs w:val="32"/>
          <w:highlight w:val="none"/>
        </w:rPr>
      </w:pPr>
    </w:p>
    <w:p w14:paraId="4EE25944">
      <w:pPr>
        <w:spacing w:before="97" w:line="240" w:lineRule="auto"/>
        <w:ind w:left="3154"/>
        <w:rPr>
          <w:rFonts w:hint="eastAsia" w:ascii="宋体" w:hAnsi="宋体" w:eastAsia="宋体" w:cs="宋体"/>
          <w:smallCaps w:val="0"/>
          <w:color w:val="auto"/>
          <w:spacing w:val="0"/>
          <w:sz w:val="30"/>
          <w:szCs w:val="30"/>
          <w:highlight w:val="none"/>
        </w:rPr>
      </w:pPr>
      <w:r>
        <w:rPr>
          <w:rFonts w:hint="eastAsia" w:ascii="宋体" w:hAnsi="宋体" w:eastAsia="宋体" w:cs="宋体"/>
          <w:b/>
          <w:bCs/>
          <w:smallCaps w:val="0"/>
          <w:color w:val="auto"/>
          <w:spacing w:val="0"/>
          <w:sz w:val="30"/>
          <w:szCs w:val="30"/>
          <w:highlight w:val="none"/>
          <w:lang w:eastAsia="zh-CN"/>
        </w:rPr>
        <w:t>技术</w:t>
      </w:r>
      <w:r>
        <w:rPr>
          <w:rFonts w:hint="eastAsia" w:ascii="宋体" w:hAnsi="宋体" w:eastAsia="宋体" w:cs="宋体"/>
          <w:b/>
          <w:bCs/>
          <w:smallCaps w:val="0"/>
          <w:color w:val="auto"/>
          <w:spacing w:val="0"/>
          <w:sz w:val="30"/>
          <w:szCs w:val="30"/>
          <w:highlight w:val="none"/>
        </w:rPr>
        <w:t>偏离表</w:t>
      </w:r>
    </w:p>
    <w:p w14:paraId="445F6549">
      <w:pPr>
        <w:spacing w:line="360" w:lineRule="auto"/>
        <w:jc w:val="center"/>
        <w:rPr>
          <w:rFonts w:hint="eastAsia" w:ascii="宋体" w:hAnsi="宋体" w:eastAsia="宋体" w:cs="宋体"/>
          <w:b/>
          <w:bCs/>
          <w:color w:val="auto"/>
          <w:szCs w:val="21"/>
          <w:highlight w:val="none"/>
        </w:rPr>
      </w:pPr>
    </w:p>
    <w:p w14:paraId="7D8F9F47">
      <w:pPr>
        <w:spacing w:line="240" w:lineRule="auto"/>
        <w:rPr>
          <w:rFonts w:hint="eastAsia" w:ascii="宋体" w:hAnsi="宋体" w:eastAsia="宋体" w:cs="宋体"/>
          <w:smallCaps w:val="0"/>
          <w:color w:val="auto"/>
          <w:spacing w:val="0"/>
          <w:highlight w:val="none"/>
        </w:rPr>
      </w:pPr>
    </w:p>
    <w:tbl>
      <w:tblPr>
        <w:tblStyle w:val="222"/>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0"/>
        <w:gridCol w:w="3600"/>
        <w:gridCol w:w="2260"/>
        <w:gridCol w:w="2264"/>
      </w:tblGrid>
      <w:tr w14:paraId="4DEF2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40" w:type="dxa"/>
            <w:noWrap w:val="0"/>
            <w:vAlign w:val="top"/>
          </w:tcPr>
          <w:p w14:paraId="51C4CE85">
            <w:pPr>
              <w:pStyle w:val="223"/>
              <w:spacing w:before="154" w:line="240" w:lineRule="auto"/>
              <w:ind w:left="236"/>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序号</w:t>
            </w:r>
          </w:p>
        </w:tc>
        <w:tc>
          <w:tcPr>
            <w:tcW w:w="3600" w:type="dxa"/>
            <w:noWrap w:val="0"/>
            <w:vAlign w:val="top"/>
          </w:tcPr>
          <w:p w14:paraId="078733A9">
            <w:pPr>
              <w:pStyle w:val="223"/>
              <w:spacing w:before="154" w:line="240" w:lineRule="auto"/>
              <w:ind w:left="486"/>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招标文件章节及具体内容</w:t>
            </w:r>
          </w:p>
        </w:tc>
        <w:tc>
          <w:tcPr>
            <w:tcW w:w="2260" w:type="dxa"/>
            <w:noWrap w:val="0"/>
            <w:vAlign w:val="top"/>
          </w:tcPr>
          <w:p w14:paraId="40BFDE83">
            <w:pPr>
              <w:pStyle w:val="223"/>
              <w:spacing w:before="18" w:line="240" w:lineRule="auto"/>
              <w:ind w:left="777" w:right="166" w:hanging="587"/>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响应文件章节及具 体内容</w:t>
            </w:r>
          </w:p>
        </w:tc>
        <w:tc>
          <w:tcPr>
            <w:tcW w:w="2264" w:type="dxa"/>
            <w:noWrap w:val="0"/>
            <w:vAlign w:val="top"/>
          </w:tcPr>
          <w:p w14:paraId="72EE8920">
            <w:pPr>
              <w:pStyle w:val="223"/>
              <w:spacing w:before="155" w:line="240" w:lineRule="auto"/>
              <w:ind w:left="658"/>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偏离说明</w:t>
            </w:r>
          </w:p>
        </w:tc>
      </w:tr>
      <w:tr w14:paraId="1F3B7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40" w:type="dxa"/>
            <w:noWrap w:val="0"/>
            <w:vAlign w:val="top"/>
          </w:tcPr>
          <w:p w14:paraId="63220C10">
            <w:pPr>
              <w:pStyle w:val="223"/>
              <w:spacing w:before="131" w:line="240" w:lineRule="auto"/>
              <w:ind w:left="435"/>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1</w:t>
            </w:r>
          </w:p>
        </w:tc>
        <w:tc>
          <w:tcPr>
            <w:tcW w:w="3600" w:type="dxa"/>
            <w:noWrap w:val="0"/>
            <w:vAlign w:val="top"/>
          </w:tcPr>
          <w:p w14:paraId="3F920936">
            <w:pPr>
              <w:spacing w:line="240" w:lineRule="auto"/>
              <w:rPr>
                <w:rFonts w:hint="eastAsia" w:ascii="宋体" w:hAnsi="宋体" w:eastAsia="宋体" w:cs="宋体"/>
                <w:smallCaps w:val="0"/>
                <w:color w:val="auto"/>
                <w:spacing w:val="0"/>
                <w:sz w:val="21"/>
                <w:highlight w:val="none"/>
              </w:rPr>
            </w:pPr>
          </w:p>
        </w:tc>
        <w:tc>
          <w:tcPr>
            <w:tcW w:w="2260" w:type="dxa"/>
            <w:noWrap w:val="0"/>
            <w:vAlign w:val="top"/>
          </w:tcPr>
          <w:p w14:paraId="22A996BC">
            <w:pPr>
              <w:spacing w:line="240" w:lineRule="auto"/>
              <w:rPr>
                <w:rFonts w:hint="eastAsia" w:ascii="宋体" w:hAnsi="宋体" w:eastAsia="宋体" w:cs="宋体"/>
                <w:smallCaps w:val="0"/>
                <w:color w:val="auto"/>
                <w:spacing w:val="0"/>
                <w:sz w:val="21"/>
                <w:highlight w:val="none"/>
              </w:rPr>
            </w:pPr>
          </w:p>
        </w:tc>
        <w:tc>
          <w:tcPr>
            <w:tcW w:w="2264" w:type="dxa"/>
            <w:noWrap w:val="0"/>
            <w:vAlign w:val="top"/>
          </w:tcPr>
          <w:p w14:paraId="4C8A9256">
            <w:pPr>
              <w:spacing w:line="240" w:lineRule="auto"/>
              <w:rPr>
                <w:rFonts w:hint="eastAsia" w:ascii="宋体" w:hAnsi="宋体" w:eastAsia="宋体" w:cs="宋体"/>
                <w:smallCaps w:val="0"/>
                <w:color w:val="auto"/>
                <w:spacing w:val="0"/>
                <w:sz w:val="21"/>
                <w:highlight w:val="none"/>
              </w:rPr>
            </w:pPr>
          </w:p>
        </w:tc>
      </w:tr>
      <w:tr w14:paraId="57CFD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40" w:type="dxa"/>
            <w:noWrap w:val="0"/>
            <w:vAlign w:val="top"/>
          </w:tcPr>
          <w:p w14:paraId="660C09B8">
            <w:pPr>
              <w:pStyle w:val="223"/>
              <w:spacing w:before="100" w:line="240" w:lineRule="auto"/>
              <w:ind w:left="420"/>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2</w:t>
            </w:r>
          </w:p>
        </w:tc>
        <w:tc>
          <w:tcPr>
            <w:tcW w:w="3600" w:type="dxa"/>
            <w:noWrap w:val="0"/>
            <w:vAlign w:val="top"/>
          </w:tcPr>
          <w:p w14:paraId="392B5318">
            <w:pPr>
              <w:spacing w:line="240" w:lineRule="auto"/>
              <w:rPr>
                <w:rFonts w:hint="eastAsia" w:ascii="宋体" w:hAnsi="宋体" w:eastAsia="宋体" w:cs="宋体"/>
                <w:smallCaps w:val="0"/>
                <w:color w:val="auto"/>
                <w:spacing w:val="0"/>
                <w:sz w:val="21"/>
                <w:highlight w:val="none"/>
              </w:rPr>
            </w:pPr>
          </w:p>
        </w:tc>
        <w:tc>
          <w:tcPr>
            <w:tcW w:w="2260" w:type="dxa"/>
            <w:noWrap w:val="0"/>
            <w:vAlign w:val="top"/>
          </w:tcPr>
          <w:p w14:paraId="67A2D6AD">
            <w:pPr>
              <w:spacing w:line="240" w:lineRule="auto"/>
              <w:rPr>
                <w:rFonts w:hint="eastAsia" w:ascii="宋体" w:hAnsi="宋体" w:eastAsia="宋体" w:cs="宋体"/>
                <w:smallCaps w:val="0"/>
                <w:color w:val="auto"/>
                <w:spacing w:val="0"/>
                <w:sz w:val="21"/>
                <w:highlight w:val="none"/>
              </w:rPr>
            </w:pPr>
          </w:p>
        </w:tc>
        <w:tc>
          <w:tcPr>
            <w:tcW w:w="2264" w:type="dxa"/>
            <w:noWrap w:val="0"/>
            <w:vAlign w:val="top"/>
          </w:tcPr>
          <w:p w14:paraId="082943AB">
            <w:pPr>
              <w:spacing w:line="240" w:lineRule="auto"/>
              <w:rPr>
                <w:rFonts w:hint="eastAsia" w:ascii="宋体" w:hAnsi="宋体" w:eastAsia="宋体" w:cs="宋体"/>
                <w:smallCaps w:val="0"/>
                <w:color w:val="auto"/>
                <w:spacing w:val="0"/>
                <w:sz w:val="21"/>
                <w:highlight w:val="none"/>
              </w:rPr>
            </w:pPr>
          </w:p>
        </w:tc>
      </w:tr>
      <w:tr w14:paraId="530C3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40" w:type="dxa"/>
            <w:noWrap w:val="0"/>
            <w:vAlign w:val="top"/>
          </w:tcPr>
          <w:p w14:paraId="6921A113">
            <w:pPr>
              <w:pStyle w:val="223"/>
              <w:spacing w:before="314" w:line="240" w:lineRule="auto"/>
              <w:ind w:left="123"/>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position w:val="1"/>
                <w:highlight w:val="none"/>
              </w:rPr>
              <w:t>......</w:t>
            </w:r>
          </w:p>
        </w:tc>
        <w:tc>
          <w:tcPr>
            <w:tcW w:w="3600" w:type="dxa"/>
            <w:noWrap w:val="0"/>
            <w:vAlign w:val="top"/>
          </w:tcPr>
          <w:p w14:paraId="2B8241D4">
            <w:pPr>
              <w:spacing w:line="240" w:lineRule="auto"/>
              <w:rPr>
                <w:rFonts w:hint="eastAsia" w:ascii="宋体" w:hAnsi="宋体" w:eastAsia="宋体" w:cs="宋体"/>
                <w:smallCaps w:val="0"/>
                <w:color w:val="auto"/>
                <w:spacing w:val="0"/>
                <w:sz w:val="21"/>
                <w:highlight w:val="none"/>
              </w:rPr>
            </w:pPr>
          </w:p>
        </w:tc>
        <w:tc>
          <w:tcPr>
            <w:tcW w:w="2260" w:type="dxa"/>
            <w:noWrap w:val="0"/>
            <w:vAlign w:val="top"/>
          </w:tcPr>
          <w:p w14:paraId="4E26AF7F">
            <w:pPr>
              <w:spacing w:line="240" w:lineRule="auto"/>
              <w:rPr>
                <w:rFonts w:hint="eastAsia" w:ascii="宋体" w:hAnsi="宋体" w:eastAsia="宋体" w:cs="宋体"/>
                <w:smallCaps w:val="0"/>
                <w:color w:val="auto"/>
                <w:spacing w:val="0"/>
                <w:sz w:val="21"/>
                <w:highlight w:val="none"/>
              </w:rPr>
            </w:pPr>
          </w:p>
        </w:tc>
        <w:tc>
          <w:tcPr>
            <w:tcW w:w="2264" w:type="dxa"/>
            <w:noWrap w:val="0"/>
            <w:vAlign w:val="top"/>
          </w:tcPr>
          <w:p w14:paraId="0434AB4E">
            <w:pPr>
              <w:spacing w:line="240" w:lineRule="auto"/>
              <w:rPr>
                <w:rFonts w:hint="eastAsia" w:ascii="宋体" w:hAnsi="宋体" w:eastAsia="宋体" w:cs="宋体"/>
                <w:smallCaps w:val="0"/>
                <w:color w:val="auto"/>
                <w:spacing w:val="0"/>
                <w:sz w:val="21"/>
                <w:highlight w:val="none"/>
              </w:rPr>
            </w:pPr>
          </w:p>
        </w:tc>
      </w:tr>
    </w:tbl>
    <w:p w14:paraId="3523E25B">
      <w:pPr>
        <w:spacing w:before="115" w:line="240" w:lineRule="auto"/>
        <w:ind w:left="122" w:right="356"/>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供应商保证：除商务技术偏离表列出的偏离外，供应商响应招标文件的全部要求。 注：按本格式和要求提供。</w:t>
      </w:r>
    </w:p>
    <w:p w14:paraId="3E71AE5F">
      <w:pPr>
        <w:pStyle w:val="20"/>
        <w:spacing w:line="240" w:lineRule="auto"/>
        <w:rPr>
          <w:rFonts w:hint="eastAsia" w:ascii="宋体" w:hAnsi="宋体" w:eastAsia="宋体" w:cs="宋体"/>
          <w:smallCaps w:val="0"/>
          <w:color w:val="auto"/>
          <w:spacing w:val="0"/>
          <w:highlight w:val="none"/>
        </w:rPr>
      </w:pPr>
    </w:p>
    <w:p w14:paraId="007A1729">
      <w:pPr>
        <w:pStyle w:val="20"/>
        <w:spacing w:line="240" w:lineRule="auto"/>
        <w:rPr>
          <w:rFonts w:hint="eastAsia" w:ascii="宋体" w:hAnsi="宋体" w:eastAsia="宋体" w:cs="宋体"/>
          <w:smallCaps w:val="0"/>
          <w:color w:val="auto"/>
          <w:spacing w:val="0"/>
          <w:highlight w:val="none"/>
        </w:rPr>
      </w:pPr>
    </w:p>
    <w:p w14:paraId="7D0024B8">
      <w:pPr>
        <w:pStyle w:val="20"/>
        <w:spacing w:line="240" w:lineRule="auto"/>
        <w:rPr>
          <w:rFonts w:hint="eastAsia" w:ascii="宋体" w:hAnsi="宋体" w:eastAsia="宋体" w:cs="宋体"/>
          <w:smallCaps w:val="0"/>
          <w:color w:val="auto"/>
          <w:spacing w:val="0"/>
          <w:highlight w:val="none"/>
        </w:rPr>
      </w:pPr>
    </w:p>
    <w:p w14:paraId="5213AD6C">
      <w:pPr>
        <w:pStyle w:val="20"/>
        <w:spacing w:line="240" w:lineRule="auto"/>
        <w:rPr>
          <w:rFonts w:hint="eastAsia" w:ascii="宋体" w:hAnsi="宋体" w:eastAsia="宋体" w:cs="宋体"/>
          <w:smallCaps w:val="0"/>
          <w:color w:val="auto"/>
          <w:spacing w:val="0"/>
          <w:highlight w:val="none"/>
        </w:rPr>
      </w:pPr>
    </w:p>
    <w:p w14:paraId="40FB1272">
      <w:pPr>
        <w:pStyle w:val="20"/>
        <w:spacing w:line="240" w:lineRule="auto"/>
        <w:rPr>
          <w:rFonts w:hint="eastAsia" w:ascii="宋体" w:hAnsi="宋体" w:eastAsia="宋体" w:cs="宋体"/>
          <w:smallCaps w:val="0"/>
          <w:color w:val="auto"/>
          <w:spacing w:val="0"/>
          <w:highlight w:val="none"/>
        </w:rPr>
      </w:pPr>
    </w:p>
    <w:p w14:paraId="2758470E">
      <w:pPr>
        <w:pStyle w:val="20"/>
        <w:spacing w:line="240" w:lineRule="auto"/>
        <w:rPr>
          <w:rFonts w:hint="eastAsia" w:ascii="宋体" w:hAnsi="宋体" w:eastAsia="宋体" w:cs="宋体"/>
          <w:smallCaps w:val="0"/>
          <w:color w:val="auto"/>
          <w:spacing w:val="0"/>
          <w:highlight w:val="none"/>
        </w:rPr>
      </w:pPr>
    </w:p>
    <w:p w14:paraId="57075CDC">
      <w:pPr>
        <w:pStyle w:val="20"/>
        <w:spacing w:line="240" w:lineRule="auto"/>
        <w:rPr>
          <w:rFonts w:hint="eastAsia" w:ascii="宋体" w:hAnsi="宋体" w:eastAsia="宋体" w:cs="宋体"/>
          <w:smallCaps w:val="0"/>
          <w:color w:val="auto"/>
          <w:spacing w:val="0"/>
          <w:highlight w:val="none"/>
        </w:rPr>
      </w:pPr>
    </w:p>
    <w:p w14:paraId="6067C8B9">
      <w:pPr>
        <w:pStyle w:val="20"/>
        <w:spacing w:line="240" w:lineRule="auto"/>
        <w:rPr>
          <w:rFonts w:hint="eastAsia" w:ascii="宋体" w:hAnsi="宋体" w:eastAsia="宋体" w:cs="宋体"/>
          <w:smallCaps w:val="0"/>
          <w:color w:val="auto"/>
          <w:spacing w:val="0"/>
          <w:highlight w:val="none"/>
        </w:rPr>
      </w:pPr>
    </w:p>
    <w:p w14:paraId="75F88A64">
      <w:pPr>
        <w:pStyle w:val="20"/>
        <w:spacing w:line="240" w:lineRule="auto"/>
        <w:rPr>
          <w:rFonts w:hint="eastAsia" w:ascii="宋体" w:hAnsi="宋体" w:eastAsia="宋体" w:cs="宋体"/>
          <w:smallCaps w:val="0"/>
          <w:color w:val="auto"/>
          <w:spacing w:val="0"/>
          <w:highlight w:val="none"/>
        </w:rPr>
      </w:pPr>
    </w:p>
    <w:p w14:paraId="60BCF4C0">
      <w:pPr>
        <w:pStyle w:val="20"/>
        <w:spacing w:line="240" w:lineRule="auto"/>
        <w:rPr>
          <w:rFonts w:hint="eastAsia" w:ascii="宋体" w:hAnsi="宋体" w:eastAsia="宋体" w:cs="宋体"/>
          <w:smallCaps w:val="0"/>
          <w:color w:val="auto"/>
          <w:spacing w:val="0"/>
          <w:highlight w:val="none"/>
        </w:rPr>
      </w:pPr>
    </w:p>
    <w:p w14:paraId="08C47E53">
      <w:pPr>
        <w:pStyle w:val="20"/>
        <w:spacing w:line="240" w:lineRule="auto"/>
        <w:rPr>
          <w:rFonts w:hint="eastAsia" w:ascii="宋体" w:hAnsi="宋体" w:eastAsia="宋体" w:cs="宋体"/>
          <w:smallCaps w:val="0"/>
          <w:color w:val="auto"/>
          <w:spacing w:val="0"/>
          <w:highlight w:val="none"/>
        </w:rPr>
      </w:pPr>
    </w:p>
    <w:p w14:paraId="5080D91F">
      <w:pPr>
        <w:pStyle w:val="20"/>
        <w:spacing w:line="240" w:lineRule="auto"/>
        <w:rPr>
          <w:rFonts w:hint="eastAsia" w:ascii="宋体" w:hAnsi="宋体" w:eastAsia="宋体" w:cs="宋体"/>
          <w:smallCaps w:val="0"/>
          <w:color w:val="auto"/>
          <w:spacing w:val="0"/>
          <w:highlight w:val="none"/>
        </w:rPr>
      </w:pPr>
    </w:p>
    <w:p w14:paraId="42B34EF0">
      <w:pPr>
        <w:spacing w:before="78" w:line="240" w:lineRule="auto"/>
        <w:ind w:left="122"/>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供应商（电子签章）：</w:t>
      </w:r>
    </w:p>
    <w:p w14:paraId="7B5A96F3">
      <w:pPr>
        <w:spacing w:before="154" w:line="240" w:lineRule="auto"/>
        <w:ind w:left="123"/>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法定代表人或授权委托代理人（电子签章或签名）：</w:t>
      </w:r>
    </w:p>
    <w:p w14:paraId="418F5733">
      <w:pPr>
        <w:tabs>
          <w:tab w:val="left" w:pos="951"/>
        </w:tabs>
        <w:spacing w:before="155" w:line="240" w:lineRule="auto"/>
        <w:ind w:left="112"/>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u w:val="single" w:color="auto"/>
        </w:rPr>
        <w:tab/>
      </w:r>
      <w:r>
        <w:rPr>
          <w:rFonts w:hint="eastAsia" w:ascii="宋体" w:hAnsi="宋体" w:eastAsia="宋体" w:cs="宋体"/>
          <w:smallCaps w:val="0"/>
          <w:color w:val="auto"/>
          <w:spacing w:val="0"/>
          <w:sz w:val="24"/>
          <w:szCs w:val="24"/>
          <w:highlight w:val="none"/>
        </w:rPr>
        <w:t xml:space="preserve"> 年</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月</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日</w:t>
      </w:r>
    </w:p>
    <w:p w14:paraId="4A36916B">
      <w:pPr>
        <w:spacing w:line="240" w:lineRule="auto"/>
        <w:rPr>
          <w:rFonts w:hint="eastAsia" w:ascii="宋体" w:hAnsi="宋体" w:eastAsia="宋体" w:cs="宋体"/>
          <w:smallCaps w:val="0"/>
          <w:color w:val="auto"/>
          <w:spacing w:val="0"/>
          <w:sz w:val="24"/>
          <w:szCs w:val="24"/>
          <w:highlight w:val="none"/>
        </w:rPr>
        <w:sectPr>
          <w:footerReference r:id="rId12" w:type="default"/>
          <w:pgSz w:w="11906" w:h="16839"/>
          <w:pgMar w:top="1440" w:right="1800" w:bottom="1440" w:left="1800" w:header="0" w:footer="588" w:gutter="0"/>
          <w:cols w:space="720" w:num="1"/>
        </w:sectPr>
      </w:pPr>
    </w:p>
    <w:p w14:paraId="7A16C7A2">
      <w:pPr>
        <w:keepNext/>
        <w:keepLines/>
        <w:outlineLvl w:val="1"/>
        <w:rPr>
          <w:rFonts w:hint="eastAsia" w:ascii="宋体" w:hAnsi="宋体" w:eastAsia="宋体" w:cs="宋体"/>
          <w:b/>
          <w:color w:val="auto"/>
          <w:kern w:val="0"/>
          <w:sz w:val="36"/>
          <w:szCs w:val="21"/>
          <w:highlight w:val="none"/>
        </w:rPr>
      </w:pPr>
      <w:bookmarkStart w:id="352" w:name="_Toc11979"/>
      <w:bookmarkStart w:id="353" w:name="_Toc44700098"/>
      <w:r>
        <w:rPr>
          <w:rFonts w:hint="eastAsia" w:ascii="宋体" w:hAnsi="宋体" w:eastAsia="宋体" w:cs="宋体"/>
          <w:b/>
          <w:color w:val="auto"/>
          <w:kern w:val="0"/>
          <w:sz w:val="36"/>
          <w:szCs w:val="21"/>
          <w:highlight w:val="none"/>
        </w:rPr>
        <w:t>7、商务条款偏离表格式</w:t>
      </w:r>
      <w:bookmarkEnd w:id="352"/>
      <w:bookmarkEnd w:id="353"/>
    </w:p>
    <w:p w14:paraId="1E4981BB">
      <w:pPr>
        <w:spacing w:before="97" w:line="240" w:lineRule="auto"/>
        <w:ind w:left="3154"/>
        <w:rPr>
          <w:rFonts w:hint="eastAsia" w:ascii="宋体" w:hAnsi="宋体" w:eastAsia="宋体" w:cs="宋体"/>
          <w:smallCaps w:val="0"/>
          <w:color w:val="auto"/>
          <w:spacing w:val="0"/>
          <w:sz w:val="30"/>
          <w:szCs w:val="30"/>
          <w:highlight w:val="none"/>
        </w:rPr>
      </w:pPr>
      <w:bookmarkStart w:id="354" w:name="_Toc67626446"/>
      <w:bookmarkStart w:id="355" w:name="_Ref103077389"/>
      <w:r>
        <w:rPr>
          <w:rFonts w:hint="eastAsia" w:ascii="宋体" w:hAnsi="宋体" w:eastAsia="宋体" w:cs="宋体"/>
          <w:b/>
          <w:bCs/>
          <w:smallCaps w:val="0"/>
          <w:color w:val="auto"/>
          <w:spacing w:val="0"/>
          <w:sz w:val="30"/>
          <w:szCs w:val="30"/>
          <w:highlight w:val="none"/>
        </w:rPr>
        <w:t>商务偏离表</w:t>
      </w:r>
    </w:p>
    <w:p w14:paraId="7F925D2D">
      <w:pPr>
        <w:spacing w:line="240" w:lineRule="auto"/>
        <w:rPr>
          <w:rFonts w:hint="eastAsia" w:ascii="宋体" w:hAnsi="宋体" w:eastAsia="宋体" w:cs="宋体"/>
          <w:smallCaps w:val="0"/>
          <w:color w:val="auto"/>
          <w:spacing w:val="0"/>
          <w:highlight w:val="none"/>
        </w:rPr>
      </w:pPr>
    </w:p>
    <w:tbl>
      <w:tblPr>
        <w:tblStyle w:val="222"/>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0"/>
        <w:gridCol w:w="3600"/>
        <w:gridCol w:w="2260"/>
        <w:gridCol w:w="2264"/>
      </w:tblGrid>
      <w:tr w14:paraId="18694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40" w:type="dxa"/>
            <w:noWrap w:val="0"/>
            <w:vAlign w:val="top"/>
          </w:tcPr>
          <w:p w14:paraId="53024E44">
            <w:pPr>
              <w:pStyle w:val="223"/>
              <w:spacing w:before="154" w:line="240" w:lineRule="auto"/>
              <w:ind w:left="236"/>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序号</w:t>
            </w:r>
          </w:p>
        </w:tc>
        <w:tc>
          <w:tcPr>
            <w:tcW w:w="3600" w:type="dxa"/>
            <w:noWrap w:val="0"/>
            <w:vAlign w:val="top"/>
          </w:tcPr>
          <w:p w14:paraId="73484766">
            <w:pPr>
              <w:pStyle w:val="223"/>
              <w:spacing w:before="154" w:line="240" w:lineRule="auto"/>
              <w:ind w:left="486"/>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招标文件章节及具体内容</w:t>
            </w:r>
          </w:p>
        </w:tc>
        <w:tc>
          <w:tcPr>
            <w:tcW w:w="2260" w:type="dxa"/>
            <w:noWrap w:val="0"/>
            <w:vAlign w:val="top"/>
          </w:tcPr>
          <w:p w14:paraId="50625419">
            <w:pPr>
              <w:pStyle w:val="223"/>
              <w:spacing w:before="18" w:line="240" w:lineRule="auto"/>
              <w:ind w:left="777" w:right="166" w:hanging="587"/>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响应文件章节及具 体内容</w:t>
            </w:r>
          </w:p>
        </w:tc>
        <w:tc>
          <w:tcPr>
            <w:tcW w:w="2264" w:type="dxa"/>
            <w:noWrap w:val="0"/>
            <w:vAlign w:val="top"/>
          </w:tcPr>
          <w:p w14:paraId="5D444F07">
            <w:pPr>
              <w:pStyle w:val="223"/>
              <w:spacing w:before="155" w:line="240" w:lineRule="auto"/>
              <w:ind w:left="658"/>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偏离说明</w:t>
            </w:r>
          </w:p>
        </w:tc>
      </w:tr>
      <w:tr w14:paraId="64C87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40" w:type="dxa"/>
            <w:noWrap w:val="0"/>
            <w:vAlign w:val="top"/>
          </w:tcPr>
          <w:p w14:paraId="08A57126">
            <w:pPr>
              <w:pStyle w:val="223"/>
              <w:spacing w:before="131" w:line="240" w:lineRule="auto"/>
              <w:ind w:left="435"/>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1</w:t>
            </w:r>
          </w:p>
        </w:tc>
        <w:tc>
          <w:tcPr>
            <w:tcW w:w="3600" w:type="dxa"/>
            <w:noWrap w:val="0"/>
            <w:vAlign w:val="top"/>
          </w:tcPr>
          <w:p w14:paraId="4D912C1A">
            <w:pPr>
              <w:spacing w:line="240" w:lineRule="auto"/>
              <w:rPr>
                <w:rFonts w:hint="eastAsia" w:ascii="宋体" w:hAnsi="宋体" w:eastAsia="宋体" w:cs="宋体"/>
                <w:smallCaps w:val="0"/>
                <w:color w:val="auto"/>
                <w:spacing w:val="0"/>
                <w:sz w:val="21"/>
                <w:highlight w:val="none"/>
              </w:rPr>
            </w:pPr>
          </w:p>
        </w:tc>
        <w:tc>
          <w:tcPr>
            <w:tcW w:w="2260" w:type="dxa"/>
            <w:noWrap w:val="0"/>
            <w:vAlign w:val="top"/>
          </w:tcPr>
          <w:p w14:paraId="118EE186">
            <w:pPr>
              <w:spacing w:line="240" w:lineRule="auto"/>
              <w:rPr>
                <w:rFonts w:hint="eastAsia" w:ascii="宋体" w:hAnsi="宋体" w:eastAsia="宋体" w:cs="宋体"/>
                <w:smallCaps w:val="0"/>
                <w:color w:val="auto"/>
                <w:spacing w:val="0"/>
                <w:sz w:val="21"/>
                <w:highlight w:val="none"/>
              </w:rPr>
            </w:pPr>
          </w:p>
        </w:tc>
        <w:tc>
          <w:tcPr>
            <w:tcW w:w="2264" w:type="dxa"/>
            <w:noWrap w:val="0"/>
            <w:vAlign w:val="top"/>
          </w:tcPr>
          <w:p w14:paraId="28A7F2F8">
            <w:pPr>
              <w:spacing w:line="240" w:lineRule="auto"/>
              <w:rPr>
                <w:rFonts w:hint="eastAsia" w:ascii="宋体" w:hAnsi="宋体" w:eastAsia="宋体" w:cs="宋体"/>
                <w:smallCaps w:val="0"/>
                <w:color w:val="auto"/>
                <w:spacing w:val="0"/>
                <w:sz w:val="21"/>
                <w:highlight w:val="none"/>
              </w:rPr>
            </w:pPr>
          </w:p>
        </w:tc>
      </w:tr>
      <w:tr w14:paraId="1D54B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40" w:type="dxa"/>
            <w:noWrap w:val="0"/>
            <w:vAlign w:val="top"/>
          </w:tcPr>
          <w:p w14:paraId="718884FA">
            <w:pPr>
              <w:pStyle w:val="223"/>
              <w:spacing w:before="100" w:line="240" w:lineRule="auto"/>
              <w:ind w:left="420"/>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2</w:t>
            </w:r>
          </w:p>
        </w:tc>
        <w:tc>
          <w:tcPr>
            <w:tcW w:w="3600" w:type="dxa"/>
            <w:noWrap w:val="0"/>
            <w:vAlign w:val="top"/>
          </w:tcPr>
          <w:p w14:paraId="784F72F9">
            <w:pPr>
              <w:spacing w:line="240" w:lineRule="auto"/>
              <w:rPr>
                <w:rFonts w:hint="eastAsia" w:ascii="宋体" w:hAnsi="宋体" w:eastAsia="宋体" w:cs="宋体"/>
                <w:smallCaps w:val="0"/>
                <w:color w:val="auto"/>
                <w:spacing w:val="0"/>
                <w:sz w:val="21"/>
                <w:highlight w:val="none"/>
              </w:rPr>
            </w:pPr>
          </w:p>
        </w:tc>
        <w:tc>
          <w:tcPr>
            <w:tcW w:w="2260" w:type="dxa"/>
            <w:noWrap w:val="0"/>
            <w:vAlign w:val="top"/>
          </w:tcPr>
          <w:p w14:paraId="765B2C0F">
            <w:pPr>
              <w:spacing w:line="240" w:lineRule="auto"/>
              <w:rPr>
                <w:rFonts w:hint="eastAsia" w:ascii="宋体" w:hAnsi="宋体" w:eastAsia="宋体" w:cs="宋体"/>
                <w:smallCaps w:val="0"/>
                <w:color w:val="auto"/>
                <w:spacing w:val="0"/>
                <w:sz w:val="21"/>
                <w:highlight w:val="none"/>
              </w:rPr>
            </w:pPr>
          </w:p>
        </w:tc>
        <w:tc>
          <w:tcPr>
            <w:tcW w:w="2264" w:type="dxa"/>
            <w:noWrap w:val="0"/>
            <w:vAlign w:val="top"/>
          </w:tcPr>
          <w:p w14:paraId="106F09A5">
            <w:pPr>
              <w:spacing w:line="240" w:lineRule="auto"/>
              <w:rPr>
                <w:rFonts w:hint="eastAsia" w:ascii="宋体" w:hAnsi="宋体" w:eastAsia="宋体" w:cs="宋体"/>
                <w:smallCaps w:val="0"/>
                <w:color w:val="auto"/>
                <w:spacing w:val="0"/>
                <w:sz w:val="21"/>
                <w:highlight w:val="none"/>
              </w:rPr>
            </w:pPr>
          </w:p>
        </w:tc>
      </w:tr>
      <w:tr w14:paraId="4405E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40" w:type="dxa"/>
            <w:noWrap w:val="0"/>
            <w:vAlign w:val="top"/>
          </w:tcPr>
          <w:p w14:paraId="470316FD">
            <w:pPr>
              <w:pStyle w:val="223"/>
              <w:spacing w:before="314" w:line="240" w:lineRule="auto"/>
              <w:ind w:left="123"/>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position w:val="1"/>
                <w:highlight w:val="none"/>
              </w:rPr>
              <w:t>......</w:t>
            </w:r>
          </w:p>
        </w:tc>
        <w:tc>
          <w:tcPr>
            <w:tcW w:w="3600" w:type="dxa"/>
            <w:noWrap w:val="0"/>
            <w:vAlign w:val="top"/>
          </w:tcPr>
          <w:p w14:paraId="6B15BB67">
            <w:pPr>
              <w:spacing w:line="240" w:lineRule="auto"/>
              <w:rPr>
                <w:rFonts w:hint="eastAsia" w:ascii="宋体" w:hAnsi="宋体" w:eastAsia="宋体" w:cs="宋体"/>
                <w:smallCaps w:val="0"/>
                <w:color w:val="auto"/>
                <w:spacing w:val="0"/>
                <w:sz w:val="21"/>
                <w:highlight w:val="none"/>
              </w:rPr>
            </w:pPr>
          </w:p>
        </w:tc>
        <w:tc>
          <w:tcPr>
            <w:tcW w:w="2260" w:type="dxa"/>
            <w:noWrap w:val="0"/>
            <w:vAlign w:val="top"/>
          </w:tcPr>
          <w:p w14:paraId="38D9F78A">
            <w:pPr>
              <w:spacing w:line="240" w:lineRule="auto"/>
              <w:rPr>
                <w:rFonts w:hint="eastAsia" w:ascii="宋体" w:hAnsi="宋体" w:eastAsia="宋体" w:cs="宋体"/>
                <w:smallCaps w:val="0"/>
                <w:color w:val="auto"/>
                <w:spacing w:val="0"/>
                <w:sz w:val="21"/>
                <w:highlight w:val="none"/>
              </w:rPr>
            </w:pPr>
          </w:p>
        </w:tc>
        <w:tc>
          <w:tcPr>
            <w:tcW w:w="2264" w:type="dxa"/>
            <w:noWrap w:val="0"/>
            <w:vAlign w:val="top"/>
          </w:tcPr>
          <w:p w14:paraId="2F6308D1">
            <w:pPr>
              <w:spacing w:line="240" w:lineRule="auto"/>
              <w:rPr>
                <w:rFonts w:hint="eastAsia" w:ascii="宋体" w:hAnsi="宋体" w:eastAsia="宋体" w:cs="宋体"/>
                <w:smallCaps w:val="0"/>
                <w:color w:val="auto"/>
                <w:spacing w:val="0"/>
                <w:sz w:val="21"/>
                <w:highlight w:val="none"/>
              </w:rPr>
            </w:pPr>
          </w:p>
        </w:tc>
      </w:tr>
    </w:tbl>
    <w:p w14:paraId="22843971">
      <w:pPr>
        <w:spacing w:before="115" w:line="240" w:lineRule="auto"/>
        <w:ind w:left="122" w:right="356"/>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供应商保证：除商务技术偏离表列出的偏离外，供应商响应招标文件的全部要求。 注：按本格式和要求提供。</w:t>
      </w:r>
    </w:p>
    <w:p w14:paraId="6FC31424">
      <w:pPr>
        <w:pStyle w:val="20"/>
        <w:spacing w:line="240" w:lineRule="auto"/>
        <w:rPr>
          <w:rFonts w:hint="eastAsia" w:ascii="宋体" w:hAnsi="宋体" w:eastAsia="宋体" w:cs="宋体"/>
          <w:smallCaps w:val="0"/>
          <w:color w:val="auto"/>
          <w:spacing w:val="0"/>
          <w:highlight w:val="none"/>
        </w:rPr>
      </w:pPr>
    </w:p>
    <w:p w14:paraId="02233024">
      <w:pPr>
        <w:pStyle w:val="20"/>
        <w:spacing w:line="240" w:lineRule="auto"/>
        <w:rPr>
          <w:rFonts w:hint="eastAsia" w:ascii="宋体" w:hAnsi="宋体" w:eastAsia="宋体" w:cs="宋体"/>
          <w:smallCaps w:val="0"/>
          <w:color w:val="auto"/>
          <w:spacing w:val="0"/>
          <w:highlight w:val="none"/>
        </w:rPr>
      </w:pPr>
    </w:p>
    <w:p w14:paraId="623372F6">
      <w:pPr>
        <w:pStyle w:val="20"/>
        <w:spacing w:line="240" w:lineRule="auto"/>
        <w:rPr>
          <w:rFonts w:hint="eastAsia" w:ascii="宋体" w:hAnsi="宋体" w:eastAsia="宋体" w:cs="宋体"/>
          <w:smallCaps w:val="0"/>
          <w:color w:val="auto"/>
          <w:spacing w:val="0"/>
          <w:highlight w:val="none"/>
        </w:rPr>
      </w:pPr>
    </w:p>
    <w:p w14:paraId="771073AC">
      <w:pPr>
        <w:pStyle w:val="20"/>
        <w:spacing w:line="240" w:lineRule="auto"/>
        <w:rPr>
          <w:rFonts w:hint="eastAsia" w:ascii="宋体" w:hAnsi="宋体" w:eastAsia="宋体" w:cs="宋体"/>
          <w:smallCaps w:val="0"/>
          <w:color w:val="auto"/>
          <w:spacing w:val="0"/>
          <w:highlight w:val="none"/>
        </w:rPr>
      </w:pPr>
    </w:p>
    <w:p w14:paraId="6D9A706A">
      <w:pPr>
        <w:pStyle w:val="20"/>
        <w:spacing w:line="240" w:lineRule="auto"/>
        <w:rPr>
          <w:rFonts w:hint="eastAsia" w:ascii="宋体" w:hAnsi="宋体" w:eastAsia="宋体" w:cs="宋体"/>
          <w:smallCaps w:val="0"/>
          <w:color w:val="auto"/>
          <w:spacing w:val="0"/>
          <w:highlight w:val="none"/>
        </w:rPr>
      </w:pPr>
    </w:p>
    <w:p w14:paraId="3440DACE">
      <w:pPr>
        <w:pStyle w:val="20"/>
        <w:spacing w:line="240" w:lineRule="auto"/>
        <w:rPr>
          <w:rFonts w:hint="eastAsia" w:ascii="宋体" w:hAnsi="宋体" w:eastAsia="宋体" w:cs="宋体"/>
          <w:smallCaps w:val="0"/>
          <w:color w:val="auto"/>
          <w:spacing w:val="0"/>
          <w:highlight w:val="none"/>
        </w:rPr>
      </w:pPr>
    </w:p>
    <w:p w14:paraId="51023674">
      <w:pPr>
        <w:pStyle w:val="20"/>
        <w:spacing w:line="240" w:lineRule="auto"/>
        <w:rPr>
          <w:rFonts w:hint="eastAsia" w:ascii="宋体" w:hAnsi="宋体" w:eastAsia="宋体" w:cs="宋体"/>
          <w:smallCaps w:val="0"/>
          <w:color w:val="auto"/>
          <w:spacing w:val="0"/>
          <w:highlight w:val="none"/>
        </w:rPr>
      </w:pPr>
    </w:p>
    <w:p w14:paraId="3DB95A32">
      <w:pPr>
        <w:pStyle w:val="20"/>
        <w:spacing w:line="240" w:lineRule="auto"/>
        <w:rPr>
          <w:rFonts w:hint="eastAsia" w:ascii="宋体" w:hAnsi="宋体" w:eastAsia="宋体" w:cs="宋体"/>
          <w:smallCaps w:val="0"/>
          <w:color w:val="auto"/>
          <w:spacing w:val="0"/>
          <w:highlight w:val="none"/>
        </w:rPr>
      </w:pPr>
    </w:p>
    <w:p w14:paraId="4A538662">
      <w:pPr>
        <w:pStyle w:val="20"/>
        <w:spacing w:line="240" w:lineRule="auto"/>
        <w:rPr>
          <w:rFonts w:hint="eastAsia" w:ascii="宋体" w:hAnsi="宋体" w:eastAsia="宋体" w:cs="宋体"/>
          <w:smallCaps w:val="0"/>
          <w:color w:val="auto"/>
          <w:spacing w:val="0"/>
          <w:highlight w:val="none"/>
        </w:rPr>
      </w:pPr>
    </w:p>
    <w:p w14:paraId="4FC4664E">
      <w:pPr>
        <w:pStyle w:val="20"/>
        <w:spacing w:line="240" w:lineRule="auto"/>
        <w:rPr>
          <w:rFonts w:hint="eastAsia" w:ascii="宋体" w:hAnsi="宋体" w:eastAsia="宋体" w:cs="宋体"/>
          <w:smallCaps w:val="0"/>
          <w:color w:val="auto"/>
          <w:spacing w:val="0"/>
          <w:highlight w:val="none"/>
        </w:rPr>
      </w:pPr>
    </w:p>
    <w:p w14:paraId="51742F8F">
      <w:pPr>
        <w:pStyle w:val="20"/>
        <w:spacing w:line="240" w:lineRule="auto"/>
        <w:rPr>
          <w:rFonts w:hint="eastAsia" w:ascii="宋体" w:hAnsi="宋体" w:eastAsia="宋体" w:cs="宋体"/>
          <w:smallCaps w:val="0"/>
          <w:color w:val="auto"/>
          <w:spacing w:val="0"/>
          <w:highlight w:val="none"/>
        </w:rPr>
      </w:pPr>
    </w:p>
    <w:p w14:paraId="3F439FD7">
      <w:pPr>
        <w:pStyle w:val="20"/>
        <w:spacing w:line="240" w:lineRule="auto"/>
        <w:rPr>
          <w:rFonts w:hint="eastAsia" w:ascii="宋体" w:hAnsi="宋体" w:eastAsia="宋体" w:cs="宋体"/>
          <w:smallCaps w:val="0"/>
          <w:color w:val="auto"/>
          <w:spacing w:val="0"/>
          <w:highlight w:val="none"/>
        </w:rPr>
      </w:pPr>
    </w:p>
    <w:p w14:paraId="6A611655">
      <w:pPr>
        <w:spacing w:before="78" w:line="240" w:lineRule="auto"/>
        <w:ind w:left="122"/>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供应商（电子签章）：</w:t>
      </w:r>
    </w:p>
    <w:p w14:paraId="3F73557A">
      <w:pPr>
        <w:spacing w:before="154" w:line="240" w:lineRule="auto"/>
        <w:ind w:left="123"/>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法定代表人或授权委托代理人（电子签章或签名）：</w:t>
      </w:r>
    </w:p>
    <w:p w14:paraId="54561319">
      <w:pPr>
        <w:tabs>
          <w:tab w:val="left" w:pos="951"/>
        </w:tabs>
        <w:spacing w:before="155" w:line="240" w:lineRule="auto"/>
        <w:ind w:left="112"/>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u w:val="single" w:color="auto"/>
        </w:rPr>
        <w:tab/>
      </w:r>
      <w:r>
        <w:rPr>
          <w:rFonts w:hint="eastAsia" w:ascii="宋体" w:hAnsi="宋体" w:eastAsia="宋体" w:cs="宋体"/>
          <w:smallCaps w:val="0"/>
          <w:color w:val="auto"/>
          <w:spacing w:val="0"/>
          <w:sz w:val="24"/>
          <w:szCs w:val="24"/>
          <w:highlight w:val="none"/>
        </w:rPr>
        <w:t xml:space="preserve"> 年</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月</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日</w:t>
      </w:r>
    </w:p>
    <w:p w14:paraId="7394726E">
      <w:pPr>
        <w:spacing w:line="240" w:lineRule="auto"/>
        <w:rPr>
          <w:rFonts w:hint="eastAsia" w:ascii="宋体" w:hAnsi="宋体" w:eastAsia="宋体" w:cs="宋体"/>
          <w:smallCaps w:val="0"/>
          <w:color w:val="auto"/>
          <w:spacing w:val="0"/>
          <w:sz w:val="24"/>
          <w:szCs w:val="24"/>
          <w:highlight w:val="none"/>
        </w:rPr>
        <w:sectPr>
          <w:footerReference r:id="rId13" w:type="default"/>
          <w:pgSz w:w="11906" w:h="16839"/>
          <w:pgMar w:top="1440" w:right="1800" w:bottom="1440" w:left="1800" w:header="0" w:footer="588" w:gutter="0"/>
          <w:cols w:space="720" w:num="1"/>
        </w:sectPr>
      </w:pPr>
    </w:p>
    <w:p w14:paraId="376D127B">
      <w:pPr>
        <w:keepNext/>
        <w:keepLines/>
        <w:outlineLvl w:val="1"/>
        <w:rPr>
          <w:rFonts w:hint="eastAsia" w:ascii="宋体" w:hAnsi="宋体" w:eastAsia="宋体" w:cs="宋体"/>
          <w:b/>
          <w:color w:val="auto"/>
          <w:kern w:val="0"/>
          <w:sz w:val="24"/>
          <w:szCs w:val="24"/>
          <w:highlight w:val="none"/>
        </w:rPr>
      </w:pPr>
      <w:bookmarkStart w:id="356" w:name="_Toc5796"/>
      <w:bookmarkStart w:id="357" w:name="_Toc44700099"/>
      <w:r>
        <w:rPr>
          <w:rFonts w:hint="eastAsia" w:ascii="宋体" w:hAnsi="宋体" w:eastAsia="宋体" w:cs="宋体"/>
          <w:b/>
          <w:color w:val="auto"/>
          <w:kern w:val="0"/>
          <w:sz w:val="36"/>
          <w:szCs w:val="21"/>
          <w:highlight w:val="none"/>
        </w:rPr>
        <w:t>8、资格及部分证明文件格式</w:t>
      </w:r>
      <w:bookmarkEnd w:id="356"/>
      <w:bookmarkEnd w:id="357"/>
    </w:p>
    <w:p w14:paraId="4178C76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一、目录</w:t>
      </w:r>
    </w:p>
    <w:p w14:paraId="75211F5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sz w:val="24"/>
          <w:szCs w:val="24"/>
          <w:highlight w:val="none"/>
        </w:rPr>
        <w:t>8.1具有独立承担民事责任的能力；</w:t>
      </w:r>
    </w:p>
    <w:p w14:paraId="1362F56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sz w:val="24"/>
          <w:szCs w:val="24"/>
          <w:highlight w:val="none"/>
        </w:rPr>
        <w:t>8.2</w:t>
      </w:r>
      <w:r>
        <w:rPr>
          <w:rFonts w:hint="eastAsia" w:ascii="宋体" w:hAnsi="宋体" w:eastAsia="宋体" w:cs="宋体"/>
          <w:color w:val="auto"/>
          <w:sz w:val="24"/>
          <w:highlight w:val="none"/>
        </w:rPr>
        <w:t>具有良好的商业信誉和健全的财务会计制度</w:t>
      </w:r>
      <w:r>
        <w:rPr>
          <w:rFonts w:hint="eastAsia" w:ascii="宋体" w:hAnsi="宋体" w:eastAsia="宋体" w:cs="宋体"/>
          <w:color w:val="auto"/>
          <w:sz w:val="24"/>
          <w:szCs w:val="24"/>
          <w:highlight w:val="none"/>
        </w:rPr>
        <w:t>；</w:t>
      </w:r>
    </w:p>
    <w:p w14:paraId="5BA99BB1">
      <w:pPr>
        <w:spacing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sz w:val="24"/>
          <w:szCs w:val="24"/>
          <w:highlight w:val="none"/>
        </w:rPr>
        <w:t>8.3</w:t>
      </w:r>
      <w:r>
        <w:rPr>
          <w:rFonts w:hint="eastAsia" w:ascii="宋体" w:hAnsi="宋体" w:eastAsia="宋体" w:cs="宋体"/>
          <w:color w:val="auto"/>
          <w:sz w:val="24"/>
          <w:highlight w:val="none"/>
        </w:rPr>
        <w:t>具有履行合同所必需的设备和专业技术能力</w:t>
      </w:r>
      <w:r>
        <w:rPr>
          <w:rFonts w:hint="eastAsia" w:ascii="宋体" w:hAnsi="宋体" w:eastAsia="宋体" w:cs="宋体"/>
          <w:color w:val="auto"/>
          <w:sz w:val="24"/>
          <w:highlight w:val="none"/>
          <w:shd w:val="clear" w:color="auto" w:fill="FFFFFF"/>
        </w:rPr>
        <w:t>；</w:t>
      </w:r>
    </w:p>
    <w:p w14:paraId="5B9EAA4A">
      <w:pPr>
        <w:spacing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sz w:val="24"/>
          <w:szCs w:val="24"/>
          <w:highlight w:val="none"/>
        </w:rPr>
        <w:t>8.4</w:t>
      </w:r>
      <w:r>
        <w:rPr>
          <w:rFonts w:hint="eastAsia" w:ascii="宋体" w:hAnsi="宋体" w:eastAsia="宋体" w:cs="宋体"/>
          <w:color w:val="auto"/>
          <w:sz w:val="24"/>
          <w:highlight w:val="none"/>
        </w:rPr>
        <w:t>有依法缴纳税收和社会保障资金的良好记录</w:t>
      </w:r>
      <w:r>
        <w:rPr>
          <w:rFonts w:hint="eastAsia" w:ascii="宋体" w:hAnsi="宋体" w:eastAsia="宋体" w:cs="宋体"/>
          <w:color w:val="auto"/>
          <w:sz w:val="24"/>
          <w:highlight w:val="none"/>
          <w:shd w:val="clear" w:color="auto" w:fill="FFFFFF"/>
        </w:rPr>
        <w:t>；</w:t>
      </w:r>
    </w:p>
    <w:p w14:paraId="2FC6C981">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shd w:val="clear" w:color="auto" w:fill="FFFFFF"/>
        </w:rPr>
        <w:t>★8.5</w:t>
      </w:r>
      <w:r>
        <w:rPr>
          <w:rFonts w:hint="eastAsia" w:ascii="宋体" w:hAnsi="宋体" w:eastAsia="宋体" w:cs="宋体"/>
          <w:color w:val="auto"/>
          <w:sz w:val="24"/>
          <w:highlight w:val="none"/>
        </w:rPr>
        <w:t>参加政府采购活动前三年内，在经营活动中没有重大违法记录；</w:t>
      </w:r>
    </w:p>
    <w:p w14:paraId="546AFF14">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
          <w:color w:val="auto"/>
          <w:sz w:val="24"/>
          <w:highlight w:val="none"/>
          <w:shd w:val="clear" w:color="auto" w:fill="FFFFFF"/>
        </w:rPr>
        <w:t>★</w:t>
      </w:r>
      <w:r>
        <w:rPr>
          <w:rFonts w:hint="eastAsia" w:ascii="宋体" w:hAnsi="宋体" w:eastAsia="宋体" w:cs="宋体"/>
          <w:color w:val="auto"/>
          <w:sz w:val="24"/>
          <w:highlight w:val="none"/>
          <w:shd w:val="clear" w:color="auto" w:fill="FFFFFF"/>
        </w:rPr>
        <w:t>8.6</w:t>
      </w:r>
      <w:r>
        <w:rPr>
          <w:rFonts w:hint="eastAsia" w:ascii="宋体" w:hAnsi="宋体" w:eastAsia="宋体" w:cs="宋体"/>
          <w:color w:val="auto"/>
          <w:sz w:val="24"/>
          <w:szCs w:val="24"/>
          <w:highlight w:val="none"/>
        </w:rPr>
        <w:t>符合磋商文件第二章“</w:t>
      </w:r>
      <w:r>
        <w:rPr>
          <w:rFonts w:hint="eastAsia" w:ascii="宋体" w:hAnsi="宋体" w:eastAsia="宋体" w:cs="宋体"/>
          <w:bCs/>
          <w:color w:val="auto"/>
          <w:kern w:val="0"/>
          <w:sz w:val="24"/>
          <w:szCs w:val="24"/>
          <w:highlight w:val="none"/>
        </w:rPr>
        <w:tab/>
      </w:r>
      <w:r>
        <w:rPr>
          <w:rFonts w:hint="eastAsia" w:ascii="宋体" w:hAnsi="宋体" w:eastAsia="宋体" w:cs="宋体"/>
          <w:bCs/>
          <w:color w:val="auto"/>
          <w:kern w:val="0"/>
          <w:sz w:val="24"/>
          <w:szCs w:val="24"/>
          <w:highlight w:val="none"/>
        </w:rPr>
        <w:t>供应商须知前附表”4.1中第2条的证明材料；</w:t>
      </w:r>
    </w:p>
    <w:p w14:paraId="30D731B1">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
          <w:color w:val="auto"/>
          <w:sz w:val="24"/>
          <w:highlight w:val="none"/>
          <w:shd w:val="clear" w:color="auto" w:fill="FFFFFF"/>
        </w:rPr>
        <w:t>★</w:t>
      </w:r>
      <w:r>
        <w:rPr>
          <w:rFonts w:hint="eastAsia" w:ascii="宋体" w:hAnsi="宋体" w:eastAsia="宋体" w:cs="宋体"/>
          <w:color w:val="auto"/>
          <w:sz w:val="24"/>
          <w:highlight w:val="none"/>
          <w:shd w:val="clear" w:color="auto" w:fill="FFFFFF"/>
        </w:rPr>
        <w:t>8.7</w:t>
      </w:r>
      <w:r>
        <w:rPr>
          <w:rFonts w:hint="eastAsia" w:ascii="宋体" w:hAnsi="宋体" w:eastAsia="宋体" w:cs="宋体"/>
          <w:color w:val="auto"/>
          <w:sz w:val="24"/>
          <w:szCs w:val="24"/>
          <w:highlight w:val="none"/>
        </w:rPr>
        <w:t>符合磋商文件第二章“</w:t>
      </w:r>
      <w:r>
        <w:rPr>
          <w:rFonts w:hint="eastAsia" w:ascii="宋体" w:hAnsi="宋体" w:eastAsia="宋体" w:cs="宋体"/>
          <w:bCs/>
          <w:color w:val="auto"/>
          <w:kern w:val="0"/>
          <w:sz w:val="24"/>
          <w:szCs w:val="24"/>
          <w:highlight w:val="none"/>
        </w:rPr>
        <w:tab/>
      </w:r>
      <w:r>
        <w:rPr>
          <w:rFonts w:hint="eastAsia" w:ascii="宋体" w:hAnsi="宋体" w:eastAsia="宋体" w:cs="宋体"/>
          <w:bCs/>
          <w:color w:val="auto"/>
          <w:kern w:val="0"/>
          <w:sz w:val="24"/>
          <w:szCs w:val="24"/>
          <w:highlight w:val="none"/>
        </w:rPr>
        <w:t>供应商须知前附表”4.1中第3条的证明材料；</w:t>
      </w:r>
    </w:p>
    <w:p w14:paraId="267796D3">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
          <w:color w:val="auto"/>
          <w:sz w:val="24"/>
          <w:highlight w:val="none"/>
          <w:shd w:val="clear" w:color="auto" w:fill="FFFFFF"/>
        </w:rPr>
        <w:t>★</w:t>
      </w:r>
      <w:r>
        <w:rPr>
          <w:rFonts w:hint="eastAsia" w:ascii="宋体" w:hAnsi="宋体" w:eastAsia="宋体" w:cs="宋体"/>
          <w:bCs/>
          <w:color w:val="auto"/>
          <w:kern w:val="0"/>
          <w:sz w:val="24"/>
          <w:szCs w:val="24"/>
          <w:highlight w:val="none"/>
        </w:rPr>
        <w:t>8.8响应承诺书；</w:t>
      </w:r>
    </w:p>
    <w:p w14:paraId="4EDFAE81">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
          <w:color w:val="auto"/>
          <w:sz w:val="24"/>
          <w:highlight w:val="none"/>
          <w:shd w:val="clear" w:color="auto" w:fill="FFFFFF"/>
        </w:rPr>
        <w:t>★</w:t>
      </w:r>
      <w:r>
        <w:rPr>
          <w:rFonts w:hint="eastAsia" w:ascii="宋体" w:hAnsi="宋体" w:eastAsia="宋体" w:cs="宋体"/>
          <w:bCs/>
          <w:color w:val="auto"/>
          <w:kern w:val="0"/>
          <w:sz w:val="24"/>
          <w:szCs w:val="24"/>
          <w:highlight w:val="none"/>
        </w:rPr>
        <w:t>8.9</w:t>
      </w:r>
      <w:r>
        <w:rPr>
          <w:rFonts w:hint="eastAsia" w:ascii="宋体" w:hAnsi="宋体" w:eastAsia="宋体" w:cs="宋体"/>
          <w:color w:val="auto"/>
          <w:sz w:val="24"/>
          <w:szCs w:val="22"/>
          <w:highlight w:val="none"/>
        </w:rPr>
        <w:t>磋商保证金凭证。</w:t>
      </w:r>
    </w:p>
    <w:p w14:paraId="6BBD63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8.10供应商基本情况表；</w:t>
      </w:r>
    </w:p>
    <w:p w14:paraId="53A36E0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8.11类似项目业绩表（并附合同复印件加盖公章）；</w:t>
      </w:r>
    </w:p>
    <w:p w14:paraId="563F2D2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8.12技术方案；</w:t>
      </w:r>
    </w:p>
    <w:p w14:paraId="7A3F6A79">
      <w:pPr>
        <w:spacing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b/>
          <w:color w:val="auto"/>
          <w:sz w:val="24"/>
          <w:highlight w:val="none"/>
          <w:shd w:val="clear" w:color="auto" w:fill="FFFFFF"/>
        </w:rPr>
        <w:t>★</w:t>
      </w:r>
      <w:r>
        <w:rPr>
          <w:rFonts w:hint="eastAsia" w:ascii="宋体" w:hAnsi="宋体" w:eastAsia="宋体" w:cs="宋体"/>
          <w:color w:val="auto"/>
          <w:sz w:val="24"/>
          <w:szCs w:val="24"/>
          <w:highlight w:val="none"/>
        </w:rPr>
        <w:t>8.13</w:t>
      </w:r>
      <w:r>
        <w:rPr>
          <w:rFonts w:hint="eastAsia" w:ascii="宋体" w:hAnsi="宋体" w:eastAsia="宋体" w:cs="宋体"/>
          <w:color w:val="auto"/>
          <w:sz w:val="24"/>
          <w:highlight w:val="none"/>
          <w:shd w:val="clear" w:color="auto" w:fill="FFFFFF"/>
        </w:rPr>
        <w:t>中小企业声明函；</w:t>
      </w:r>
    </w:p>
    <w:p w14:paraId="708C5292">
      <w:pPr>
        <w:widowControl/>
        <w:spacing w:line="360" w:lineRule="auto"/>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szCs w:val="24"/>
          <w:highlight w:val="none"/>
        </w:rPr>
        <w:t>8.14</w:t>
      </w:r>
      <w:r>
        <w:rPr>
          <w:rFonts w:hint="eastAsia" w:ascii="宋体" w:hAnsi="宋体" w:eastAsia="宋体" w:cs="宋体"/>
          <w:color w:val="auto"/>
          <w:sz w:val="24"/>
          <w:highlight w:val="none"/>
          <w:shd w:val="clear" w:color="auto" w:fill="FFFFFF"/>
        </w:rPr>
        <w:t>残疾人福利性单位声明函（格式，不符合条件无须提交）</w:t>
      </w:r>
    </w:p>
    <w:p w14:paraId="5C2DBED2">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8.15</w:t>
      </w:r>
      <w:r>
        <w:rPr>
          <w:rFonts w:hint="eastAsia" w:ascii="宋体" w:hAnsi="宋体" w:eastAsia="宋体" w:cs="宋体"/>
          <w:color w:val="auto"/>
          <w:sz w:val="24"/>
          <w:highlight w:val="none"/>
          <w:shd w:val="clear" w:color="auto" w:fill="FFFFFF"/>
        </w:rPr>
        <w:t>监狱企业证明文件（如适用）</w:t>
      </w:r>
    </w:p>
    <w:p w14:paraId="6EC3683E">
      <w:pPr>
        <w:widowControl/>
        <w:spacing w:line="360" w:lineRule="auto"/>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szCs w:val="24"/>
          <w:highlight w:val="none"/>
        </w:rPr>
        <w:t>8.16</w:t>
      </w:r>
      <w:r>
        <w:rPr>
          <w:rFonts w:hint="eastAsia" w:ascii="宋体" w:hAnsi="宋体" w:eastAsia="宋体" w:cs="宋体"/>
          <w:color w:val="auto"/>
          <w:sz w:val="24"/>
          <w:highlight w:val="none"/>
          <w:shd w:val="clear" w:color="auto" w:fill="FFFFFF"/>
        </w:rPr>
        <w:t>节能产品、环境标志产品、信息安全产品证明材料（如适用）；</w:t>
      </w:r>
    </w:p>
    <w:p w14:paraId="44B70A4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8.17磋商文件要求的其它文件及供应商认为有必要提供的其它文件</w:t>
      </w:r>
    </w:p>
    <w:p w14:paraId="762909C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8.18关于中小企业、监狱企业、残疾人福利性单位的相关规定</w:t>
      </w:r>
    </w:p>
    <w:p w14:paraId="2191701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二、填写须知</w:t>
      </w:r>
    </w:p>
    <w:p w14:paraId="2003BBEF">
      <w:pPr>
        <w:numPr>
          <w:ilvl w:val="0"/>
          <w:numId w:val="9"/>
        </w:numPr>
        <w:tabs>
          <w:tab w:val="left" w:pos="0"/>
        </w:tabs>
        <w:spacing w:line="300" w:lineRule="auto"/>
        <w:ind w:left="340" w:hanging="3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以上所列资格证明文件未提供格式的，由供应商提供。</w:t>
      </w:r>
    </w:p>
    <w:p w14:paraId="55EE6847">
      <w:pPr>
        <w:numPr>
          <w:ilvl w:val="0"/>
          <w:numId w:val="9"/>
        </w:numPr>
        <w:tabs>
          <w:tab w:val="left" w:pos="0"/>
        </w:tabs>
        <w:spacing w:line="300" w:lineRule="auto"/>
        <w:ind w:left="340" w:hanging="3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所附格式中要求填写的全部问题和信息都必须填写。</w:t>
      </w:r>
    </w:p>
    <w:p w14:paraId="73366579">
      <w:pPr>
        <w:numPr>
          <w:ilvl w:val="0"/>
          <w:numId w:val="9"/>
        </w:numPr>
        <w:tabs>
          <w:tab w:val="left" w:pos="0"/>
        </w:tabs>
        <w:spacing w:line="300" w:lineRule="auto"/>
        <w:ind w:left="340" w:hanging="3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本资格声明的签字人应保证全部声明和填写的内容是真实的和正确的。</w:t>
      </w:r>
    </w:p>
    <w:p w14:paraId="09360105">
      <w:pPr>
        <w:numPr>
          <w:ilvl w:val="0"/>
          <w:numId w:val="9"/>
        </w:numPr>
        <w:tabs>
          <w:tab w:val="left" w:pos="0"/>
        </w:tabs>
        <w:spacing w:line="300" w:lineRule="auto"/>
        <w:ind w:left="340" w:hanging="3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采购人将应用供应商提交的资料根据自己的判断和考虑决定供应商履行合同的合格性及能力。</w:t>
      </w:r>
    </w:p>
    <w:p w14:paraId="1D398AEB">
      <w:pPr>
        <w:numPr>
          <w:ilvl w:val="0"/>
          <w:numId w:val="9"/>
        </w:numPr>
        <w:tabs>
          <w:tab w:val="left" w:pos="0"/>
        </w:tabs>
        <w:spacing w:line="300" w:lineRule="auto"/>
        <w:ind w:left="340" w:hanging="3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供应商提交的材料将被保密，但不退还。</w:t>
      </w:r>
    </w:p>
    <w:p w14:paraId="255B7EF9">
      <w:pPr>
        <w:numPr>
          <w:ilvl w:val="0"/>
          <w:numId w:val="9"/>
        </w:numPr>
        <w:tabs>
          <w:tab w:val="left" w:pos="0"/>
        </w:tabs>
        <w:spacing w:line="300" w:lineRule="auto"/>
        <w:ind w:left="340" w:hanging="3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全部文件应按“供应商须知前附表”规定的份数提交。</w:t>
      </w:r>
    </w:p>
    <w:p w14:paraId="2E23D1D3">
      <w:pPr>
        <w:numPr>
          <w:ilvl w:val="0"/>
          <w:numId w:val="9"/>
        </w:numPr>
        <w:tabs>
          <w:tab w:val="left" w:pos="0"/>
        </w:tabs>
        <w:spacing w:line="360" w:lineRule="auto"/>
        <w:ind w:left="340" w:hanging="34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前款8.1-8.9</w:t>
      </w:r>
      <w:r>
        <w:rPr>
          <w:rFonts w:hint="eastAsia" w:ascii="宋体" w:hAnsi="宋体" w:eastAsia="宋体" w:cs="宋体"/>
          <w:b/>
          <w:color w:val="auto"/>
          <w:sz w:val="24"/>
          <w:szCs w:val="24"/>
          <w:highlight w:val="none"/>
          <w:lang w:eastAsia="zh-CN"/>
        </w:rPr>
        <w:t>、8.13</w:t>
      </w:r>
      <w:r>
        <w:rPr>
          <w:rFonts w:hint="eastAsia" w:ascii="宋体" w:hAnsi="宋体" w:eastAsia="宋体" w:cs="宋体"/>
          <w:b/>
          <w:color w:val="auto"/>
          <w:sz w:val="24"/>
          <w:szCs w:val="24"/>
          <w:highlight w:val="none"/>
        </w:rPr>
        <w:t>为必要条件，若未能提供所列的证明文件或提供的资料为虚假或伪造的将导致废标；</w:t>
      </w:r>
      <w:r>
        <w:rPr>
          <w:rFonts w:hint="eastAsia" w:ascii="宋体" w:hAnsi="宋体" w:eastAsia="宋体" w:cs="宋体"/>
          <w:b/>
          <w:color w:val="auto"/>
          <w:sz w:val="24"/>
          <w:szCs w:val="24"/>
          <w:highlight w:val="none"/>
          <w:lang w:val="en-US" w:eastAsia="zh-CN"/>
        </w:rPr>
        <w:t>其余</w:t>
      </w:r>
      <w:r>
        <w:rPr>
          <w:rFonts w:hint="eastAsia" w:ascii="宋体" w:hAnsi="宋体" w:eastAsia="宋体" w:cs="宋体"/>
          <w:b/>
          <w:color w:val="auto"/>
          <w:sz w:val="24"/>
          <w:szCs w:val="24"/>
          <w:highlight w:val="none"/>
        </w:rPr>
        <w:t>为附加条件，执行采购文件中评审方法综合打分。</w:t>
      </w:r>
    </w:p>
    <w:p w14:paraId="3830B506">
      <w:pPr>
        <w:keepNext/>
        <w:keepLines/>
        <w:outlineLvl w:val="1"/>
        <w:rPr>
          <w:rFonts w:hint="eastAsia" w:ascii="宋体" w:hAnsi="宋体" w:eastAsia="宋体" w:cs="宋体"/>
          <w:b/>
          <w:color w:val="auto"/>
          <w:kern w:val="0"/>
          <w:sz w:val="36"/>
          <w:szCs w:val="21"/>
          <w:highlight w:val="none"/>
        </w:rPr>
      </w:pPr>
      <w:r>
        <w:rPr>
          <w:rFonts w:hint="eastAsia" w:ascii="宋体" w:hAnsi="宋体" w:eastAsia="宋体" w:cs="宋体"/>
          <w:color w:val="auto"/>
          <w:kern w:val="0"/>
          <w:sz w:val="24"/>
          <w:szCs w:val="24"/>
          <w:highlight w:val="none"/>
        </w:rPr>
        <w:br w:type="page"/>
      </w:r>
      <w:bookmarkStart w:id="358" w:name="_Toc29196"/>
      <w:bookmarkStart w:id="359" w:name="_Toc44700100"/>
      <w:r>
        <w:rPr>
          <w:rFonts w:hint="eastAsia" w:ascii="宋体" w:hAnsi="宋体" w:eastAsia="宋体" w:cs="宋体"/>
          <w:b/>
          <w:color w:val="auto"/>
          <w:kern w:val="0"/>
          <w:sz w:val="36"/>
          <w:szCs w:val="21"/>
          <w:highlight w:val="none"/>
        </w:rPr>
        <w:t>★8.1具有独立承担民事责任的能力</w:t>
      </w:r>
      <w:bookmarkEnd w:id="358"/>
      <w:bookmarkEnd w:id="359"/>
    </w:p>
    <w:p w14:paraId="5BF9FD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有效的法人或者其他组织的营业执照等证明文件</w:t>
      </w:r>
    </w:p>
    <w:p w14:paraId="40E71F24">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注：复印件加盖单位公章</w:t>
      </w:r>
      <w:r>
        <w:rPr>
          <w:rFonts w:hint="eastAsia" w:ascii="宋体" w:hAnsi="宋体" w:eastAsia="宋体" w:cs="宋体"/>
          <w:b/>
          <w:color w:val="auto"/>
          <w:sz w:val="24"/>
          <w:highlight w:val="none"/>
          <w:lang w:val="en-US" w:eastAsia="zh-CN"/>
        </w:rPr>
        <w:t>或电子章</w:t>
      </w:r>
    </w:p>
    <w:p w14:paraId="0F354DB8">
      <w:pPr>
        <w:keepNext/>
        <w:keepLines/>
        <w:outlineLvl w:val="1"/>
        <w:rPr>
          <w:rFonts w:hint="eastAsia" w:ascii="宋体" w:hAnsi="宋体" w:eastAsia="宋体" w:cs="宋体"/>
          <w:b/>
          <w:color w:val="auto"/>
          <w:kern w:val="0"/>
          <w:sz w:val="36"/>
          <w:szCs w:val="21"/>
          <w:highlight w:val="none"/>
        </w:rPr>
      </w:pPr>
      <w:r>
        <w:rPr>
          <w:rFonts w:hint="eastAsia" w:ascii="宋体" w:hAnsi="宋体" w:eastAsia="宋体" w:cs="宋体"/>
          <w:b/>
          <w:color w:val="auto"/>
          <w:sz w:val="24"/>
          <w:szCs w:val="24"/>
          <w:highlight w:val="none"/>
        </w:rPr>
        <w:br w:type="page"/>
      </w:r>
      <w:bookmarkStart w:id="360" w:name="_Toc4391"/>
      <w:bookmarkStart w:id="361" w:name="_Toc44700101"/>
      <w:r>
        <w:rPr>
          <w:rFonts w:hint="eastAsia" w:ascii="宋体" w:hAnsi="宋体" w:eastAsia="宋体" w:cs="宋体"/>
          <w:b/>
          <w:color w:val="auto"/>
          <w:kern w:val="0"/>
          <w:sz w:val="36"/>
          <w:szCs w:val="21"/>
          <w:highlight w:val="none"/>
        </w:rPr>
        <w:t>★8.2具有良好的商业信誉和健全的财务会计制度</w:t>
      </w:r>
      <w:bookmarkEnd w:id="360"/>
      <w:bookmarkEnd w:id="361"/>
    </w:p>
    <w:p w14:paraId="79CEDF6B">
      <w:pPr>
        <w:adjustRightInd w:val="0"/>
        <w:spacing w:line="360" w:lineRule="auto"/>
        <w:ind w:firstLine="480" w:firstLineChars="200"/>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供应商提供本单位</w:t>
      </w:r>
      <w:r>
        <w:rPr>
          <w:rFonts w:hint="eastAsia" w:ascii="宋体" w:hAnsi="宋体" w:eastAsia="宋体" w:cs="宋体"/>
          <w:color w:val="auto"/>
          <w:sz w:val="24"/>
          <w:highlight w:val="none"/>
          <w:shd w:val="clear" w:color="auto" w:fill="FFFFFF"/>
          <w:lang w:val="en-US" w:eastAsia="zh-CN"/>
        </w:rPr>
        <w:t>2023年度或2024年度</w:t>
      </w:r>
      <w:r>
        <w:rPr>
          <w:rFonts w:hint="eastAsia" w:ascii="宋体" w:hAnsi="宋体" w:eastAsia="宋体" w:cs="宋体"/>
          <w:color w:val="auto"/>
          <w:sz w:val="24"/>
          <w:highlight w:val="none"/>
          <w:shd w:val="clear" w:color="auto" w:fill="FFFFFF"/>
        </w:rPr>
        <w:t>经会计师事务所出具的审计报告复印件并加盖供应商公章。如供应商无法提供上一年度审计报告，则需提供银行出具的资信证明或提供具有良好的商业信誉和健全的财务会计制度的承诺函（承诺函格式自拟并加盖供应商公章）。</w:t>
      </w:r>
    </w:p>
    <w:p w14:paraId="3CA1DD83">
      <w:pPr>
        <w:adjustRightInd w:val="0"/>
        <w:spacing w:line="360" w:lineRule="auto"/>
        <w:ind w:firstLine="420" w:firstLineChars="200"/>
        <w:jc w:val="left"/>
        <w:rPr>
          <w:rFonts w:hint="eastAsia" w:ascii="宋体" w:hAnsi="宋体" w:eastAsia="宋体" w:cs="宋体"/>
          <w:color w:val="auto"/>
          <w:kern w:val="0"/>
          <w:szCs w:val="21"/>
          <w:highlight w:val="none"/>
          <w:shd w:val="clear" w:color="auto" w:fill="FFFFFF"/>
        </w:rPr>
      </w:pPr>
    </w:p>
    <w:p w14:paraId="0E8F1451">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说明：</w:t>
      </w:r>
    </w:p>
    <w:p w14:paraId="4A65A7AF">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w:t>
      </w:r>
      <w:r>
        <w:rPr>
          <w:rFonts w:hint="eastAsia" w:ascii="宋体" w:hAnsi="宋体" w:eastAsia="宋体" w:cs="宋体"/>
          <w:color w:val="auto"/>
          <w:sz w:val="24"/>
          <w:highlight w:val="none"/>
        </w:rPr>
        <w:t>审计报告复印件至少应包括资产负债表、利润表、现金流量表及其附注、加盖会计师事务所公章页。</w:t>
      </w:r>
    </w:p>
    <w:p w14:paraId="276633B6">
      <w:pPr>
        <w:tabs>
          <w:tab w:val="left" w:pos="780"/>
          <w:tab w:val="left" w:pos="1680"/>
        </w:tabs>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银行资信证明是指供应商参加本次磋商截止日前三个月内开立基本账户的银行开具的资信证明（成立一年内的公司可提交当年验资证明复印件并加盖公章），且无收受人和项目的限制，但开具银行有限制规定的除外。</w:t>
      </w:r>
    </w:p>
    <w:p w14:paraId="1A150E89">
      <w:pPr>
        <w:tabs>
          <w:tab w:val="left" w:pos="780"/>
          <w:tab w:val="left" w:pos="1680"/>
        </w:tabs>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3、银行资信证明可以是复印件并加盖供应商公章，磋商小组保留审核原件的权利。</w:t>
      </w:r>
      <w:r>
        <w:rPr>
          <w:rFonts w:hint="eastAsia" w:ascii="宋体" w:hAnsi="宋体" w:eastAsia="宋体" w:cs="宋体"/>
          <w:b/>
          <w:color w:val="auto"/>
          <w:sz w:val="24"/>
          <w:highlight w:val="none"/>
          <w:shd w:val="clear" w:color="auto" w:fill="FFFFFF"/>
        </w:rPr>
        <w:t>但开具银行明确规定复印件无效的，须提交原件。</w:t>
      </w:r>
    </w:p>
    <w:p w14:paraId="64B2FF08">
      <w:pPr>
        <w:spacing w:line="360" w:lineRule="auto"/>
        <w:ind w:firstLine="480" w:firstLineChars="200"/>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highlight w:val="none"/>
          <w:shd w:val="clear" w:color="auto" w:fill="FFFFFF"/>
        </w:rPr>
        <w:t>4、银行资信证明应能说明该供应商与银行之间业务往来正常，无不良记录，企业信誉良好等。银行出具的存款证明不能作为银行资信证明。</w:t>
      </w:r>
    </w:p>
    <w:p w14:paraId="6039F95F">
      <w:pPr>
        <w:keepNext/>
        <w:keepLines/>
        <w:outlineLvl w:val="1"/>
        <w:rPr>
          <w:rFonts w:hint="eastAsia" w:ascii="宋体" w:hAnsi="宋体" w:eastAsia="宋体" w:cs="宋体"/>
          <w:b/>
          <w:color w:val="auto"/>
          <w:kern w:val="0"/>
          <w:sz w:val="36"/>
          <w:szCs w:val="21"/>
          <w:highlight w:val="none"/>
        </w:rPr>
      </w:pPr>
      <w:r>
        <w:rPr>
          <w:rFonts w:hint="eastAsia" w:ascii="宋体" w:hAnsi="宋体" w:eastAsia="宋体" w:cs="宋体"/>
          <w:color w:val="auto"/>
          <w:szCs w:val="21"/>
          <w:highlight w:val="none"/>
        </w:rPr>
        <w:br w:type="page"/>
      </w:r>
      <w:bookmarkStart w:id="362" w:name="_Toc44700102"/>
      <w:bookmarkStart w:id="363" w:name="_Toc8529"/>
      <w:r>
        <w:rPr>
          <w:rFonts w:hint="eastAsia" w:ascii="宋体" w:hAnsi="宋体" w:eastAsia="宋体" w:cs="宋体"/>
          <w:b/>
          <w:color w:val="auto"/>
          <w:kern w:val="0"/>
          <w:sz w:val="36"/>
          <w:szCs w:val="21"/>
          <w:highlight w:val="none"/>
        </w:rPr>
        <w:t>★8.3具有履行合同所必需的设备和专业技术能力</w:t>
      </w:r>
      <w:bookmarkEnd w:id="362"/>
      <w:bookmarkEnd w:id="363"/>
    </w:p>
    <w:p w14:paraId="700ABC45">
      <w:pPr>
        <w:spacing w:line="360" w:lineRule="auto"/>
        <w:ind w:firstLine="480" w:firstLineChars="200"/>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highlight w:val="none"/>
        </w:rPr>
        <w:t>说明：供应商提供书面声明或相关证明材料（例如：相关设备的购置发票或相关人员的职称证书、用工合同等），证明材料可以是文字描述、图纸或数据等，能够说明供应商已具有履行本项目合同所必需的设备和专业技术能力。</w:t>
      </w:r>
    </w:p>
    <w:p w14:paraId="1B14BFEC">
      <w:pPr>
        <w:keepNext/>
        <w:keepLines/>
        <w:outlineLvl w:val="1"/>
        <w:rPr>
          <w:rFonts w:hint="eastAsia" w:ascii="宋体" w:hAnsi="宋体" w:eastAsia="宋体" w:cs="宋体"/>
          <w:b/>
          <w:color w:val="auto"/>
          <w:kern w:val="0"/>
          <w:sz w:val="36"/>
          <w:szCs w:val="21"/>
          <w:highlight w:val="none"/>
        </w:rPr>
      </w:pPr>
      <w:r>
        <w:rPr>
          <w:rFonts w:hint="eastAsia" w:ascii="宋体" w:hAnsi="宋体" w:eastAsia="宋体" w:cs="宋体"/>
          <w:color w:val="auto"/>
          <w:szCs w:val="21"/>
          <w:highlight w:val="none"/>
          <w:u w:val="single"/>
        </w:rPr>
        <w:br w:type="page"/>
      </w:r>
      <w:bookmarkStart w:id="364" w:name="_Toc25617"/>
      <w:bookmarkStart w:id="365" w:name="_Toc44700103"/>
      <w:r>
        <w:rPr>
          <w:rFonts w:hint="eastAsia" w:ascii="宋体" w:hAnsi="宋体" w:eastAsia="宋体" w:cs="宋体"/>
          <w:b/>
          <w:color w:val="auto"/>
          <w:kern w:val="0"/>
          <w:sz w:val="36"/>
          <w:szCs w:val="21"/>
          <w:highlight w:val="none"/>
        </w:rPr>
        <w:t>★8.4有依法缴纳税收和社会保障资金的良好记录</w:t>
      </w:r>
      <w:bookmarkEnd w:id="364"/>
      <w:bookmarkEnd w:id="365"/>
    </w:p>
    <w:p w14:paraId="733BD1A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1、有依法缴纳社会保障资金的良好记录，须提供参加本次政府采购活动近六个月（费用月份、缴费年月为</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年1月-2025年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rPr>
        <w:t>，非记账、转账或打印时间）内的任意一月缴纳社会保障资金的银行入账票据凭证或社保部门证明材料复印件，并加盖供应商公章。供应商逐年交纳社会保障资金的，须提供上年度缴纳社会保障资金的入账票据凭证复印件。缴纳社会保障资金的入账票据凭证复印件须加盖本单位公章；</w:t>
      </w:r>
    </w:p>
    <w:p w14:paraId="37CCCA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2、纳税证明（个人所得税除外），须提供参加本次政府采购活动近六个月（所属时期、日期为</w:t>
      </w:r>
      <w:r>
        <w:rPr>
          <w:rFonts w:hint="eastAsia" w:ascii="宋体" w:hAnsi="宋体" w:eastAsia="宋体" w:cs="宋体"/>
          <w:color w:val="auto"/>
          <w:sz w:val="24"/>
          <w:szCs w:val="24"/>
          <w:highlight w:val="none"/>
          <w:lang w:eastAsia="zh-CN"/>
        </w:rPr>
        <w:t>2025年1月-2025年6月</w:t>
      </w:r>
      <w:r>
        <w:rPr>
          <w:rFonts w:hint="eastAsia" w:ascii="宋体" w:hAnsi="宋体" w:eastAsia="宋体" w:cs="宋体"/>
          <w:color w:val="auto"/>
          <w:sz w:val="24"/>
          <w:szCs w:val="24"/>
          <w:highlight w:val="none"/>
        </w:rPr>
        <w:t>，非记账、转账或打印时间）内的任意一月银行有效票据或税务部门证明材料凭证复印件，并加盖供应商公章。如近六个月未达到应缴税标准，须提供相应说明及证明材料（如：增值税纳税申报表</w:t>
      </w:r>
      <w:r>
        <w:rPr>
          <w:rFonts w:hint="eastAsia" w:ascii="宋体" w:hAnsi="宋体" w:eastAsia="宋体" w:cs="宋体"/>
          <w:color w:val="auto"/>
          <w:sz w:val="24"/>
          <w:szCs w:val="24"/>
          <w:highlight w:val="none"/>
          <w:shd w:val="clear" w:color="auto" w:fill="FFFFFF"/>
        </w:rPr>
        <w:t>或零纳税申报表</w:t>
      </w:r>
      <w:r>
        <w:rPr>
          <w:rFonts w:hint="eastAsia" w:ascii="宋体" w:hAnsi="宋体" w:eastAsia="宋体" w:cs="宋体"/>
          <w:color w:val="auto"/>
          <w:sz w:val="24"/>
          <w:szCs w:val="24"/>
          <w:highlight w:val="none"/>
        </w:rPr>
        <w:t>），并加盖供应商公章。</w:t>
      </w:r>
    </w:p>
    <w:p w14:paraId="08F3442E">
      <w:pPr>
        <w:spacing w:after="120" w:line="360" w:lineRule="auto"/>
        <w:ind w:firstLine="480" w:firstLineChars="200"/>
        <w:rPr>
          <w:rFonts w:hint="eastAsia" w:ascii="宋体" w:hAnsi="宋体" w:eastAsia="宋体" w:cs="宋体"/>
          <w:b/>
          <w:color w:val="auto"/>
          <w:sz w:val="32"/>
          <w:szCs w:val="32"/>
          <w:highlight w:val="none"/>
          <w:shd w:val="clear" w:color="auto" w:fill="FFFFFF"/>
        </w:rPr>
      </w:pPr>
      <w:r>
        <w:rPr>
          <w:rFonts w:hint="eastAsia" w:ascii="宋体" w:hAnsi="宋体" w:eastAsia="宋体" w:cs="宋体"/>
          <w:color w:val="auto"/>
          <w:sz w:val="24"/>
          <w:szCs w:val="24"/>
          <w:highlight w:val="none"/>
        </w:rPr>
        <w:t>3、依法免税或不需要缴纳社会保障资金的供应商，应提供相应的文件证明并加盖本单位公章。</w:t>
      </w:r>
    </w:p>
    <w:p w14:paraId="3AF99E81">
      <w:pPr>
        <w:spacing w:line="360" w:lineRule="auto"/>
        <w:rPr>
          <w:rFonts w:hint="eastAsia" w:ascii="宋体" w:hAnsi="宋体" w:eastAsia="宋体" w:cs="宋体"/>
          <w:b/>
          <w:color w:val="auto"/>
          <w:sz w:val="24"/>
          <w:highlight w:val="none"/>
          <w:shd w:val="clear" w:color="auto" w:fill="FFFFFF"/>
        </w:rPr>
      </w:pPr>
    </w:p>
    <w:p w14:paraId="059E7835">
      <w:pP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乌鲁木齐高新建设工程项目管理咨询有限公司</w:t>
      </w:r>
      <w:r>
        <w:rPr>
          <w:rFonts w:hint="eastAsia" w:ascii="宋体" w:hAnsi="宋体" w:eastAsia="宋体" w:cs="宋体"/>
          <w:color w:val="auto"/>
          <w:sz w:val="24"/>
          <w:highlight w:val="none"/>
        </w:rPr>
        <w:t>：</w:t>
      </w:r>
    </w:p>
    <w:p w14:paraId="40E69761">
      <w:pPr>
        <w:spacing w:line="360" w:lineRule="auto"/>
        <w:ind w:firstLine="482" w:firstLineChars="200"/>
        <w:jc w:val="center"/>
        <w:rPr>
          <w:rFonts w:hint="eastAsia" w:ascii="宋体" w:hAnsi="宋体" w:eastAsia="宋体" w:cs="宋体"/>
          <w:b/>
          <w:color w:val="auto"/>
          <w:sz w:val="24"/>
          <w:highlight w:val="none"/>
          <w:shd w:val="clear" w:color="auto" w:fill="FFFFFF"/>
        </w:rPr>
      </w:pPr>
    </w:p>
    <w:p w14:paraId="3FD0675C">
      <w:pPr>
        <w:adjustRightInd w:val="0"/>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本单位成立以来，一直按照国家和地方有关规定，依法缴纳税收及社会保障资金，具有良好记录。</w:t>
      </w:r>
    </w:p>
    <w:p w14:paraId="4EB4E420">
      <w:pPr>
        <w:adjustRightInd w:val="0"/>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特此声明。</w:t>
      </w:r>
    </w:p>
    <w:p w14:paraId="584008A0">
      <w:pPr>
        <w:adjustRightInd w:val="0"/>
        <w:spacing w:line="360" w:lineRule="auto"/>
        <w:rPr>
          <w:rFonts w:hint="eastAsia" w:ascii="宋体" w:hAnsi="宋体" w:eastAsia="宋体" w:cs="宋体"/>
          <w:color w:val="auto"/>
          <w:sz w:val="24"/>
          <w:highlight w:val="none"/>
          <w:shd w:val="clear" w:color="auto" w:fill="FFFFFF"/>
        </w:rPr>
      </w:pPr>
    </w:p>
    <w:p w14:paraId="0F563FB2">
      <w:pPr>
        <w:adjustRightInd w:val="0"/>
        <w:spacing w:line="360" w:lineRule="auto"/>
        <w:rPr>
          <w:rFonts w:hint="eastAsia" w:ascii="宋体" w:hAnsi="宋体" w:eastAsia="宋体" w:cs="宋体"/>
          <w:color w:val="auto"/>
          <w:sz w:val="24"/>
          <w:highlight w:val="none"/>
          <w:shd w:val="clear" w:color="auto" w:fill="FFFFFF"/>
        </w:rPr>
      </w:pPr>
    </w:p>
    <w:p w14:paraId="3540AD59">
      <w:pPr>
        <w:adjustRightInd w:val="0"/>
        <w:spacing w:line="360" w:lineRule="auto"/>
        <w:rPr>
          <w:rFonts w:hint="eastAsia" w:ascii="宋体" w:hAnsi="宋体" w:eastAsia="宋体" w:cs="宋体"/>
          <w:color w:val="auto"/>
          <w:sz w:val="24"/>
          <w:highlight w:val="none"/>
          <w:shd w:val="clear" w:color="auto" w:fill="FFFFFF"/>
        </w:rPr>
      </w:pPr>
    </w:p>
    <w:p w14:paraId="3D45489F">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供应商法定代表人或授权代表（签字或盖章）：</w:t>
      </w:r>
    </w:p>
    <w:p w14:paraId="59930B09">
      <w:pPr>
        <w:spacing w:line="360" w:lineRule="auto"/>
        <w:jc w:val="right"/>
        <w:rPr>
          <w:rFonts w:hint="eastAsia" w:ascii="宋体" w:hAnsi="宋体" w:eastAsia="宋体" w:cs="宋体"/>
          <w:color w:val="auto"/>
          <w:sz w:val="24"/>
          <w:highlight w:val="none"/>
          <w:u w:val="single"/>
        </w:rPr>
      </w:pPr>
    </w:p>
    <w:p w14:paraId="5805DF2D">
      <w:pPr>
        <w:spacing w:line="360" w:lineRule="auto"/>
        <w:jc w:val="right"/>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供应商名称（加盖单位公章）：</w:t>
      </w:r>
    </w:p>
    <w:p w14:paraId="7FD0405D">
      <w:pPr>
        <w:spacing w:line="360" w:lineRule="auto"/>
        <w:jc w:val="right"/>
        <w:rPr>
          <w:rFonts w:hint="eastAsia" w:ascii="宋体" w:hAnsi="宋体" w:eastAsia="宋体" w:cs="宋体"/>
          <w:color w:val="auto"/>
          <w:sz w:val="24"/>
          <w:highlight w:val="none"/>
          <w:u w:val="single"/>
        </w:rPr>
      </w:pPr>
    </w:p>
    <w:p w14:paraId="7B92706C">
      <w:pPr>
        <w:tabs>
          <w:tab w:val="left" w:pos="780"/>
          <w:tab w:val="left" w:pos="1680"/>
        </w:tabs>
        <w:spacing w:line="360" w:lineRule="auto"/>
        <w:jc w:val="right"/>
        <w:rPr>
          <w:rFonts w:hint="eastAsia" w:ascii="宋体" w:hAnsi="宋体" w:eastAsia="宋体" w:cs="宋体"/>
          <w:color w:val="auto"/>
          <w:sz w:val="24"/>
          <w:highlight w:val="none"/>
          <w:shd w:val="clear" w:color="auto" w:fill="FFFFFF"/>
          <w:lang w:eastAsia="zh-CN"/>
        </w:rPr>
      </w:pPr>
      <w:r>
        <w:rPr>
          <w:rFonts w:hint="eastAsia" w:ascii="宋体" w:hAnsi="宋体" w:eastAsia="宋体" w:cs="宋体"/>
          <w:color w:val="auto"/>
          <w:sz w:val="24"/>
          <w:highlight w:val="none"/>
        </w:rPr>
        <w:t>日期：</w:t>
      </w:r>
    </w:p>
    <w:p w14:paraId="04B0230B">
      <w:pPr>
        <w:keepNext/>
        <w:keepLines/>
        <w:outlineLvl w:val="1"/>
        <w:rPr>
          <w:rFonts w:hint="eastAsia" w:ascii="宋体" w:hAnsi="宋体" w:eastAsia="宋体" w:cs="宋体"/>
          <w:b/>
          <w:color w:val="auto"/>
          <w:kern w:val="0"/>
          <w:sz w:val="36"/>
          <w:szCs w:val="21"/>
          <w:highlight w:val="none"/>
        </w:rPr>
      </w:pPr>
      <w:r>
        <w:rPr>
          <w:rFonts w:hint="eastAsia" w:ascii="宋体" w:hAnsi="宋体" w:eastAsia="宋体" w:cs="宋体"/>
          <w:color w:val="auto"/>
          <w:sz w:val="24"/>
          <w:highlight w:val="none"/>
          <w:shd w:val="clear" w:color="auto" w:fill="FFFFFF"/>
        </w:rPr>
        <w:br w:type="page"/>
      </w:r>
      <w:bookmarkStart w:id="366" w:name="_Toc20231"/>
      <w:r>
        <w:rPr>
          <w:rFonts w:hint="eastAsia" w:ascii="宋体" w:hAnsi="宋体" w:eastAsia="宋体" w:cs="宋体"/>
          <w:b/>
          <w:color w:val="auto"/>
          <w:kern w:val="0"/>
          <w:sz w:val="36"/>
          <w:szCs w:val="21"/>
          <w:highlight w:val="none"/>
        </w:rPr>
        <w:t>★8.5参加政府采购活动前三年内，在经营活动中没有重大违法记录</w:t>
      </w:r>
      <w:bookmarkEnd w:id="366"/>
    </w:p>
    <w:p w14:paraId="48BE64C8">
      <w:pPr>
        <w:spacing w:line="360" w:lineRule="auto"/>
        <w:ind w:firstLine="723" w:firstLineChars="300"/>
        <w:rPr>
          <w:rFonts w:hint="eastAsia" w:ascii="宋体" w:hAnsi="宋体" w:eastAsia="宋体" w:cs="宋体"/>
          <w:b/>
          <w:bCs/>
          <w:color w:val="auto"/>
          <w:kern w:val="0"/>
          <w:sz w:val="24"/>
          <w:szCs w:val="24"/>
          <w:highlight w:val="none"/>
        </w:rPr>
      </w:pPr>
    </w:p>
    <w:p w14:paraId="44C7EB41">
      <w:pPr>
        <w:spacing w:line="360" w:lineRule="auto"/>
        <w:ind w:firstLine="723" w:firstLineChars="300"/>
        <w:rPr>
          <w:rFonts w:hint="eastAsia" w:ascii="宋体" w:hAnsi="宋体" w:eastAsia="宋体" w:cs="宋体"/>
          <w:b/>
          <w:bCs/>
          <w:color w:val="auto"/>
          <w:kern w:val="0"/>
          <w:sz w:val="24"/>
          <w:szCs w:val="24"/>
          <w:highlight w:val="none"/>
        </w:rPr>
      </w:pPr>
    </w:p>
    <w:p w14:paraId="4F33EA88">
      <w:pPr>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提供参加本次政府采购活动前三年内，在经营活动中没有重大违法记录的声明：</w:t>
      </w:r>
    </w:p>
    <w:p w14:paraId="287A0690">
      <w:pPr>
        <w:spacing w:line="360" w:lineRule="auto"/>
        <w:rPr>
          <w:rFonts w:hint="eastAsia" w:ascii="宋体" w:hAnsi="宋体" w:eastAsia="宋体" w:cs="宋体"/>
          <w:b/>
          <w:bCs/>
          <w:color w:val="auto"/>
          <w:kern w:val="0"/>
          <w:sz w:val="24"/>
          <w:szCs w:val="24"/>
          <w:highlight w:val="none"/>
        </w:rPr>
      </w:pPr>
    </w:p>
    <w:p w14:paraId="4739A8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乌鲁木齐高新建设工程项目管理咨询有限公司</w:t>
      </w:r>
      <w:r>
        <w:rPr>
          <w:rFonts w:hint="eastAsia" w:ascii="宋体" w:hAnsi="宋体" w:eastAsia="宋体" w:cs="宋体"/>
          <w:color w:val="auto"/>
          <w:sz w:val="24"/>
          <w:highlight w:val="none"/>
        </w:rPr>
        <w:t>：</w:t>
      </w:r>
    </w:p>
    <w:p w14:paraId="50AD496B">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我公司在</w:t>
      </w:r>
      <w:r>
        <w:rPr>
          <w:rFonts w:hint="eastAsia" w:ascii="宋体" w:hAnsi="宋体" w:eastAsia="宋体" w:cs="宋体"/>
          <w:color w:val="auto"/>
          <w:kern w:val="0"/>
          <w:sz w:val="24"/>
          <w:highlight w:val="none"/>
          <w:shd w:val="clear" w:color="auto" w:fill="FFFFFF"/>
          <w:lang w:val="zh-CN"/>
        </w:rPr>
        <w:t>参加本项目政府采购活动前三年（</w:t>
      </w:r>
      <w:r>
        <w:rPr>
          <w:rFonts w:hint="eastAsia" w:ascii="宋体" w:hAnsi="宋体" w:eastAsia="宋体" w:cs="宋体"/>
          <w:color w:val="auto"/>
          <w:sz w:val="24"/>
          <w:highlight w:val="none"/>
          <w:lang w:val="en-US" w:eastAsia="zh-CN"/>
        </w:rPr>
        <w:t>20</w:t>
      </w:r>
      <w:r>
        <w:rPr>
          <w:rFonts w:hint="eastAsia" w:ascii="宋体" w:hAnsi="宋体" w:eastAsia="宋体" w:cs="宋体"/>
          <w:color w:val="auto"/>
          <w:kern w:val="0"/>
          <w:sz w:val="24"/>
          <w:highlight w:val="none"/>
          <w:shd w:val="clear" w:color="auto" w:fill="FFFFFF"/>
          <w:lang w:val="en-US" w:eastAsia="zh-CN"/>
        </w:rPr>
        <w:t>22</w:t>
      </w:r>
      <w:r>
        <w:rPr>
          <w:rFonts w:hint="eastAsia" w:ascii="宋体" w:hAnsi="宋体" w:eastAsia="宋体" w:cs="宋体"/>
          <w:color w:val="auto"/>
          <w:kern w:val="0"/>
          <w:sz w:val="24"/>
          <w:highlight w:val="none"/>
          <w:shd w:val="clear" w:color="auto" w:fill="FFFFFF"/>
          <w:lang w:val="zh-CN"/>
        </w:rPr>
        <w:t>年至今）内，在经营活动中没有重大违法记录或被投诉记录</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因违法经营受到刑事处罚或者责令停产停业、吊销许可证或者执照、较大数额罚款等行政处罚</w:t>
      </w:r>
      <w:r>
        <w:rPr>
          <w:rFonts w:hint="eastAsia" w:ascii="宋体" w:hAnsi="宋体" w:eastAsia="宋体" w:cs="宋体"/>
          <w:color w:val="auto"/>
          <w:sz w:val="24"/>
          <w:highlight w:val="none"/>
        </w:rPr>
        <w:t>）</w:t>
      </w:r>
      <w:r>
        <w:rPr>
          <w:rFonts w:hint="eastAsia" w:ascii="宋体" w:hAnsi="宋体" w:eastAsia="宋体" w:cs="宋体"/>
          <w:color w:val="auto"/>
          <w:sz w:val="24"/>
          <w:highlight w:val="none"/>
          <w:shd w:val="clear" w:color="auto" w:fill="FFFFFF"/>
        </w:rPr>
        <w:t>。</w:t>
      </w:r>
    </w:p>
    <w:p w14:paraId="694C507E">
      <w:pPr>
        <w:adjustRightInd w:val="0"/>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特此声明。</w:t>
      </w:r>
    </w:p>
    <w:p w14:paraId="059B65E0">
      <w:pPr>
        <w:spacing w:line="360" w:lineRule="auto"/>
        <w:ind w:firstLine="480" w:firstLineChars="200"/>
        <w:rPr>
          <w:rFonts w:hint="eastAsia" w:ascii="宋体" w:hAnsi="宋体" w:eastAsia="宋体" w:cs="宋体"/>
          <w:color w:val="auto"/>
          <w:sz w:val="24"/>
          <w:highlight w:val="none"/>
          <w:shd w:val="clear" w:color="auto" w:fill="FFFFFF"/>
        </w:rPr>
      </w:pPr>
    </w:p>
    <w:p w14:paraId="19B1C770">
      <w:pPr>
        <w:spacing w:line="360" w:lineRule="auto"/>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供应商法定代表人或授权代表（签字或盖章）：</w:t>
      </w:r>
    </w:p>
    <w:p w14:paraId="3DBA472C">
      <w:pPr>
        <w:spacing w:line="360" w:lineRule="auto"/>
        <w:ind w:firstLine="480" w:firstLineChars="200"/>
        <w:jc w:val="right"/>
        <w:rPr>
          <w:rFonts w:hint="eastAsia" w:ascii="宋体" w:hAnsi="宋体" w:eastAsia="宋体" w:cs="宋体"/>
          <w:color w:val="auto"/>
          <w:sz w:val="24"/>
          <w:highlight w:val="none"/>
          <w:u w:val="single"/>
        </w:rPr>
      </w:pPr>
    </w:p>
    <w:p w14:paraId="56877E63">
      <w:pPr>
        <w:spacing w:line="360" w:lineRule="auto"/>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供应商名称（加盖单位公章</w:t>
      </w:r>
      <w:r>
        <w:rPr>
          <w:rFonts w:hint="eastAsia" w:ascii="宋体" w:hAnsi="宋体" w:eastAsia="宋体" w:cs="宋体"/>
          <w:color w:val="auto"/>
          <w:sz w:val="24"/>
          <w:szCs w:val="24"/>
          <w:highlight w:val="none"/>
          <w:lang w:val="en-US" w:eastAsia="zh-CN"/>
        </w:rPr>
        <w:t>或电子公章</w:t>
      </w:r>
      <w:r>
        <w:rPr>
          <w:rFonts w:hint="eastAsia" w:ascii="宋体" w:hAnsi="宋体" w:eastAsia="宋体" w:cs="宋体"/>
          <w:color w:val="auto"/>
          <w:sz w:val="24"/>
          <w:highlight w:val="none"/>
        </w:rPr>
        <w:t>）：</w:t>
      </w:r>
    </w:p>
    <w:p w14:paraId="05E04FAE">
      <w:pPr>
        <w:spacing w:line="360" w:lineRule="auto"/>
        <w:ind w:firstLine="480" w:firstLineChars="200"/>
        <w:jc w:val="right"/>
        <w:rPr>
          <w:rFonts w:hint="eastAsia" w:ascii="宋体" w:hAnsi="宋体" w:eastAsia="宋体" w:cs="宋体"/>
          <w:color w:val="auto"/>
          <w:sz w:val="24"/>
          <w:highlight w:val="none"/>
        </w:rPr>
      </w:pPr>
    </w:p>
    <w:p w14:paraId="1A2366AC">
      <w:pPr>
        <w:spacing w:line="36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000D49CF">
      <w:pPr>
        <w:keepNext/>
        <w:keepLines/>
        <w:outlineLvl w:val="1"/>
        <w:rPr>
          <w:rFonts w:hint="eastAsia" w:ascii="宋体" w:hAnsi="宋体" w:eastAsia="宋体" w:cs="宋体"/>
          <w:b/>
          <w:color w:val="auto"/>
          <w:kern w:val="0"/>
          <w:sz w:val="36"/>
          <w:szCs w:val="21"/>
          <w:highlight w:val="none"/>
        </w:rPr>
      </w:pPr>
      <w:r>
        <w:rPr>
          <w:rFonts w:hint="eastAsia" w:ascii="宋体" w:hAnsi="宋体" w:eastAsia="宋体" w:cs="宋体"/>
          <w:b/>
          <w:color w:val="auto"/>
          <w:highlight w:val="none"/>
        </w:rPr>
        <w:br w:type="page"/>
      </w:r>
      <w:bookmarkStart w:id="367" w:name="_Toc3510"/>
      <w:bookmarkStart w:id="368" w:name="_Toc44700104"/>
      <w:r>
        <w:rPr>
          <w:rFonts w:hint="eastAsia" w:ascii="宋体" w:hAnsi="宋体" w:eastAsia="宋体" w:cs="宋体"/>
          <w:b/>
          <w:color w:val="auto"/>
          <w:kern w:val="0"/>
          <w:sz w:val="36"/>
          <w:szCs w:val="21"/>
          <w:highlight w:val="none"/>
        </w:rPr>
        <w:t>★8.6符合磋商文件第二章“供应商须知前附表”4.1中第2条的证明材料；</w:t>
      </w:r>
      <w:bookmarkEnd w:id="367"/>
      <w:bookmarkEnd w:id="368"/>
    </w:p>
    <w:p w14:paraId="7DF634FB">
      <w:pPr>
        <w:rPr>
          <w:rFonts w:hint="eastAsia" w:ascii="宋体" w:hAnsi="宋体" w:eastAsia="宋体" w:cs="宋体"/>
          <w:b/>
          <w:color w:val="auto"/>
          <w:sz w:val="28"/>
          <w:szCs w:val="32"/>
          <w:highlight w:val="none"/>
        </w:rPr>
      </w:pPr>
      <w:r>
        <w:rPr>
          <w:rFonts w:hint="eastAsia" w:ascii="宋体" w:hAnsi="宋体" w:eastAsia="宋体" w:cs="宋体"/>
          <w:b/>
          <w:color w:val="auto"/>
          <w:sz w:val="28"/>
          <w:szCs w:val="32"/>
          <w:highlight w:val="none"/>
        </w:rPr>
        <w:t>8.6.1</w:t>
      </w:r>
    </w:p>
    <w:p w14:paraId="2846158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注：1、供应商应当根据自身存在的情形，如实披露与本单位负责人为同一人或者存在直接控股、管理关系的供应商情况。</w:t>
      </w:r>
    </w:p>
    <w:p w14:paraId="370D2CBA">
      <w:pPr>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2、单位负责人为同一人或者存在直接控股、管理关系的不同供应商，同时参加本项目同一合同项下的磋商，相关响应均无效。</w:t>
      </w:r>
    </w:p>
    <w:p w14:paraId="7F44EB0D">
      <w:pPr>
        <w:pStyle w:val="2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3、为本项目某包提供整体设计、规范编制或者项目管理、监理、检测等服务的供应商，不得参加该包的磋商；</w:t>
      </w:r>
    </w:p>
    <w:p w14:paraId="05BD69E7">
      <w:pPr>
        <w:spacing w:line="360" w:lineRule="auto"/>
        <w:rPr>
          <w:rFonts w:hint="eastAsia" w:ascii="宋体" w:hAnsi="宋体" w:eastAsia="宋体" w:cs="宋体"/>
          <w:color w:val="auto"/>
          <w:sz w:val="24"/>
          <w:szCs w:val="24"/>
          <w:highlight w:val="none"/>
        </w:rPr>
      </w:pPr>
    </w:p>
    <w:p w14:paraId="31F047B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（如不存在上述情况，请提供如下声明）</w:t>
      </w:r>
    </w:p>
    <w:p w14:paraId="53211D13">
      <w:pPr>
        <w:spacing w:line="360" w:lineRule="auto"/>
        <w:rPr>
          <w:rFonts w:hint="eastAsia" w:ascii="宋体" w:hAnsi="宋体" w:eastAsia="宋体" w:cs="宋体"/>
          <w:color w:val="auto"/>
          <w:sz w:val="24"/>
          <w:szCs w:val="24"/>
          <w:highlight w:val="none"/>
        </w:rPr>
      </w:pPr>
    </w:p>
    <w:p w14:paraId="4CD1E62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乌鲁木齐高新建设工程项目管理咨询有限公司</w:t>
      </w:r>
      <w:r>
        <w:rPr>
          <w:rFonts w:hint="eastAsia" w:ascii="宋体" w:hAnsi="宋体" w:eastAsia="宋体" w:cs="宋体"/>
          <w:color w:val="auto"/>
          <w:sz w:val="24"/>
          <w:szCs w:val="24"/>
          <w:highlight w:val="none"/>
        </w:rPr>
        <w:t>：</w:t>
      </w:r>
    </w:p>
    <w:p w14:paraId="1ECCFBE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我单位负责人（负责人姓名、身份证号），不存在与我单位负责人为同一人的不同供应商同时参加本项目同一包响应的情形。</w:t>
      </w:r>
    </w:p>
    <w:p w14:paraId="0C69E82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与我单位存在直接控股、管理关系的单位（单位名称，如没有填“无”），不存在与我单位存在直接控股、管理管理的不同供应商同时参加本项目同一包响应的情形。</w:t>
      </w:r>
    </w:p>
    <w:p w14:paraId="7ABDBEA5">
      <w:pPr>
        <w:pStyle w:val="2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我单位不为本项目某包提供整体设计、规范编制或者项目管理、监理、检测等服务的供应商。</w:t>
      </w:r>
    </w:p>
    <w:p w14:paraId="05165AF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我单位确认本声明是真实的、正确的，如有虚假，相应后果和法律责任均由我单位</w:t>
      </w:r>
      <w:r>
        <w:rPr>
          <w:rFonts w:hint="eastAsia" w:ascii="宋体" w:hAnsi="宋体" w:eastAsia="宋体" w:cs="宋体"/>
          <w:color w:val="auto"/>
          <w:sz w:val="24"/>
          <w:highlight w:val="none"/>
        </w:rPr>
        <w:t>承担</w:t>
      </w:r>
      <w:r>
        <w:rPr>
          <w:rFonts w:hint="eastAsia" w:ascii="宋体" w:hAnsi="宋体" w:eastAsia="宋体" w:cs="宋体"/>
          <w:color w:val="auto"/>
          <w:sz w:val="24"/>
          <w:szCs w:val="24"/>
          <w:highlight w:val="none"/>
        </w:rPr>
        <w:t>。</w:t>
      </w:r>
    </w:p>
    <w:p w14:paraId="5C9A89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342B028A">
      <w:pPr>
        <w:pStyle w:val="20"/>
        <w:rPr>
          <w:rFonts w:hint="eastAsia" w:ascii="宋体" w:hAnsi="宋体" w:eastAsia="宋体" w:cs="宋体"/>
          <w:color w:val="auto"/>
          <w:highlight w:val="none"/>
        </w:rPr>
      </w:pPr>
    </w:p>
    <w:p w14:paraId="50FE29D1">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供应商法定代表人或授权代表（</w:t>
      </w:r>
      <w:r>
        <w:rPr>
          <w:rFonts w:hint="eastAsia" w:ascii="宋体" w:hAnsi="宋体" w:eastAsia="宋体" w:cs="宋体"/>
          <w:color w:val="auto"/>
          <w:sz w:val="24"/>
          <w:highlight w:val="none"/>
        </w:rPr>
        <w:t>签字或盖章</w:t>
      </w:r>
      <w:r>
        <w:rPr>
          <w:rFonts w:hint="eastAsia" w:ascii="宋体" w:hAnsi="宋体" w:eastAsia="宋体" w:cs="宋体"/>
          <w:color w:val="auto"/>
          <w:sz w:val="24"/>
          <w:szCs w:val="24"/>
          <w:highlight w:val="none"/>
        </w:rPr>
        <w:t>）：</w:t>
      </w:r>
    </w:p>
    <w:p w14:paraId="1B2F99B4">
      <w:pPr>
        <w:pStyle w:val="20"/>
        <w:rPr>
          <w:rFonts w:hint="eastAsia" w:ascii="宋体" w:hAnsi="宋体" w:eastAsia="宋体" w:cs="宋体"/>
          <w:color w:val="auto"/>
          <w:highlight w:val="none"/>
        </w:rPr>
      </w:pPr>
    </w:p>
    <w:p w14:paraId="1CC40425">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供应商名称（加盖单位公章</w:t>
      </w:r>
      <w:r>
        <w:rPr>
          <w:rFonts w:hint="eastAsia" w:ascii="宋体" w:hAnsi="宋体" w:eastAsia="宋体" w:cs="宋体"/>
          <w:color w:val="auto"/>
          <w:sz w:val="24"/>
          <w:szCs w:val="24"/>
          <w:highlight w:val="none"/>
          <w:lang w:val="en-US" w:eastAsia="zh-CN"/>
        </w:rPr>
        <w:t>或电子公章</w:t>
      </w:r>
      <w:r>
        <w:rPr>
          <w:rFonts w:hint="eastAsia" w:ascii="宋体" w:hAnsi="宋体" w:eastAsia="宋体" w:cs="宋体"/>
          <w:color w:val="auto"/>
          <w:sz w:val="24"/>
          <w:szCs w:val="24"/>
          <w:highlight w:val="none"/>
        </w:rPr>
        <w:t>）：</w:t>
      </w:r>
    </w:p>
    <w:p w14:paraId="1496D080">
      <w:pPr>
        <w:pStyle w:val="20"/>
        <w:rPr>
          <w:rFonts w:hint="eastAsia" w:ascii="宋体" w:hAnsi="宋体" w:eastAsia="宋体" w:cs="宋体"/>
          <w:color w:val="auto"/>
          <w:highlight w:val="none"/>
        </w:rPr>
      </w:pPr>
    </w:p>
    <w:p w14:paraId="36CF500F">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38C8AAA1">
      <w:pPr>
        <w:rPr>
          <w:rFonts w:hint="eastAsia" w:ascii="宋体" w:hAnsi="宋体" w:eastAsia="宋体" w:cs="宋体"/>
          <w:b/>
          <w:color w:val="auto"/>
          <w:sz w:val="28"/>
          <w:szCs w:val="32"/>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8"/>
          <w:szCs w:val="32"/>
          <w:highlight w:val="none"/>
        </w:rPr>
        <w:t>8.6.2信用查询</w:t>
      </w:r>
    </w:p>
    <w:p w14:paraId="29972DC0">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通过“信用中国”网站（www.creditchina.gov.cn）和中国政府采购网（www.ccgp.gov.cn）查询信用记录（截止时间点为提交首次响应文件截止之日），（截图复印件加盖供应商公章）被列入失信被执行人、重大税收违法案件当事人名单或政府采购严重违法失信行为记录名单的供应商，没有资格参加本项目的采购活动</w:t>
      </w:r>
    </w:p>
    <w:p w14:paraId="29C3CD2C">
      <w:pPr>
        <w:spacing w:line="360" w:lineRule="auto"/>
        <w:rPr>
          <w:rFonts w:hint="eastAsia" w:ascii="宋体" w:hAnsi="宋体" w:eastAsia="宋体" w:cs="宋体"/>
          <w:color w:val="auto"/>
          <w:szCs w:val="21"/>
          <w:highlight w:val="none"/>
          <w:u w:val="single"/>
        </w:rPr>
      </w:pPr>
    </w:p>
    <w:p w14:paraId="74887DA1">
      <w:pPr>
        <w:spacing w:line="360" w:lineRule="auto"/>
        <w:rPr>
          <w:rFonts w:hint="eastAsia" w:ascii="宋体" w:hAnsi="宋体" w:eastAsia="宋体" w:cs="宋体"/>
          <w:color w:val="auto"/>
          <w:sz w:val="24"/>
          <w:szCs w:val="24"/>
          <w:highlight w:val="none"/>
        </w:rPr>
      </w:pPr>
    </w:p>
    <w:p w14:paraId="4EFD988B">
      <w:pPr>
        <w:spacing w:line="360" w:lineRule="auto"/>
        <w:rPr>
          <w:rFonts w:hint="eastAsia" w:ascii="宋体" w:hAnsi="宋体" w:eastAsia="宋体" w:cs="宋体"/>
          <w:color w:val="auto"/>
          <w:sz w:val="24"/>
          <w:szCs w:val="24"/>
          <w:highlight w:val="none"/>
        </w:rPr>
      </w:pPr>
    </w:p>
    <w:p w14:paraId="545CE24C">
      <w:pPr>
        <w:spacing w:line="360" w:lineRule="auto"/>
        <w:ind w:firstLine="5280" w:firstLineChars="2200"/>
        <w:rPr>
          <w:rFonts w:hint="eastAsia" w:ascii="宋体" w:hAnsi="宋体" w:eastAsia="宋体" w:cs="宋体"/>
          <w:color w:val="auto"/>
          <w:sz w:val="24"/>
          <w:szCs w:val="24"/>
          <w:highlight w:val="none"/>
        </w:rPr>
      </w:pPr>
    </w:p>
    <w:p w14:paraId="307687D6">
      <w:pPr>
        <w:spacing w:line="360" w:lineRule="auto"/>
        <w:ind w:firstLine="6385" w:firstLineChars="2650"/>
        <w:rPr>
          <w:rFonts w:hint="eastAsia" w:ascii="宋体" w:hAnsi="宋体" w:eastAsia="宋体" w:cs="宋体"/>
          <w:b/>
          <w:color w:val="auto"/>
          <w:sz w:val="24"/>
          <w:szCs w:val="24"/>
          <w:highlight w:val="none"/>
        </w:rPr>
      </w:pPr>
    </w:p>
    <w:p w14:paraId="784DC0A2">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35532F47">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信用信息查询渠道：信用中国网站（www.creditchina.gov.cn）和中国政府采购网-政府采购严重违法失信行为信息记录（www.ccgp.gov.cn/cr/list）；</w:t>
      </w:r>
    </w:p>
    <w:p w14:paraId="1A6A3473">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2、信用信息查询截止时点：同响应截止时间（文件提交截止时间）；</w:t>
      </w:r>
    </w:p>
    <w:p w14:paraId="4A55531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3、信用信息查询记录和证据留存的具体方式：网站查询截图打印稿形式与其他采购文件一并保存；</w:t>
      </w:r>
    </w:p>
    <w:p w14:paraId="763730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规则：对列入失信被执行人、重大税收违法案件当事人名单、政府采购严重违法失信行为记录名单及其他不符合《中华人民共和国政府采购法》第二十二条规定条件的供应商，将拒绝其磋商；其中，列入政府采购严重违法失信行为记录名单的供应商，禁止参加政府采购活动的时间按处罚结果执行，但不受区域限制（根据财库〔2015〕150号《关于规范政府采购行政处罚有关问题的通知》，相关行政处罚决定在全国范围内生效）。</w:t>
      </w:r>
    </w:p>
    <w:p w14:paraId="71C012E0">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
          <w:color w:val="auto"/>
          <w:sz w:val="24"/>
          <w:szCs w:val="24"/>
          <w:highlight w:val="none"/>
        </w:rPr>
        <w:t>最终评定结果以采购代理机构开启现场查询为准；</w:t>
      </w:r>
    </w:p>
    <w:p w14:paraId="20BDC50F">
      <w:pPr>
        <w:spacing w:line="360" w:lineRule="auto"/>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r>
        <w:rPr>
          <w:rFonts w:hint="eastAsia" w:ascii="宋体" w:hAnsi="宋体" w:eastAsia="宋体" w:cs="宋体"/>
          <w:b/>
          <w:color w:val="auto"/>
          <w:kern w:val="0"/>
          <w:sz w:val="28"/>
          <w:szCs w:val="24"/>
          <w:highlight w:val="none"/>
        </w:rPr>
        <w:t>8.6.2.1信用中国网站（</w:t>
      </w:r>
      <w:r>
        <w:rPr>
          <w:rFonts w:hint="eastAsia" w:ascii="宋体" w:hAnsi="宋体" w:eastAsia="宋体" w:cs="宋体"/>
          <w:color w:val="auto"/>
          <w:kern w:val="0"/>
          <w:sz w:val="28"/>
          <w:szCs w:val="24"/>
          <w:highlight w:val="none"/>
        </w:rPr>
        <w:t>www.creditchina.gov.cn</w:t>
      </w:r>
      <w:r>
        <w:rPr>
          <w:rFonts w:hint="eastAsia" w:ascii="宋体" w:hAnsi="宋体" w:eastAsia="宋体" w:cs="宋体"/>
          <w:b/>
          <w:color w:val="auto"/>
          <w:kern w:val="0"/>
          <w:sz w:val="28"/>
          <w:szCs w:val="24"/>
          <w:highlight w:val="none"/>
        </w:rPr>
        <w:t>）查询截图（加盖公章）；</w:t>
      </w:r>
    </w:p>
    <w:p w14:paraId="15ECA5A0">
      <w:pPr>
        <w:spacing w:line="360" w:lineRule="auto"/>
        <w:jc w:val="left"/>
        <w:rPr>
          <w:rFonts w:hint="eastAsia" w:ascii="宋体" w:hAnsi="宋体" w:eastAsia="宋体" w:cs="宋体"/>
          <w:b/>
          <w:color w:val="auto"/>
          <w:kern w:val="0"/>
          <w:sz w:val="24"/>
          <w:szCs w:val="24"/>
          <w:highlight w:val="none"/>
        </w:rPr>
      </w:pPr>
    </w:p>
    <w:p w14:paraId="05ADBDDB">
      <w:pPr>
        <w:spacing w:line="360" w:lineRule="auto"/>
        <w:jc w:val="left"/>
        <w:rPr>
          <w:rFonts w:hint="eastAsia" w:ascii="宋体" w:hAnsi="宋体" w:eastAsia="宋体" w:cs="宋体"/>
          <w:b/>
          <w:color w:val="auto"/>
          <w:kern w:val="0"/>
          <w:sz w:val="24"/>
          <w:szCs w:val="24"/>
          <w:highlight w:val="none"/>
        </w:rPr>
      </w:pPr>
    </w:p>
    <w:p w14:paraId="6BDFFABC">
      <w:pPr>
        <w:spacing w:line="360" w:lineRule="auto"/>
        <w:jc w:val="left"/>
        <w:rPr>
          <w:rFonts w:hint="eastAsia" w:ascii="宋体" w:hAnsi="宋体" w:eastAsia="宋体" w:cs="宋体"/>
          <w:b/>
          <w:color w:val="auto"/>
          <w:kern w:val="0"/>
          <w:sz w:val="24"/>
          <w:szCs w:val="24"/>
          <w:highlight w:val="none"/>
        </w:rPr>
      </w:pPr>
    </w:p>
    <w:p w14:paraId="4E1D9B29">
      <w:pPr>
        <w:spacing w:line="360" w:lineRule="auto"/>
        <w:jc w:val="left"/>
        <w:rPr>
          <w:rFonts w:hint="eastAsia" w:ascii="宋体" w:hAnsi="宋体" w:eastAsia="宋体" w:cs="宋体"/>
          <w:b/>
          <w:color w:val="auto"/>
          <w:kern w:val="0"/>
          <w:sz w:val="24"/>
          <w:szCs w:val="24"/>
          <w:highlight w:val="none"/>
        </w:rPr>
      </w:pPr>
    </w:p>
    <w:p w14:paraId="089FA02D">
      <w:pPr>
        <w:spacing w:line="360" w:lineRule="auto"/>
        <w:jc w:val="left"/>
        <w:rPr>
          <w:rFonts w:hint="eastAsia" w:ascii="宋体" w:hAnsi="宋体" w:eastAsia="宋体" w:cs="宋体"/>
          <w:b/>
          <w:color w:val="auto"/>
          <w:kern w:val="0"/>
          <w:sz w:val="24"/>
          <w:szCs w:val="24"/>
          <w:highlight w:val="none"/>
        </w:rPr>
      </w:pPr>
    </w:p>
    <w:p w14:paraId="536AD59B">
      <w:pPr>
        <w:spacing w:line="360" w:lineRule="auto"/>
        <w:jc w:val="left"/>
        <w:rPr>
          <w:rFonts w:hint="eastAsia" w:ascii="宋体" w:hAnsi="宋体" w:eastAsia="宋体" w:cs="宋体"/>
          <w:b/>
          <w:color w:val="auto"/>
          <w:kern w:val="0"/>
          <w:sz w:val="24"/>
          <w:szCs w:val="24"/>
          <w:highlight w:val="none"/>
        </w:rPr>
      </w:pPr>
    </w:p>
    <w:p w14:paraId="5A191197">
      <w:pPr>
        <w:spacing w:line="360" w:lineRule="auto"/>
        <w:jc w:val="left"/>
        <w:rPr>
          <w:rFonts w:hint="eastAsia" w:ascii="宋体" w:hAnsi="宋体" w:eastAsia="宋体" w:cs="宋体"/>
          <w:b/>
          <w:color w:val="auto"/>
          <w:kern w:val="0"/>
          <w:sz w:val="24"/>
          <w:szCs w:val="24"/>
          <w:highlight w:val="none"/>
        </w:rPr>
      </w:pPr>
    </w:p>
    <w:p w14:paraId="3285F2F7">
      <w:pPr>
        <w:spacing w:line="360" w:lineRule="auto"/>
        <w:jc w:val="left"/>
        <w:rPr>
          <w:rFonts w:hint="eastAsia" w:ascii="宋体" w:hAnsi="宋体" w:eastAsia="宋体" w:cs="宋体"/>
          <w:b/>
          <w:color w:val="auto"/>
          <w:kern w:val="0"/>
          <w:sz w:val="24"/>
          <w:szCs w:val="24"/>
          <w:highlight w:val="none"/>
        </w:rPr>
      </w:pPr>
    </w:p>
    <w:p w14:paraId="25138628">
      <w:pPr>
        <w:spacing w:line="360" w:lineRule="auto"/>
        <w:jc w:val="left"/>
        <w:rPr>
          <w:rFonts w:hint="eastAsia" w:ascii="宋体" w:hAnsi="宋体" w:eastAsia="宋体" w:cs="宋体"/>
          <w:b/>
          <w:color w:val="auto"/>
          <w:kern w:val="0"/>
          <w:sz w:val="24"/>
          <w:szCs w:val="24"/>
          <w:highlight w:val="none"/>
        </w:rPr>
      </w:pPr>
    </w:p>
    <w:p w14:paraId="42C75158">
      <w:pPr>
        <w:spacing w:line="360" w:lineRule="auto"/>
        <w:jc w:val="left"/>
        <w:rPr>
          <w:rFonts w:hint="eastAsia" w:ascii="宋体" w:hAnsi="宋体" w:eastAsia="宋体" w:cs="宋体"/>
          <w:b/>
          <w:color w:val="auto"/>
          <w:kern w:val="0"/>
          <w:sz w:val="24"/>
          <w:szCs w:val="24"/>
          <w:highlight w:val="none"/>
        </w:rPr>
      </w:pPr>
    </w:p>
    <w:p w14:paraId="7EF6FB97">
      <w:pPr>
        <w:spacing w:line="360" w:lineRule="auto"/>
        <w:jc w:val="left"/>
        <w:rPr>
          <w:rFonts w:hint="eastAsia" w:ascii="宋体" w:hAnsi="宋体" w:eastAsia="宋体" w:cs="宋体"/>
          <w:b/>
          <w:color w:val="auto"/>
          <w:kern w:val="0"/>
          <w:sz w:val="24"/>
          <w:szCs w:val="24"/>
          <w:highlight w:val="none"/>
        </w:rPr>
      </w:pPr>
    </w:p>
    <w:p w14:paraId="3A2BC780">
      <w:pPr>
        <w:spacing w:line="360" w:lineRule="auto"/>
        <w:jc w:val="left"/>
        <w:rPr>
          <w:rFonts w:hint="eastAsia" w:ascii="宋体" w:hAnsi="宋体" w:eastAsia="宋体" w:cs="宋体"/>
          <w:b/>
          <w:color w:val="auto"/>
          <w:sz w:val="40"/>
          <w:szCs w:val="36"/>
          <w:highlight w:val="none"/>
        </w:rPr>
      </w:pPr>
      <w:r>
        <w:rPr>
          <w:rFonts w:hint="eastAsia" w:ascii="宋体" w:hAnsi="宋体" w:eastAsia="宋体" w:cs="宋体"/>
          <w:b/>
          <w:color w:val="auto"/>
          <w:kern w:val="0"/>
          <w:sz w:val="28"/>
          <w:szCs w:val="24"/>
          <w:highlight w:val="none"/>
        </w:rPr>
        <w:t>8.6.2.2中国政府采购网-政府采购严重违法失信行为信息记录（www.ccgp.gov.cn/cr/list）查询截图（加盖公章）。</w:t>
      </w:r>
    </w:p>
    <w:p w14:paraId="77F1F94B">
      <w:pPr>
        <w:spacing w:line="600" w:lineRule="exact"/>
        <w:ind w:firstLine="200"/>
        <w:rPr>
          <w:rFonts w:hint="eastAsia" w:ascii="宋体" w:hAnsi="宋体" w:eastAsia="宋体" w:cs="宋体"/>
          <w:b/>
          <w:color w:val="auto"/>
          <w:kern w:val="0"/>
          <w:sz w:val="36"/>
          <w:szCs w:val="21"/>
          <w:highlight w:val="none"/>
        </w:rPr>
      </w:pPr>
      <w:r>
        <w:rPr>
          <w:rFonts w:hint="eastAsia" w:ascii="宋体" w:hAnsi="宋体" w:eastAsia="宋体" w:cs="宋体"/>
          <w:color w:val="auto"/>
          <w:sz w:val="36"/>
          <w:szCs w:val="36"/>
          <w:highlight w:val="none"/>
        </w:rPr>
        <w:br w:type="page"/>
      </w:r>
      <w:bookmarkStart w:id="369" w:name="_Toc44700105"/>
      <w:bookmarkStart w:id="370" w:name="_Toc18275"/>
      <w:r>
        <w:rPr>
          <w:rFonts w:hint="eastAsia" w:ascii="宋体" w:hAnsi="宋体" w:eastAsia="宋体" w:cs="宋体"/>
          <w:b/>
          <w:color w:val="auto"/>
          <w:kern w:val="0"/>
          <w:sz w:val="36"/>
          <w:szCs w:val="21"/>
          <w:highlight w:val="none"/>
          <w:lang w:val="en-US" w:eastAsia="zh-CN"/>
        </w:rPr>
        <w:t>★8.7符合磋商文件第二章“供应商须知前附表”4.1中第</w:t>
      </w:r>
      <w:r>
        <w:rPr>
          <w:rFonts w:hint="eastAsia" w:ascii="宋体" w:hAnsi="宋体" w:eastAsia="宋体" w:cs="宋体"/>
          <w:b/>
          <w:color w:val="auto"/>
          <w:kern w:val="0"/>
          <w:sz w:val="36"/>
          <w:szCs w:val="21"/>
          <w:highlight w:val="none"/>
        </w:rPr>
        <w:t>3条的证明材料；</w:t>
      </w:r>
      <w:bookmarkEnd w:id="369"/>
      <w:bookmarkEnd w:id="370"/>
    </w:p>
    <w:p w14:paraId="49FEEB65">
      <w:pPr>
        <w:spacing w:line="600" w:lineRule="exact"/>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会计师事务所执业证书</w:t>
      </w:r>
      <w:r>
        <w:rPr>
          <w:rFonts w:hint="eastAsia" w:ascii="宋体" w:hAnsi="宋体" w:eastAsia="宋体" w:cs="宋体"/>
          <w:color w:val="auto"/>
          <w:sz w:val="24"/>
          <w:szCs w:val="24"/>
          <w:highlight w:val="none"/>
          <w:lang w:val="en-US" w:eastAsia="zh-CN"/>
        </w:rPr>
        <w:t>复印件加盖公章</w:t>
      </w:r>
      <w:r>
        <w:rPr>
          <w:rFonts w:hint="eastAsia" w:ascii="宋体" w:hAnsi="宋体" w:eastAsia="宋体" w:cs="宋体"/>
          <w:color w:val="auto"/>
          <w:sz w:val="24"/>
          <w:szCs w:val="24"/>
          <w:highlight w:val="none"/>
        </w:rPr>
        <w:t>。</w:t>
      </w:r>
    </w:p>
    <w:p w14:paraId="475D2392">
      <w:pPr>
        <w:spacing w:line="600" w:lineRule="exact"/>
        <w:ind w:firstLine="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（2）项目负责人必须具有注册会计师证书，且在有效期内。</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注册会计师证书</w:t>
      </w:r>
      <w:r>
        <w:rPr>
          <w:rFonts w:hint="eastAsia" w:ascii="宋体" w:hAnsi="宋体" w:eastAsia="宋体" w:cs="宋体"/>
          <w:color w:val="auto"/>
          <w:sz w:val="24"/>
          <w:szCs w:val="24"/>
          <w:highlight w:val="none"/>
          <w:lang w:val="en-US" w:eastAsia="zh-CN"/>
        </w:rPr>
        <w:t>复印件加盖公章</w:t>
      </w:r>
      <w:r>
        <w:rPr>
          <w:rFonts w:hint="eastAsia" w:ascii="宋体" w:hAnsi="宋体" w:eastAsia="宋体" w:cs="宋体"/>
          <w:color w:val="auto"/>
          <w:sz w:val="24"/>
          <w:szCs w:val="24"/>
          <w:highlight w:val="none"/>
        </w:rPr>
        <w:t>。</w:t>
      </w:r>
    </w:p>
    <w:p w14:paraId="0B899D25">
      <w:pPr>
        <w:keepNext/>
        <w:keepLines/>
        <w:outlineLvl w:val="1"/>
        <w:rPr>
          <w:rFonts w:hint="eastAsia" w:ascii="宋体" w:hAnsi="宋体" w:eastAsia="宋体" w:cs="宋体"/>
          <w:b/>
          <w:color w:val="auto"/>
          <w:kern w:val="0"/>
          <w:sz w:val="36"/>
          <w:szCs w:val="21"/>
          <w:highlight w:val="none"/>
          <w:lang w:val="en-US" w:eastAsia="zh-CN"/>
        </w:rPr>
      </w:pPr>
      <w:r>
        <w:rPr>
          <w:rFonts w:hint="eastAsia" w:ascii="宋体" w:hAnsi="宋体" w:eastAsia="宋体" w:cs="宋体"/>
          <w:color w:val="auto"/>
          <w:sz w:val="24"/>
          <w:szCs w:val="24"/>
          <w:highlight w:val="none"/>
        </w:rPr>
        <w:br w:type="page"/>
      </w:r>
      <w:bookmarkStart w:id="371" w:name="_Toc7135"/>
      <w:bookmarkStart w:id="372" w:name="_Toc44700106"/>
      <w:r>
        <w:rPr>
          <w:rFonts w:hint="eastAsia" w:ascii="宋体" w:hAnsi="宋体" w:eastAsia="宋体" w:cs="宋体"/>
          <w:b/>
          <w:color w:val="auto"/>
          <w:kern w:val="0"/>
          <w:sz w:val="36"/>
          <w:szCs w:val="21"/>
          <w:highlight w:val="none"/>
          <w:lang w:val="en-US" w:eastAsia="zh-CN"/>
        </w:rPr>
        <w:t>★8.8响应承诺书</w:t>
      </w:r>
      <w:bookmarkEnd w:id="371"/>
      <w:bookmarkEnd w:id="372"/>
    </w:p>
    <w:p w14:paraId="110CBF7A">
      <w:pPr>
        <w:spacing w:line="360" w:lineRule="auto"/>
        <w:rPr>
          <w:rFonts w:hint="eastAsia" w:ascii="宋体" w:hAnsi="宋体" w:eastAsia="宋体" w:cs="宋体"/>
          <w:color w:val="auto"/>
          <w:sz w:val="24"/>
          <w:szCs w:val="24"/>
          <w:highlight w:val="none"/>
        </w:rPr>
      </w:pPr>
    </w:p>
    <w:p w14:paraId="3072F6F5">
      <w:pPr>
        <w:spacing w:line="360" w:lineRule="auto"/>
        <w:rPr>
          <w:rFonts w:hint="eastAsia" w:ascii="宋体" w:hAnsi="宋体" w:eastAsia="宋体" w:cs="宋体"/>
          <w:color w:val="auto"/>
          <w:sz w:val="24"/>
          <w:szCs w:val="24"/>
          <w:highlight w:val="none"/>
        </w:rPr>
      </w:pPr>
    </w:p>
    <w:p w14:paraId="2D76B7C4">
      <w:pPr>
        <w:spacing w:line="360" w:lineRule="auto"/>
        <w:rPr>
          <w:rFonts w:hint="eastAsia" w:ascii="宋体" w:hAnsi="宋体" w:eastAsia="宋体" w:cs="宋体"/>
          <w:color w:val="auto"/>
          <w:sz w:val="24"/>
          <w:szCs w:val="24"/>
          <w:highlight w:val="none"/>
        </w:rPr>
      </w:pPr>
    </w:p>
    <w:p w14:paraId="4D38A9FA">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eastAsia="zh-CN"/>
        </w:rPr>
        <w:t>乌鲁木齐高新建设工程项目管理咨询有限公司</w:t>
      </w:r>
    </w:p>
    <w:p w14:paraId="0574FF4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我方郑重承诺：</w:t>
      </w:r>
    </w:p>
    <w:p w14:paraId="7991AA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w:t>
      </w:r>
      <w:r>
        <w:rPr>
          <w:rFonts w:hint="eastAsia" w:ascii="宋体" w:hAnsi="宋体" w:eastAsia="宋体" w:cs="宋体"/>
          <w:color w:val="auto"/>
          <w:sz w:val="24"/>
          <w:szCs w:val="24"/>
          <w:highlight w:val="none"/>
          <w:u w:val="single"/>
        </w:rPr>
        <w:t>（以/不以）</w:t>
      </w:r>
      <w:r>
        <w:rPr>
          <w:rFonts w:hint="eastAsia" w:ascii="宋体" w:hAnsi="宋体" w:eastAsia="宋体" w:cs="宋体"/>
          <w:color w:val="auto"/>
          <w:sz w:val="24"/>
          <w:szCs w:val="24"/>
          <w:highlight w:val="none"/>
        </w:rPr>
        <w:t>联合体方式参与磋商。</w:t>
      </w:r>
    </w:p>
    <w:p w14:paraId="73A6914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同时接受终身禁止参与</w:t>
      </w:r>
      <w:r>
        <w:rPr>
          <w:rFonts w:hint="eastAsia" w:ascii="宋体" w:hAnsi="宋体" w:eastAsia="宋体" w:cs="宋体"/>
          <w:color w:val="auto"/>
          <w:sz w:val="24"/>
          <w:szCs w:val="24"/>
          <w:highlight w:val="none"/>
          <w:u w:val="single"/>
        </w:rPr>
        <w:t>（业主单位名称）</w:t>
      </w:r>
      <w:r>
        <w:rPr>
          <w:rFonts w:hint="eastAsia" w:ascii="宋体" w:hAnsi="宋体" w:eastAsia="宋体" w:cs="宋体"/>
          <w:color w:val="auto"/>
          <w:sz w:val="24"/>
          <w:szCs w:val="24"/>
          <w:highlight w:val="none"/>
        </w:rPr>
        <w:t>政府采购活动的处理，并承担由此带来的一切法律后果。</w:t>
      </w:r>
    </w:p>
    <w:p w14:paraId="0400ABFA">
      <w:pPr>
        <w:pStyle w:val="20"/>
        <w:spacing w:line="360" w:lineRule="auto"/>
        <w:rPr>
          <w:rFonts w:hint="eastAsia" w:ascii="宋体" w:hAnsi="宋体" w:eastAsia="宋体" w:cs="宋体"/>
          <w:color w:val="auto"/>
          <w:highlight w:val="none"/>
        </w:rPr>
      </w:pPr>
    </w:p>
    <w:p w14:paraId="2DD3022C">
      <w:pPr>
        <w:spacing w:line="360" w:lineRule="auto"/>
        <w:rPr>
          <w:rFonts w:hint="eastAsia" w:ascii="宋体" w:hAnsi="宋体" w:eastAsia="宋体" w:cs="宋体"/>
          <w:color w:val="auto"/>
          <w:sz w:val="24"/>
          <w:szCs w:val="24"/>
          <w:highlight w:val="none"/>
        </w:rPr>
      </w:pPr>
    </w:p>
    <w:p w14:paraId="4319F779">
      <w:pPr>
        <w:spacing w:line="360" w:lineRule="auto"/>
        <w:rPr>
          <w:rFonts w:hint="eastAsia" w:ascii="宋体" w:hAnsi="宋体" w:eastAsia="宋体" w:cs="宋体"/>
          <w:color w:val="auto"/>
          <w:sz w:val="24"/>
          <w:szCs w:val="24"/>
          <w:highlight w:val="none"/>
        </w:rPr>
      </w:pPr>
    </w:p>
    <w:p w14:paraId="482D7A74">
      <w:pPr>
        <w:spacing w:line="360" w:lineRule="auto"/>
        <w:rPr>
          <w:rFonts w:hint="eastAsia" w:ascii="宋体" w:hAnsi="宋体" w:eastAsia="宋体" w:cs="宋体"/>
          <w:color w:val="auto"/>
          <w:sz w:val="24"/>
          <w:szCs w:val="24"/>
          <w:highlight w:val="none"/>
        </w:rPr>
      </w:pPr>
    </w:p>
    <w:p w14:paraId="3A1F9ACC">
      <w:pPr>
        <w:spacing w:line="360" w:lineRule="auto"/>
        <w:rPr>
          <w:rFonts w:hint="eastAsia" w:ascii="宋体" w:hAnsi="宋体" w:eastAsia="宋体" w:cs="宋体"/>
          <w:color w:val="auto"/>
          <w:sz w:val="24"/>
          <w:szCs w:val="24"/>
          <w:highlight w:val="none"/>
        </w:rPr>
      </w:pPr>
    </w:p>
    <w:p w14:paraId="0E8F2D70">
      <w:pPr>
        <w:spacing w:line="360" w:lineRule="auto"/>
        <w:rPr>
          <w:rFonts w:hint="eastAsia" w:ascii="宋体" w:hAnsi="宋体" w:eastAsia="宋体" w:cs="宋体"/>
          <w:color w:val="auto"/>
          <w:sz w:val="24"/>
          <w:szCs w:val="24"/>
          <w:highlight w:val="none"/>
        </w:rPr>
      </w:pPr>
    </w:p>
    <w:p w14:paraId="62302874">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lang w:val="en-US" w:eastAsia="zh-CN"/>
        </w:rPr>
        <w:t>或电子公章</w:t>
      </w:r>
      <w:r>
        <w:rPr>
          <w:rFonts w:hint="eastAsia" w:ascii="宋体" w:hAnsi="宋体" w:eastAsia="宋体" w:cs="宋体"/>
          <w:color w:val="auto"/>
          <w:sz w:val="24"/>
          <w:szCs w:val="24"/>
          <w:highlight w:val="none"/>
        </w:rPr>
        <w:t>)：</w:t>
      </w:r>
    </w:p>
    <w:p w14:paraId="20884EA7">
      <w:pPr>
        <w:pStyle w:val="20"/>
        <w:spacing w:line="360" w:lineRule="auto"/>
        <w:rPr>
          <w:rFonts w:hint="eastAsia" w:ascii="宋体" w:hAnsi="宋体" w:eastAsia="宋体" w:cs="宋体"/>
          <w:color w:val="auto"/>
          <w:highlight w:val="none"/>
        </w:rPr>
      </w:pPr>
    </w:p>
    <w:p w14:paraId="1C3485C1">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供应商授权代表签字：</w:t>
      </w:r>
    </w:p>
    <w:p w14:paraId="25D236BE">
      <w:pPr>
        <w:pStyle w:val="20"/>
        <w:spacing w:line="360" w:lineRule="auto"/>
        <w:rPr>
          <w:rFonts w:hint="eastAsia" w:ascii="宋体" w:hAnsi="宋体" w:eastAsia="宋体" w:cs="宋体"/>
          <w:color w:val="auto"/>
          <w:highlight w:val="none"/>
        </w:rPr>
      </w:pPr>
    </w:p>
    <w:p w14:paraId="106F9E29">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DFCACFA">
      <w:pPr>
        <w:keepNext/>
        <w:keepLines/>
        <w:outlineLvl w:val="1"/>
        <w:rPr>
          <w:rFonts w:hint="eastAsia" w:ascii="宋体" w:hAnsi="宋体" w:eastAsia="宋体" w:cs="宋体"/>
          <w:b/>
          <w:color w:val="auto"/>
          <w:kern w:val="0"/>
          <w:sz w:val="36"/>
          <w:szCs w:val="21"/>
          <w:highlight w:val="none"/>
          <w:lang w:val="en-US" w:eastAsia="zh-CN"/>
        </w:rPr>
      </w:pPr>
      <w:r>
        <w:rPr>
          <w:rFonts w:hint="eastAsia" w:ascii="宋体" w:hAnsi="宋体" w:eastAsia="宋体" w:cs="宋体"/>
          <w:color w:val="auto"/>
          <w:sz w:val="24"/>
          <w:szCs w:val="24"/>
          <w:highlight w:val="none"/>
        </w:rPr>
        <w:br w:type="page"/>
      </w:r>
      <w:bookmarkStart w:id="373" w:name="_Toc44700107"/>
      <w:bookmarkStart w:id="374" w:name="_Toc12748"/>
      <w:r>
        <w:rPr>
          <w:rFonts w:hint="eastAsia" w:ascii="宋体" w:hAnsi="宋体" w:eastAsia="宋体" w:cs="宋体"/>
          <w:b/>
          <w:color w:val="auto"/>
          <w:kern w:val="0"/>
          <w:sz w:val="36"/>
          <w:szCs w:val="21"/>
          <w:highlight w:val="none"/>
          <w:lang w:val="en-US" w:eastAsia="zh-CN"/>
        </w:rPr>
        <w:t>★8.9磋商保证金凭证</w:t>
      </w:r>
      <w:bookmarkEnd w:id="373"/>
      <w:bookmarkEnd w:id="374"/>
    </w:p>
    <w:p w14:paraId="0B179DBE">
      <w:pPr>
        <w:spacing w:line="360" w:lineRule="auto"/>
        <w:ind w:firstLine="420" w:firstLineChars="200"/>
        <w:rPr>
          <w:rFonts w:hint="eastAsia" w:ascii="宋体" w:hAnsi="宋体" w:eastAsia="宋体" w:cs="宋体"/>
          <w:color w:val="auto"/>
          <w:highlight w:val="none"/>
        </w:rPr>
      </w:pPr>
    </w:p>
    <w:p w14:paraId="241B6AA4">
      <w:pPr>
        <w:spacing w:line="360" w:lineRule="auto"/>
        <w:ind w:firstLine="420" w:firstLineChars="200"/>
        <w:rPr>
          <w:rFonts w:hint="eastAsia" w:ascii="宋体" w:hAnsi="宋体" w:eastAsia="宋体" w:cs="宋体"/>
          <w:color w:val="auto"/>
          <w:highlight w:val="none"/>
        </w:rPr>
      </w:pPr>
    </w:p>
    <w:p w14:paraId="5A6F79B1">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加盖单位公章</w:t>
      </w:r>
      <w:r>
        <w:rPr>
          <w:rFonts w:hint="eastAsia" w:ascii="宋体" w:hAnsi="宋体" w:eastAsia="宋体" w:cs="宋体"/>
          <w:color w:val="auto"/>
          <w:highlight w:val="none"/>
          <w:lang w:val="en-US" w:eastAsia="zh-CN"/>
        </w:rPr>
        <w:t>或电子章</w:t>
      </w:r>
    </w:p>
    <w:p w14:paraId="0516CCBE">
      <w:pPr>
        <w:keepNext/>
        <w:keepLines/>
        <w:outlineLvl w:val="1"/>
        <w:rPr>
          <w:rFonts w:hint="eastAsia" w:ascii="宋体" w:hAnsi="宋体" w:eastAsia="宋体" w:cs="宋体"/>
          <w:b/>
          <w:color w:val="auto"/>
          <w:kern w:val="0"/>
          <w:sz w:val="36"/>
          <w:szCs w:val="21"/>
          <w:highlight w:val="none"/>
          <w:lang w:val="en-US" w:eastAsia="zh-CN"/>
        </w:rPr>
      </w:pPr>
      <w:r>
        <w:rPr>
          <w:rFonts w:hint="eastAsia" w:ascii="宋体" w:hAnsi="宋体" w:eastAsia="宋体" w:cs="宋体"/>
          <w:color w:val="auto"/>
          <w:kern w:val="0"/>
          <w:sz w:val="20"/>
          <w:highlight w:val="none"/>
        </w:rPr>
        <w:br w:type="page"/>
      </w:r>
      <w:bookmarkStart w:id="375" w:name="_Toc44700108"/>
      <w:bookmarkStart w:id="376" w:name="_Toc11797"/>
      <w:r>
        <w:rPr>
          <w:rFonts w:hint="eastAsia" w:ascii="宋体" w:hAnsi="宋体" w:eastAsia="宋体" w:cs="宋体"/>
          <w:b/>
          <w:color w:val="auto"/>
          <w:kern w:val="0"/>
          <w:sz w:val="36"/>
          <w:szCs w:val="21"/>
          <w:highlight w:val="none"/>
          <w:lang w:val="en-US" w:eastAsia="zh-CN"/>
        </w:rPr>
        <w:t>8.10供应商基本情况表</w:t>
      </w:r>
      <w:bookmarkEnd w:id="375"/>
      <w:bookmarkEnd w:id="376"/>
    </w:p>
    <w:p w14:paraId="4C458086">
      <w:pPr>
        <w:autoSpaceDE w:val="0"/>
        <w:autoSpaceDN w:val="0"/>
        <w:adjustRightInd w:val="0"/>
        <w:spacing w:line="360" w:lineRule="auto"/>
        <w:ind w:right="105" w:rightChars="50" w:firstLine="602" w:firstLineChars="200"/>
        <w:jc w:val="center"/>
        <w:rPr>
          <w:rFonts w:hint="eastAsia" w:ascii="宋体" w:hAnsi="宋体" w:eastAsia="宋体" w:cs="宋体"/>
          <w:b/>
          <w:color w:val="auto"/>
          <w:kern w:val="0"/>
          <w:sz w:val="30"/>
          <w:szCs w:val="30"/>
          <w:highlight w:val="none"/>
          <w:lang w:val="zh-CN"/>
        </w:rPr>
      </w:pPr>
      <w:bookmarkStart w:id="377" w:name="_Toc387414793"/>
      <w:r>
        <w:rPr>
          <w:rFonts w:hint="eastAsia" w:ascii="宋体" w:hAnsi="宋体" w:eastAsia="宋体" w:cs="宋体"/>
          <w:b/>
          <w:color w:val="auto"/>
          <w:kern w:val="0"/>
          <w:sz w:val="30"/>
          <w:szCs w:val="30"/>
          <w:highlight w:val="none"/>
          <w:lang w:val="zh-CN"/>
        </w:rPr>
        <w:t>供应商基本情况表</w:t>
      </w:r>
      <w:bookmarkEnd w:id="377"/>
    </w:p>
    <w:p w14:paraId="4A8FE3B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（必须包括以下内容，可以扩充；）</w:t>
      </w:r>
    </w:p>
    <w:tbl>
      <w:tblPr>
        <w:tblStyle w:val="53"/>
        <w:tblW w:w="0" w:type="auto"/>
        <w:jc w:val="center"/>
        <w:tblLayout w:type="fixed"/>
        <w:tblCellMar>
          <w:top w:w="0" w:type="dxa"/>
          <w:left w:w="108" w:type="dxa"/>
          <w:bottom w:w="0" w:type="dxa"/>
          <w:right w:w="108" w:type="dxa"/>
        </w:tblCellMar>
      </w:tblPr>
      <w:tblGrid>
        <w:gridCol w:w="996"/>
        <w:gridCol w:w="3388"/>
        <w:gridCol w:w="4410"/>
      </w:tblGrid>
      <w:tr w14:paraId="248D637B">
        <w:tblPrEx>
          <w:tblCellMar>
            <w:top w:w="0" w:type="dxa"/>
            <w:left w:w="108" w:type="dxa"/>
            <w:bottom w:w="0" w:type="dxa"/>
            <w:right w:w="108" w:type="dxa"/>
          </w:tblCellMar>
        </w:tblPrEx>
        <w:trPr>
          <w:trHeight w:val="649" w:hRule="atLeast"/>
          <w:jc w:val="center"/>
        </w:trPr>
        <w:tc>
          <w:tcPr>
            <w:tcW w:w="4384" w:type="dxa"/>
            <w:gridSpan w:val="2"/>
            <w:tcBorders>
              <w:top w:val="single" w:color="auto" w:sz="8" w:space="0"/>
              <w:left w:val="single" w:color="auto" w:sz="8" w:space="0"/>
              <w:bottom w:val="nil"/>
              <w:right w:val="nil"/>
            </w:tcBorders>
            <w:noWrap w:val="0"/>
            <w:vAlign w:val="center"/>
          </w:tcPr>
          <w:p w14:paraId="147D0958">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供应商名称</w:t>
            </w:r>
          </w:p>
        </w:tc>
        <w:tc>
          <w:tcPr>
            <w:tcW w:w="4410" w:type="dxa"/>
            <w:tcBorders>
              <w:top w:val="single" w:color="auto" w:sz="8" w:space="0"/>
              <w:left w:val="single" w:color="auto" w:sz="8" w:space="0"/>
              <w:bottom w:val="nil"/>
              <w:right w:val="single" w:color="auto" w:sz="8" w:space="0"/>
            </w:tcBorders>
            <w:noWrap w:val="0"/>
            <w:vAlign w:val="center"/>
          </w:tcPr>
          <w:p w14:paraId="666A096C">
            <w:pPr>
              <w:widowControl/>
              <w:spacing w:line="360" w:lineRule="auto"/>
              <w:jc w:val="center"/>
              <w:rPr>
                <w:rFonts w:hint="eastAsia" w:ascii="宋体" w:hAnsi="宋体" w:eastAsia="宋体" w:cs="宋体"/>
                <w:color w:val="auto"/>
                <w:kern w:val="0"/>
                <w:szCs w:val="21"/>
                <w:highlight w:val="none"/>
              </w:rPr>
            </w:pPr>
          </w:p>
        </w:tc>
      </w:tr>
      <w:tr w14:paraId="540A81F1">
        <w:tblPrEx>
          <w:tblCellMar>
            <w:top w:w="0" w:type="dxa"/>
            <w:left w:w="108" w:type="dxa"/>
            <w:bottom w:w="0" w:type="dxa"/>
            <w:right w:w="108" w:type="dxa"/>
          </w:tblCellMar>
        </w:tblPrEx>
        <w:trPr>
          <w:trHeight w:val="559" w:hRule="atLeast"/>
          <w:jc w:val="center"/>
        </w:trPr>
        <w:tc>
          <w:tcPr>
            <w:tcW w:w="996" w:type="dxa"/>
            <w:vMerge w:val="restart"/>
            <w:tcBorders>
              <w:top w:val="single" w:color="auto" w:sz="8" w:space="0"/>
              <w:left w:val="single" w:color="auto" w:sz="8" w:space="0"/>
              <w:right w:val="single" w:color="auto" w:sz="4" w:space="0"/>
            </w:tcBorders>
            <w:noWrap w:val="0"/>
            <w:vAlign w:val="center"/>
          </w:tcPr>
          <w:p w14:paraId="3E917368">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供应商基本情况</w:t>
            </w:r>
          </w:p>
        </w:tc>
        <w:tc>
          <w:tcPr>
            <w:tcW w:w="3388" w:type="dxa"/>
            <w:tcBorders>
              <w:top w:val="single" w:color="auto" w:sz="8" w:space="0"/>
              <w:left w:val="nil"/>
              <w:bottom w:val="single" w:color="auto" w:sz="4" w:space="0"/>
              <w:right w:val="nil"/>
            </w:tcBorders>
            <w:noWrap w:val="0"/>
            <w:vAlign w:val="center"/>
          </w:tcPr>
          <w:p w14:paraId="439A87F2">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成立时间</w:t>
            </w:r>
          </w:p>
        </w:tc>
        <w:tc>
          <w:tcPr>
            <w:tcW w:w="4410" w:type="dxa"/>
            <w:tcBorders>
              <w:top w:val="single" w:color="auto" w:sz="8" w:space="0"/>
              <w:left w:val="single" w:color="auto" w:sz="8" w:space="0"/>
              <w:bottom w:val="single" w:color="auto" w:sz="4" w:space="0"/>
              <w:right w:val="single" w:color="auto" w:sz="8" w:space="0"/>
            </w:tcBorders>
            <w:noWrap w:val="0"/>
            <w:vAlign w:val="center"/>
          </w:tcPr>
          <w:p w14:paraId="48E2FC67">
            <w:pPr>
              <w:widowControl/>
              <w:spacing w:line="360" w:lineRule="auto"/>
              <w:jc w:val="center"/>
              <w:rPr>
                <w:rFonts w:hint="eastAsia" w:ascii="宋体" w:hAnsi="宋体" w:eastAsia="宋体" w:cs="宋体"/>
                <w:color w:val="auto"/>
                <w:kern w:val="0"/>
                <w:szCs w:val="21"/>
                <w:highlight w:val="none"/>
              </w:rPr>
            </w:pPr>
          </w:p>
        </w:tc>
      </w:tr>
      <w:tr w14:paraId="0621C755">
        <w:tblPrEx>
          <w:tblCellMar>
            <w:top w:w="0" w:type="dxa"/>
            <w:left w:w="108" w:type="dxa"/>
            <w:bottom w:w="0" w:type="dxa"/>
            <w:right w:w="108" w:type="dxa"/>
          </w:tblCellMar>
        </w:tblPrEx>
        <w:trPr>
          <w:trHeight w:val="605" w:hRule="atLeast"/>
          <w:jc w:val="center"/>
        </w:trPr>
        <w:tc>
          <w:tcPr>
            <w:tcW w:w="996" w:type="dxa"/>
            <w:vMerge w:val="continue"/>
            <w:tcBorders>
              <w:left w:val="single" w:color="auto" w:sz="8" w:space="0"/>
              <w:right w:val="single" w:color="auto" w:sz="4" w:space="0"/>
            </w:tcBorders>
            <w:noWrap w:val="0"/>
            <w:vAlign w:val="center"/>
          </w:tcPr>
          <w:p w14:paraId="0C62289C">
            <w:pPr>
              <w:widowControl/>
              <w:spacing w:line="360" w:lineRule="auto"/>
              <w:jc w:val="center"/>
              <w:rPr>
                <w:rFonts w:hint="eastAsia" w:ascii="宋体" w:hAnsi="宋体" w:eastAsia="宋体" w:cs="宋体"/>
                <w:b/>
                <w:bCs/>
                <w:color w:val="auto"/>
                <w:kern w:val="0"/>
                <w:sz w:val="24"/>
                <w:szCs w:val="24"/>
                <w:highlight w:val="none"/>
              </w:rPr>
            </w:pPr>
          </w:p>
        </w:tc>
        <w:tc>
          <w:tcPr>
            <w:tcW w:w="3388" w:type="dxa"/>
            <w:tcBorders>
              <w:top w:val="nil"/>
              <w:left w:val="nil"/>
              <w:bottom w:val="single" w:color="auto" w:sz="4" w:space="0"/>
              <w:right w:val="nil"/>
            </w:tcBorders>
            <w:noWrap w:val="0"/>
            <w:vAlign w:val="center"/>
          </w:tcPr>
          <w:p w14:paraId="7151BCC3">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注册地点</w:t>
            </w:r>
          </w:p>
        </w:tc>
        <w:tc>
          <w:tcPr>
            <w:tcW w:w="4410" w:type="dxa"/>
            <w:tcBorders>
              <w:top w:val="nil"/>
              <w:left w:val="single" w:color="auto" w:sz="8" w:space="0"/>
              <w:bottom w:val="single" w:color="auto" w:sz="4" w:space="0"/>
              <w:right w:val="single" w:color="auto" w:sz="8" w:space="0"/>
            </w:tcBorders>
            <w:noWrap w:val="0"/>
            <w:vAlign w:val="center"/>
          </w:tcPr>
          <w:p w14:paraId="48EBCACF">
            <w:pPr>
              <w:widowControl/>
              <w:spacing w:line="360" w:lineRule="auto"/>
              <w:jc w:val="center"/>
              <w:rPr>
                <w:rFonts w:hint="eastAsia" w:ascii="宋体" w:hAnsi="宋体" w:eastAsia="宋体" w:cs="宋体"/>
                <w:color w:val="auto"/>
                <w:kern w:val="0"/>
                <w:szCs w:val="21"/>
                <w:highlight w:val="none"/>
              </w:rPr>
            </w:pPr>
          </w:p>
        </w:tc>
      </w:tr>
      <w:tr w14:paraId="5AFE1C76">
        <w:tblPrEx>
          <w:tblCellMar>
            <w:top w:w="0" w:type="dxa"/>
            <w:left w:w="108" w:type="dxa"/>
            <w:bottom w:w="0" w:type="dxa"/>
            <w:right w:w="108" w:type="dxa"/>
          </w:tblCellMar>
        </w:tblPrEx>
        <w:trPr>
          <w:trHeight w:val="613" w:hRule="atLeast"/>
          <w:jc w:val="center"/>
        </w:trPr>
        <w:tc>
          <w:tcPr>
            <w:tcW w:w="996" w:type="dxa"/>
            <w:vMerge w:val="continue"/>
            <w:tcBorders>
              <w:left w:val="single" w:color="auto" w:sz="8" w:space="0"/>
              <w:right w:val="single" w:color="auto" w:sz="4" w:space="0"/>
            </w:tcBorders>
            <w:noWrap w:val="0"/>
            <w:vAlign w:val="center"/>
          </w:tcPr>
          <w:p w14:paraId="068789E5">
            <w:pPr>
              <w:widowControl/>
              <w:spacing w:line="360" w:lineRule="auto"/>
              <w:jc w:val="center"/>
              <w:rPr>
                <w:rFonts w:hint="eastAsia" w:ascii="宋体" w:hAnsi="宋体" w:eastAsia="宋体" w:cs="宋体"/>
                <w:b/>
                <w:bCs/>
                <w:color w:val="auto"/>
                <w:kern w:val="0"/>
                <w:sz w:val="24"/>
                <w:szCs w:val="24"/>
                <w:highlight w:val="none"/>
              </w:rPr>
            </w:pPr>
          </w:p>
        </w:tc>
        <w:tc>
          <w:tcPr>
            <w:tcW w:w="3388" w:type="dxa"/>
            <w:tcBorders>
              <w:top w:val="nil"/>
              <w:left w:val="nil"/>
              <w:bottom w:val="single" w:color="auto" w:sz="4" w:space="0"/>
              <w:right w:val="nil"/>
            </w:tcBorders>
            <w:noWrap w:val="0"/>
            <w:vAlign w:val="center"/>
          </w:tcPr>
          <w:p w14:paraId="30A1F996">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注册资金</w:t>
            </w:r>
          </w:p>
        </w:tc>
        <w:tc>
          <w:tcPr>
            <w:tcW w:w="4410" w:type="dxa"/>
            <w:tcBorders>
              <w:top w:val="nil"/>
              <w:left w:val="single" w:color="auto" w:sz="8" w:space="0"/>
              <w:bottom w:val="single" w:color="auto" w:sz="4" w:space="0"/>
              <w:right w:val="single" w:color="auto" w:sz="8" w:space="0"/>
            </w:tcBorders>
            <w:noWrap w:val="0"/>
            <w:vAlign w:val="center"/>
          </w:tcPr>
          <w:p w14:paraId="770B8C7F">
            <w:pPr>
              <w:widowControl/>
              <w:spacing w:line="360" w:lineRule="auto"/>
              <w:jc w:val="center"/>
              <w:rPr>
                <w:rFonts w:hint="eastAsia" w:ascii="宋体" w:hAnsi="宋体" w:eastAsia="宋体" w:cs="宋体"/>
                <w:color w:val="auto"/>
                <w:kern w:val="0"/>
                <w:szCs w:val="21"/>
                <w:highlight w:val="none"/>
              </w:rPr>
            </w:pPr>
          </w:p>
        </w:tc>
      </w:tr>
      <w:tr w14:paraId="73C516AD">
        <w:tblPrEx>
          <w:tblCellMar>
            <w:top w:w="0" w:type="dxa"/>
            <w:left w:w="108" w:type="dxa"/>
            <w:bottom w:w="0" w:type="dxa"/>
            <w:right w:w="108" w:type="dxa"/>
          </w:tblCellMar>
        </w:tblPrEx>
        <w:trPr>
          <w:trHeight w:val="621" w:hRule="atLeast"/>
          <w:jc w:val="center"/>
        </w:trPr>
        <w:tc>
          <w:tcPr>
            <w:tcW w:w="996" w:type="dxa"/>
            <w:vMerge w:val="continue"/>
            <w:tcBorders>
              <w:left w:val="single" w:color="auto" w:sz="8" w:space="0"/>
              <w:right w:val="single" w:color="auto" w:sz="4" w:space="0"/>
            </w:tcBorders>
            <w:noWrap w:val="0"/>
            <w:vAlign w:val="center"/>
          </w:tcPr>
          <w:p w14:paraId="30828EF9">
            <w:pPr>
              <w:widowControl/>
              <w:spacing w:line="360" w:lineRule="auto"/>
              <w:jc w:val="center"/>
              <w:rPr>
                <w:rFonts w:hint="eastAsia" w:ascii="宋体" w:hAnsi="宋体" w:eastAsia="宋体" w:cs="宋体"/>
                <w:b/>
                <w:bCs/>
                <w:color w:val="auto"/>
                <w:kern w:val="0"/>
                <w:sz w:val="24"/>
                <w:szCs w:val="24"/>
                <w:highlight w:val="none"/>
              </w:rPr>
            </w:pPr>
          </w:p>
        </w:tc>
        <w:tc>
          <w:tcPr>
            <w:tcW w:w="3388" w:type="dxa"/>
            <w:tcBorders>
              <w:top w:val="nil"/>
              <w:left w:val="nil"/>
              <w:bottom w:val="single" w:color="auto" w:sz="4" w:space="0"/>
              <w:right w:val="nil"/>
            </w:tcBorders>
            <w:noWrap w:val="0"/>
            <w:vAlign w:val="center"/>
          </w:tcPr>
          <w:p w14:paraId="5950085D">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股份构成</w:t>
            </w:r>
          </w:p>
        </w:tc>
        <w:tc>
          <w:tcPr>
            <w:tcW w:w="4410" w:type="dxa"/>
            <w:tcBorders>
              <w:top w:val="nil"/>
              <w:left w:val="single" w:color="auto" w:sz="8" w:space="0"/>
              <w:bottom w:val="single" w:color="auto" w:sz="4" w:space="0"/>
              <w:right w:val="single" w:color="auto" w:sz="8" w:space="0"/>
            </w:tcBorders>
            <w:noWrap w:val="0"/>
            <w:vAlign w:val="center"/>
          </w:tcPr>
          <w:p w14:paraId="7F804AD2">
            <w:pPr>
              <w:widowControl/>
              <w:spacing w:line="360" w:lineRule="auto"/>
              <w:jc w:val="center"/>
              <w:rPr>
                <w:rFonts w:hint="eastAsia" w:ascii="宋体" w:hAnsi="宋体" w:eastAsia="宋体" w:cs="宋体"/>
                <w:color w:val="auto"/>
                <w:kern w:val="0"/>
                <w:szCs w:val="21"/>
                <w:highlight w:val="none"/>
              </w:rPr>
            </w:pPr>
          </w:p>
        </w:tc>
      </w:tr>
      <w:tr w14:paraId="08583C72">
        <w:tblPrEx>
          <w:tblCellMar>
            <w:top w:w="0" w:type="dxa"/>
            <w:left w:w="108" w:type="dxa"/>
            <w:bottom w:w="0" w:type="dxa"/>
            <w:right w:w="108" w:type="dxa"/>
          </w:tblCellMar>
        </w:tblPrEx>
        <w:trPr>
          <w:trHeight w:val="614" w:hRule="atLeast"/>
          <w:jc w:val="center"/>
        </w:trPr>
        <w:tc>
          <w:tcPr>
            <w:tcW w:w="996" w:type="dxa"/>
            <w:vMerge w:val="continue"/>
            <w:tcBorders>
              <w:left w:val="single" w:color="auto" w:sz="8" w:space="0"/>
              <w:right w:val="single" w:color="auto" w:sz="4" w:space="0"/>
            </w:tcBorders>
            <w:noWrap w:val="0"/>
            <w:vAlign w:val="center"/>
          </w:tcPr>
          <w:p w14:paraId="53B62999">
            <w:pPr>
              <w:widowControl/>
              <w:spacing w:line="360" w:lineRule="auto"/>
              <w:jc w:val="center"/>
              <w:rPr>
                <w:rFonts w:hint="eastAsia" w:ascii="宋体" w:hAnsi="宋体" w:eastAsia="宋体" w:cs="宋体"/>
                <w:b/>
                <w:bCs/>
                <w:color w:val="auto"/>
                <w:kern w:val="0"/>
                <w:sz w:val="24"/>
                <w:szCs w:val="24"/>
                <w:highlight w:val="none"/>
              </w:rPr>
            </w:pPr>
          </w:p>
        </w:tc>
        <w:tc>
          <w:tcPr>
            <w:tcW w:w="3388" w:type="dxa"/>
            <w:tcBorders>
              <w:top w:val="nil"/>
              <w:left w:val="nil"/>
              <w:bottom w:val="single" w:color="auto" w:sz="4" w:space="0"/>
              <w:right w:val="nil"/>
            </w:tcBorders>
            <w:noWrap w:val="0"/>
            <w:vAlign w:val="center"/>
          </w:tcPr>
          <w:p w14:paraId="41436016">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经营范围</w:t>
            </w:r>
          </w:p>
        </w:tc>
        <w:tc>
          <w:tcPr>
            <w:tcW w:w="4410" w:type="dxa"/>
            <w:tcBorders>
              <w:top w:val="nil"/>
              <w:left w:val="single" w:color="auto" w:sz="8" w:space="0"/>
              <w:bottom w:val="single" w:color="auto" w:sz="4" w:space="0"/>
              <w:right w:val="single" w:color="auto" w:sz="8" w:space="0"/>
            </w:tcBorders>
            <w:noWrap w:val="0"/>
            <w:vAlign w:val="center"/>
          </w:tcPr>
          <w:p w14:paraId="4083CF18">
            <w:pPr>
              <w:widowControl/>
              <w:spacing w:line="360" w:lineRule="auto"/>
              <w:jc w:val="center"/>
              <w:rPr>
                <w:rFonts w:hint="eastAsia" w:ascii="宋体" w:hAnsi="宋体" w:eastAsia="宋体" w:cs="宋体"/>
                <w:color w:val="auto"/>
                <w:kern w:val="0"/>
                <w:szCs w:val="21"/>
                <w:highlight w:val="none"/>
              </w:rPr>
            </w:pPr>
          </w:p>
        </w:tc>
      </w:tr>
      <w:tr w14:paraId="08B5D744">
        <w:tblPrEx>
          <w:tblCellMar>
            <w:top w:w="0" w:type="dxa"/>
            <w:left w:w="108" w:type="dxa"/>
            <w:bottom w:w="0" w:type="dxa"/>
            <w:right w:w="108" w:type="dxa"/>
          </w:tblCellMar>
        </w:tblPrEx>
        <w:trPr>
          <w:trHeight w:val="608" w:hRule="atLeast"/>
          <w:jc w:val="center"/>
        </w:trPr>
        <w:tc>
          <w:tcPr>
            <w:tcW w:w="996" w:type="dxa"/>
            <w:vMerge w:val="continue"/>
            <w:tcBorders>
              <w:left w:val="single" w:color="auto" w:sz="8" w:space="0"/>
              <w:right w:val="single" w:color="auto" w:sz="4" w:space="0"/>
            </w:tcBorders>
            <w:noWrap w:val="0"/>
            <w:vAlign w:val="center"/>
          </w:tcPr>
          <w:p w14:paraId="346B55E6">
            <w:pPr>
              <w:widowControl/>
              <w:spacing w:line="360" w:lineRule="auto"/>
              <w:jc w:val="center"/>
              <w:rPr>
                <w:rFonts w:hint="eastAsia" w:ascii="宋体" w:hAnsi="宋体" w:eastAsia="宋体" w:cs="宋体"/>
                <w:b/>
                <w:bCs/>
                <w:color w:val="auto"/>
                <w:kern w:val="0"/>
                <w:sz w:val="24"/>
                <w:szCs w:val="24"/>
                <w:highlight w:val="none"/>
              </w:rPr>
            </w:pPr>
          </w:p>
        </w:tc>
        <w:tc>
          <w:tcPr>
            <w:tcW w:w="3388" w:type="dxa"/>
            <w:tcBorders>
              <w:top w:val="nil"/>
              <w:left w:val="nil"/>
              <w:bottom w:val="single" w:color="auto" w:sz="4" w:space="0"/>
              <w:right w:val="nil"/>
            </w:tcBorders>
            <w:noWrap w:val="0"/>
            <w:vAlign w:val="center"/>
          </w:tcPr>
          <w:p w14:paraId="1799EBEC">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资质认证</w:t>
            </w:r>
          </w:p>
        </w:tc>
        <w:tc>
          <w:tcPr>
            <w:tcW w:w="4410" w:type="dxa"/>
            <w:tcBorders>
              <w:top w:val="nil"/>
              <w:left w:val="single" w:color="auto" w:sz="8" w:space="0"/>
              <w:bottom w:val="single" w:color="auto" w:sz="4" w:space="0"/>
              <w:right w:val="single" w:color="auto" w:sz="8" w:space="0"/>
            </w:tcBorders>
            <w:noWrap w:val="0"/>
            <w:vAlign w:val="center"/>
          </w:tcPr>
          <w:p w14:paraId="6911D4E6">
            <w:pPr>
              <w:widowControl/>
              <w:spacing w:line="360" w:lineRule="auto"/>
              <w:jc w:val="center"/>
              <w:rPr>
                <w:rFonts w:hint="eastAsia" w:ascii="宋体" w:hAnsi="宋体" w:eastAsia="宋体" w:cs="宋体"/>
                <w:color w:val="auto"/>
                <w:kern w:val="0"/>
                <w:szCs w:val="21"/>
                <w:highlight w:val="none"/>
              </w:rPr>
            </w:pPr>
          </w:p>
        </w:tc>
      </w:tr>
      <w:tr w14:paraId="7FD5FB50">
        <w:tblPrEx>
          <w:tblCellMar>
            <w:top w:w="0" w:type="dxa"/>
            <w:left w:w="108" w:type="dxa"/>
            <w:bottom w:w="0" w:type="dxa"/>
            <w:right w:w="108" w:type="dxa"/>
          </w:tblCellMar>
        </w:tblPrEx>
        <w:trPr>
          <w:trHeight w:val="616" w:hRule="atLeast"/>
          <w:jc w:val="center"/>
        </w:trPr>
        <w:tc>
          <w:tcPr>
            <w:tcW w:w="996" w:type="dxa"/>
            <w:vMerge w:val="continue"/>
            <w:tcBorders>
              <w:left w:val="single" w:color="auto" w:sz="8" w:space="0"/>
              <w:right w:val="single" w:color="auto" w:sz="4" w:space="0"/>
            </w:tcBorders>
            <w:noWrap w:val="0"/>
            <w:vAlign w:val="center"/>
          </w:tcPr>
          <w:p w14:paraId="083DDCD7">
            <w:pPr>
              <w:widowControl/>
              <w:spacing w:line="360" w:lineRule="auto"/>
              <w:jc w:val="center"/>
              <w:rPr>
                <w:rFonts w:hint="eastAsia" w:ascii="宋体" w:hAnsi="宋体" w:eastAsia="宋体" w:cs="宋体"/>
                <w:b/>
                <w:bCs/>
                <w:color w:val="auto"/>
                <w:kern w:val="0"/>
                <w:sz w:val="24"/>
                <w:szCs w:val="24"/>
                <w:highlight w:val="none"/>
              </w:rPr>
            </w:pPr>
          </w:p>
        </w:tc>
        <w:tc>
          <w:tcPr>
            <w:tcW w:w="3388" w:type="dxa"/>
            <w:tcBorders>
              <w:top w:val="nil"/>
              <w:left w:val="nil"/>
              <w:bottom w:val="single" w:color="auto" w:sz="4" w:space="0"/>
              <w:right w:val="nil"/>
            </w:tcBorders>
            <w:noWrap w:val="0"/>
            <w:vAlign w:val="center"/>
          </w:tcPr>
          <w:p w14:paraId="472DB7E3">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员工总人数及学历分布情况</w:t>
            </w:r>
          </w:p>
        </w:tc>
        <w:tc>
          <w:tcPr>
            <w:tcW w:w="4410" w:type="dxa"/>
            <w:tcBorders>
              <w:top w:val="nil"/>
              <w:left w:val="single" w:color="auto" w:sz="8" w:space="0"/>
              <w:bottom w:val="single" w:color="auto" w:sz="4" w:space="0"/>
              <w:right w:val="single" w:color="auto" w:sz="8" w:space="0"/>
            </w:tcBorders>
            <w:noWrap w:val="0"/>
            <w:vAlign w:val="center"/>
          </w:tcPr>
          <w:p w14:paraId="222FD928">
            <w:pPr>
              <w:widowControl/>
              <w:spacing w:line="360" w:lineRule="auto"/>
              <w:jc w:val="center"/>
              <w:rPr>
                <w:rFonts w:hint="eastAsia" w:ascii="宋体" w:hAnsi="宋体" w:eastAsia="宋体" w:cs="宋体"/>
                <w:color w:val="auto"/>
                <w:kern w:val="0"/>
                <w:szCs w:val="21"/>
                <w:highlight w:val="none"/>
              </w:rPr>
            </w:pPr>
          </w:p>
        </w:tc>
      </w:tr>
      <w:tr w14:paraId="6BD31229">
        <w:tblPrEx>
          <w:tblCellMar>
            <w:top w:w="0" w:type="dxa"/>
            <w:left w:w="108" w:type="dxa"/>
            <w:bottom w:w="0" w:type="dxa"/>
            <w:right w:w="108" w:type="dxa"/>
          </w:tblCellMar>
        </w:tblPrEx>
        <w:trPr>
          <w:trHeight w:val="764" w:hRule="atLeast"/>
          <w:jc w:val="center"/>
        </w:trPr>
        <w:tc>
          <w:tcPr>
            <w:tcW w:w="996" w:type="dxa"/>
            <w:vMerge w:val="continue"/>
            <w:tcBorders>
              <w:left w:val="single" w:color="auto" w:sz="8" w:space="0"/>
              <w:right w:val="single" w:color="auto" w:sz="4" w:space="0"/>
            </w:tcBorders>
            <w:noWrap w:val="0"/>
            <w:vAlign w:val="center"/>
          </w:tcPr>
          <w:p w14:paraId="1161A3B9">
            <w:pPr>
              <w:widowControl/>
              <w:spacing w:line="360" w:lineRule="auto"/>
              <w:jc w:val="center"/>
              <w:rPr>
                <w:rFonts w:hint="eastAsia" w:ascii="宋体" w:hAnsi="宋体" w:eastAsia="宋体" w:cs="宋体"/>
                <w:b/>
                <w:bCs/>
                <w:color w:val="auto"/>
                <w:kern w:val="0"/>
                <w:sz w:val="24"/>
                <w:szCs w:val="24"/>
                <w:highlight w:val="none"/>
              </w:rPr>
            </w:pPr>
          </w:p>
        </w:tc>
        <w:tc>
          <w:tcPr>
            <w:tcW w:w="3388" w:type="dxa"/>
            <w:tcBorders>
              <w:top w:val="nil"/>
              <w:left w:val="nil"/>
              <w:bottom w:val="single" w:color="auto" w:sz="4" w:space="0"/>
              <w:right w:val="nil"/>
            </w:tcBorders>
            <w:noWrap w:val="0"/>
            <w:vAlign w:val="center"/>
          </w:tcPr>
          <w:p w14:paraId="1EF62EB6">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人员分布情况</w:t>
            </w:r>
          </w:p>
        </w:tc>
        <w:tc>
          <w:tcPr>
            <w:tcW w:w="4410" w:type="dxa"/>
            <w:tcBorders>
              <w:top w:val="nil"/>
              <w:left w:val="single" w:color="auto" w:sz="8" w:space="0"/>
              <w:bottom w:val="single" w:color="auto" w:sz="4" w:space="0"/>
              <w:right w:val="single" w:color="auto" w:sz="8" w:space="0"/>
            </w:tcBorders>
            <w:noWrap w:val="0"/>
            <w:vAlign w:val="center"/>
          </w:tcPr>
          <w:p w14:paraId="21098D2C">
            <w:pPr>
              <w:widowControl/>
              <w:spacing w:line="360" w:lineRule="auto"/>
              <w:jc w:val="center"/>
              <w:rPr>
                <w:rFonts w:hint="eastAsia" w:ascii="宋体" w:hAnsi="宋体" w:eastAsia="宋体" w:cs="宋体"/>
                <w:color w:val="auto"/>
                <w:kern w:val="0"/>
                <w:szCs w:val="21"/>
                <w:highlight w:val="none"/>
              </w:rPr>
            </w:pPr>
          </w:p>
        </w:tc>
      </w:tr>
      <w:tr w14:paraId="28B614A4">
        <w:tblPrEx>
          <w:tblCellMar>
            <w:top w:w="0" w:type="dxa"/>
            <w:left w:w="108" w:type="dxa"/>
            <w:bottom w:w="0" w:type="dxa"/>
            <w:right w:w="108" w:type="dxa"/>
          </w:tblCellMar>
        </w:tblPrEx>
        <w:trPr>
          <w:trHeight w:val="772" w:hRule="atLeast"/>
          <w:jc w:val="center"/>
        </w:trPr>
        <w:tc>
          <w:tcPr>
            <w:tcW w:w="996" w:type="dxa"/>
            <w:vMerge w:val="continue"/>
            <w:tcBorders>
              <w:left w:val="single" w:color="auto" w:sz="8" w:space="0"/>
              <w:bottom w:val="single" w:color="000000" w:sz="8" w:space="0"/>
              <w:right w:val="single" w:color="auto" w:sz="4" w:space="0"/>
            </w:tcBorders>
            <w:noWrap w:val="0"/>
            <w:vAlign w:val="center"/>
          </w:tcPr>
          <w:p w14:paraId="60247529">
            <w:pPr>
              <w:widowControl/>
              <w:spacing w:line="360" w:lineRule="auto"/>
              <w:jc w:val="center"/>
              <w:rPr>
                <w:rFonts w:hint="eastAsia" w:ascii="宋体" w:hAnsi="宋体" w:eastAsia="宋体" w:cs="宋体"/>
                <w:b/>
                <w:bCs/>
                <w:color w:val="auto"/>
                <w:kern w:val="0"/>
                <w:sz w:val="24"/>
                <w:szCs w:val="24"/>
                <w:highlight w:val="none"/>
              </w:rPr>
            </w:pPr>
          </w:p>
        </w:tc>
        <w:tc>
          <w:tcPr>
            <w:tcW w:w="3388" w:type="dxa"/>
            <w:tcBorders>
              <w:top w:val="nil"/>
              <w:left w:val="nil"/>
              <w:bottom w:val="single" w:color="auto" w:sz="4" w:space="0"/>
              <w:right w:val="single" w:color="auto" w:sz="4" w:space="0"/>
            </w:tcBorders>
            <w:noWrap w:val="0"/>
            <w:vAlign w:val="center"/>
          </w:tcPr>
          <w:p w14:paraId="25800728">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最近三年国内外业绩简介</w:t>
            </w:r>
          </w:p>
        </w:tc>
        <w:tc>
          <w:tcPr>
            <w:tcW w:w="4410" w:type="dxa"/>
            <w:tcBorders>
              <w:top w:val="single" w:color="auto" w:sz="4" w:space="0"/>
              <w:left w:val="single" w:color="auto" w:sz="4" w:space="0"/>
              <w:bottom w:val="single" w:color="auto" w:sz="4" w:space="0"/>
              <w:right w:val="single" w:color="auto" w:sz="4" w:space="0"/>
            </w:tcBorders>
            <w:noWrap w:val="0"/>
            <w:vAlign w:val="center"/>
          </w:tcPr>
          <w:p w14:paraId="1789E384">
            <w:pPr>
              <w:widowControl/>
              <w:spacing w:line="360" w:lineRule="auto"/>
              <w:jc w:val="center"/>
              <w:rPr>
                <w:rFonts w:hint="eastAsia" w:ascii="宋体" w:hAnsi="宋体" w:eastAsia="宋体" w:cs="宋体"/>
                <w:color w:val="auto"/>
                <w:kern w:val="0"/>
                <w:szCs w:val="21"/>
                <w:highlight w:val="none"/>
              </w:rPr>
            </w:pPr>
          </w:p>
        </w:tc>
      </w:tr>
      <w:tr w14:paraId="10D8B9C6">
        <w:tblPrEx>
          <w:tblCellMar>
            <w:top w:w="0" w:type="dxa"/>
            <w:left w:w="108" w:type="dxa"/>
            <w:bottom w:w="0" w:type="dxa"/>
            <w:right w:w="108" w:type="dxa"/>
          </w:tblCellMar>
        </w:tblPrEx>
        <w:trPr>
          <w:trHeight w:val="700" w:hRule="atLeast"/>
          <w:jc w:val="center"/>
        </w:trPr>
        <w:tc>
          <w:tcPr>
            <w:tcW w:w="996" w:type="dxa"/>
            <w:vMerge w:val="restart"/>
            <w:tcBorders>
              <w:top w:val="nil"/>
              <w:left w:val="single" w:color="auto" w:sz="8" w:space="0"/>
              <w:right w:val="single" w:color="auto" w:sz="4" w:space="0"/>
            </w:tcBorders>
            <w:noWrap w:val="0"/>
            <w:vAlign w:val="center"/>
          </w:tcPr>
          <w:p w14:paraId="5672606A">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近</w:t>
            </w:r>
          </w:p>
          <w:p w14:paraId="48C609F3">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3年的经营情况</w:t>
            </w:r>
          </w:p>
        </w:tc>
        <w:tc>
          <w:tcPr>
            <w:tcW w:w="3388" w:type="dxa"/>
            <w:tcBorders>
              <w:top w:val="single" w:color="auto" w:sz="4" w:space="0"/>
              <w:left w:val="nil"/>
              <w:bottom w:val="single" w:color="auto" w:sz="4" w:space="0"/>
              <w:right w:val="single" w:color="auto" w:sz="4" w:space="0"/>
            </w:tcBorders>
            <w:noWrap w:val="0"/>
            <w:vAlign w:val="center"/>
          </w:tcPr>
          <w:p w14:paraId="79B482C3">
            <w:pPr>
              <w:widowControl/>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202</w:t>
            </w: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年业务收入(万元)</w:t>
            </w:r>
          </w:p>
        </w:tc>
        <w:tc>
          <w:tcPr>
            <w:tcW w:w="4410" w:type="dxa"/>
            <w:tcBorders>
              <w:top w:val="single" w:color="auto" w:sz="4" w:space="0"/>
              <w:left w:val="single" w:color="auto" w:sz="4" w:space="0"/>
              <w:bottom w:val="single" w:color="auto" w:sz="4" w:space="0"/>
              <w:right w:val="single" w:color="auto" w:sz="4" w:space="0"/>
            </w:tcBorders>
            <w:noWrap w:val="0"/>
            <w:vAlign w:val="center"/>
          </w:tcPr>
          <w:p w14:paraId="50148A19">
            <w:pPr>
              <w:widowControl/>
              <w:spacing w:line="360" w:lineRule="auto"/>
              <w:jc w:val="center"/>
              <w:rPr>
                <w:rFonts w:hint="eastAsia" w:ascii="宋体" w:hAnsi="宋体" w:eastAsia="宋体" w:cs="宋体"/>
                <w:color w:val="auto"/>
                <w:kern w:val="0"/>
                <w:szCs w:val="21"/>
                <w:highlight w:val="none"/>
              </w:rPr>
            </w:pPr>
          </w:p>
          <w:p w14:paraId="7E9FD6D5">
            <w:pPr>
              <w:widowControl/>
              <w:spacing w:line="360" w:lineRule="auto"/>
              <w:rPr>
                <w:rFonts w:hint="eastAsia" w:ascii="宋体" w:hAnsi="宋体" w:eastAsia="宋体" w:cs="宋体"/>
                <w:color w:val="auto"/>
                <w:kern w:val="0"/>
                <w:szCs w:val="21"/>
                <w:highlight w:val="none"/>
              </w:rPr>
            </w:pPr>
          </w:p>
        </w:tc>
      </w:tr>
      <w:tr w14:paraId="019209BE">
        <w:tblPrEx>
          <w:tblCellMar>
            <w:top w:w="0" w:type="dxa"/>
            <w:left w:w="108" w:type="dxa"/>
            <w:bottom w:w="0" w:type="dxa"/>
            <w:right w:w="108" w:type="dxa"/>
          </w:tblCellMar>
        </w:tblPrEx>
        <w:trPr>
          <w:trHeight w:val="870" w:hRule="atLeast"/>
          <w:jc w:val="center"/>
        </w:trPr>
        <w:tc>
          <w:tcPr>
            <w:tcW w:w="996" w:type="dxa"/>
            <w:vMerge w:val="continue"/>
            <w:tcBorders>
              <w:left w:val="single" w:color="auto" w:sz="8" w:space="0"/>
              <w:right w:val="single" w:color="auto" w:sz="4" w:space="0"/>
            </w:tcBorders>
            <w:noWrap w:val="0"/>
            <w:vAlign w:val="center"/>
          </w:tcPr>
          <w:p w14:paraId="3E42C96B">
            <w:pPr>
              <w:widowControl/>
              <w:spacing w:line="360" w:lineRule="auto"/>
              <w:jc w:val="center"/>
              <w:rPr>
                <w:rFonts w:hint="eastAsia" w:ascii="宋体" w:hAnsi="宋体" w:eastAsia="宋体" w:cs="宋体"/>
                <w:b/>
                <w:bCs/>
                <w:color w:val="auto"/>
                <w:kern w:val="0"/>
                <w:szCs w:val="21"/>
                <w:highlight w:val="none"/>
              </w:rPr>
            </w:pPr>
          </w:p>
        </w:tc>
        <w:tc>
          <w:tcPr>
            <w:tcW w:w="3388" w:type="dxa"/>
            <w:tcBorders>
              <w:top w:val="single" w:color="auto" w:sz="4" w:space="0"/>
              <w:left w:val="nil"/>
              <w:bottom w:val="single" w:color="auto" w:sz="4" w:space="0"/>
              <w:right w:val="single" w:color="auto" w:sz="4" w:space="0"/>
            </w:tcBorders>
            <w:noWrap w:val="0"/>
            <w:vAlign w:val="center"/>
          </w:tcPr>
          <w:p w14:paraId="661456E9">
            <w:pPr>
              <w:widowControl/>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202</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年业务收入(万元)</w:t>
            </w:r>
          </w:p>
        </w:tc>
        <w:tc>
          <w:tcPr>
            <w:tcW w:w="4410" w:type="dxa"/>
            <w:tcBorders>
              <w:top w:val="single" w:color="auto" w:sz="4" w:space="0"/>
              <w:left w:val="single" w:color="auto" w:sz="4" w:space="0"/>
              <w:bottom w:val="single" w:color="auto" w:sz="4" w:space="0"/>
              <w:right w:val="single" w:color="auto" w:sz="4" w:space="0"/>
            </w:tcBorders>
            <w:noWrap w:val="0"/>
            <w:vAlign w:val="center"/>
          </w:tcPr>
          <w:p w14:paraId="412AF279">
            <w:pPr>
              <w:widowControl/>
              <w:spacing w:line="360" w:lineRule="auto"/>
              <w:rPr>
                <w:rFonts w:hint="eastAsia" w:ascii="宋体" w:hAnsi="宋体" w:eastAsia="宋体" w:cs="宋体"/>
                <w:color w:val="auto"/>
                <w:kern w:val="0"/>
                <w:szCs w:val="21"/>
                <w:highlight w:val="none"/>
              </w:rPr>
            </w:pPr>
          </w:p>
        </w:tc>
      </w:tr>
      <w:tr w14:paraId="5F8DB5F2">
        <w:tblPrEx>
          <w:tblCellMar>
            <w:top w:w="0" w:type="dxa"/>
            <w:left w:w="108" w:type="dxa"/>
            <w:bottom w:w="0" w:type="dxa"/>
            <w:right w:w="108" w:type="dxa"/>
          </w:tblCellMar>
        </w:tblPrEx>
        <w:trPr>
          <w:trHeight w:val="764" w:hRule="atLeast"/>
          <w:jc w:val="center"/>
        </w:trPr>
        <w:tc>
          <w:tcPr>
            <w:tcW w:w="996" w:type="dxa"/>
            <w:vMerge w:val="continue"/>
            <w:tcBorders>
              <w:left w:val="single" w:color="auto" w:sz="8" w:space="0"/>
              <w:bottom w:val="single" w:color="000000" w:sz="8" w:space="0"/>
              <w:right w:val="single" w:color="auto" w:sz="4" w:space="0"/>
            </w:tcBorders>
            <w:noWrap w:val="0"/>
            <w:vAlign w:val="center"/>
          </w:tcPr>
          <w:p w14:paraId="4A73966C">
            <w:pPr>
              <w:widowControl/>
              <w:spacing w:line="360" w:lineRule="auto"/>
              <w:jc w:val="center"/>
              <w:rPr>
                <w:rFonts w:hint="eastAsia" w:ascii="宋体" w:hAnsi="宋体" w:eastAsia="宋体" w:cs="宋体"/>
                <w:b/>
                <w:bCs/>
                <w:color w:val="auto"/>
                <w:kern w:val="0"/>
                <w:szCs w:val="21"/>
                <w:highlight w:val="none"/>
              </w:rPr>
            </w:pPr>
          </w:p>
        </w:tc>
        <w:tc>
          <w:tcPr>
            <w:tcW w:w="3388" w:type="dxa"/>
            <w:tcBorders>
              <w:top w:val="single" w:color="auto" w:sz="4" w:space="0"/>
              <w:left w:val="nil"/>
              <w:bottom w:val="single" w:color="auto" w:sz="4" w:space="0"/>
              <w:right w:val="single" w:color="auto" w:sz="4" w:space="0"/>
            </w:tcBorders>
            <w:noWrap w:val="0"/>
            <w:vAlign w:val="center"/>
          </w:tcPr>
          <w:p w14:paraId="39F6ED14">
            <w:pPr>
              <w:widowControl/>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20</w:t>
            </w:r>
            <w:r>
              <w:rPr>
                <w:rFonts w:hint="eastAsia" w:ascii="宋体" w:hAnsi="宋体" w:eastAsia="宋体" w:cs="宋体"/>
                <w:bCs/>
                <w:color w:val="auto"/>
                <w:kern w:val="0"/>
                <w:sz w:val="24"/>
                <w:szCs w:val="24"/>
                <w:highlight w:val="none"/>
                <w:lang w:val="en-US" w:eastAsia="zh-CN"/>
              </w:rPr>
              <w:t>22</w:t>
            </w:r>
            <w:r>
              <w:rPr>
                <w:rFonts w:hint="eastAsia" w:ascii="宋体" w:hAnsi="宋体" w:eastAsia="宋体" w:cs="宋体"/>
                <w:bCs/>
                <w:color w:val="auto"/>
                <w:kern w:val="0"/>
                <w:sz w:val="24"/>
                <w:szCs w:val="24"/>
                <w:highlight w:val="none"/>
              </w:rPr>
              <w:t>年业务收入（万元）</w:t>
            </w:r>
          </w:p>
        </w:tc>
        <w:tc>
          <w:tcPr>
            <w:tcW w:w="4410" w:type="dxa"/>
            <w:tcBorders>
              <w:top w:val="single" w:color="auto" w:sz="4" w:space="0"/>
              <w:left w:val="single" w:color="auto" w:sz="4" w:space="0"/>
              <w:bottom w:val="single" w:color="auto" w:sz="4" w:space="0"/>
              <w:right w:val="single" w:color="auto" w:sz="4" w:space="0"/>
            </w:tcBorders>
            <w:noWrap w:val="0"/>
            <w:vAlign w:val="center"/>
          </w:tcPr>
          <w:p w14:paraId="6E1FFC26">
            <w:pPr>
              <w:widowControl/>
              <w:spacing w:line="360" w:lineRule="auto"/>
              <w:rPr>
                <w:rFonts w:hint="eastAsia" w:ascii="宋体" w:hAnsi="宋体" w:eastAsia="宋体" w:cs="宋体"/>
                <w:color w:val="auto"/>
                <w:kern w:val="0"/>
                <w:szCs w:val="21"/>
                <w:highlight w:val="none"/>
              </w:rPr>
            </w:pPr>
          </w:p>
        </w:tc>
      </w:tr>
    </w:tbl>
    <w:p w14:paraId="22AF968E">
      <w:pPr>
        <w:tabs>
          <w:tab w:val="left" w:pos="4860"/>
        </w:tabs>
        <w:ind w:right="1560"/>
        <w:rPr>
          <w:rFonts w:hint="eastAsia" w:ascii="宋体" w:hAnsi="宋体" w:eastAsia="宋体" w:cs="宋体"/>
          <w:b/>
          <w:color w:val="auto"/>
          <w:sz w:val="10"/>
          <w:szCs w:val="10"/>
          <w:highlight w:val="none"/>
        </w:rPr>
      </w:pPr>
    </w:p>
    <w:p w14:paraId="4362DDC6">
      <w:pPr>
        <w:keepNext/>
        <w:keepLines/>
        <w:outlineLvl w:val="1"/>
        <w:rPr>
          <w:rFonts w:hint="eastAsia" w:ascii="宋体" w:hAnsi="宋体" w:eastAsia="宋体" w:cs="宋体"/>
          <w:b/>
          <w:color w:val="auto"/>
          <w:kern w:val="0"/>
          <w:sz w:val="36"/>
          <w:szCs w:val="21"/>
          <w:highlight w:val="none"/>
          <w:lang w:val="en-US" w:eastAsia="zh-CN"/>
        </w:rPr>
      </w:pPr>
      <w:r>
        <w:rPr>
          <w:rFonts w:hint="eastAsia" w:ascii="宋体" w:hAnsi="宋体" w:eastAsia="宋体" w:cs="宋体"/>
          <w:b/>
          <w:color w:val="auto"/>
          <w:sz w:val="24"/>
          <w:szCs w:val="24"/>
          <w:highlight w:val="none"/>
        </w:rPr>
        <w:br w:type="page"/>
      </w:r>
      <w:bookmarkStart w:id="378" w:name="_Toc44700109"/>
      <w:bookmarkStart w:id="379" w:name="_Toc22140"/>
      <w:r>
        <w:rPr>
          <w:rFonts w:hint="eastAsia" w:ascii="宋体" w:hAnsi="宋体" w:eastAsia="宋体" w:cs="宋体"/>
          <w:b/>
          <w:color w:val="auto"/>
          <w:kern w:val="0"/>
          <w:sz w:val="36"/>
          <w:szCs w:val="21"/>
          <w:highlight w:val="none"/>
          <w:lang w:val="en-US" w:eastAsia="zh-CN"/>
        </w:rPr>
        <w:t>8.11近三年内类似项目情况表及用户证明</w:t>
      </w:r>
      <w:bookmarkEnd w:id="378"/>
      <w:bookmarkEnd w:id="379"/>
    </w:p>
    <w:p w14:paraId="2439B79F">
      <w:pPr>
        <w:spacing w:before="97" w:line="240" w:lineRule="auto"/>
        <w:ind w:left="2247"/>
        <w:rPr>
          <w:rFonts w:hint="eastAsia" w:ascii="宋体" w:hAnsi="宋体" w:eastAsia="宋体" w:cs="宋体"/>
          <w:smallCaps w:val="0"/>
          <w:color w:val="auto"/>
          <w:spacing w:val="0"/>
          <w:sz w:val="30"/>
          <w:szCs w:val="30"/>
          <w:highlight w:val="none"/>
        </w:rPr>
      </w:pPr>
      <w:r>
        <w:rPr>
          <w:rFonts w:hint="eastAsia" w:ascii="宋体" w:hAnsi="宋体" w:eastAsia="宋体" w:cs="宋体"/>
          <w:b/>
          <w:bCs/>
          <w:smallCaps w:val="0"/>
          <w:color w:val="auto"/>
          <w:spacing w:val="0"/>
          <w:sz w:val="30"/>
          <w:szCs w:val="30"/>
          <w:highlight w:val="none"/>
        </w:rPr>
        <w:t>拟派往本项目的项目人员情况</w:t>
      </w:r>
    </w:p>
    <w:p w14:paraId="2DB13BF8">
      <w:pPr>
        <w:spacing w:before="5" w:line="240" w:lineRule="auto"/>
        <w:rPr>
          <w:rFonts w:hint="eastAsia" w:ascii="宋体" w:hAnsi="宋体" w:eastAsia="宋体" w:cs="宋体"/>
          <w:smallCaps w:val="0"/>
          <w:color w:val="auto"/>
          <w:spacing w:val="0"/>
          <w:highlight w:val="none"/>
        </w:rPr>
      </w:pPr>
    </w:p>
    <w:tbl>
      <w:tblPr>
        <w:tblStyle w:val="222"/>
        <w:tblW w:w="911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0"/>
        <w:gridCol w:w="1540"/>
        <w:gridCol w:w="980"/>
        <w:gridCol w:w="1119"/>
        <w:gridCol w:w="1399"/>
        <w:gridCol w:w="1541"/>
        <w:gridCol w:w="1408"/>
      </w:tblGrid>
      <w:tr w14:paraId="09E6B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3" w:hRule="atLeast"/>
        </w:trPr>
        <w:tc>
          <w:tcPr>
            <w:tcW w:w="1130" w:type="dxa"/>
            <w:tcBorders>
              <w:top w:val="single" w:color="000000" w:sz="2" w:space="0"/>
              <w:left w:val="single" w:color="000000" w:sz="2" w:space="0"/>
              <w:bottom w:val="single" w:color="000000" w:sz="2" w:space="0"/>
              <w:right w:val="single" w:color="000000" w:sz="2" w:space="0"/>
            </w:tcBorders>
            <w:noWrap w:val="0"/>
            <w:vAlign w:val="top"/>
          </w:tcPr>
          <w:p w14:paraId="6F041C0C">
            <w:pPr>
              <w:pStyle w:val="223"/>
              <w:spacing w:before="209" w:line="240" w:lineRule="auto"/>
              <w:ind w:left="330"/>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序号</w:t>
            </w:r>
          </w:p>
        </w:tc>
        <w:tc>
          <w:tcPr>
            <w:tcW w:w="1540" w:type="dxa"/>
            <w:tcBorders>
              <w:top w:val="single" w:color="000000" w:sz="2" w:space="0"/>
              <w:left w:val="single" w:color="000000" w:sz="2" w:space="0"/>
              <w:bottom w:val="single" w:color="000000" w:sz="2" w:space="0"/>
              <w:right w:val="single" w:color="000000" w:sz="2" w:space="0"/>
            </w:tcBorders>
            <w:noWrap w:val="0"/>
            <w:vAlign w:val="top"/>
          </w:tcPr>
          <w:p w14:paraId="1446F30A">
            <w:pPr>
              <w:pStyle w:val="223"/>
              <w:spacing w:before="209" w:line="240" w:lineRule="auto"/>
              <w:ind w:left="532"/>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姓名</w:t>
            </w:r>
          </w:p>
        </w:tc>
        <w:tc>
          <w:tcPr>
            <w:tcW w:w="980" w:type="dxa"/>
            <w:tcBorders>
              <w:top w:val="single" w:color="000000" w:sz="2" w:space="0"/>
              <w:left w:val="single" w:color="000000" w:sz="2" w:space="0"/>
              <w:bottom w:val="single" w:color="000000" w:sz="2" w:space="0"/>
              <w:right w:val="single" w:color="000000" w:sz="2" w:space="0"/>
            </w:tcBorders>
            <w:noWrap w:val="0"/>
            <w:vAlign w:val="top"/>
          </w:tcPr>
          <w:p w14:paraId="660DF8BA">
            <w:pPr>
              <w:pStyle w:val="223"/>
              <w:spacing w:before="209" w:line="240" w:lineRule="auto"/>
              <w:ind w:left="253"/>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年龄</w:t>
            </w:r>
          </w:p>
        </w:tc>
        <w:tc>
          <w:tcPr>
            <w:tcW w:w="1119" w:type="dxa"/>
            <w:tcBorders>
              <w:top w:val="single" w:color="000000" w:sz="2" w:space="0"/>
              <w:left w:val="single" w:color="000000" w:sz="2" w:space="0"/>
              <w:bottom w:val="single" w:color="000000" w:sz="2" w:space="0"/>
              <w:right w:val="single" w:color="000000" w:sz="2" w:space="0"/>
            </w:tcBorders>
            <w:noWrap w:val="0"/>
            <w:vAlign w:val="top"/>
          </w:tcPr>
          <w:p w14:paraId="5B930892">
            <w:pPr>
              <w:pStyle w:val="223"/>
              <w:spacing w:before="209" w:line="240" w:lineRule="auto"/>
              <w:ind w:left="325"/>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专业</w:t>
            </w:r>
          </w:p>
        </w:tc>
        <w:tc>
          <w:tcPr>
            <w:tcW w:w="1399" w:type="dxa"/>
            <w:tcBorders>
              <w:top w:val="single" w:color="000000" w:sz="2" w:space="0"/>
              <w:left w:val="single" w:color="000000" w:sz="2" w:space="0"/>
              <w:bottom w:val="single" w:color="000000" w:sz="2" w:space="0"/>
              <w:right w:val="single" w:color="000000" w:sz="2" w:space="0"/>
            </w:tcBorders>
            <w:noWrap w:val="0"/>
            <w:vAlign w:val="top"/>
          </w:tcPr>
          <w:p w14:paraId="744944BC">
            <w:pPr>
              <w:pStyle w:val="223"/>
              <w:spacing w:before="209" w:line="240" w:lineRule="auto"/>
              <w:ind w:left="472"/>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学历</w:t>
            </w:r>
          </w:p>
        </w:tc>
        <w:tc>
          <w:tcPr>
            <w:tcW w:w="1541" w:type="dxa"/>
            <w:tcBorders>
              <w:top w:val="single" w:color="000000" w:sz="2" w:space="0"/>
              <w:left w:val="single" w:color="000000" w:sz="2" w:space="0"/>
              <w:bottom w:val="single" w:color="000000" w:sz="2" w:space="0"/>
              <w:right w:val="single" w:color="000000" w:sz="2" w:space="0"/>
            </w:tcBorders>
            <w:noWrap w:val="0"/>
            <w:vAlign w:val="top"/>
          </w:tcPr>
          <w:p w14:paraId="3A7234DD">
            <w:pPr>
              <w:pStyle w:val="223"/>
              <w:spacing w:before="210" w:line="240" w:lineRule="auto"/>
              <w:ind w:left="540"/>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职称</w:t>
            </w:r>
          </w:p>
        </w:tc>
        <w:tc>
          <w:tcPr>
            <w:tcW w:w="1408" w:type="dxa"/>
            <w:tcBorders>
              <w:top w:val="single" w:color="000000" w:sz="2" w:space="0"/>
              <w:left w:val="single" w:color="000000" w:sz="2" w:space="0"/>
              <w:bottom w:val="single" w:color="000000" w:sz="2" w:space="0"/>
              <w:right w:val="single" w:color="000000" w:sz="2" w:space="0"/>
            </w:tcBorders>
            <w:noWrap w:val="0"/>
            <w:vAlign w:val="top"/>
          </w:tcPr>
          <w:p w14:paraId="35A1B5E8">
            <w:pPr>
              <w:pStyle w:val="223"/>
              <w:spacing w:before="209" w:line="240" w:lineRule="auto"/>
              <w:ind w:left="475"/>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备注</w:t>
            </w:r>
          </w:p>
        </w:tc>
      </w:tr>
      <w:tr w14:paraId="1AF29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130" w:type="dxa"/>
            <w:tcBorders>
              <w:top w:val="single" w:color="000000" w:sz="2" w:space="0"/>
            </w:tcBorders>
            <w:noWrap w:val="0"/>
            <w:vAlign w:val="top"/>
          </w:tcPr>
          <w:p w14:paraId="3F63AC05">
            <w:pPr>
              <w:spacing w:line="240" w:lineRule="auto"/>
              <w:rPr>
                <w:rFonts w:hint="eastAsia" w:ascii="宋体" w:hAnsi="宋体" w:eastAsia="宋体" w:cs="宋体"/>
                <w:smallCaps w:val="0"/>
                <w:color w:val="auto"/>
                <w:spacing w:val="0"/>
                <w:sz w:val="21"/>
                <w:highlight w:val="none"/>
              </w:rPr>
            </w:pPr>
          </w:p>
        </w:tc>
        <w:tc>
          <w:tcPr>
            <w:tcW w:w="1540" w:type="dxa"/>
            <w:tcBorders>
              <w:top w:val="single" w:color="000000" w:sz="2" w:space="0"/>
            </w:tcBorders>
            <w:noWrap w:val="0"/>
            <w:vAlign w:val="top"/>
          </w:tcPr>
          <w:p w14:paraId="26A4E261">
            <w:pPr>
              <w:spacing w:line="240" w:lineRule="auto"/>
              <w:rPr>
                <w:rFonts w:hint="eastAsia" w:ascii="宋体" w:hAnsi="宋体" w:eastAsia="宋体" w:cs="宋体"/>
                <w:smallCaps w:val="0"/>
                <w:color w:val="auto"/>
                <w:spacing w:val="0"/>
                <w:sz w:val="21"/>
                <w:highlight w:val="none"/>
              </w:rPr>
            </w:pPr>
          </w:p>
        </w:tc>
        <w:tc>
          <w:tcPr>
            <w:tcW w:w="980" w:type="dxa"/>
            <w:tcBorders>
              <w:top w:val="single" w:color="000000" w:sz="2" w:space="0"/>
            </w:tcBorders>
            <w:noWrap w:val="0"/>
            <w:vAlign w:val="top"/>
          </w:tcPr>
          <w:p w14:paraId="7463892F">
            <w:pPr>
              <w:spacing w:line="240" w:lineRule="auto"/>
              <w:rPr>
                <w:rFonts w:hint="eastAsia" w:ascii="宋体" w:hAnsi="宋体" w:eastAsia="宋体" w:cs="宋体"/>
                <w:smallCaps w:val="0"/>
                <w:color w:val="auto"/>
                <w:spacing w:val="0"/>
                <w:sz w:val="21"/>
                <w:highlight w:val="none"/>
              </w:rPr>
            </w:pPr>
          </w:p>
        </w:tc>
        <w:tc>
          <w:tcPr>
            <w:tcW w:w="1119" w:type="dxa"/>
            <w:tcBorders>
              <w:top w:val="single" w:color="000000" w:sz="2" w:space="0"/>
            </w:tcBorders>
            <w:noWrap w:val="0"/>
            <w:vAlign w:val="top"/>
          </w:tcPr>
          <w:p w14:paraId="7C5DB85C">
            <w:pPr>
              <w:spacing w:line="240" w:lineRule="auto"/>
              <w:rPr>
                <w:rFonts w:hint="eastAsia" w:ascii="宋体" w:hAnsi="宋体" w:eastAsia="宋体" w:cs="宋体"/>
                <w:smallCaps w:val="0"/>
                <w:color w:val="auto"/>
                <w:spacing w:val="0"/>
                <w:sz w:val="21"/>
                <w:highlight w:val="none"/>
              </w:rPr>
            </w:pPr>
          </w:p>
        </w:tc>
        <w:tc>
          <w:tcPr>
            <w:tcW w:w="1399" w:type="dxa"/>
            <w:tcBorders>
              <w:top w:val="single" w:color="000000" w:sz="2" w:space="0"/>
            </w:tcBorders>
            <w:noWrap w:val="0"/>
            <w:vAlign w:val="top"/>
          </w:tcPr>
          <w:p w14:paraId="6A4AE464">
            <w:pPr>
              <w:spacing w:line="240" w:lineRule="auto"/>
              <w:rPr>
                <w:rFonts w:hint="eastAsia" w:ascii="宋体" w:hAnsi="宋体" w:eastAsia="宋体" w:cs="宋体"/>
                <w:smallCaps w:val="0"/>
                <w:color w:val="auto"/>
                <w:spacing w:val="0"/>
                <w:sz w:val="21"/>
                <w:highlight w:val="none"/>
              </w:rPr>
            </w:pPr>
          </w:p>
        </w:tc>
        <w:tc>
          <w:tcPr>
            <w:tcW w:w="1541" w:type="dxa"/>
            <w:tcBorders>
              <w:top w:val="single" w:color="000000" w:sz="2" w:space="0"/>
            </w:tcBorders>
            <w:noWrap w:val="0"/>
            <w:vAlign w:val="top"/>
          </w:tcPr>
          <w:p w14:paraId="08D28219">
            <w:pPr>
              <w:spacing w:line="240" w:lineRule="auto"/>
              <w:rPr>
                <w:rFonts w:hint="eastAsia" w:ascii="宋体" w:hAnsi="宋体" w:eastAsia="宋体" w:cs="宋体"/>
                <w:smallCaps w:val="0"/>
                <w:color w:val="auto"/>
                <w:spacing w:val="0"/>
                <w:sz w:val="21"/>
                <w:highlight w:val="none"/>
              </w:rPr>
            </w:pPr>
          </w:p>
        </w:tc>
        <w:tc>
          <w:tcPr>
            <w:tcW w:w="1408" w:type="dxa"/>
            <w:tcBorders>
              <w:top w:val="single" w:color="000000" w:sz="2" w:space="0"/>
            </w:tcBorders>
            <w:noWrap w:val="0"/>
            <w:vAlign w:val="top"/>
          </w:tcPr>
          <w:p w14:paraId="2C35DB61">
            <w:pPr>
              <w:spacing w:line="240" w:lineRule="auto"/>
              <w:rPr>
                <w:rFonts w:hint="eastAsia" w:ascii="宋体" w:hAnsi="宋体" w:eastAsia="宋体" w:cs="宋体"/>
                <w:smallCaps w:val="0"/>
                <w:color w:val="auto"/>
                <w:spacing w:val="0"/>
                <w:sz w:val="21"/>
                <w:highlight w:val="none"/>
              </w:rPr>
            </w:pPr>
          </w:p>
        </w:tc>
      </w:tr>
      <w:tr w14:paraId="57765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130" w:type="dxa"/>
            <w:noWrap w:val="0"/>
            <w:vAlign w:val="top"/>
          </w:tcPr>
          <w:p w14:paraId="23A720C6">
            <w:pPr>
              <w:spacing w:line="240" w:lineRule="auto"/>
              <w:rPr>
                <w:rFonts w:hint="eastAsia" w:ascii="宋体" w:hAnsi="宋体" w:eastAsia="宋体" w:cs="宋体"/>
                <w:smallCaps w:val="0"/>
                <w:color w:val="auto"/>
                <w:spacing w:val="0"/>
                <w:sz w:val="21"/>
                <w:highlight w:val="none"/>
              </w:rPr>
            </w:pPr>
          </w:p>
        </w:tc>
        <w:tc>
          <w:tcPr>
            <w:tcW w:w="1540" w:type="dxa"/>
            <w:noWrap w:val="0"/>
            <w:vAlign w:val="top"/>
          </w:tcPr>
          <w:p w14:paraId="0DB6523C">
            <w:pPr>
              <w:spacing w:line="240" w:lineRule="auto"/>
              <w:rPr>
                <w:rFonts w:hint="eastAsia" w:ascii="宋体" w:hAnsi="宋体" w:eastAsia="宋体" w:cs="宋体"/>
                <w:smallCaps w:val="0"/>
                <w:color w:val="auto"/>
                <w:spacing w:val="0"/>
                <w:sz w:val="21"/>
                <w:highlight w:val="none"/>
              </w:rPr>
            </w:pPr>
          </w:p>
        </w:tc>
        <w:tc>
          <w:tcPr>
            <w:tcW w:w="980" w:type="dxa"/>
            <w:noWrap w:val="0"/>
            <w:vAlign w:val="top"/>
          </w:tcPr>
          <w:p w14:paraId="3C575802">
            <w:pPr>
              <w:spacing w:line="240" w:lineRule="auto"/>
              <w:rPr>
                <w:rFonts w:hint="eastAsia" w:ascii="宋体" w:hAnsi="宋体" w:eastAsia="宋体" w:cs="宋体"/>
                <w:smallCaps w:val="0"/>
                <w:color w:val="auto"/>
                <w:spacing w:val="0"/>
                <w:sz w:val="21"/>
                <w:highlight w:val="none"/>
              </w:rPr>
            </w:pPr>
          </w:p>
        </w:tc>
        <w:tc>
          <w:tcPr>
            <w:tcW w:w="1119" w:type="dxa"/>
            <w:noWrap w:val="0"/>
            <w:vAlign w:val="top"/>
          </w:tcPr>
          <w:p w14:paraId="207B4ED5">
            <w:pPr>
              <w:spacing w:line="240" w:lineRule="auto"/>
              <w:rPr>
                <w:rFonts w:hint="eastAsia" w:ascii="宋体" w:hAnsi="宋体" w:eastAsia="宋体" w:cs="宋体"/>
                <w:smallCaps w:val="0"/>
                <w:color w:val="auto"/>
                <w:spacing w:val="0"/>
                <w:sz w:val="21"/>
                <w:highlight w:val="none"/>
              </w:rPr>
            </w:pPr>
          </w:p>
        </w:tc>
        <w:tc>
          <w:tcPr>
            <w:tcW w:w="1399" w:type="dxa"/>
            <w:noWrap w:val="0"/>
            <w:vAlign w:val="top"/>
          </w:tcPr>
          <w:p w14:paraId="436D680E">
            <w:pPr>
              <w:spacing w:line="240" w:lineRule="auto"/>
              <w:rPr>
                <w:rFonts w:hint="eastAsia" w:ascii="宋体" w:hAnsi="宋体" w:eastAsia="宋体" w:cs="宋体"/>
                <w:smallCaps w:val="0"/>
                <w:color w:val="auto"/>
                <w:spacing w:val="0"/>
                <w:sz w:val="21"/>
                <w:highlight w:val="none"/>
              </w:rPr>
            </w:pPr>
          </w:p>
        </w:tc>
        <w:tc>
          <w:tcPr>
            <w:tcW w:w="1541" w:type="dxa"/>
            <w:noWrap w:val="0"/>
            <w:vAlign w:val="top"/>
          </w:tcPr>
          <w:p w14:paraId="47A87626">
            <w:pPr>
              <w:spacing w:line="240" w:lineRule="auto"/>
              <w:rPr>
                <w:rFonts w:hint="eastAsia" w:ascii="宋体" w:hAnsi="宋体" w:eastAsia="宋体" w:cs="宋体"/>
                <w:smallCaps w:val="0"/>
                <w:color w:val="auto"/>
                <w:spacing w:val="0"/>
                <w:sz w:val="21"/>
                <w:highlight w:val="none"/>
              </w:rPr>
            </w:pPr>
          </w:p>
        </w:tc>
        <w:tc>
          <w:tcPr>
            <w:tcW w:w="1408" w:type="dxa"/>
            <w:noWrap w:val="0"/>
            <w:vAlign w:val="top"/>
          </w:tcPr>
          <w:p w14:paraId="0D498080">
            <w:pPr>
              <w:spacing w:line="240" w:lineRule="auto"/>
              <w:rPr>
                <w:rFonts w:hint="eastAsia" w:ascii="宋体" w:hAnsi="宋体" w:eastAsia="宋体" w:cs="宋体"/>
                <w:smallCaps w:val="0"/>
                <w:color w:val="auto"/>
                <w:spacing w:val="0"/>
                <w:sz w:val="21"/>
                <w:highlight w:val="none"/>
              </w:rPr>
            </w:pPr>
          </w:p>
        </w:tc>
      </w:tr>
      <w:tr w14:paraId="1B4E5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130" w:type="dxa"/>
            <w:noWrap w:val="0"/>
            <w:vAlign w:val="top"/>
          </w:tcPr>
          <w:p w14:paraId="68E3AA4F">
            <w:pPr>
              <w:spacing w:line="240" w:lineRule="auto"/>
              <w:rPr>
                <w:rFonts w:hint="eastAsia" w:ascii="宋体" w:hAnsi="宋体" w:eastAsia="宋体" w:cs="宋体"/>
                <w:smallCaps w:val="0"/>
                <w:color w:val="auto"/>
                <w:spacing w:val="0"/>
                <w:sz w:val="21"/>
                <w:highlight w:val="none"/>
              </w:rPr>
            </w:pPr>
          </w:p>
        </w:tc>
        <w:tc>
          <w:tcPr>
            <w:tcW w:w="1540" w:type="dxa"/>
            <w:noWrap w:val="0"/>
            <w:vAlign w:val="top"/>
          </w:tcPr>
          <w:p w14:paraId="6A0AE134">
            <w:pPr>
              <w:spacing w:line="240" w:lineRule="auto"/>
              <w:rPr>
                <w:rFonts w:hint="eastAsia" w:ascii="宋体" w:hAnsi="宋体" w:eastAsia="宋体" w:cs="宋体"/>
                <w:smallCaps w:val="0"/>
                <w:color w:val="auto"/>
                <w:spacing w:val="0"/>
                <w:sz w:val="21"/>
                <w:highlight w:val="none"/>
              </w:rPr>
            </w:pPr>
          </w:p>
        </w:tc>
        <w:tc>
          <w:tcPr>
            <w:tcW w:w="980" w:type="dxa"/>
            <w:noWrap w:val="0"/>
            <w:vAlign w:val="top"/>
          </w:tcPr>
          <w:p w14:paraId="3862D8AB">
            <w:pPr>
              <w:spacing w:line="240" w:lineRule="auto"/>
              <w:rPr>
                <w:rFonts w:hint="eastAsia" w:ascii="宋体" w:hAnsi="宋体" w:eastAsia="宋体" w:cs="宋体"/>
                <w:smallCaps w:val="0"/>
                <w:color w:val="auto"/>
                <w:spacing w:val="0"/>
                <w:sz w:val="21"/>
                <w:highlight w:val="none"/>
              </w:rPr>
            </w:pPr>
          </w:p>
        </w:tc>
        <w:tc>
          <w:tcPr>
            <w:tcW w:w="1119" w:type="dxa"/>
            <w:noWrap w:val="0"/>
            <w:vAlign w:val="top"/>
          </w:tcPr>
          <w:p w14:paraId="077EEBB2">
            <w:pPr>
              <w:spacing w:line="240" w:lineRule="auto"/>
              <w:rPr>
                <w:rFonts w:hint="eastAsia" w:ascii="宋体" w:hAnsi="宋体" w:eastAsia="宋体" w:cs="宋体"/>
                <w:smallCaps w:val="0"/>
                <w:color w:val="auto"/>
                <w:spacing w:val="0"/>
                <w:sz w:val="21"/>
                <w:highlight w:val="none"/>
              </w:rPr>
            </w:pPr>
          </w:p>
        </w:tc>
        <w:tc>
          <w:tcPr>
            <w:tcW w:w="1399" w:type="dxa"/>
            <w:noWrap w:val="0"/>
            <w:vAlign w:val="top"/>
          </w:tcPr>
          <w:p w14:paraId="2D8DAA1B">
            <w:pPr>
              <w:spacing w:line="240" w:lineRule="auto"/>
              <w:rPr>
                <w:rFonts w:hint="eastAsia" w:ascii="宋体" w:hAnsi="宋体" w:eastAsia="宋体" w:cs="宋体"/>
                <w:smallCaps w:val="0"/>
                <w:color w:val="auto"/>
                <w:spacing w:val="0"/>
                <w:sz w:val="21"/>
                <w:highlight w:val="none"/>
              </w:rPr>
            </w:pPr>
          </w:p>
        </w:tc>
        <w:tc>
          <w:tcPr>
            <w:tcW w:w="1541" w:type="dxa"/>
            <w:noWrap w:val="0"/>
            <w:vAlign w:val="top"/>
          </w:tcPr>
          <w:p w14:paraId="04A32FE6">
            <w:pPr>
              <w:spacing w:line="240" w:lineRule="auto"/>
              <w:rPr>
                <w:rFonts w:hint="eastAsia" w:ascii="宋体" w:hAnsi="宋体" w:eastAsia="宋体" w:cs="宋体"/>
                <w:smallCaps w:val="0"/>
                <w:color w:val="auto"/>
                <w:spacing w:val="0"/>
                <w:sz w:val="21"/>
                <w:highlight w:val="none"/>
              </w:rPr>
            </w:pPr>
          </w:p>
        </w:tc>
        <w:tc>
          <w:tcPr>
            <w:tcW w:w="1408" w:type="dxa"/>
            <w:noWrap w:val="0"/>
            <w:vAlign w:val="top"/>
          </w:tcPr>
          <w:p w14:paraId="7829C84B">
            <w:pPr>
              <w:spacing w:line="240" w:lineRule="auto"/>
              <w:rPr>
                <w:rFonts w:hint="eastAsia" w:ascii="宋体" w:hAnsi="宋体" w:eastAsia="宋体" w:cs="宋体"/>
                <w:smallCaps w:val="0"/>
                <w:color w:val="auto"/>
                <w:spacing w:val="0"/>
                <w:sz w:val="21"/>
                <w:highlight w:val="none"/>
              </w:rPr>
            </w:pPr>
          </w:p>
        </w:tc>
      </w:tr>
      <w:tr w14:paraId="1FFD8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130" w:type="dxa"/>
            <w:noWrap w:val="0"/>
            <w:vAlign w:val="top"/>
          </w:tcPr>
          <w:p w14:paraId="14957BCB">
            <w:pPr>
              <w:spacing w:line="240" w:lineRule="auto"/>
              <w:rPr>
                <w:rFonts w:hint="eastAsia" w:ascii="宋体" w:hAnsi="宋体" w:eastAsia="宋体" w:cs="宋体"/>
                <w:smallCaps w:val="0"/>
                <w:color w:val="auto"/>
                <w:spacing w:val="0"/>
                <w:sz w:val="21"/>
                <w:highlight w:val="none"/>
              </w:rPr>
            </w:pPr>
          </w:p>
        </w:tc>
        <w:tc>
          <w:tcPr>
            <w:tcW w:w="1540" w:type="dxa"/>
            <w:noWrap w:val="0"/>
            <w:vAlign w:val="top"/>
          </w:tcPr>
          <w:p w14:paraId="5A7A9703">
            <w:pPr>
              <w:spacing w:line="240" w:lineRule="auto"/>
              <w:rPr>
                <w:rFonts w:hint="eastAsia" w:ascii="宋体" w:hAnsi="宋体" w:eastAsia="宋体" w:cs="宋体"/>
                <w:smallCaps w:val="0"/>
                <w:color w:val="auto"/>
                <w:spacing w:val="0"/>
                <w:sz w:val="21"/>
                <w:highlight w:val="none"/>
              </w:rPr>
            </w:pPr>
          </w:p>
        </w:tc>
        <w:tc>
          <w:tcPr>
            <w:tcW w:w="980" w:type="dxa"/>
            <w:noWrap w:val="0"/>
            <w:vAlign w:val="top"/>
          </w:tcPr>
          <w:p w14:paraId="7CEF8E5B">
            <w:pPr>
              <w:spacing w:line="240" w:lineRule="auto"/>
              <w:rPr>
                <w:rFonts w:hint="eastAsia" w:ascii="宋体" w:hAnsi="宋体" w:eastAsia="宋体" w:cs="宋体"/>
                <w:smallCaps w:val="0"/>
                <w:color w:val="auto"/>
                <w:spacing w:val="0"/>
                <w:sz w:val="21"/>
                <w:highlight w:val="none"/>
              </w:rPr>
            </w:pPr>
          </w:p>
        </w:tc>
        <w:tc>
          <w:tcPr>
            <w:tcW w:w="1119" w:type="dxa"/>
            <w:noWrap w:val="0"/>
            <w:vAlign w:val="top"/>
          </w:tcPr>
          <w:p w14:paraId="66A98EB5">
            <w:pPr>
              <w:spacing w:line="240" w:lineRule="auto"/>
              <w:rPr>
                <w:rFonts w:hint="eastAsia" w:ascii="宋体" w:hAnsi="宋体" w:eastAsia="宋体" w:cs="宋体"/>
                <w:smallCaps w:val="0"/>
                <w:color w:val="auto"/>
                <w:spacing w:val="0"/>
                <w:sz w:val="21"/>
                <w:highlight w:val="none"/>
              </w:rPr>
            </w:pPr>
          </w:p>
        </w:tc>
        <w:tc>
          <w:tcPr>
            <w:tcW w:w="1399" w:type="dxa"/>
            <w:noWrap w:val="0"/>
            <w:vAlign w:val="top"/>
          </w:tcPr>
          <w:p w14:paraId="25C5EFAB">
            <w:pPr>
              <w:spacing w:line="240" w:lineRule="auto"/>
              <w:rPr>
                <w:rFonts w:hint="eastAsia" w:ascii="宋体" w:hAnsi="宋体" w:eastAsia="宋体" w:cs="宋体"/>
                <w:smallCaps w:val="0"/>
                <w:color w:val="auto"/>
                <w:spacing w:val="0"/>
                <w:sz w:val="21"/>
                <w:highlight w:val="none"/>
              </w:rPr>
            </w:pPr>
          </w:p>
        </w:tc>
        <w:tc>
          <w:tcPr>
            <w:tcW w:w="1541" w:type="dxa"/>
            <w:noWrap w:val="0"/>
            <w:vAlign w:val="top"/>
          </w:tcPr>
          <w:p w14:paraId="485A1F36">
            <w:pPr>
              <w:spacing w:line="240" w:lineRule="auto"/>
              <w:rPr>
                <w:rFonts w:hint="eastAsia" w:ascii="宋体" w:hAnsi="宋体" w:eastAsia="宋体" w:cs="宋体"/>
                <w:smallCaps w:val="0"/>
                <w:color w:val="auto"/>
                <w:spacing w:val="0"/>
                <w:sz w:val="21"/>
                <w:highlight w:val="none"/>
              </w:rPr>
            </w:pPr>
          </w:p>
        </w:tc>
        <w:tc>
          <w:tcPr>
            <w:tcW w:w="1408" w:type="dxa"/>
            <w:noWrap w:val="0"/>
            <w:vAlign w:val="top"/>
          </w:tcPr>
          <w:p w14:paraId="10774D4F">
            <w:pPr>
              <w:spacing w:line="240" w:lineRule="auto"/>
              <w:rPr>
                <w:rFonts w:hint="eastAsia" w:ascii="宋体" w:hAnsi="宋体" w:eastAsia="宋体" w:cs="宋体"/>
                <w:smallCaps w:val="0"/>
                <w:color w:val="auto"/>
                <w:spacing w:val="0"/>
                <w:sz w:val="21"/>
                <w:highlight w:val="none"/>
              </w:rPr>
            </w:pPr>
          </w:p>
        </w:tc>
      </w:tr>
      <w:tr w14:paraId="6B310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130" w:type="dxa"/>
            <w:noWrap w:val="0"/>
            <w:vAlign w:val="top"/>
          </w:tcPr>
          <w:p w14:paraId="625CB44F">
            <w:pPr>
              <w:spacing w:line="240" w:lineRule="auto"/>
              <w:rPr>
                <w:rFonts w:hint="eastAsia" w:ascii="宋体" w:hAnsi="宋体" w:eastAsia="宋体" w:cs="宋体"/>
                <w:smallCaps w:val="0"/>
                <w:color w:val="auto"/>
                <w:spacing w:val="0"/>
                <w:sz w:val="21"/>
                <w:highlight w:val="none"/>
              </w:rPr>
            </w:pPr>
          </w:p>
        </w:tc>
        <w:tc>
          <w:tcPr>
            <w:tcW w:w="1540" w:type="dxa"/>
            <w:noWrap w:val="0"/>
            <w:vAlign w:val="top"/>
          </w:tcPr>
          <w:p w14:paraId="0CFA1F60">
            <w:pPr>
              <w:spacing w:line="240" w:lineRule="auto"/>
              <w:rPr>
                <w:rFonts w:hint="eastAsia" w:ascii="宋体" w:hAnsi="宋体" w:eastAsia="宋体" w:cs="宋体"/>
                <w:smallCaps w:val="0"/>
                <w:color w:val="auto"/>
                <w:spacing w:val="0"/>
                <w:sz w:val="21"/>
                <w:highlight w:val="none"/>
              </w:rPr>
            </w:pPr>
          </w:p>
        </w:tc>
        <w:tc>
          <w:tcPr>
            <w:tcW w:w="980" w:type="dxa"/>
            <w:noWrap w:val="0"/>
            <w:vAlign w:val="top"/>
          </w:tcPr>
          <w:p w14:paraId="0C5069BC">
            <w:pPr>
              <w:spacing w:line="240" w:lineRule="auto"/>
              <w:rPr>
                <w:rFonts w:hint="eastAsia" w:ascii="宋体" w:hAnsi="宋体" w:eastAsia="宋体" w:cs="宋体"/>
                <w:smallCaps w:val="0"/>
                <w:color w:val="auto"/>
                <w:spacing w:val="0"/>
                <w:sz w:val="21"/>
                <w:highlight w:val="none"/>
              </w:rPr>
            </w:pPr>
          </w:p>
        </w:tc>
        <w:tc>
          <w:tcPr>
            <w:tcW w:w="1119" w:type="dxa"/>
            <w:noWrap w:val="0"/>
            <w:vAlign w:val="top"/>
          </w:tcPr>
          <w:p w14:paraId="1ED04121">
            <w:pPr>
              <w:spacing w:line="240" w:lineRule="auto"/>
              <w:rPr>
                <w:rFonts w:hint="eastAsia" w:ascii="宋体" w:hAnsi="宋体" w:eastAsia="宋体" w:cs="宋体"/>
                <w:smallCaps w:val="0"/>
                <w:color w:val="auto"/>
                <w:spacing w:val="0"/>
                <w:sz w:val="21"/>
                <w:highlight w:val="none"/>
              </w:rPr>
            </w:pPr>
          </w:p>
        </w:tc>
        <w:tc>
          <w:tcPr>
            <w:tcW w:w="1399" w:type="dxa"/>
            <w:noWrap w:val="0"/>
            <w:vAlign w:val="top"/>
          </w:tcPr>
          <w:p w14:paraId="0097CA37">
            <w:pPr>
              <w:spacing w:line="240" w:lineRule="auto"/>
              <w:rPr>
                <w:rFonts w:hint="eastAsia" w:ascii="宋体" w:hAnsi="宋体" w:eastAsia="宋体" w:cs="宋体"/>
                <w:smallCaps w:val="0"/>
                <w:color w:val="auto"/>
                <w:spacing w:val="0"/>
                <w:sz w:val="21"/>
                <w:highlight w:val="none"/>
              </w:rPr>
            </w:pPr>
          </w:p>
        </w:tc>
        <w:tc>
          <w:tcPr>
            <w:tcW w:w="1541" w:type="dxa"/>
            <w:noWrap w:val="0"/>
            <w:vAlign w:val="top"/>
          </w:tcPr>
          <w:p w14:paraId="79B2C7F6">
            <w:pPr>
              <w:spacing w:line="240" w:lineRule="auto"/>
              <w:rPr>
                <w:rFonts w:hint="eastAsia" w:ascii="宋体" w:hAnsi="宋体" w:eastAsia="宋体" w:cs="宋体"/>
                <w:smallCaps w:val="0"/>
                <w:color w:val="auto"/>
                <w:spacing w:val="0"/>
                <w:sz w:val="21"/>
                <w:highlight w:val="none"/>
              </w:rPr>
            </w:pPr>
          </w:p>
        </w:tc>
        <w:tc>
          <w:tcPr>
            <w:tcW w:w="1408" w:type="dxa"/>
            <w:noWrap w:val="0"/>
            <w:vAlign w:val="top"/>
          </w:tcPr>
          <w:p w14:paraId="3F81DEE2">
            <w:pPr>
              <w:spacing w:line="240" w:lineRule="auto"/>
              <w:rPr>
                <w:rFonts w:hint="eastAsia" w:ascii="宋体" w:hAnsi="宋体" w:eastAsia="宋体" w:cs="宋体"/>
                <w:smallCaps w:val="0"/>
                <w:color w:val="auto"/>
                <w:spacing w:val="0"/>
                <w:sz w:val="21"/>
                <w:highlight w:val="none"/>
              </w:rPr>
            </w:pPr>
          </w:p>
        </w:tc>
      </w:tr>
      <w:tr w14:paraId="31E77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130" w:type="dxa"/>
            <w:noWrap w:val="0"/>
            <w:vAlign w:val="top"/>
          </w:tcPr>
          <w:p w14:paraId="4F3F43E6">
            <w:pPr>
              <w:spacing w:line="240" w:lineRule="auto"/>
              <w:rPr>
                <w:rFonts w:hint="eastAsia" w:ascii="宋体" w:hAnsi="宋体" w:eastAsia="宋体" w:cs="宋体"/>
                <w:smallCaps w:val="0"/>
                <w:color w:val="auto"/>
                <w:spacing w:val="0"/>
                <w:sz w:val="21"/>
                <w:highlight w:val="none"/>
              </w:rPr>
            </w:pPr>
          </w:p>
        </w:tc>
        <w:tc>
          <w:tcPr>
            <w:tcW w:w="1540" w:type="dxa"/>
            <w:noWrap w:val="0"/>
            <w:vAlign w:val="top"/>
          </w:tcPr>
          <w:p w14:paraId="704CA0EF">
            <w:pPr>
              <w:spacing w:line="240" w:lineRule="auto"/>
              <w:rPr>
                <w:rFonts w:hint="eastAsia" w:ascii="宋体" w:hAnsi="宋体" w:eastAsia="宋体" w:cs="宋体"/>
                <w:smallCaps w:val="0"/>
                <w:color w:val="auto"/>
                <w:spacing w:val="0"/>
                <w:sz w:val="21"/>
                <w:highlight w:val="none"/>
              </w:rPr>
            </w:pPr>
          </w:p>
        </w:tc>
        <w:tc>
          <w:tcPr>
            <w:tcW w:w="980" w:type="dxa"/>
            <w:noWrap w:val="0"/>
            <w:vAlign w:val="top"/>
          </w:tcPr>
          <w:p w14:paraId="6D9672AD">
            <w:pPr>
              <w:spacing w:line="240" w:lineRule="auto"/>
              <w:rPr>
                <w:rFonts w:hint="eastAsia" w:ascii="宋体" w:hAnsi="宋体" w:eastAsia="宋体" w:cs="宋体"/>
                <w:smallCaps w:val="0"/>
                <w:color w:val="auto"/>
                <w:spacing w:val="0"/>
                <w:sz w:val="21"/>
                <w:highlight w:val="none"/>
              </w:rPr>
            </w:pPr>
          </w:p>
        </w:tc>
        <w:tc>
          <w:tcPr>
            <w:tcW w:w="1119" w:type="dxa"/>
            <w:noWrap w:val="0"/>
            <w:vAlign w:val="top"/>
          </w:tcPr>
          <w:p w14:paraId="25097497">
            <w:pPr>
              <w:spacing w:line="240" w:lineRule="auto"/>
              <w:rPr>
                <w:rFonts w:hint="eastAsia" w:ascii="宋体" w:hAnsi="宋体" w:eastAsia="宋体" w:cs="宋体"/>
                <w:smallCaps w:val="0"/>
                <w:color w:val="auto"/>
                <w:spacing w:val="0"/>
                <w:sz w:val="21"/>
                <w:highlight w:val="none"/>
              </w:rPr>
            </w:pPr>
          </w:p>
        </w:tc>
        <w:tc>
          <w:tcPr>
            <w:tcW w:w="1399" w:type="dxa"/>
            <w:noWrap w:val="0"/>
            <w:vAlign w:val="top"/>
          </w:tcPr>
          <w:p w14:paraId="05677A83">
            <w:pPr>
              <w:spacing w:line="240" w:lineRule="auto"/>
              <w:rPr>
                <w:rFonts w:hint="eastAsia" w:ascii="宋体" w:hAnsi="宋体" w:eastAsia="宋体" w:cs="宋体"/>
                <w:smallCaps w:val="0"/>
                <w:color w:val="auto"/>
                <w:spacing w:val="0"/>
                <w:sz w:val="21"/>
                <w:highlight w:val="none"/>
              </w:rPr>
            </w:pPr>
          </w:p>
        </w:tc>
        <w:tc>
          <w:tcPr>
            <w:tcW w:w="1541" w:type="dxa"/>
            <w:noWrap w:val="0"/>
            <w:vAlign w:val="top"/>
          </w:tcPr>
          <w:p w14:paraId="4C7BCB63">
            <w:pPr>
              <w:spacing w:line="240" w:lineRule="auto"/>
              <w:rPr>
                <w:rFonts w:hint="eastAsia" w:ascii="宋体" w:hAnsi="宋体" w:eastAsia="宋体" w:cs="宋体"/>
                <w:smallCaps w:val="0"/>
                <w:color w:val="auto"/>
                <w:spacing w:val="0"/>
                <w:sz w:val="21"/>
                <w:highlight w:val="none"/>
              </w:rPr>
            </w:pPr>
          </w:p>
        </w:tc>
        <w:tc>
          <w:tcPr>
            <w:tcW w:w="1408" w:type="dxa"/>
            <w:noWrap w:val="0"/>
            <w:vAlign w:val="top"/>
          </w:tcPr>
          <w:p w14:paraId="3C15A72C">
            <w:pPr>
              <w:spacing w:line="240" w:lineRule="auto"/>
              <w:rPr>
                <w:rFonts w:hint="eastAsia" w:ascii="宋体" w:hAnsi="宋体" w:eastAsia="宋体" w:cs="宋体"/>
                <w:smallCaps w:val="0"/>
                <w:color w:val="auto"/>
                <w:spacing w:val="0"/>
                <w:sz w:val="21"/>
                <w:highlight w:val="none"/>
              </w:rPr>
            </w:pPr>
          </w:p>
        </w:tc>
      </w:tr>
      <w:tr w14:paraId="26850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1130" w:type="dxa"/>
            <w:noWrap w:val="0"/>
            <w:vAlign w:val="top"/>
          </w:tcPr>
          <w:p w14:paraId="25797198">
            <w:pPr>
              <w:spacing w:line="240" w:lineRule="auto"/>
              <w:rPr>
                <w:rFonts w:hint="eastAsia" w:ascii="宋体" w:hAnsi="宋体" w:eastAsia="宋体" w:cs="宋体"/>
                <w:smallCaps w:val="0"/>
                <w:color w:val="auto"/>
                <w:spacing w:val="0"/>
                <w:sz w:val="21"/>
                <w:highlight w:val="none"/>
              </w:rPr>
            </w:pPr>
          </w:p>
        </w:tc>
        <w:tc>
          <w:tcPr>
            <w:tcW w:w="1540" w:type="dxa"/>
            <w:noWrap w:val="0"/>
            <w:vAlign w:val="top"/>
          </w:tcPr>
          <w:p w14:paraId="3DA72E9B">
            <w:pPr>
              <w:spacing w:line="240" w:lineRule="auto"/>
              <w:rPr>
                <w:rFonts w:hint="eastAsia" w:ascii="宋体" w:hAnsi="宋体" w:eastAsia="宋体" w:cs="宋体"/>
                <w:smallCaps w:val="0"/>
                <w:color w:val="auto"/>
                <w:spacing w:val="0"/>
                <w:sz w:val="21"/>
                <w:highlight w:val="none"/>
              </w:rPr>
            </w:pPr>
          </w:p>
        </w:tc>
        <w:tc>
          <w:tcPr>
            <w:tcW w:w="980" w:type="dxa"/>
            <w:noWrap w:val="0"/>
            <w:vAlign w:val="top"/>
          </w:tcPr>
          <w:p w14:paraId="0E305215">
            <w:pPr>
              <w:spacing w:line="240" w:lineRule="auto"/>
              <w:rPr>
                <w:rFonts w:hint="eastAsia" w:ascii="宋体" w:hAnsi="宋体" w:eastAsia="宋体" w:cs="宋体"/>
                <w:smallCaps w:val="0"/>
                <w:color w:val="auto"/>
                <w:spacing w:val="0"/>
                <w:sz w:val="21"/>
                <w:highlight w:val="none"/>
              </w:rPr>
            </w:pPr>
          </w:p>
        </w:tc>
        <w:tc>
          <w:tcPr>
            <w:tcW w:w="1119" w:type="dxa"/>
            <w:noWrap w:val="0"/>
            <w:vAlign w:val="top"/>
          </w:tcPr>
          <w:p w14:paraId="212AEAFC">
            <w:pPr>
              <w:spacing w:line="240" w:lineRule="auto"/>
              <w:rPr>
                <w:rFonts w:hint="eastAsia" w:ascii="宋体" w:hAnsi="宋体" w:eastAsia="宋体" w:cs="宋体"/>
                <w:smallCaps w:val="0"/>
                <w:color w:val="auto"/>
                <w:spacing w:val="0"/>
                <w:sz w:val="21"/>
                <w:highlight w:val="none"/>
              </w:rPr>
            </w:pPr>
          </w:p>
        </w:tc>
        <w:tc>
          <w:tcPr>
            <w:tcW w:w="1399" w:type="dxa"/>
            <w:noWrap w:val="0"/>
            <w:vAlign w:val="top"/>
          </w:tcPr>
          <w:p w14:paraId="34922C54">
            <w:pPr>
              <w:spacing w:line="240" w:lineRule="auto"/>
              <w:rPr>
                <w:rFonts w:hint="eastAsia" w:ascii="宋体" w:hAnsi="宋体" w:eastAsia="宋体" w:cs="宋体"/>
                <w:smallCaps w:val="0"/>
                <w:color w:val="auto"/>
                <w:spacing w:val="0"/>
                <w:sz w:val="21"/>
                <w:highlight w:val="none"/>
              </w:rPr>
            </w:pPr>
          </w:p>
        </w:tc>
        <w:tc>
          <w:tcPr>
            <w:tcW w:w="1541" w:type="dxa"/>
            <w:noWrap w:val="0"/>
            <w:vAlign w:val="top"/>
          </w:tcPr>
          <w:p w14:paraId="58AC4433">
            <w:pPr>
              <w:spacing w:line="240" w:lineRule="auto"/>
              <w:rPr>
                <w:rFonts w:hint="eastAsia" w:ascii="宋体" w:hAnsi="宋体" w:eastAsia="宋体" w:cs="宋体"/>
                <w:smallCaps w:val="0"/>
                <w:color w:val="auto"/>
                <w:spacing w:val="0"/>
                <w:sz w:val="21"/>
                <w:highlight w:val="none"/>
              </w:rPr>
            </w:pPr>
          </w:p>
        </w:tc>
        <w:tc>
          <w:tcPr>
            <w:tcW w:w="1408" w:type="dxa"/>
            <w:noWrap w:val="0"/>
            <w:vAlign w:val="top"/>
          </w:tcPr>
          <w:p w14:paraId="7B94C0B4">
            <w:pPr>
              <w:spacing w:line="240" w:lineRule="auto"/>
              <w:rPr>
                <w:rFonts w:hint="eastAsia" w:ascii="宋体" w:hAnsi="宋体" w:eastAsia="宋体" w:cs="宋体"/>
                <w:smallCaps w:val="0"/>
                <w:color w:val="auto"/>
                <w:spacing w:val="0"/>
                <w:sz w:val="21"/>
                <w:highlight w:val="none"/>
              </w:rPr>
            </w:pPr>
          </w:p>
        </w:tc>
      </w:tr>
    </w:tbl>
    <w:p w14:paraId="1432F959">
      <w:pPr>
        <w:pStyle w:val="223"/>
        <w:spacing w:before="209" w:line="240" w:lineRule="auto"/>
        <w:ind w:left="330"/>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注：后附项目组成员资格证书等资料</w:t>
      </w:r>
    </w:p>
    <w:p w14:paraId="58803C26">
      <w:pPr>
        <w:pStyle w:val="223"/>
        <w:spacing w:before="209" w:line="240" w:lineRule="auto"/>
        <w:ind w:left="330"/>
        <w:rPr>
          <w:rFonts w:hint="eastAsia" w:ascii="宋体" w:hAnsi="宋体" w:eastAsia="宋体" w:cs="宋体"/>
          <w:smallCaps w:val="0"/>
          <w:color w:val="auto"/>
          <w:spacing w:val="0"/>
          <w:highlight w:val="none"/>
        </w:rPr>
      </w:pPr>
    </w:p>
    <w:p w14:paraId="6B9E5A8C">
      <w:pPr>
        <w:pStyle w:val="223"/>
        <w:spacing w:before="209" w:line="240" w:lineRule="auto"/>
        <w:ind w:left="330"/>
        <w:rPr>
          <w:rFonts w:hint="eastAsia" w:ascii="宋体" w:hAnsi="宋体" w:eastAsia="宋体" w:cs="宋体"/>
          <w:smallCaps w:val="0"/>
          <w:color w:val="auto"/>
          <w:spacing w:val="0"/>
          <w:highlight w:val="none"/>
        </w:rPr>
      </w:pPr>
    </w:p>
    <w:p w14:paraId="5E0411C6">
      <w:pPr>
        <w:pStyle w:val="223"/>
        <w:spacing w:before="209" w:line="240" w:lineRule="auto"/>
        <w:ind w:left="330"/>
        <w:rPr>
          <w:rFonts w:hint="eastAsia" w:ascii="宋体" w:hAnsi="宋体" w:eastAsia="宋体" w:cs="宋体"/>
          <w:smallCaps w:val="0"/>
          <w:color w:val="auto"/>
          <w:spacing w:val="0"/>
          <w:highlight w:val="none"/>
        </w:rPr>
      </w:pPr>
    </w:p>
    <w:p w14:paraId="5BEB4EA6">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lang w:val="en-US" w:eastAsia="zh-CN"/>
        </w:rPr>
        <w:t>或电子公章</w:t>
      </w:r>
      <w:r>
        <w:rPr>
          <w:rFonts w:hint="eastAsia" w:ascii="宋体" w:hAnsi="宋体" w:eastAsia="宋体" w:cs="宋体"/>
          <w:color w:val="auto"/>
          <w:sz w:val="24"/>
          <w:szCs w:val="24"/>
          <w:highlight w:val="none"/>
        </w:rPr>
        <w:t>)：</w:t>
      </w:r>
    </w:p>
    <w:p w14:paraId="5CFAB78D">
      <w:pPr>
        <w:pStyle w:val="20"/>
        <w:spacing w:line="360" w:lineRule="auto"/>
        <w:rPr>
          <w:rFonts w:hint="eastAsia" w:ascii="宋体" w:hAnsi="宋体" w:eastAsia="宋体" w:cs="宋体"/>
          <w:color w:val="auto"/>
          <w:highlight w:val="none"/>
        </w:rPr>
      </w:pPr>
    </w:p>
    <w:p w14:paraId="0E70EF05">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供应商授权代表签字：</w:t>
      </w:r>
    </w:p>
    <w:p w14:paraId="1966F255">
      <w:pPr>
        <w:pStyle w:val="20"/>
        <w:spacing w:line="360" w:lineRule="auto"/>
        <w:rPr>
          <w:rFonts w:hint="eastAsia" w:ascii="宋体" w:hAnsi="宋体" w:eastAsia="宋体" w:cs="宋体"/>
          <w:color w:val="auto"/>
          <w:highlight w:val="none"/>
        </w:rPr>
      </w:pPr>
    </w:p>
    <w:p w14:paraId="0C936FBE">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9ACCC30">
      <w:pPr>
        <w:pStyle w:val="223"/>
        <w:spacing w:before="209" w:line="240" w:lineRule="auto"/>
        <w:ind w:left="330"/>
        <w:rPr>
          <w:rFonts w:hint="eastAsia" w:ascii="宋体" w:hAnsi="宋体" w:eastAsia="宋体" w:cs="宋体"/>
          <w:smallCaps w:val="0"/>
          <w:color w:val="auto"/>
          <w:spacing w:val="0"/>
          <w:highlight w:val="none"/>
        </w:rPr>
        <w:sectPr>
          <w:footerReference r:id="rId14" w:type="default"/>
          <w:pgSz w:w="11905" w:h="16839"/>
          <w:pgMar w:top="1440" w:right="1800" w:bottom="1440" w:left="1800" w:header="0" w:footer="871" w:gutter="0"/>
          <w:cols w:space="720" w:num="1"/>
        </w:sectPr>
      </w:pPr>
    </w:p>
    <w:p w14:paraId="3DE2616C">
      <w:pPr>
        <w:spacing w:line="360" w:lineRule="auto"/>
        <w:jc w:val="center"/>
        <w:rPr>
          <w:rFonts w:hint="eastAsia" w:ascii="宋体" w:hAnsi="宋体" w:eastAsia="宋体" w:cs="宋体"/>
          <w:b/>
          <w:color w:val="auto"/>
          <w:sz w:val="24"/>
          <w:szCs w:val="24"/>
          <w:highlight w:val="none"/>
        </w:rPr>
      </w:pPr>
    </w:p>
    <w:p w14:paraId="15EAAF7B">
      <w:pPr>
        <w:spacing w:line="360" w:lineRule="auto"/>
        <w:jc w:val="center"/>
        <w:rPr>
          <w:rFonts w:hint="eastAsia" w:ascii="宋体" w:hAnsi="宋体" w:eastAsia="宋体" w:cs="宋体"/>
          <w:b/>
          <w:color w:val="auto"/>
          <w:sz w:val="24"/>
          <w:szCs w:val="24"/>
          <w:highlight w:val="none"/>
        </w:rPr>
      </w:pPr>
    </w:p>
    <w:p w14:paraId="632C3FEA">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近三年内（20</w:t>
      </w:r>
      <w:r>
        <w:rPr>
          <w:rFonts w:hint="eastAsia" w:ascii="宋体" w:hAnsi="宋体" w:eastAsia="宋体" w:cs="宋体"/>
          <w:b/>
          <w:color w:val="auto"/>
          <w:sz w:val="24"/>
          <w:szCs w:val="24"/>
          <w:highlight w:val="none"/>
          <w:lang w:val="en-US" w:eastAsia="zh-CN"/>
        </w:rPr>
        <w:t>22</w:t>
      </w:r>
      <w:r>
        <w:rPr>
          <w:rFonts w:hint="eastAsia" w:ascii="宋体" w:hAnsi="宋体" w:eastAsia="宋体" w:cs="宋体"/>
          <w:b/>
          <w:color w:val="auto"/>
          <w:sz w:val="24"/>
          <w:szCs w:val="24"/>
          <w:highlight w:val="none"/>
        </w:rPr>
        <w:t>年至今）类似项目情况表</w:t>
      </w:r>
    </w:p>
    <w:p w14:paraId="3B0A9955">
      <w:pPr>
        <w:jc w:val="center"/>
        <w:rPr>
          <w:rFonts w:hint="eastAsia" w:ascii="宋体" w:hAnsi="宋体" w:eastAsia="宋体" w:cs="宋体"/>
          <w:b/>
          <w:color w:val="auto"/>
          <w:sz w:val="24"/>
          <w:szCs w:val="24"/>
          <w:highlight w:val="none"/>
        </w:rPr>
      </w:pP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7"/>
        <w:gridCol w:w="1872"/>
        <w:gridCol w:w="1262"/>
        <w:gridCol w:w="1262"/>
        <w:gridCol w:w="1262"/>
        <w:gridCol w:w="1430"/>
      </w:tblGrid>
      <w:tr w14:paraId="7B60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09" w:type="dxa"/>
            <w:noWrap w:val="0"/>
            <w:vAlign w:val="center"/>
          </w:tcPr>
          <w:p w14:paraId="00F3BB4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7" w:type="dxa"/>
            <w:noWrap w:val="0"/>
            <w:vAlign w:val="center"/>
          </w:tcPr>
          <w:p w14:paraId="739D16D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业主名称</w:t>
            </w:r>
          </w:p>
        </w:tc>
        <w:tc>
          <w:tcPr>
            <w:tcW w:w="1872" w:type="dxa"/>
            <w:noWrap w:val="0"/>
            <w:vAlign w:val="center"/>
          </w:tcPr>
          <w:p w14:paraId="2E95FEC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262" w:type="dxa"/>
            <w:noWrap w:val="0"/>
            <w:vAlign w:val="center"/>
          </w:tcPr>
          <w:p w14:paraId="430B6FF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262" w:type="dxa"/>
            <w:noWrap w:val="0"/>
            <w:vAlign w:val="center"/>
          </w:tcPr>
          <w:p w14:paraId="08CAD52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262" w:type="dxa"/>
            <w:noWrap w:val="0"/>
            <w:vAlign w:val="center"/>
          </w:tcPr>
          <w:p w14:paraId="3A88083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完成情况</w:t>
            </w:r>
          </w:p>
        </w:tc>
        <w:tc>
          <w:tcPr>
            <w:tcW w:w="1430" w:type="dxa"/>
            <w:noWrap w:val="0"/>
            <w:vAlign w:val="center"/>
          </w:tcPr>
          <w:p w14:paraId="13CFAD5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是否有用户反馈情况</w:t>
            </w:r>
          </w:p>
        </w:tc>
      </w:tr>
      <w:tr w14:paraId="32EF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09" w:type="dxa"/>
            <w:noWrap w:val="0"/>
            <w:vAlign w:val="top"/>
          </w:tcPr>
          <w:p w14:paraId="366E9218">
            <w:pPr>
              <w:spacing w:line="360" w:lineRule="auto"/>
              <w:jc w:val="center"/>
              <w:rPr>
                <w:rFonts w:hint="eastAsia" w:ascii="宋体" w:hAnsi="宋体" w:eastAsia="宋体" w:cs="宋体"/>
                <w:color w:val="auto"/>
                <w:sz w:val="24"/>
                <w:szCs w:val="24"/>
                <w:highlight w:val="none"/>
              </w:rPr>
            </w:pPr>
          </w:p>
        </w:tc>
        <w:tc>
          <w:tcPr>
            <w:tcW w:w="1417" w:type="dxa"/>
            <w:noWrap w:val="0"/>
            <w:vAlign w:val="top"/>
          </w:tcPr>
          <w:p w14:paraId="4B2EE6D6">
            <w:pPr>
              <w:spacing w:line="360" w:lineRule="auto"/>
              <w:jc w:val="center"/>
              <w:rPr>
                <w:rFonts w:hint="eastAsia" w:ascii="宋体" w:hAnsi="宋体" w:eastAsia="宋体" w:cs="宋体"/>
                <w:color w:val="auto"/>
                <w:sz w:val="24"/>
                <w:szCs w:val="24"/>
                <w:highlight w:val="none"/>
              </w:rPr>
            </w:pPr>
          </w:p>
        </w:tc>
        <w:tc>
          <w:tcPr>
            <w:tcW w:w="1872" w:type="dxa"/>
            <w:noWrap w:val="0"/>
            <w:vAlign w:val="top"/>
          </w:tcPr>
          <w:p w14:paraId="37021EA3">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6CDB5391">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1B136AD5">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5ABDD53F">
            <w:pPr>
              <w:spacing w:line="360" w:lineRule="auto"/>
              <w:jc w:val="center"/>
              <w:rPr>
                <w:rFonts w:hint="eastAsia" w:ascii="宋体" w:hAnsi="宋体" w:eastAsia="宋体" w:cs="宋体"/>
                <w:color w:val="auto"/>
                <w:sz w:val="24"/>
                <w:szCs w:val="24"/>
                <w:highlight w:val="none"/>
              </w:rPr>
            </w:pPr>
          </w:p>
        </w:tc>
        <w:tc>
          <w:tcPr>
            <w:tcW w:w="1430" w:type="dxa"/>
            <w:noWrap w:val="0"/>
            <w:vAlign w:val="top"/>
          </w:tcPr>
          <w:p w14:paraId="4FF66366">
            <w:pPr>
              <w:spacing w:line="360" w:lineRule="auto"/>
              <w:jc w:val="center"/>
              <w:rPr>
                <w:rFonts w:hint="eastAsia" w:ascii="宋体" w:hAnsi="宋体" w:eastAsia="宋体" w:cs="宋体"/>
                <w:color w:val="auto"/>
                <w:sz w:val="24"/>
                <w:szCs w:val="24"/>
                <w:highlight w:val="none"/>
              </w:rPr>
            </w:pPr>
          </w:p>
        </w:tc>
      </w:tr>
      <w:tr w14:paraId="457F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09" w:type="dxa"/>
            <w:noWrap w:val="0"/>
            <w:vAlign w:val="top"/>
          </w:tcPr>
          <w:p w14:paraId="4863D36D">
            <w:pPr>
              <w:spacing w:line="360" w:lineRule="auto"/>
              <w:jc w:val="center"/>
              <w:rPr>
                <w:rFonts w:hint="eastAsia" w:ascii="宋体" w:hAnsi="宋体" w:eastAsia="宋体" w:cs="宋体"/>
                <w:color w:val="auto"/>
                <w:sz w:val="24"/>
                <w:szCs w:val="24"/>
                <w:highlight w:val="none"/>
              </w:rPr>
            </w:pPr>
          </w:p>
        </w:tc>
        <w:tc>
          <w:tcPr>
            <w:tcW w:w="1417" w:type="dxa"/>
            <w:noWrap w:val="0"/>
            <w:vAlign w:val="top"/>
          </w:tcPr>
          <w:p w14:paraId="22272B8F">
            <w:pPr>
              <w:spacing w:line="360" w:lineRule="auto"/>
              <w:jc w:val="center"/>
              <w:rPr>
                <w:rFonts w:hint="eastAsia" w:ascii="宋体" w:hAnsi="宋体" w:eastAsia="宋体" w:cs="宋体"/>
                <w:color w:val="auto"/>
                <w:sz w:val="24"/>
                <w:szCs w:val="24"/>
                <w:highlight w:val="none"/>
              </w:rPr>
            </w:pPr>
          </w:p>
        </w:tc>
        <w:tc>
          <w:tcPr>
            <w:tcW w:w="1872" w:type="dxa"/>
            <w:noWrap w:val="0"/>
            <w:vAlign w:val="top"/>
          </w:tcPr>
          <w:p w14:paraId="7A046810">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5CAE210A">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6C117ED8">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01973DFC">
            <w:pPr>
              <w:spacing w:line="360" w:lineRule="auto"/>
              <w:jc w:val="center"/>
              <w:rPr>
                <w:rFonts w:hint="eastAsia" w:ascii="宋体" w:hAnsi="宋体" w:eastAsia="宋体" w:cs="宋体"/>
                <w:color w:val="auto"/>
                <w:sz w:val="24"/>
                <w:szCs w:val="24"/>
                <w:highlight w:val="none"/>
              </w:rPr>
            </w:pPr>
          </w:p>
        </w:tc>
        <w:tc>
          <w:tcPr>
            <w:tcW w:w="1430" w:type="dxa"/>
            <w:noWrap w:val="0"/>
            <w:vAlign w:val="top"/>
          </w:tcPr>
          <w:p w14:paraId="379CF239">
            <w:pPr>
              <w:spacing w:line="360" w:lineRule="auto"/>
              <w:jc w:val="center"/>
              <w:rPr>
                <w:rFonts w:hint="eastAsia" w:ascii="宋体" w:hAnsi="宋体" w:eastAsia="宋体" w:cs="宋体"/>
                <w:color w:val="auto"/>
                <w:sz w:val="24"/>
                <w:szCs w:val="24"/>
                <w:highlight w:val="none"/>
              </w:rPr>
            </w:pPr>
          </w:p>
        </w:tc>
      </w:tr>
      <w:tr w14:paraId="6819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09" w:type="dxa"/>
            <w:noWrap w:val="0"/>
            <w:vAlign w:val="top"/>
          </w:tcPr>
          <w:p w14:paraId="3618B004">
            <w:pPr>
              <w:spacing w:line="360" w:lineRule="auto"/>
              <w:jc w:val="center"/>
              <w:rPr>
                <w:rFonts w:hint="eastAsia" w:ascii="宋体" w:hAnsi="宋体" w:eastAsia="宋体" w:cs="宋体"/>
                <w:color w:val="auto"/>
                <w:sz w:val="24"/>
                <w:szCs w:val="24"/>
                <w:highlight w:val="none"/>
              </w:rPr>
            </w:pPr>
          </w:p>
        </w:tc>
        <w:tc>
          <w:tcPr>
            <w:tcW w:w="1417" w:type="dxa"/>
            <w:noWrap w:val="0"/>
            <w:vAlign w:val="top"/>
          </w:tcPr>
          <w:p w14:paraId="51365686">
            <w:pPr>
              <w:spacing w:line="360" w:lineRule="auto"/>
              <w:jc w:val="center"/>
              <w:rPr>
                <w:rFonts w:hint="eastAsia" w:ascii="宋体" w:hAnsi="宋体" w:eastAsia="宋体" w:cs="宋体"/>
                <w:color w:val="auto"/>
                <w:sz w:val="24"/>
                <w:szCs w:val="24"/>
                <w:highlight w:val="none"/>
              </w:rPr>
            </w:pPr>
          </w:p>
        </w:tc>
        <w:tc>
          <w:tcPr>
            <w:tcW w:w="1872" w:type="dxa"/>
            <w:noWrap w:val="0"/>
            <w:vAlign w:val="top"/>
          </w:tcPr>
          <w:p w14:paraId="1267E4BB">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248D05BA">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3D2D08C0">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0AF073C3">
            <w:pPr>
              <w:spacing w:line="360" w:lineRule="auto"/>
              <w:jc w:val="center"/>
              <w:rPr>
                <w:rFonts w:hint="eastAsia" w:ascii="宋体" w:hAnsi="宋体" w:eastAsia="宋体" w:cs="宋体"/>
                <w:color w:val="auto"/>
                <w:sz w:val="24"/>
                <w:szCs w:val="24"/>
                <w:highlight w:val="none"/>
              </w:rPr>
            </w:pPr>
          </w:p>
        </w:tc>
        <w:tc>
          <w:tcPr>
            <w:tcW w:w="1430" w:type="dxa"/>
            <w:noWrap w:val="0"/>
            <w:vAlign w:val="top"/>
          </w:tcPr>
          <w:p w14:paraId="05879947">
            <w:pPr>
              <w:spacing w:line="360" w:lineRule="auto"/>
              <w:jc w:val="center"/>
              <w:rPr>
                <w:rFonts w:hint="eastAsia" w:ascii="宋体" w:hAnsi="宋体" w:eastAsia="宋体" w:cs="宋体"/>
                <w:color w:val="auto"/>
                <w:sz w:val="24"/>
                <w:szCs w:val="24"/>
                <w:highlight w:val="none"/>
              </w:rPr>
            </w:pPr>
          </w:p>
        </w:tc>
      </w:tr>
      <w:tr w14:paraId="3FAD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09" w:type="dxa"/>
            <w:noWrap w:val="0"/>
            <w:vAlign w:val="top"/>
          </w:tcPr>
          <w:p w14:paraId="3366C615">
            <w:pPr>
              <w:spacing w:line="360" w:lineRule="auto"/>
              <w:jc w:val="center"/>
              <w:rPr>
                <w:rFonts w:hint="eastAsia" w:ascii="宋体" w:hAnsi="宋体" w:eastAsia="宋体" w:cs="宋体"/>
                <w:color w:val="auto"/>
                <w:sz w:val="24"/>
                <w:szCs w:val="24"/>
                <w:highlight w:val="none"/>
              </w:rPr>
            </w:pPr>
          </w:p>
        </w:tc>
        <w:tc>
          <w:tcPr>
            <w:tcW w:w="1417" w:type="dxa"/>
            <w:noWrap w:val="0"/>
            <w:vAlign w:val="top"/>
          </w:tcPr>
          <w:p w14:paraId="6DB6EA59">
            <w:pPr>
              <w:spacing w:line="360" w:lineRule="auto"/>
              <w:jc w:val="center"/>
              <w:rPr>
                <w:rFonts w:hint="eastAsia" w:ascii="宋体" w:hAnsi="宋体" w:eastAsia="宋体" w:cs="宋体"/>
                <w:color w:val="auto"/>
                <w:sz w:val="24"/>
                <w:szCs w:val="24"/>
                <w:highlight w:val="none"/>
              </w:rPr>
            </w:pPr>
          </w:p>
        </w:tc>
        <w:tc>
          <w:tcPr>
            <w:tcW w:w="1872" w:type="dxa"/>
            <w:noWrap w:val="0"/>
            <w:vAlign w:val="top"/>
          </w:tcPr>
          <w:p w14:paraId="209CC77C">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6F4A8C1C">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246A86D0">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6A4C3BD3">
            <w:pPr>
              <w:spacing w:line="360" w:lineRule="auto"/>
              <w:jc w:val="center"/>
              <w:rPr>
                <w:rFonts w:hint="eastAsia" w:ascii="宋体" w:hAnsi="宋体" w:eastAsia="宋体" w:cs="宋体"/>
                <w:color w:val="auto"/>
                <w:sz w:val="24"/>
                <w:szCs w:val="24"/>
                <w:highlight w:val="none"/>
              </w:rPr>
            </w:pPr>
          </w:p>
        </w:tc>
        <w:tc>
          <w:tcPr>
            <w:tcW w:w="1430" w:type="dxa"/>
            <w:noWrap w:val="0"/>
            <w:vAlign w:val="top"/>
          </w:tcPr>
          <w:p w14:paraId="121D6655">
            <w:pPr>
              <w:spacing w:line="360" w:lineRule="auto"/>
              <w:jc w:val="center"/>
              <w:rPr>
                <w:rFonts w:hint="eastAsia" w:ascii="宋体" w:hAnsi="宋体" w:eastAsia="宋体" w:cs="宋体"/>
                <w:color w:val="auto"/>
                <w:sz w:val="24"/>
                <w:szCs w:val="24"/>
                <w:highlight w:val="none"/>
              </w:rPr>
            </w:pPr>
          </w:p>
        </w:tc>
      </w:tr>
      <w:tr w14:paraId="3079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09" w:type="dxa"/>
            <w:noWrap w:val="0"/>
            <w:vAlign w:val="top"/>
          </w:tcPr>
          <w:p w14:paraId="0653F302">
            <w:pPr>
              <w:spacing w:line="360" w:lineRule="auto"/>
              <w:jc w:val="center"/>
              <w:rPr>
                <w:rFonts w:hint="eastAsia" w:ascii="宋体" w:hAnsi="宋体" w:eastAsia="宋体" w:cs="宋体"/>
                <w:color w:val="auto"/>
                <w:sz w:val="24"/>
                <w:szCs w:val="24"/>
                <w:highlight w:val="none"/>
              </w:rPr>
            </w:pPr>
          </w:p>
        </w:tc>
        <w:tc>
          <w:tcPr>
            <w:tcW w:w="1417" w:type="dxa"/>
            <w:noWrap w:val="0"/>
            <w:vAlign w:val="top"/>
          </w:tcPr>
          <w:p w14:paraId="2975C5F3">
            <w:pPr>
              <w:spacing w:line="360" w:lineRule="auto"/>
              <w:jc w:val="center"/>
              <w:rPr>
                <w:rFonts w:hint="eastAsia" w:ascii="宋体" w:hAnsi="宋体" w:eastAsia="宋体" w:cs="宋体"/>
                <w:color w:val="auto"/>
                <w:sz w:val="24"/>
                <w:szCs w:val="24"/>
                <w:highlight w:val="none"/>
              </w:rPr>
            </w:pPr>
          </w:p>
        </w:tc>
        <w:tc>
          <w:tcPr>
            <w:tcW w:w="1872" w:type="dxa"/>
            <w:noWrap w:val="0"/>
            <w:vAlign w:val="top"/>
          </w:tcPr>
          <w:p w14:paraId="2B989639">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07FA60BA">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701531D5">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6EACF4C8">
            <w:pPr>
              <w:spacing w:line="360" w:lineRule="auto"/>
              <w:jc w:val="center"/>
              <w:rPr>
                <w:rFonts w:hint="eastAsia" w:ascii="宋体" w:hAnsi="宋体" w:eastAsia="宋体" w:cs="宋体"/>
                <w:color w:val="auto"/>
                <w:sz w:val="24"/>
                <w:szCs w:val="24"/>
                <w:highlight w:val="none"/>
              </w:rPr>
            </w:pPr>
          </w:p>
        </w:tc>
        <w:tc>
          <w:tcPr>
            <w:tcW w:w="1430" w:type="dxa"/>
            <w:noWrap w:val="0"/>
            <w:vAlign w:val="top"/>
          </w:tcPr>
          <w:p w14:paraId="77E23FDE">
            <w:pPr>
              <w:spacing w:line="360" w:lineRule="auto"/>
              <w:jc w:val="center"/>
              <w:rPr>
                <w:rFonts w:hint="eastAsia" w:ascii="宋体" w:hAnsi="宋体" w:eastAsia="宋体" w:cs="宋体"/>
                <w:color w:val="auto"/>
                <w:sz w:val="24"/>
                <w:szCs w:val="24"/>
                <w:highlight w:val="none"/>
              </w:rPr>
            </w:pPr>
          </w:p>
        </w:tc>
      </w:tr>
    </w:tbl>
    <w:p w14:paraId="4EB0CAE0">
      <w:pPr>
        <w:spacing w:line="360" w:lineRule="auto"/>
        <w:rPr>
          <w:rFonts w:hint="eastAsia" w:ascii="宋体" w:hAnsi="宋体" w:eastAsia="宋体" w:cs="宋体"/>
          <w:color w:val="auto"/>
          <w:sz w:val="24"/>
          <w:szCs w:val="24"/>
          <w:highlight w:val="none"/>
        </w:rPr>
      </w:pPr>
    </w:p>
    <w:p w14:paraId="3C41975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注：1、供应商必须提供能够证明上述案例真实性的合同，合同复印件中必须至少包括合同的甲乙双方，合同详细标的和双方签章及生效时间；</w:t>
      </w:r>
    </w:p>
    <w:p w14:paraId="34EE1473">
      <w:pPr>
        <w:numPr>
          <w:ilvl w:val="0"/>
          <w:numId w:val="10"/>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如供应商成立日期不足</w:t>
      </w:r>
      <w:r>
        <w:rPr>
          <w:rFonts w:hint="eastAsia" w:ascii="宋体" w:hAnsi="宋体" w:eastAsia="宋体" w:cs="宋体"/>
          <w:b/>
          <w:color w:val="auto"/>
          <w:sz w:val="24"/>
          <w:szCs w:val="24"/>
          <w:highlight w:val="none"/>
        </w:rPr>
        <w:t>三</w:t>
      </w:r>
      <w:r>
        <w:rPr>
          <w:rFonts w:hint="eastAsia" w:ascii="宋体" w:hAnsi="宋体" w:eastAsia="宋体" w:cs="宋体"/>
          <w:color w:val="auto"/>
          <w:sz w:val="24"/>
          <w:highlight w:val="none"/>
        </w:rPr>
        <w:t>年，请提供自成立之日至递交响应文件之日的同类项目业绩；</w:t>
      </w:r>
    </w:p>
    <w:p w14:paraId="37E6CE7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3、所有复印件应清晰，并由供应商单位加盖公章；</w:t>
      </w:r>
    </w:p>
    <w:p w14:paraId="3B72C3D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4、不提供复印件的业绩，评分阶段不予以考虑。</w:t>
      </w:r>
    </w:p>
    <w:p w14:paraId="548CC340">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lang w:val="en-US" w:eastAsia="zh-CN"/>
        </w:rPr>
        <w:t>或电子公章</w:t>
      </w:r>
      <w:r>
        <w:rPr>
          <w:rFonts w:hint="eastAsia" w:ascii="宋体" w:hAnsi="宋体" w:eastAsia="宋体" w:cs="宋体"/>
          <w:color w:val="auto"/>
          <w:sz w:val="24"/>
          <w:szCs w:val="24"/>
          <w:highlight w:val="none"/>
        </w:rPr>
        <w:t>)：</w:t>
      </w:r>
    </w:p>
    <w:p w14:paraId="5917DB73">
      <w:pPr>
        <w:pStyle w:val="20"/>
        <w:spacing w:line="360" w:lineRule="auto"/>
        <w:rPr>
          <w:rFonts w:hint="eastAsia" w:ascii="宋体" w:hAnsi="宋体" w:eastAsia="宋体" w:cs="宋体"/>
          <w:color w:val="auto"/>
          <w:highlight w:val="none"/>
        </w:rPr>
      </w:pPr>
    </w:p>
    <w:p w14:paraId="50814952">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供应商授权代表签字：</w:t>
      </w:r>
    </w:p>
    <w:p w14:paraId="7CC91B49">
      <w:pPr>
        <w:pStyle w:val="20"/>
        <w:spacing w:line="360" w:lineRule="auto"/>
        <w:rPr>
          <w:rFonts w:hint="eastAsia" w:ascii="宋体" w:hAnsi="宋体" w:eastAsia="宋体" w:cs="宋体"/>
          <w:color w:val="auto"/>
          <w:highlight w:val="none"/>
        </w:rPr>
      </w:pPr>
    </w:p>
    <w:p w14:paraId="02776F7A">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01B934A">
      <w:pPr>
        <w:keepNext/>
        <w:keepLines/>
        <w:outlineLvl w:val="1"/>
        <w:rPr>
          <w:rFonts w:hint="eastAsia" w:ascii="宋体" w:hAnsi="宋体" w:eastAsia="宋体" w:cs="宋体"/>
          <w:b/>
          <w:color w:val="auto"/>
          <w:kern w:val="0"/>
          <w:sz w:val="36"/>
          <w:szCs w:val="21"/>
          <w:highlight w:val="none"/>
          <w:lang w:val="en-US" w:eastAsia="zh-CN"/>
        </w:rPr>
      </w:pPr>
      <w:r>
        <w:rPr>
          <w:rFonts w:hint="eastAsia" w:ascii="宋体" w:hAnsi="宋体" w:eastAsia="宋体" w:cs="宋体"/>
          <w:color w:val="auto"/>
          <w:sz w:val="24"/>
          <w:szCs w:val="24"/>
          <w:highlight w:val="none"/>
          <w:u w:val="single"/>
        </w:rPr>
        <w:br w:type="page"/>
      </w:r>
      <w:bookmarkStart w:id="380" w:name="_Toc16175"/>
      <w:bookmarkStart w:id="381" w:name="_Toc44700110"/>
      <w:r>
        <w:rPr>
          <w:rFonts w:hint="eastAsia" w:ascii="宋体" w:hAnsi="宋体" w:eastAsia="宋体" w:cs="宋体"/>
          <w:b/>
          <w:color w:val="auto"/>
          <w:kern w:val="0"/>
          <w:sz w:val="36"/>
          <w:szCs w:val="21"/>
          <w:highlight w:val="none"/>
          <w:lang w:val="en-US" w:eastAsia="zh-CN"/>
        </w:rPr>
        <w:t>8.12技术方案</w:t>
      </w:r>
      <w:bookmarkEnd w:id="380"/>
      <w:bookmarkEnd w:id="381"/>
    </w:p>
    <w:p w14:paraId="0E55EFE3">
      <w:pPr>
        <w:spacing w:line="360" w:lineRule="auto"/>
        <w:ind w:left="178"/>
        <w:jc w:val="center"/>
        <w:rPr>
          <w:rFonts w:hint="eastAsia" w:ascii="宋体" w:hAnsi="宋体" w:eastAsia="宋体" w:cs="宋体"/>
          <w:color w:val="auto"/>
          <w:highlight w:val="none"/>
        </w:rPr>
      </w:pPr>
      <w:r>
        <w:rPr>
          <w:rFonts w:hint="eastAsia" w:ascii="宋体" w:hAnsi="宋体" w:eastAsia="宋体" w:cs="宋体"/>
          <w:color w:val="auto"/>
          <w:sz w:val="24"/>
          <w:highlight w:val="none"/>
        </w:rPr>
        <w:t>(参照评标办法（格式内容自拟）)</w:t>
      </w:r>
    </w:p>
    <w:p w14:paraId="52471550">
      <w:pPr>
        <w:spacing w:line="360" w:lineRule="auto"/>
        <w:ind w:firstLine="480" w:firstLineChars="200"/>
        <w:rPr>
          <w:rFonts w:hint="eastAsia" w:ascii="宋体" w:hAnsi="宋体" w:eastAsia="宋体" w:cs="宋体"/>
          <w:color w:val="auto"/>
          <w:sz w:val="24"/>
          <w:szCs w:val="24"/>
          <w:highlight w:val="none"/>
        </w:rPr>
      </w:pPr>
    </w:p>
    <w:p w14:paraId="0370CCF2">
      <w:pPr>
        <w:spacing w:line="360" w:lineRule="auto"/>
        <w:ind w:firstLine="435"/>
        <w:rPr>
          <w:rFonts w:hint="eastAsia" w:ascii="宋体" w:hAnsi="宋体" w:eastAsia="宋体" w:cs="宋体"/>
          <w:color w:val="auto"/>
          <w:sz w:val="24"/>
          <w:szCs w:val="24"/>
          <w:highlight w:val="none"/>
        </w:rPr>
      </w:pPr>
    </w:p>
    <w:p w14:paraId="787561A0">
      <w:pPr>
        <w:spacing w:line="360" w:lineRule="auto"/>
        <w:ind w:firstLine="435"/>
        <w:rPr>
          <w:rFonts w:hint="eastAsia" w:ascii="宋体" w:hAnsi="宋体" w:eastAsia="宋体" w:cs="宋体"/>
          <w:color w:val="auto"/>
          <w:sz w:val="24"/>
          <w:szCs w:val="24"/>
          <w:highlight w:val="none"/>
        </w:rPr>
      </w:pPr>
    </w:p>
    <w:p w14:paraId="377B916F">
      <w:pPr>
        <w:spacing w:line="360" w:lineRule="auto"/>
        <w:ind w:firstLine="435"/>
        <w:rPr>
          <w:rFonts w:hint="eastAsia" w:ascii="宋体" w:hAnsi="宋体" w:eastAsia="宋体" w:cs="宋体"/>
          <w:color w:val="auto"/>
          <w:sz w:val="24"/>
          <w:szCs w:val="24"/>
          <w:highlight w:val="none"/>
        </w:rPr>
      </w:pPr>
    </w:p>
    <w:p w14:paraId="1750E549">
      <w:pPr>
        <w:spacing w:line="360" w:lineRule="auto"/>
        <w:ind w:firstLine="435"/>
        <w:rPr>
          <w:rFonts w:hint="eastAsia" w:ascii="宋体" w:hAnsi="宋体" w:eastAsia="宋体" w:cs="宋体"/>
          <w:color w:val="auto"/>
          <w:sz w:val="24"/>
          <w:szCs w:val="24"/>
          <w:highlight w:val="none"/>
        </w:rPr>
      </w:pPr>
    </w:p>
    <w:p w14:paraId="0F00B20B">
      <w:pPr>
        <w:spacing w:line="360" w:lineRule="auto"/>
        <w:ind w:firstLine="435"/>
        <w:rPr>
          <w:rFonts w:hint="eastAsia" w:ascii="宋体" w:hAnsi="宋体" w:eastAsia="宋体" w:cs="宋体"/>
          <w:color w:val="auto"/>
          <w:sz w:val="24"/>
          <w:szCs w:val="24"/>
          <w:highlight w:val="none"/>
        </w:rPr>
      </w:pPr>
    </w:p>
    <w:p w14:paraId="5F856322">
      <w:pPr>
        <w:spacing w:line="360" w:lineRule="auto"/>
        <w:ind w:firstLine="435"/>
        <w:rPr>
          <w:rFonts w:hint="eastAsia" w:ascii="宋体" w:hAnsi="宋体" w:eastAsia="宋体" w:cs="宋体"/>
          <w:color w:val="auto"/>
          <w:sz w:val="24"/>
          <w:szCs w:val="24"/>
          <w:highlight w:val="none"/>
        </w:rPr>
      </w:pPr>
    </w:p>
    <w:p w14:paraId="4D1612FF">
      <w:pPr>
        <w:spacing w:line="360" w:lineRule="auto"/>
        <w:ind w:firstLine="435"/>
        <w:rPr>
          <w:rFonts w:hint="eastAsia" w:ascii="宋体" w:hAnsi="宋体" w:eastAsia="宋体" w:cs="宋体"/>
          <w:color w:val="auto"/>
          <w:sz w:val="24"/>
          <w:szCs w:val="24"/>
          <w:highlight w:val="none"/>
        </w:rPr>
      </w:pPr>
    </w:p>
    <w:p w14:paraId="45439047">
      <w:pPr>
        <w:spacing w:line="360" w:lineRule="auto"/>
        <w:ind w:firstLine="435"/>
        <w:rPr>
          <w:rFonts w:hint="eastAsia" w:ascii="宋体" w:hAnsi="宋体" w:eastAsia="宋体" w:cs="宋体"/>
          <w:color w:val="auto"/>
          <w:sz w:val="24"/>
          <w:szCs w:val="24"/>
          <w:highlight w:val="none"/>
        </w:rPr>
      </w:pPr>
    </w:p>
    <w:p w14:paraId="59FAFC99">
      <w:pPr>
        <w:spacing w:line="360" w:lineRule="auto"/>
        <w:rPr>
          <w:rFonts w:hint="eastAsia" w:ascii="宋体" w:hAnsi="宋体" w:eastAsia="宋体" w:cs="宋体"/>
          <w:color w:val="auto"/>
          <w:sz w:val="24"/>
          <w:szCs w:val="24"/>
          <w:highlight w:val="none"/>
        </w:rPr>
      </w:pPr>
    </w:p>
    <w:p w14:paraId="5C417505">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lang w:val="en-US" w:eastAsia="zh-CN"/>
        </w:rPr>
        <w:t>或电子公章</w:t>
      </w:r>
      <w:r>
        <w:rPr>
          <w:rFonts w:hint="eastAsia" w:ascii="宋体" w:hAnsi="宋体" w:eastAsia="宋体" w:cs="宋体"/>
          <w:color w:val="auto"/>
          <w:sz w:val="24"/>
          <w:szCs w:val="24"/>
          <w:highlight w:val="none"/>
        </w:rPr>
        <w:t>)：</w:t>
      </w:r>
    </w:p>
    <w:p w14:paraId="76E8B345">
      <w:pPr>
        <w:pStyle w:val="20"/>
        <w:spacing w:line="360" w:lineRule="auto"/>
        <w:rPr>
          <w:rFonts w:hint="eastAsia" w:ascii="宋体" w:hAnsi="宋体" w:eastAsia="宋体" w:cs="宋体"/>
          <w:color w:val="auto"/>
          <w:highlight w:val="none"/>
        </w:rPr>
      </w:pPr>
    </w:p>
    <w:p w14:paraId="6B84F0F9">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供应商授权代表签字：</w:t>
      </w:r>
    </w:p>
    <w:p w14:paraId="23E9133F">
      <w:pPr>
        <w:pStyle w:val="20"/>
        <w:spacing w:line="360" w:lineRule="auto"/>
        <w:rPr>
          <w:rFonts w:hint="eastAsia" w:ascii="宋体" w:hAnsi="宋体" w:eastAsia="宋体" w:cs="宋体"/>
          <w:color w:val="auto"/>
          <w:highlight w:val="none"/>
        </w:rPr>
      </w:pPr>
    </w:p>
    <w:p w14:paraId="1BE458C1">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36B116CF">
      <w:pPr>
        <w:spacing w:line="360" w:lineRule="auto"/>
        <w:jc w:val="right"/>
        <w:rPr>
          <w:rFonts w:hint="eastAsia" w:ascii="宋体" w:hAnsi="宋体" w:eastAsia="宋体" w:cs="宋体"/>
          <w:color w:val="auto"/>
          <w:sz w:val="24"/>
          <w:szCs w:val="24"/>
          <w:highlight w:val="none"/>
        </w:rPr>
      </w:pPr>
    </w:p>
    <w:p w14:paraId="20047709">
      <w:pPr>
        <w:rPr>
          <w:rFonts w:hint="eastAsia" w:ascii="宋体" w:hAnsi="宋体" w:eastAsia="宋体" w:cs="宋体"/>
          <w:color w:val="auto"/>
          <w:highlight w:val="none"/>
        </w:rPr>
      </w:pPr>
    </w:p>
    <w:p w14:paraId="1FEBD856">
      <w:pPr>
        <w:rPr>
          <w:rFonts w:hint="eastAsia" w:ascii="宋体" w:hAnsi="宋体" w:eastAsia="宋体" w:cs="宋体"/>
          <w:color w:val="auto"/>
          <w:highlight w:val="none"/>
        </w:rPr>
      </w:pPr>
    </w:p>
    <w:p w14:paraId="19DA3CB1">
      <w:pPr>
        <w:keepNext/>
        <w:keepLines/>
        <w:outlineLvl w:val="1"/>
        <w:rPr>
          <w:rFonts w:hint="eastAsia" w:ascii="宋体" w:hAnsi="宋体" w:eastAsia="宋体" w:cs="宋体"/>
          <w:b/>
          <w:color w:val="auto"/>
          <w:kern w:val="0"/>
          <w:sz w:val="36"/>
          <w:szCs w:val="21"/>
          <w:highlight w:val="none"/>
          <w:lang w:val="en-US" w:eastAsia="zh-CN"/>
        </w:rPr>
      </w:pPr>
      <w:r>
        <w:rPr>
          <w:rFonts w:hint="eastAsia" w:ascii="宋体" w:hAnsi="宋体" w:eastAsia="宋体" w:cs="宋体"/>
          <w:color w:val="auto"/>
          <w:highlight w:val="none"/>
        </w:rPr>
        <w:br w:type="page"/>
      </w:r>
      <w:bookmarkStart w:id="382" w:name="_Toc44700111"/>
      <w:bookmarkStart w:id="383" w:name="_Toc29262"/>
      <w:r>
        <w:rPr>
          <w:rFonts w:hint="eastAsia" w:ascii="宋体" w:hAnsi="宋体" w:eastAsia="宋体" w:cs="宋体"/>
          <w:b/>
          <w:color w:val="auto"/>
          <w:kern w:val="0"/>
          <w:sz w:val="36"/>
          <w:szCs w:val="21"/>
          <w:highlight w:val="none"/>
          <w:lang w:val="en-US" w:eastAsia="zh-CN"/>
        </w:rPr>
        <w:t>★8.13中小企业声明函</w:t>
      </w:r>
      <w:bookmarkEnd w:id="382"/>
      <w:bookmarkEnd w:id="383"/>
    </w:p>
    <w:p w14:paraId="21BE3656">
      <w:pPr>
        <w:pStyle w:val="4"/>
        <w:shd w:val="clear" w:color="auto" w:fill="auto"/>
        <w:spacing w:before="0" w:after="0" w:line="480" w:lineRule="auto"/>
        <w:ind w:firstLine="2276" w:firstLineChars="900"/>
        <w:outlineLvl w:val="9"/>
        <w:rPr>
          <w:rFonts w:hint="eastAsia" w:ascii="宋体" w:hAnsi="宋体" w:eastAsia="宋体" w:cs="宋体"/>
          <w:bCs w:val="0"/>
          <w:color w:val="auto"/>
          <w:kern w:val="0"/>
          <w:sz w:val="24"/>
          <w:szCs w:val="24"/>
          <w:highlight w:val="none"/>
        </w:rPr>
      </w:pPr>
      <w:bookmarkStart w:id="384" w:name="_Toc17028"/>
      <w:bookmarkStart w:id="385" w:name="_Toc14119"/>
      <w:bookmarkStart w:id="386" w:name="_Toc1168"/>
      <w:r>
        <w:rPr>
          <w:rFonts w:hint="eastAsia" w:ascii="宋体" w:hAnsi="宋体" w:eastAsia="宋体" w:cs="宋体"/>
          <w:bCs w:val="0"/>
          <w:color w:val="auto"/>
          <w:spacing w:val="6"/>
          <w:sz w:val="24"/>
          <w:szCs w:val="20"/>
          <w:highlight w:val="none"/>
          <w:shd w:val="clear" w:color="auto" w:fill="FFFFFF"/>
        </w:rPr>
        <w:t>中小企业声明函（工程、服务）</w:t>
      </w:r>
      <w:bookmarkEnd w:id="384"/>
      <w:bookmarkEnd w:id="385"/>
      <w:bookmarkEnd w:id="386"/>
    </w:p>
    <w:p w14:paraId="6C38D85E">
      <w:pPr>
        <w:pStyle w:val="4"/>
        <w:shd w:val="clear" w:color="auto" w:fill="auto"/>
        <w:spacing w:line="360" w:lineRule="auto"/>
        <w:ind w:firstLine="480" w:firstLineChars="200"/>
        <w:outlineLvl w:val="9"/>
        <w:rPr>
          <w:rFonts w:hint="eastAsia" w:ascii="宋体" w:hAnsi="宋体" w:eastAsia="宋体" w:cs="宋体"/>
          <w:b w:val="0"/>
          <w:bCs w:val="0"/>
          <w:color w:val="auto"/>
          <w:sz w:val="24"/>
          <w:szCs w:val="24"/>
          <w:highlight w:val="none"/>
        </w:rPr>
      </w:pPr>
      <w:bookmarkStart w:id="387" w:name="_Toc4256"/>
      <w:bookmarkStart w:id="388" w:name="_Toc19249"/>
      <w:bookmarkStart w:id="389" w:name="_Toc15301"/>
      <w:r>
        <w:rPr>
          <w:rFonts w:hint="eastAsia" w:ascii="宋体" w:hAnsi="宋体" w:eastAsia="宋体" w:cs="宋体"/>
          <w:b w:val="0"/>
          <w:bCs w:val="0"/>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b w:val="0"/>
          <w:bCs w:val="0"/>
          <w:color w:val="auto"/>
          <w:sz w:val="24"/>
          <w:szCs w:val="24"/>
          <w:highlight w:val="none"/>
          <w:u w:val="single"/>
        </w:rPr>
        <w:t>（单位名称）</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u w:val="single"/>
        </w:rPr>
        <w:t>（项目名称）</w:t>
      </w:r>
      <w:r>
        <w:rPr>
          <w:rFonts w:hint="eastAsia" w:ascii="宋体" w:hAnsi="宋体" w:eastAsia="宋体" w:cs="宋体"/>
          <w:b w:val="0"/>
          <w:bCs w:val="0"/>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bookmarkEnd w:id="387"/>
      <w:bookmarkEnd w:id="388"/>
      <w:bookmarkEnd w:id="389"/>
    </w:p>
    <w:p w14:paraId="05E2B7E8">
      <w:pPr>
        <w:pStyle w:val="4"/>
        <w:shd w:val="clear" w:color="auto" w:fill="auto"/>
        <w:spacing w:line="360" w:lineRule="auto"/>
        <w:ind w:firstLine="480" w:firstLineChars="200"/>
        <w:outlineLvl w:val="9"/>
        <w:rPr>
          <w:rFonts w:hint="eastAsia" w:ascii="宋体" w:hAnsi="宋体" w:eastAsia="宋体" w:cs="宋体"/>
          <w:b w:val="0"/>
          <w:bCs w:val="0"/>
          <w:color w:val="auto"/>
          <w:sz w:val="24"/>
          <w:szCs w:val="24"/>
          <w:highlight w:val="none"/>
        </w:rPr>
      </w:pPr>
      <w:bookmarkStart w:id="390" w:name="_Toc16339"/>
      <w:bookmarkStart w:id="391" w:name="_Toc8151"/>
      <w:bookmarkStart w:id="392" w:name="_Toc32607"/>
      <w:r>
        <w:rPr>
          <w:rFonts w:hint="eastAsia" w:ascii="宋体" w:hAnsi="宋体" w:eastAsia="宋体" w:cs="宋体"/>
          <w:b w:val="0"/>
          <w:bCs w:val="0"/>
          <w:color w:val="auto"/>
          <w:sz w:val="24"/>
          <w:szCs w:val="24"/>
          <w:highlight w:val="none"/>
        </w:rPr>
        <w:t xml:space="preserve">1. </w:t>
      </w:r>
      <w:r>
        <w:rPr>
          <w:rFonts w:hint="eastAsia" w:ascii="宋体" w:hAnsi="宋体" w:eastAsia="宋体" w:cs="宋体"/>
          <w:b w:val="0"/>
          <w:bCs w:val="0"/>
          <w:color w:val="auto"/>
          <w:sz w:val="24"/>
          <w:szCs w:val="24"/>
          <w:highlight w:val="none"/>
          <w:u w:val="single"/>
        </w:rPr>
        <w:t>（标的名称）</w:t>
      </w:r>
      <w:r>
        <w:rPr>
          <w:rFonts w:hint="eastAsia" w:ascii="宋体" w:hAnsi="宋体" w:eastAsia="宋体" w:cs="宋体"/>
          <w:b w:val="0"/>
          <w:bCs w:val="0"/>
          <w:color w:val="auto"/>
          <w:sz w:val="24"/>
          <w:szCs w:val="24"/>
          <w:highlight w:val="none"/>
        </w:rPr>
        <w:t xml:space="preserve"> ，属于</w:t>
      </w:r>
      <w:r>
        <w:rPr>
          <w:rFonts w:hint="eastAsia" w:ascii="宋体" w:hAnsi="宋体" w:eastAsia="宋体" w:cs="宋体"/>
          <w:b w:val="0"/>
          <w:bCs w:val="0"/>
          <w:color w:val="auto"/>
          <w:sz w:val="24"/>
          <w:szCs w:val="24"/>
          <w:highlight w:val="none"/>
          <w:u w:val="single"/>
        </w:rPr>
        <w:t>（采购文件中明确的所属行业）</w:t>
      </w:r>
      <w:r>
        <w:rPr>
          <w:rFonts w:hint="eastAsia" w:ascii="宋体" w:hAnsi="宋体" w:eastAsia="宋体" w:cs="宋体"/>
          <w:b w:val="0"/>
          <w:bCs w:val="0"/>
          <w:color w:val="auto"/>
          <w:sz w:val="24"/>
          <w:szCs w:val="24"/>
          <w:highlight w:val="none"/>
        </w:rPr>
        <w:t>；承建（承接）企业为</w:t>
      </w:r>
      <w:r>
        <w:rPr>
          <w:rFonts w:hint="eastAsia" w:ascii="宋体" w:hAnsi="宋体" w:eastAsia="宋体" w:cs="宋体"/>
          <w:b w:val="0"/>
          <w:bCs w:val="0"/>
          <w:color w:val="auto"/>
          <w:sz w:val="24"/>
          <w:szCs w:val="24"/>
          <w:highlight w:val="none"/>
          <w:u w:val="single"/>
        </w:rPr>
        <w:t>（企业名称）</w:t>
      </w:r>
      <w:r>
        <w:rPr>
          <w:rFonts w:hint="eastAsia" w:ascii="宋体" w:hAnsi="宋体" w:eastAsia="宋体" w:cs="宋体"/>
          <w:b w:val="0"/>
          <w:bCs w:val="0"/>
          <w:color w:val="auto"/>
          <w:sz w:val="24"/>
          <w:szCs w:val="24"/>
          <w:highlight w:val="none"/>
        </w:rPr>
        <w:t>，从业人员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万元，资产总额为万元，属于</w:t>
      </w:r>
      <w:r>
        <w:rPr>
          <w:rFonts w:hint="eastAsia" w:ascii="宋体" w:hAnsi="宋体" w:eastAsia="宋体" w:cs="宋体"/>
          <w:b w:val="0"/>
          <w:bCs w:val="0"/>
          <w:color w:val="auto"/>
          <w:sz w:val="24"/>
          <w:szCs w:val="24"/>
          <w:highlight w:val="none"/>
          <w:u w:val="single"/>
        </w:rPr>
        <w:t>（中型企业、小型企业、微型企业）</w:t>
      </w:r>
      <w:r>
        <w:rPr>
          <w:rFonts w:hint="eastAsia" w:ascii="宋体" w:hAnsi="宋体" w:eastAsia="宋体" w:cs="宋体"/>
          <w:b w:val="0"/>
          <w:bCs w:val="0"/>
          <w:color w:val="auto"/>
          <w:sz w:val="24"/>
          <w:szCs w:val="24"/>
          <w:highlight w:val="none"/>
        </w:rPr>
        <w:t>；</w:t>
      </w:r>
      <w:bookmarkEnd w:id="390"/>
      <w:bookmarkEnd w:id="391"/>
      <w:bookmarkEnd w:id="392"/>
    </w:p>
    <w:p w14:paraId="0BFB1F6A">
      <w:pPr>
        <w:pStyle w:val="4"/>
        <w:shd w:val="clear" w:color="auto" w:fill="auto"/>
        <w:spacing w:line="360" w:lineRule="auto"/>
        <w:ind w:left="210" w:leftChars="100" w:firstLine="240" w:firstLineChars="100"/>
        <w:outlineLvl w:val="9"/>
        <w:rPr>
          <w:rFonts w:hint="eastAsia" w:ascii="宋体" w:hAnsi="宋体" w:eastAsia="宋体" w:cs="宋体"/>
          <w:b w:val="0"/>
          <w:bCs w:val="0"/>
          <w:color w:val="auto"/>
          <w:sz w:val="24"/>
          <w:szCs w:val="24"/>
          <w:highlight w:val="none"/>
          <w:u w:val="single"/>
        </w:rPr>
      </w:pPr>
      <w:bookmarkStart w:id="393" w:name="_Toc24278"/>
      <w:bookmarkStart w:id="394" w:name="_Toc30139"/>
      <w:bookmarkStart w:id="395" w:name="_Toc31206"/>
      <w:r>
        <w:rPr>
          <w:rFonts w:hint="eastAsia" w:ascii="宋体" w:hAnsi="宋体" w:eastAsia="宋体" w:cs="宋体"/>
          <w:b w:val="0"/>
          <w:bCs w:val="0"/>
          <w:color w:val="auto"/>
          <w:sz w:val="24"/>
          <w:szCs w:val="24"/>
          <w:highlight w:val="none"/>
        </w:rPr>
        <w:t xml:space="preserve">2. </w:t>
      </w:r>
      <w:r>
        <w:rPr>
          <w:rFonts w:hint="eastAsia" w:ascii="宋体" w:hAnsi="宋体" w:eastAsia="宋体" w:cs="宋体"/>
          <w:b w:val="0"/>
          <w:bCs w:val="0"/>
          <w:color w:val="auto"/>
          <w:sz w:val="24"/>
          <w:szCs w:val="24"/>
          <w:highlight w:val="none"/>
          <w:u w:val="single"/>
        </w:rPr>
        <w:t>（标的名称）</w:t>
      </w:r>
      <w:r>
        <w:rPr>
          <w:rFonts w:hint="eastAsia" w:ascii="宋体" w:hAnsi="宋体" w:eastAsia="宋体" w:cs="宋体"/>
          <w:b w:val="0"/>
          <w:bCs w:val="0"/>
          <w:color w:val="auto"/>
          <w:sz w:val="24"/>
          <w:szCs w:val="24"/>
          <w:highlight w:val="none"/>
        </w:rPr>
        <w:t xml:space="preserve"> ，属于</w:t>
      </w:r>
      <w:r>
        <w:rPr>
          <w:rFonts w:hint="eastAsia" w:ascii="宋体" w:hAnsi="宋体" w:eastAsia="宋体" w:cs="宋体"/>
          <w:b w:val="0"/>
          <w:bCs w:val="0"/>
          <w:color w:val="auto"/>
          <w:sz w:val="24"/>
          <w:szCs w:val="24"/>
          <w:highlight w:val="none"/>
          <w:u w:val="single"/>
        </w:rPr>
        <w:t>（采购文件中明确的所属行业）</w:t>
      </w:r>
      <w:r>
        <w:rPr>
          <w:rFonts w:hint="eastAsia" w:ascii="宋体" w:hAnsi="宋体" w:eastAsia="宋体" w:cs="宋体"/>
          <w:b w:val="0"/>
          <w:bCs w:val="0"/>
          <w:color w:val="auto"/>
          <w:sz w:val="24"/>
          <w:szCs w:val="24"/>
          <w:highlight w:val="none"/>
        </w:rPr>
        <w:t>；承建（承接）企业为</w:t>
      </w:r>
      <w:r>
        <w:rPr>
          <w:rFonts w:hint="eastAsia" w:ascii="宋体" w:hAnsi="宋体" w:eastAsia="宋体" w:cs="宋体"/>
          <w:b w:val="0"/>
          <w:bCs w:val="0"/>
          <w:color w:val="auto"/>
          <w:sz w:val="24"/>
          <w:szCs w:val="24"/>
          <w:highlight w:val="none"/>
          <w:u w:val="single"/>
        </w:rPr>
        <w:t>（企业名称）</w:t>
      </w:r>
      <w:r>
        <w:rPr>
          <w:rFonts w:hint="eastAsia" w:ascii="宋体" w:hAnsi="宋体" w:eastAsia="宋体" w:cs="宋体"/>
          <w:b w:val="0"/>
          <w:bCs w:val="0"/>
          <w:color w:val="auto"/>
          <w:sz w:val="24"/>
          <w:szCs w:val="24"/>
          <w:highlight w:val="none"/>
        </w:rPr>
        <w:t>，从业人员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（中型企业、小型企业、微型企业）；</w:t>
      </w:r>
      <w:bookmarkEnd w:id="393"/>
      <w:bookmarkEnd w:id="394"/>
      <w:bookmarkEnd w:id="395"/>
    </w:p>
    <w:p w14:paraId="1EB002C1">
      <w:pPr>
        <w:pStyle w:val="4"/>
        <w:shd w:val="clear" w:color="auto" w:fill="auto"/>
        <w:outlineLvl w:val="9"/>
        <w:rPr>
          <w:rFonts w:hint="eastAsia" w:ascii="宋体" w:hAnsi="宋体" w:eastAsia="宋体" w:cs="宋体"/>
          <w:b w:val="0"/>
          <w:bCs w:val="0"/>
          <w:color w:val="auto"/>
          <w:sz w:val="24"/>
          <w:szCs w:val="24"/>
          <w:highlight w:val="none"/>
        </w:rPr>
      </w:pPr>
      <w:bookmarkStart w:id="396" w:name="_Toc18362"/>
      <w:bookmarkStart w:id="397" w:name="_Toc9769"/>
      <w:bookmarkStart w:id="398" w:name="_Toc11"/>
      <w:r>
        <w:rPr>
          <w:rFonts w:hint="eastAsia" w:ascii="宋体" w:hAnsi="宋体" w:eastAsia="宋体" w:cs="宋体"/>
          <w:b w:val="0"/>
          <w:bCs w:val="0"/>
          <w:color w:val="auto"/>
          <w:sz w:val="24"/>
          <w:szCs w:val="24"/>
          <w:highlight w:val="none"/>
        </w:rPr>
        <w:t>……</w:t>
      </w:r>
      <w:bookmarkEnd w:id="396"/>
      <w:bookmarkEnd w:id="397"/>
      <w:bookmarkEnd w:id="398"/>
    </w:p>
    <w:p w14:paraId="03ADA732">
      <w:pPr>
        <w:pStyle w:val="4"/>
        <w:shd w:val="clear" w:color="auto" w:fill="auto"/>
        <w:spacing w:line="360" w:lineRule="auto"/>
        <w:ind w:firstLine="480" w:firstLineChars="200"/>
        <w:outlineLvl w:val="9"/>
        <w:rPr>
          <w:rFonts w:hint="eastAsia" w:ascii="宋体" w:hAnsi="宋体" w:eastAsia="宋体" w:cs="宋体"/>
          <w:b w:val="0"/>
          <w:bCs w:val="0"/>
          <w:color w:val="auto"/>
          <w:sz w:val="24"/>
          <w:szCs w:val="24"/>
          <w:highlight w:val="none"/>
        </w:rPr>
      </w:pPr>
      <w:bookmarkStart w:id="399" w:name="_Toc9457"/>
      <w:bookmarkStart w:id="400" w:name="_Toc7071"/>
      <w:bookmarkStart w:id="401" w:name="_Toc2177"/>
      <w:r>
        <w:rPr>
          <w:rFonts w:hint="eastAsia" w:ascii="宋体" w:hAnsi="宋体" w:eastAsia="宋体" w:cs="宋体"/>
          <w:b w:val="0"/>
          <w:bCs w:val="0"/>
          <w:color w:val="auto"/>
          <w:sz w:val="24"/>
          <w:szCs w:val="24"/>
          <w:highlight w:val="none"/>
        </w:rPr>
        <w:t>以上企业，不属于大企业的分支机构，不存在控股股东为大企业的情形，也不存在与大企业的负责人为同一人的情形。</w:t>
      </w:r>
      <w:bookmarkEnd w:id="399"/>
      <w:bookmarkEnd w:id="400"/>
      <w:bookmarkEnd w:id="401"/>
    </w:p>
    <w:p w14:paraId="4CB4D936">
      <w:pPr>
        <w:pStyle w:val="4"/>
        <w:shd w:val="clear" w:color="auto" w:fill="auto"/>
        <w:ind w:left="210" w:leftChars="100" w:firstLine="240" w:firstLineChars="100"/>
        <w:outlineLvl w:val="9"/>
        <w:rPr>
          <w:rFonts w:hint="eastAsia" w:ascii="宋体" w:hAnsi="宋体" w:eastAsia="宋体" w:cs="宋体"/>
          <w:b w:val="0"/>
          <w:bCs w:val="0"/>
          <w:color w:val="auto"/>
          <w:sz w:val="24"/>
          <w:szCs w:val="24"/>
          <w:highlight w:val="none"/>
        </w:rPr>
      </w:pPr>
      <w:bookmarkStart w:id="402" w:name="_Toc18576"/>
      <w:bookmarkStart w:id="403" w:name="_Toc20812"/>
      <w:bookmarkStart w:id="404" w:name="_Toc10431"/>
      <w:r>
        <w:rPr>
          <w:rFonts w:hint="eastAsia" w:ascii="宋体" w:hAnsi="宋体" w:eastAsia="宋体" w:cs="宋体"/>
          <w:b w:val="0"/>
          <w:bCs w:val="0"/>
          <w:color w:val="auto"/>
          <w:sz w:val="24"/>
          <w:szCs w:val="24"/>
          <w:highlight w:val="none"/>
        </w:rPr>
        <w:t>本企业对上述声明内容的真实性负责。如有虚假，将依法承担相应责任。</w:t>
      </w:r>
      <w:bookmarkEnd w:id="402"/>
      <w:bookmarkEnd w:id="403"/>
      <w:bookmarkEnd w:id="404"/>
    </w:p>
    <w:p w14:paraId="4A814FBD">
      <w:pPr>
        <w:pStyle w:val="4"/>
        <w:shd w:val="clear" w:color="auto" w:fil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bookmarkStart w:id="405" w:name="_Toc19359"/>
      <w:bookmarkStart w:id="406" w:name="_Toc25367"/>
      <w:bookmarkStart w:id="407" w:name="_Toc8117"/>
      <w:r>
        <w:rPr>
          <w:rFonts w:hint="eastAsia" w:ascii="宋体" w:hAnsi="宋体" w:eastAsia="宋体" w:cs="宋体"/>
          <w:b w:val="0"/>
          <w:bCs w:val="0"/>
          <w:color w:val="auto"/>
          <w:sz w:val="24"/>
          <w:szCs w:val="24"/>
          <w:highlight w:val="none"/>
        </w:rPr>
        <w:t>企业名称（盖章）：</w:t>
      </w:r>
      <w:bookmarkEnd w:id="405"/>
      <w:bookmarkEnd w:id="406"/>
      <w:bookmarkEnd w:id="407"/>
    </w:p>
    <w:p w14:paraId="2C047AFB">
      <w:pPr>
        <w:pStyle w:val="4"/>
        <w:shd w:val="clear" w:color="auto" w:fill="auto"/>
        <w:outlineLvl w:val="9"/>
        <w:rPr>
          <w:rFonts w:hint="eastAsia" w:ascii="宋体" w:hAnsi="宋体" w:eastAsia="宋体" w:cs="宋体"/>
          <w:b w:val="0"/>
          <w:bCs w:val="0"/>
          <w:color w:val="auto"/>
          <w:sz w:val="24"/>
          <w:szCs w:val="24"/>
          <w:highlight w:val="none"/>
        </w:rPr>
      </w:pPr>
      <w:bookmarkStart w:id="408" w:name="_Toc3045"/>
      <w:bookmarkStart w:id="409" w:name="_Toc3097"/>
      <w:bookmarkStart w:id="410" w:name="_Toc7623"/>
      <w:r>
        <w:rPr>
          <w:rFonts w:hint="eastAsia" w:ascii="宋体" w:hAnsi="宋体" w:eastAsia="宋体" w:cs="宋体"/>
          <w:b w:val="0"/>
          <w:bCs w:val="0"/>
          <w:color w:val="auto"/>
          <w:sz w:val="24"/>
          <w:szCs w:val="24"/>
          <w:highlight w:val="none"/>
        </w:rPr>
        <w:t>日 期：</w:t>
      </w:r>
      <w:bookmarkEnd w:id="408"/>
      <w:bookmarkEnd w:id="409"/>
      <w:bookmarkEnd w:id="410"/>
    </w:p>
    <w:p w14:paraId="3C31B2C1">
      <w:pPr>
        <w:pStyle w:val="4"/>
        <w:shd w:val="clear" w:color="auto" w:fill="auto"/>
        <w:spacing w:line="360" w:lineRule="auto"/>
        <w:ind w:firstLine="480" w:firstLineChars="200"/>
        <w:outlineLvl w:val="9"/>
        <w:rPr>
          <w:rFonts w:hint="eastAsia" w:ascii="宋体" w:hAnsi="宋体" w:eastAsia="宋体" w:cs="宋体"/>
          <w:b w:val="0"/>
          <w:bCs w:val="0"/>
          <w:color w:val="auto"/>
          <w:sz w:val="24"/>
          <w:szCs w:val="24"/>
          <w:highlight w:val="none"/>
        </w:rPr>
      </w:pPr>
    </w:p>
    <w:p w14:paraId="5C2C7640">
      <w:pPr>
        <w:pStyle w:val="4"/>
        <w:shd w:val="clear" w:color="auto" w:fill="auto"/>
        <w:spacing w:line="360" w:lineRule="auto"/>
        <w:ind w:firstLine="482" w:firstLineChars="200"/>
        <w:outlineLvl w:val="9"/>
        <w:rPr>
          <w:rFonts w:hint="eastAsia" w:ascii="宋体" w:hAnsi="宋体" w:eastAsia="宋体" w:cs="宋体"/>
          <w:bCs w:val="0"/>
          <w:color w:val="auto"/>
          <w:sz w:val="24"/>
          <w:szCs w:val="24"/>
          <w:highlight w:val="none"/>
        </w:rPr>
      </w:pPr>
      <w:bookmarkStart w:id="411" w:name="_Toc30038"/>
      <w:bookmarkStart w:id="412" w:name="_Toc16284"/>
      <w:bookmarkStart w:id="413" w:name="_Toc3653"/>
      <w:r>
        <w:rPr>
          <w:rFonts w:hint="eastAsia" w:ascii="宋体" w:hAnsi="宋体" w:eastAsia="宋体" w:cs="宋体"/>
          <w:bCs w:val="0"/>
          <w:color w:val="auto"/>
          <w:sz w:val="24"/>
          <w:szCs w:val="24"/>
          <w:highlight w:val="none"/>
        </w:rPr>
        <w:t>注：从业人员、营业收入、资产总额填报上一年度数据，无上度数据的新成立企业可不填报</w:t>
      </w:r>
      <w:bookmarkEnd w:id="411"/>
      <w:bookmarkEnd w:id="412"/>
      <w:bookmarkEnd w:id="413"/>
    </w:p>
    <w:p w14:paraId="14495D5E">
      <w:pPr>
        <w:widowControl/>
        <w:spacing w:before="100" w:beforeAutospacing="1" w:after="100" w:afterAutospacing="1" w:line="480" w:lineRule="exact"/>
        <w:ind w:firstLine="5160" w:firstLineChars="215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E9A9661">
      <w:pPr>
        <w:keepNext/>
        <w:keepLines/>
        <w:outlineLvl w:val="1"/>
        <w:rPr>
          <w:rFonts w:hint="eastAsia" w:ascii="宋体" w:hAnsi="宋体" w:eastAsia="宋体" w:cs="宋体"/>
          <w:b/>
          <w:color w:val="auto"/>
          <w:kern w:val="0"/>
          <w:sz w:val="36"/>
          <w:szCs w:val="21"/>
          <w:highlight w:val="none"/>
          <w:lang w:val="en-US" w:eastAsia="zh-CN"/>
        </w:rPr>
      </w:pPr>
      <w:bookmarkStart w:id="414" w:name="_Toc44700112"/>
      <w:bookmarkStart w:id="415" w:name="_Toc6265"/>
      <w:r>
        <w:rPr>
          <w:rFonts w:hint="eastAsia" w:ascii="宋体" w:hAnsi="宋体" w:eastAsia="宋体" w:cs="宋体"/>
          <w:b/>
          <w:color w:val="auto"/>
          <w:kern w:val="0"/>
          <w:sz w:val="36"/>
          <w:szCs w:val="21"/>
          <w:highlight w:val="none"/>
          <w:lang w:val="en-US" w:eastAsia="zh-CN"/>
        </w:rPr>
        <w:t>8.14残疾人福利性单位声明函（格式，不符合条件无须提交）</w:t>
      </w:r>
      <w:bookmarkEnd w:id="414"/>
      <w:bookmarkEnd w:id="415"/>
    </w:p>
    <w:p w14:paraId="29D576A1">
      <w:pPr>
        <w:widowControl/>
        <w:spacing w:before="100" w:beforeAutospacing="1" w:after="100" w:afterAutospacing="1" w:line="420" w:lineRule="atLeas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注：1、</w:t>
      </w:r>
      <w:r>
        <w:rPr>
          <w:rFonts w:hint="eastAsia" w:ascii="宋体" w:hAnsi="宋体" w:eastAsia="宋体" w:cs="宋体"/>
          <w:color w:val="auto"/>
          <w:spacing w:val="6"/>
          <w:kern w:val="0"/>
          <w:sz w:val="24"/>
          <w:highlight w:val="none"/>
        </w:rPr>
        <w:t>根据《财政部民政部中国残疾人联合会关于促进残疾人就业政府采购政策的通知》（财库</w:t>
      </w:r>
      <w:r>
        <w:rPr>
          <w:rFonts w:hint="eastAsia" w:ascii="宋体" w:hAnsi="宋体" w:eastAsia="宋体" w:cs="宋体"/>
          <w:color w:val="auto"/>
          <w:kern w:val="0"/>
          <w:sz w:val="24"/>
          <w:highlight w:val="none"/>
        </w:rPr>
        <w:t>〔2017〕141</w:t>
      </w:r>
      <w:r>
        <w:rPr>
          <w:rFonts w:hint="eastAsia" w:ascii="宋体" w:hAnsi="宋体" w:eastAsia="宋体" w:cs="宋体"/>
          <w:color w:val="auto"/>
          <w:spacing w:val="6"/>
          <w:kern w:val="0"/>
          <w:sz w:val="24"/>
          <w:highlight w:val="none"/>
        </w:rPr>
        <w:t>号）的规定，</w:t>
      </w:r>
      <w:r>
        <w:rPr>
          <w:rFonts w:hint="eastAsia" w:ascii="宋体" w:hAnsi="宋体" w:eastAsia="宋体" w:cs="宋体"/>
          <w:color w:val="auto"/>
          <w:kern w:val="0"/>
          <w:sz w:val="24"/>
          <w:highlight w:val="none"/>
        </w:rPr>
        <w:t>符合条件的残疾人福利性单位在参加政府采购活动时，应当提供通知规定的《残疾人福利性单位声明函》，并对声明的真实性负责。</w:t>
      </w:r>
    </w:p>
    <w:p w14:paraId="27B2B26D">
      <w:pPr>
        <w:widowControl/>
        <w:spacing w:before="100" w:beforeAutospacing="1" w:after="100" w:afterAutospacing="1" w:line="420" w:lineRule="atLeas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2、成交供应商为残疾人福利性单位的，其《残疾人福利性单位声明函》将随成交结果同时公告，接受社会监督。</w:t>
      </w:r>
    </w:p>
    <w:p w14:paraId="26D00E97">
      <w:pPr>
        <w:spacing w:before="240" w:beforeLines="100" w:line="480" w:lineRule="exact"/>
        <w:ind w:left="1359" w:leftChars="257" w:hanging="819" w:hangingChars="325"/>
        <w:jc w:val="center"/>
        <w:rPr>
          <w:rFonts w:hint="eastAsia" w:ascii="宋体" w:hAnsi="宋体" w:eastAsia="宋体" w:cs="宋体"/>
          <w:color w:val="auto"/>
          <w:spacing w:val="6"/>
          <w:sz w:val="24"/>
          <w:highlight w:val="none"/>
        </w:rPr>
      </w:pPr>
    </w:p>
    <w:p w14:paraId="22AA5475">
      <w:pPr>
        <w:spacing w:before="240" w:beforeLines="100" w:line="480" w:lineRule="exact"/>
        <w:ind w:left="1323" w:leftChars="257" w:hanging="783" w:hangingChars="325"/>
        <w:jc w:val="center"/>
        <w:rPr>
          <w:rFonts w:hint="eastAsia" w:ascii="宋体" w:hAnsi="宋体" w:eastAsia="宋体" w:cs="宋体"/>
          <w:b/>
          <w:color w:val="auto"/>
          <w:spacing w:val="6"/>
          <w:sz w:val="28"/>
          <w:szCs w:val="32"/>
          <w:highlight w:val="none"/>
        </w:rPr>
      </w:pPr>
      <w:r>
        <w:rPr>
          <w:rFonts w:hint="eastAsia" w:ascii="宋体" w:hAnsi="宋体" w:eastAsia="宋体" w:cs="宋体"/>
          <w:b/>
          <w:color w:val="auto"/>
          <w:kern w:val="0"/>
          <w:sz w:val="24"/>
          <w:highlight w:val="none"/>
        </w:rPr>
        <w:t>残疾人福利性单位声明函</w:t>
      </w:r>
    </w:p>
    <w:p w14:paraId="4961CF75">
      <w:pPr>
        <w:spacing w:line="588" w:lineRule="exact"/>
        <w:rPr>
          <w:rFonts w:hint="eastAsia" w:ascii="宋体" w:hAnsi="宋体" w:eastAsia="宋体" w:cs="宋体"/>
          <w:b/>
          <w:color w:val="auto"/>
          <w:spacing w:val="6"/>
          <w:sz w:val="30"/>
          <w:szCs w:val="30"/>
          <w:highlight w:val="none"/>
        </w:rPr>
      </w:pPr>
    </w:p>
    <w:p w14:paraId="26437AD4">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本单位郑重声明，根据《财政部民政部中国残疾人联合会关于促进残疾人就业政府采购政策的通知》（财库</w:t>
      </w:r>
      <w:r>
        <w:rPr>
          <w:rFonts w:hint="eastAsia" w:ascii="宋体" w:hAnsi="宋体" w:eastAsia="宋体" w:cs="宋体"/>
          <w:color w:val="auto"/>
          <w:sz w:val="24"/>
          <w:highlight w:val="none"/>
        </w:rPr>
        <w:t>〔2017〕141</w:t>
      </w:r>
      <w:r>
        <w:rPr>
          <w:rFonts w:hint="eastAsia" w:ascii="宋体" w:hAnsi="宋体" w:eastAsia="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5E65DC7">
      <w:pPr>
        <w:widowControl/>
        <w:spacing w:before="240" w:beforeLines="100" w:after="100" w:afterAutospacing="1" w:line="480" w:lineRule="exact"/>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26815979">
      <w:pPr>
        <w:spacing w:line="588" w:lineRule="exact"/>
        <w:ind w:firstLine="624" w:firstLineChars="200"/>
        <w:rPr>
          <w:rFonts w:hint="eastAsia" w:ascii="宋体" w:hAnsi="宋体" w:eastAsia="宋体" w:cs="宋体"/>
          <w:color w:val="auto"/>
          <w:spacing w:val="6"/>
          <w:sz w:val="30"/>
          <w:szCs w:val="30"/>
          <w:highlight w:val="none"/>
        </w:rPr>
      </w:pPr>
    </w:p>
    <w:p w14:paraId="5315D9DD">
      <w:pPr>
        <w:spacing w:line="588" w:lineRule="exact"/>
        <w:ind w:firstLine="624" w:firstLineChars="200"/>
        <w:rPr>
          <w:rFonts w:hint="eastAsia" w:ascii="宋体" w:hAnsi="宋体" w:eastAsia="宋体" w:cs="宋体"/>
          <w:color w:val="auto"/>
          <w:spacing w:val="6"/>
          <w:sz w:val="30"/>
          <w:szCs w:val="30"/>
          <w:highlight w:val="none"/>
        </w:rPr>
      </w:pPr>
    </w:p>
    <w:p w14:paraId="401E4411">
      <w:pPr>
        <w:widowControl/>
        <w:spacing w:before="100" w:beforeAutospacing="1" w:after="100" w:afterAutospacing="1" w:line="480" w:lineRule="exact"/>
        <w:ind w:firstLine="5160" w:firstLineChars="215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单位名称（盖章</w:t>
      </w:r>
      <w:r>
        <w:rPr>
          <w:rFonts w:hint="eastAsia" w:ascii="宋体" w:hAnsi="宋体" w:eastAsia="宋体" w:cs="宋体"/>
          <w:color w:val="auto"/>
          <w:sz w:val="24"/>
          <w:szCs w:val="24"/>
          <w:highlight w:val="none"/>
          <w:lang w:val="en-US" w:eastAsia="zh-CN"/>
        </w:rPr>
        <w:t>或电子公章</w:t>
      </w:r>
      <w:r>
        <w:rPr>
          <w:rFonts w:hint="eastAsia" w:ascii="宋体" w:hAnsi="宋体" w:eastAsia="宋体" w:cs="宋体"/>
          <w:color w:val="auto"/>
          <w:sz w:val="24"/>
          <w:highlight w:val="none"/>
        </w:rPr>
        <w:t>）：</w:t>
      </w:r>
    </w:p>
    <w:p w14:paraId="79752125">
      <w:pPr>
        <w:widowControl/>
        <w:spacing w:before="100" w:beforeAutospacing="1" w:after="100" w:afterAutospacing="1" w:line="480" w:lineRule="exact"/>
        <w:ind w:firstLine="5160" w:firstLineChars="215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3C5AE61D">
      <w:pPr>
        <w:keepNext/>
        <w:keepLines/>
        <w:outlineLvl w:val="1"/>
        <w:rPr>
          <w:rFonts w:hint="eastAsia" w:ascii="宋体" w:hAnsi="宋体" w:eastAsia="宋体" w:cs="宋体"/>
          <w:b/>
          <w:color w:val="auto"/>
          <w:kern w:val="0"/>
          <w:sz w:val="36"/>
          <w:szCs w:val="21"/>
          <w:highlight w:val="none"/>
          <w:lang w:val="en-US" w:eastAsia="zh-CN"/>
        </w:rPr>
      </w:pPr>
      <w:r>
        <w:rPr>
          <w:rFonts w:hint="eastAsia" w:ascii="宋体" w:hAnsi="宋体" w:eastAsia="宋体" w:cs="宋体"/>
          <w:b/>
          <w:bCs/>
          <w:color w:val="auto"/>
          <w:kern w:val="0"/>
          <w:sz w:val="24"/>
          <w:szCs w:val="24"/>
          <w:highlight w:val="none"/>
        </w:rPr>
        <w:br w:type="page"/>
      </w:r>
      <w:bookmarkStart w:id="416" w:name="_Toc44700113"/>
      <w:bookmarkStart w:id="417" w:name="_Toc4562"/>
      <w:r>
        <w:rPr>
          <w:rFonts w:hint="eastAsia" w:ascii="宋体" w:hAnsi="宋体" w:eastAsia="宋体" w:cs="宋体"/>
          <w:b/>
          <w:color w:val="auto"/>
          <w:kern w:val="0"/>
          <w:sz w:val="36"/>
          <w:szCs w:val="21"/>
          <w:highlight w:val="none"/>
          <w:lang w:val="en-US" w:eastAsia="zh-CN"/>
        </w:rPr>
        <w:t>8.15监狱企业证明文件（如适用）</w:t>
      </w:r>
      <w:bookmarkEnd w:id="416"/>
      <w:bookmarkEnd w:id="417"/>
    </w:p>
    <w:p w14:paraId="6B1F19ED">
      <w:pPr>
        <w:spacing w:line="420" w:lineRule="exact"/>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如供应商是监狱企业时，须提供由省级以上监狱管理局、戒毒管理局(含新疆生产建设兵团)出具的属于监狱企业的证明文件。</w:t>
      </w:r>
    </w:p>
    <w:p w14:paraId="47E61C35">
      <w:pPr>
        <w:keepNext/>
        <w:keepLines/>
        <w:outlineLvl w:val="1"/>
        <w:rPr>
          <w:rFonts w:hint="eastAsia" w:ascii="宋体" w:hAnsi="宋体" w:eastAsia="宋体" w:cs="宋体"/>
          <w:b/>
          <w:color w:val="auto"/>
          <w:kern w:val="0"/>
          <w:sz w:val="36"/>
          <w:szCs w:val="21"/>
          <w:highlight w:val="none"/>
          <w:lang w:val="en-US" w:eastAsia="zh-CN"/>
        </w:rPr>
      </w:pPr>
      <w:r>
        <w:rPr>
          <w:rFonts w:hint="eastAsia" w:ascii="宋体" w:hAnsi="宋体" w:eastAsia="宋体" w:cs="宋体"/>
          <w:b/>
          <w:bCs/>
          <w:color w:val="auto"/>
          <w:kern w:val="0"/>
          <w:sz w:val="24"/>
          <w:szCs w:val="24"/>
          <w:highlight w:val="none"/>
        </w:rPr>
        <w:br w:type="page"/>
      </w:r>
      <w:bookmarkStart w:id="418" w:name="_Toc8941"/>
      <w:bookmarkStart w:id="419" w:name="_Toc44700114"/>
      <w:r>
        <w:rPr>
          <w:rFonts w:hint="eastAsia" w:ascii="宋体" w:hAnsi="宋体" w:eastAsia="宋体" w:cs="宋体"/>
          <w:b/>
          <w:color w:val="auto"/>
          <w:kern w:val="0"/>
          <w:sz w:val="36"/>
          <w:szCs w:val="21"/>
          <w:highlight w:val="none"/>
          <w:lang w:val="en-US" w:eastAsia="zh-CN"/>
        </w:rPr>
        <w:t>8.16节能产品、环境标志产品、信息安全产品证明材料（如适用）</w:t>
      </w:r>
      <w:bookmarkEnd w:id="418"/>
      <w:bookmarkEnd w:id="419"/>
    </w:p>
    <w:p w14:paraId="31895F2E">
      <w:pPr>
        <w:spacing w:line="360" w:lineRule="auto"/>
        <w:rPr>
          <w:rFonts w:hint="eastAsia" w:ascii="宋体" w:hAnsi="宋体" w:eastAsia="宋体" w:cs="宋体"/>
          <w:b/>
          <w:color w:val="auto"/>
          <w:szCs w:val="21"/>
          <w:highlight w:val="none"/>
        </w:rPr>
      </w:pPr>
    </w:p>
    <w:p w14:paraId="64A02BE1">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color w:val="auto"/>
          <w:sz w:val="24"/>
          <w:szCs w:val="24"/>
          <w:highlight w:val="none"/>
        </w:rPr>
        <w:t>：</w:t>
      </w:r>
      <w:bookmarkStart w:id="420" w:name="OLE_LINK10"/>
      <w:r>
        <w:rPr>
          <w:rFonts w:hint="eastAsia" w:ascii="宋体" w:hAnsi="宋体" w:eastAsia="宋体" w:cs="宋体"/>
          <w:color w:val="auto"/>
          <w:sz w:val="24"/>
          <w:szCs w:val="22"/>
          <w:highlight w:val="none"/>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w:t>
      </w:r>
      <w:bookmarkEnd w:id="420"/>
      <w:r>
        <w:rPr>
          <w:rFonts w:hint="eastAsia" w:ascii="宋体" w:hAnsi="宋体" w:eastAsia="宋体" w:cs="宋体"/>
          <w:color w:val="auto"/>
          <w:sz w:val="24"/>
          <w:szCs w:val="24"/>
          <w:highlight w:val="none"/>
        </w:rPr>
        <w:t>为</w:t>
      </w:r>
      <w:r>
        <w:rPr>
          <w:rFonts w:hint="eastAsia" w:ascii="宋体" w:hAnsi="宋体" w:eastAsia="宋体" w:cs="宋体"/>
          <w:b/>
          <w:color w:val="auto"/>
          <w:sz w:val="24"/>
          <w:szCs w:val="24"/>
          <w:highlight w:val="none"/>
        </w:rPr>
        <w:t>政府强制采购节能产品</w:t>
      </w:r>
      <w:r>
        <w:rPr>
          <w:rFonts w:hint="eastAsia" w:ascii="宋体" w:hAnsi="宋体" w:eastAsia="宋体" w:cs="宋体"/>
          <w:color w:val="auto"/>
          <w:sz w:val="24"/>
          <w:szCs w:val="24"/>
          <w:highlight w:val="none"/>
        </w:rPr>
        <w:t>。</w:t>
      </w:r>
    </w:p>
    <w:p w14:paraId="042B224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台式计算机产品性能参数须与节能产品政府采购清单台式计算机性能参数的附件一致，凡与附件所列性能参数不一致的产品，不得参加政府采购活动。</w:t>
      </w:r>
    </w:p>
    <w:p w14:paraId="7A932577">
      <w:pPr>
        <w:spacing w:line="360" w:lineRule="auto"/>
        <w:ind w:firstLine="600" w:firstLineChars="250"/>
        <w:rPr>
          <w:rFonts w:hint="eastAsia" w:ascii="宋体" w:hAnsi="宋体" w:eastAsia="宋体" w:cs="宋体"/>
          <w:color w:val="auto"/>
          <w:sz w:val="24"/>
          <w:szCs w:val="24"/>
          <w:highlight w:val="none"/>
        </w:rPr>
      </w:pPr>
    </w:p>
    <w:p w14:paraId="07F2C9E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上述范围内的响应货物须在中国政府采购网（http://www.ccgp.gov.cn）、国家发展改革委网站（http://hzs.ndrc.gov.cn）和中国质量认证中心网站（http://www.cqc.com.cn）公布的最新一期“节能产品政府采购清单”目录中，须打印并标注出所在位置，并提供相应证明材料。</w:t>
      </w:r>
    </w:p>
    <w:p w14:paraId="1B16ACC4">
      <w:pPr>
        <w:spacing w:line="360" w:lineRule="auto"/>
        <w:ind w:left="240" w:hanging="240" w:hangingChars="100"/>
        <w:rPr>
          <w:rFonts w:hint="eastAsia" w:ascii="宋体" w:hAnsi="宋体" w:eastAsia="宋体" w:cs="宋体"/>
          <w:color w:val="auto"/>
          <w:sz w:val="24"/>
          <w:szCs w:val="24"/>
          <w:highlight w:val="none"/>
        </w:rPr>
      </w:pPr>
    </w:p>
    <w:p w14:paraId="4B5F41BD">
      <w:pPr>
        <w:spacing w:line="360" w:lineRule="auto"/>
        <w:ind w:left="240" w:hanging="240" w:hanging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节能产品（非强制）：应在中国政府采购网（http://www.ccgp.gov.cn）、国家发展改革委网站（http://hzs.ndrc.gov.cn）和中国质量认证中心网站（http://www.cqc.com.cn）公布的最新一期“节能产品政府采购清单”目录中，须打印产品所在目录页并标注出所在位置。</w:t>
      </w:r>
    </w:p>
    <w:p w14:paraId="66999E8F">
      <w:pPr>
        <w:spacing w:line="360" w:lineRule="auto"/>
        <w:ind w:left="240" w:hanging="240" w:hangingChars="100"/>
        <w:rPr>
          <w:rFonts w:hint="eastAsia" w:ascii="宋体" w:hAnsi="宋体" w:eastAsia="宋体" w:cs="宋体"/>
          <w:color w:val="auto"/>
          <w:sz w:val="24"/>
          <w:szCs w:val="24"/>
          <w:highlight w:val="none"/>
          <w:lang w:eastAsia="zh-CN"/>
        </w:rPr>
      </w:pPr>
    </w:p>
    <w:p w14:paraId="320A275E">
      <w:pPr>
        <w:spacing w:line="360" w:lineRule="auto"/>
        <w:ind w:left="240" w:hanging="240" w:hanging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环境标志产品（如有）：应在中国政府采购网（http://www.ccgp.gov.cn）、国家环境保护部网（http://www.sepa.gov.cn）、中国绿色采购网（http://www.cgpn.cn）公布的最新一期“环境标志产品政府采购清单”目录中，须打印产品所在目录页并标注出所在位置。</w:t>
      </w:r>
    </w:p>
    <w:p w14:paraId="0337C8D0">
      <w:pPr>
        <w:spacing w:line="360" w:lineRule="auto"/>
        <w:rPr>
          <w:rFonts w:hint="eastAsia" w:ascii="宋体" w:hAnsi="宋体" w:eastAsia="宋体" w:cs="宋体"/>
          <w:color w:val="auto"/>
          <w:sz w:val="24"/>
          <w:szCs w:val="24"/>
          <w:highlight w:val="none"/>
        </w:rPr>
      </w:pPr>
    </w:p>
    <w:p w14:paraId="1909C6C0">
      <w:pPr>
        <w:spacing w:line="360" w:lineRule="auto"/>
        <w:ind w:left="241" w:hanging="241" w:hangingChars="1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信息安全产品</w:t>
      </w:r>
    </w:p>
    <w:p w14:paraId="43713DD0">
      <w:pPr>
        <w:spacing w:line="360" w:lineRule="auto"/>
        <w:ind w:left="720" w:hanging="720" w:hanging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信息安全产品应提供由中国信息安全认证中心按国家标准认证颁发的有效认证证书。</w:t>
      </w:r>
    </w:p>
    <w:p w14:paraId="73FBB88E">
      <w:pPr>
        <w:spacing w:line="360" w:lineRule="auto"/>
        <w:ind w:left="720" w:hanging="720" w:hanging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注：1.在本处提供的证明材料如与供应商所投产品内容（品牌、型号、规格等）不符，视为无效。</w:t>
      </w:r>
    </w:p>
    <w:p w14:paraId="3FBCF2BA">
      <w:pPr>
        <w:ind w:firstLine="480" w:firstLineChars="200"/>
        <w:rPr>
          <w:rFonts w:hint="eastAsia" w:ascii="宋体" w:hAnsi="宋体" w:eastAsia="宋体" w:cs="宋体"/>
          <w:b/>
          <w:color w:val="auto"/>
          <w:sz w:val="32"/>
          <w:szCs w:val="22"/>
          <w:highlight w:val="none"/>
        </w:rPr>
      </w:pPr>
      <w:r>
        <w:rPr>
          <w:rFonts w:hint="eastAsia" w:ascii="宋体" w:hAnsi="宋体" w:eastAsia="宋体" w:cs="宋体"/>
          <w:color w:val="auto"/>
          <w:sz w:val="24"/>
          <w:szCs w:val="24"/>
          <w:highlight w:val="none"/>
        </w:rPr>
        <w:t>2.如提供虚假材料，供应商须承担相应法律责任。</w:t>
      </w:r>
    </w:p>
    <w:p w14:paraId="13B35BAF">
      <w:pPr>
        <w:keepNext/>
        <w:keepLines/>
        <w:outlineLvl w:val="1"/>
        <w:rPr>
          <w:rFonts w:hint="eastAsia" w:ascii="宋体" w:hAnsi="宋体" w:eastAsia="宋体" w:cs="宋体"/>
          <w:b/>
          <w:color w:val="auto"/>
          <w:kern w:val="0"/>
          <w:sz w:val="36"/>
          <w:szCs w:val="21"/>
          <w:highlight w:val="none"/>
          <w:lang w:val="en-US" w:eastAsia="zh-CN"/>
        </w:rPr>
      </w:pPr>
      <w:r>
        <w:rPr>
          <w:rFonts w:hint="eastAsia" w:ascii="宋体" w:hAnsi="宋体" w:eastAsia="宋体" w:cs="宋体"/>
          <w:b/>
          <w:bCs/>
          <w:color w:val="auto"/>
          <w:kern w:val="0"/>
          <w:sz w:val="24"/>
          <w:szCs w:val="24"/>
          <w:highlight w:val="none"/>
        </w:rPr>
        <w:br w:type="page"/>
      </w:r>
      <w:bookmarkStart w:id="421" w:name="_Toc44700115"/>
      <w:bookmarkStart w:id="422" w:name="_Toc30232"/>
      <w:r>
        <w:rPr>
          <w:rFonts w:hint="eastAsia" w:ascii="宋体" w:hAnsi="宋体" w:eastAsia="宋体" w:cs="宋体"/>
          <w:b/>
          <w:color w:val="auto"/>
          <w:kern w:val="0"/>
          <w:sz w:val="36"/>
          <w:szCs w:val="21"/>
          <w:highlight w:val="none"/>
          <w:lang w:val="en-US" w:eastAsia="zh-CN"/>
        </w:rPr>
        <w:t>8.17磋商文件要求的其它文件及供应商认为有必要提供的其它文件</w:t>
      </w:r>
      <w:bookmarkEnd w:id="354"/>
      <w:bookmarkEnd w:id="355"/>
      <w:bookmarkEnd w:id="421"/>
      <w:bookmarkEnd w:id="422"/>
    </w:p>
    <w:p w14:paraId="545D5C5F">
      <w:pPr>
        <w:keepNext/>
        <w:keepLines/>
        <w:outlineLvl w:val="1"/>
        <w:rPr>
          <w:rFonts w:hint="eastAsia" w:ascii="宋体" w:hAnsi="宋体" w:eastAsia="宋体" w:cs="宋体"/>
          <w:b/>
          <w:color w:val="auto"/>
          <w:kern w:val="0"/>
          <w:sz w:val="36"/>
          <w:szCs w:val="21"/>
          <w:highlight w:val="none"/>
          <w:lang w:val="en-US" w:eastAsia="zh-CN"/>
        </w:rPr>
      </w:pPr>
      <w:r>
        <w:rPr>
          <w:rFonts w:hint="eastAsia" w:ascii="宋体" w:hAnsi="宋体" w:eastAsia="宋体" w:cs="宋体"/>
          <w:color w:val="auto"/>
          <w:sz w:val="21"/>
          <w:highlight w:val="none"/>
        </w:rPr>
        <w:br w:type="page"/>
      </w:r>
      <w:bookmarkStart w:id="423" w:name="_Toc12116"/>
      <w:bookmarkStart w:id="424" w:name="_Toc44700116"/>
      <w:r>
        <w:rPr>
          <w:rFonts w:hint="eastAsia" w:ascii="宋体" w:hAnsi="宋体" w:eastAsia="宋体" w:cs="宋体"/>
          <w:b/>
          <w:color w:val="auto"/>
          <w:kern w:val="0"/>
          <w:sz w:val="36"/>
          <w:szCs w:val="21"/>
          <w:highlight w:val="none"/>
          <w:lang w:val="en-US" w:eastAsia="zh-CN"/>
        </w:rPr>
        <w:t>8.18关于中小企业、监狱企业、残疾人福利性单位的相关规定</w:t>
      </w:r>
      <w:bookmarkEnd w:id="423"/>
      <w:bookmarkEnd w:id="424"/>
    </w:p>
    <w:p w14:paraId="27212B87">
      <w:pPr>
        <w:spacing w:line="360" w:lineRule="auto"/>
        <w:ind w:firstLine="506"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b/>
          <w:color w:val="auto"/>
          <w:spacing w:val="6"/>
          <w:sz w:val="24"/>
          <w:szCs w:val="24"/>
          <w:highlight w:val="none"/>
        </w:rPr>
        <w:t>1.</w:t>
      </w:r>
      <w:r>
        <w:rPr>
          <w:rFonts w:hint="eastAsia" w:ascii="宋体" w:hAnsi="宋体" w:eastAsia="宋体" w:cs="宋体"/>
          <w:color w:val="auto"/>
          <w:spacing w:val="6"/>
          <w:sz w:val="24"/>
          <w:szCs w:val="24"/>
          <w:highlight w:val="none"/>
        </w:rPr>
        <w:t>政府采购促进中小企业发展管理办法</w:t>
      </w:r>
    </w:p>
    <w:p w14:paraId="76E70687">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第一条为了发挥政府采购的政策功能，促进中小企业健康发展，根据《中华人民共和国政府采购法》、《中华人民共和国中小企业促进法》等有关法律法规，制定本办法。</w:t>
      </w:r>
    </w:p>
    <w:p w14:paraId="526EE935">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第二条本办法所称中小企业，是指在中华人民共和国</w:t>
      </w:r>
    </w:p>
    <w:p w14:paraId="5705CA7A">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境内依法设立，依据国务院批准的中小企业划分标准确定的中型企业、小型企业和微型企业，但与大企业的负责人为同一人，或者与大企业存在直接控股、管理关系的除外。</w:t>
      </w:r>
    </w:p>
    <w:p w14:paraId="35E79B4A">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符合中小企业划分标准的个体工商户，在政府采购活动中视同中小企业。</w:t>
      </w:r>
    </w:p>
    <w:p w14:paraId="6C825D24">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第三条采购人在政府采购活动中应当通过加强采购需求管理，落实预留采购份额、价格评审优惠、优先采购等措施，提高中小企业在政府采购中的份额，支持中小企业发展。</w:t>
      </w:r>
    </w:p>
    <w:p w14:paraId="2ABF72CD">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第四条在政府采购活动中，供应商提供的货物、工程或者服务符合下列情形的，享受本办法规定的中小企业扶持政策：</w:t>
      </w:r>
    </w:p>
    <w:p w14:paraId="2C685A1D">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（一）在货物采购项目中，货物由中小企业制造，即货物由中小企业生产且使用该中小企业商号或者注册商标；</w:t>
      </w:r>
    </w:p>
    <w:p w14:paraId="3640C089">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（二）在工程采购项目中，工程由中小企业承建，即工程施工单位为中小企业；</w:t>
      </w:r>
    </w:p>
    <w:p w14:paraId="004EEF87">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（三）在服务采购项目中，服务由中小企业承接，即提</w:t>
      </w:r>
    </w:p>
    <w:p w14:paraId="23DF7F9E">
      <w:pPr>
        <w:spacing w:line="360" w:lineRule="auto"/>
        <w:ind w:firstLine="504" w:firstLineChars="200"/>
        <w:jc w:val="left"/>
        <w:rPr>
          <w:rFonts w:hint="eastAsia" w:ascii="宋体" w:hAnsi="宋体" w:eastAsia="宋体" w:cs="宋体"/>
          <w:color w:val="auto"/>
          <w:spacing w:val="6"/>
          <w:sz w:val="24"/>
          <w:szCs w:val="24"/>
          <w:highlight w:val="none"/>
        </w:rPr>
      </w:pPr>
    </w:p>
    <w:p w14:paraId="13557499">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供服务的人员为中小企业依照《中华人民共和国劳动合同法》订立劳动合同的从业人员。</w:t>
      </w:r>
    </w:p>
    <w:p w14:paraId="2B8FE7FD">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在货物采购项目中，供应商提供的货物既有中小企业制造货物，也有大型企业制造货物的，不享受本办法规定的中小企业扶持政策。</w:t>
      </w:r>
    </w:p>
    <w:p w14:paraId="6DCC1156">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以联合体形式参加政府采购活动，联合体各方均为中小企业的，联合体视同中小企业。其中，联合体各方均为小微企业的，联合体视同小微企业。</w:t>
      </w:r>
    </w:p>
    <w:p w14:paraId="485B94BD">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五条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251B36EC">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六条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11F22C12">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符合下列情形之一的，可不专门面向中小企业预留采购</w:t>
      </w:r>
    </w:p>
    <w:p w14:paraId="673FE884">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份额：</w:t>
      </w:r>
    </w:p>
    <w:p w14:paraId="02A87BFC">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（一）法律法规和国家有关政策明确规定优先或者应当面向事业单位、社会组织等非企业主体采购的；</w:t>
      </w:r>
    </w:p>
    <w:p w14:paraId="131AC193">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（二）因确需使用不可替代的专利、专有技术，基础设施限制，或者提供特定公共服务等原因，只能从中小企业之外的供应商处采购的；</w:t>
      </w:r>
    </w:p>
    <w:p w14:paraId="6D523C7B">
      <w:pPr>
        <w:spacing w:line="360" w:lineRule="auto"/>
        <w:ind w:firstLine="504" w:firstLineChars="200"/>
        <w:jc w:val="left"/>
        <w:rPr>
          <w:rFonts w:hint="eastAsia" w:ascii="宋体" w:hAnsi="宋体" w:eastAsia="宋体" w:cs="宋体"/>
          <w:color w:val="auto"/>
          <w:spacing w:val="6"/>
          <w:sz w:val="24"/>
          <w:szCs w:val="24"/>
          <w:highlight w:val="none"/>
        </w:rPr>
      </w:pPr>
    </w:p>
    <w:p w14:paraId="7801923D">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（三）按照本办法规定预留采购份额无法确保充分供应、充分竞争，或者存在可能影响政府采购目标实现的情形；</w:t>
      </w:r>
    </w:p>
    <w:p w14:paraId="50B9EB00">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（四）框架协议采购项目；</w:t>
      </w:r>
    </w:p>
    <w:p w14:paraId="362E7090">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（五）省级以上人民政府财政部门规定的其他情形。除上述情形外，其他均为适宜由中小企业提供的情形。第七条</w:t>
      </w:r>
      <w:r>
        <w:rPr>
          <w:rFonts w:hint="eastAsia" w:ascii="宋体" w:hAnsi="宋体" w:eastAsia="宋体" w:cs="宋体"/>
          <w:color w:val="auto"/>
          <w:spacing w:val="6"/>
          <w:sz w:val="24"/>
          <w:szCs w:val="24"/>
          <w:highlight w:val="none"/>
        </w:rPr>
        <w:tab/>
      </w:r>
      <w:r>
        <w:rPr>
          <w:rFonts w:hint="eastAsia" w:ascii="宋体" w:hAnsi="宋体" w:eastAsia="宋体" w:cs="宋体"/>
          <w:color w:val="auto"/>
          <w:spacing w:val="6"/>
          <w:sz w:val="24"/>
          <w:szCs w:val="24"/>
          <w:highlight w:val="none"/>
        </w:rPr>
        <w:t>采购限额标准以上，200万元以下的货物和服</w:t>
      </w:r>
    </w:p>
    <w:p w14:paraId="6D6D084F">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务采购项目、400万元以下的工程采购项目，适宜由中小企业提供的，采购人应当专门面向中小企业采购。</w:t>
      </w:r>
    </w:p>
    <w:p w14:paraId="5438F858">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八条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C821EBE">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（一）将采购项目整体或者设置采购包专门面向中小企业采购；</w:t>
      </w:r>
    </w:p>
    <w:p w14:paraId="789227E7">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（二）要求供应商以联合体形式参加采购活动，且联合体中中小企业承担的部分达到一定比例；</w:t>
      </w:r>
    </w:p>
    <w:p w14:paraId="580C4C06">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（三）要求获得采购合同的供应商将采购项目中的一定比例分包给一家或者多家中小企业。</w:t>
      </w:r>
    </w:p>
    <w:p w14:paraId="2AC45017">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组成联合体或者接受分包合同的中小企业与联合体内其他企业、分包企业之间不得存在直接控股、管理关系。</w:t>
      </w:r>
    </w:p>
    <w:p w14:paraId="1D367662">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九条对于经主管预算单位统筹后未预留份额专门面向中小企业采购的采购项目，以及预留份额项目中的非预留部分采购包，采购人、采购代理机构应当对符合本办法规定的小微企业报价给予6%—10%（工程项目为3%—5%）的</w:t>
      </w:r>
    </w:p>
    <w:p w14:paraId="48FF1EEC">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扣除，用扣除后的价格参加评审。适用招标投标法的政府采购工程建设项目，采用综合评估法但未采用低价优先法计算价格分的，评审时应当在采用原报价进行评分的基础上增加其价格得分的3%—5%作为其价格分。</w:t>
      </w:r>
    </w:p>
    <w:p w14:paraId="73F20DD0">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审时应当在采用原报价进行评分的基础上增加其价格得分的1%—2%作为其价格分。组成联合体或者接受分包的小微企业与联合体内其他企业、分包企业之间存在直接控股、管理关系的，不享受价格扣除优惠政策。</w:t>
      </w:r>
    </w:p>
    <w:p w14:paraId="5EC6409D">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价格扣除比例或者价格分加分比例对小型企业和微型</w:t>
      </w:r>
    </w:p>
    <w:p w14:paraId="421CE566">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企业同等对待，不作区分。具体采购项目的价格扣除比例或者价格分加分比例，由采购人根据采购标的相关行业平均利润率、市场竞争状况等，在本办法规定的幅度内确定。</w:t>
      </w:r>
    </w:p>
    <w:p w14:paraId="6A4E1C09">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十条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w:t>
      </w:r>
    </w:p>
    <w:p w14:paraId="0EB12D70">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第九条有关规定重新组织采购活动。</w:t>
      </w:r>
    </w:p>
    <w:p w14:paraId="5A0C5A24">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十一条中小企业参加政府采购活动，应当出具本办法规定的《中小企业声明函》（附1），否则不得享受相关中小企业扶持政策。任何单位和个人不得要求供应商提供《中小企业声明函》之外的中小企业身份证明文件。</w:t>
      </w:r>
    </w:p>
    <w:p w14:paraId="4446FB88">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第十二条采购项目涉及中小企业采购的，采购文件应当明确以下内容：</w:t>
      </w:r>
    </w:p>
    <w:p w14:paraId="5CDDA096">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（一）预留份额的采购项目或者采购包，明确该项目或相关采购包专门面向中小企业采购，以及相关标的及预算金额；</w:t>
      </w:r>
    </w:p>
    <w:p w14:paraId="0F2A05F8">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（二）要求以联合体形式参加或者合同分包的，明确联</w:t>
      </w:r>
    </w:p>
    <w:p w14:paraId="2BE72A37">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合协议或者分包意向协议中中小企业合同金额应当达到的比例，并作为供应商资格条件；</w:t>
      </w:r>
    </w:p>
    <w:p w14:paraId="6D0330E8">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（三）非预留份额的采购项目或者采购包，明确有关价格扣除比例或者价格分加分比例；</w:t>
      </w:r>
    </w:p>
    <w:p w14:paraId="365F1C8F">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（四）规定依据本办法规定享受扶持政策获得政府采购合同的，小微企业不得将合同分包给大中型企业，中型企业不得将合同分包给大型企业；</w:t>
      </w:r>
    </w:p>
    <w:p w14:paraId="12A33673">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（五）采购人认为具备相关条件的，明确对中小企业在资金支付期限、预付款比例等方面的优惠措施；</w:t>
      </w:r>
    </w:p>
    <w:p w14:paraId="33B015CD">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（六）明确采购标的对应的中小企业划分标准所属行业；</w:t>
      </w:r>
    </w:p>
    <w:p w14:paraId="06E3C4A5">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（七）法律法规和省级以上人民政府财政部门规定的其他事项。</w:t>
      </w:r>
    </w:p>
    <w:p w14:paraId="1064AC2B">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第十三条</w:t>
      </w:r>
      <w:r>
        <w:rPr>
          <w:rFonts w:hint="eastAsia" w:ascii="宋体" w:hAnsi="宋体" w:eastAsia="宋体" w:cs="宋体"/>
          <w:color w:val="auto"/>
          <w:spacing w:val="6"/>
          <w:sz w:val="24"/>
          <w:szCs w:val="24"/>
          <w:highlight w:val="none"/>
        </w:rPr>
        <w:tab/>
      </w:r>
      <w:r>
        <w:rPr>
          <w:rFonts w:hint="eastAsia" w:ascii="宋体" w:hAnsi="宋体" w:eastAsia="宋体" w:cs="宋体"/>
          <w:color w:val="auto"/>
          <w:spacing w:val="6"/>
          <w:sz w:val="24"/>
          <w:szCs w:val="24"/>
          <w:highlight w:val="none"/>
        </w:rPr>
        <w:t>中标、成交供应商享受本办法规定的中小企业扶持政策的，采购人、采购代理机构应当随中标、成交结果公开中标、成交供应商的《中小企业声明函》。</w:t>
      </w:r>
    </w:p>
    <w:p w14:paraId="74FEF4F8">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适用招标投标法的政府采购工程建设项目，应当在公示中标候选人时公开中标候选人的《中小企业声明函》。</w:t>
      </w:r>
    </w:p>
    <w:p w14:paraId="30F96A96">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十四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EECDA27">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第十五条鼓励各地区、各部门在采购活动中允许中小企业引入信用担保手段，为中小企业在投标（响应）保证、履约保证等方面提供专业化服务。鼓励中小企业依法合规通过政府采购合同融资。</w:t>
      </w:r>
    </w:p>
    <w:p w14:paraId="6F9E0F5B">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第十六条政府采购监督检查、投诉处理及政府采购行政处罚中对中小企业的认定，由货物制造商或者工程、服务供应商注册登记所在地的县级以上人民政府中小企业主管部门负责。</w:t>
      </w:r>
    </w:p>
    <w:p w14:paraId="6F4A57C2">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中小企业主管部门应当在收到财政部门或者有关招标投标行政监督部门关于协助开展中小企业认定函后10个工作日内做出书面答复。</w:t>
      </w:r>
    </w:p>
    <w:p w14:paraId="5319B493">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第十七条</w:t>
      </w:r>
      <w:r>
        <w:rPr>
          <w:rFonts w:hint="eastAsia" w:ascii="宋体" w:hAnsi="宋体" w:eastAsia="宋体" w:cs="宋体"/>
          <w:color w:val="auto"/>
          <w:spacing w:val="6"/>
          <w:sz w:val="24"/>
          <w:szCs w:val="24"/>
          <w:highlight w:val="none"/>
        </w:rPr>
        <w:tab/>
      </w:r>
      <w:r>
        <w:rPr>
          <w:rFonts w:hint="eastAsia" w:ascii="宋体" w:hAnsi="宋体" w:eastAsia="宋体" w:cs="宋体"/>
          <w:color w:val="auto"/>
          <w:spacing w:val="6"/>
          <w:sz w:val="24"/>
          <w:szCs w:val="24"/>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61377219">
      <w:pPr>
        <w:spacing w:line="360" w:lineRule="auto"/>
        <w:ind w:firstLine="504" w:firstLineChars="200"/>
        <w:jc w:val="left"/>
        <w:rPr>
          <w:rFonts w:hint="eastAsia" w:ascii="宋体" w:hAnsi="宋体" w:eastAsia="宋体" w:cs="宋体"/>
          <w:color w:val="auto"/>
          <w:spacing w:val="6"/>
          <w:sz w:val="24"/>
          <w:szCs w:val="24"/>
          <w:highlight w:val="none"/>
        </w:rPr>
      </w:pPr>
    </w:p>
    <w:p w14:paraId="56F89431">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第十八条</w:t>
      </w:r>
      <w:r>
        <w:rPr>
          <w:rFonts w:hint="eastAsia" w:ascii="宋体" w:hAnsi="宋体" w:eastAsia="宋体" w:cs="宋体"/>
          <w:color w:val="auto"/>
          <w:spacing w:val="6"/>
          <w:sz w:val="24"/>
          <w:szCs w:val="24"/>
          <w:highlight w:val="none"/>
        </w:rPr>
        <w:tab/>
      </w:r>
      <w:r>
        <w:rPr>
          <w:rFonts w:hint="eastAsia" w:ascii="宋体" w:hAnsi="宋体" w:eastAsia="宋体" w:cs="宋体"/>
          <w:color w:val="auto"/>
          <w:spacing w:val="6"/>
          <w:sz w:val="24"/>
          <w:szCs w:val="24"/>
          <w:highlight w:val="none"/>
        </w:rPr>
        <w:t>主管预算单位应当自2022年起向同级财政部门报告本部门上一年度面向中小企业预留份额和采购的具体情况，并在中国政府采购网公开预留项目执行情况(附2)。未达到本办法规定的预留份额比例的，应当作出说明。第十九条</w:t>
      </w:r>
      <w:r>
        <w:rPr>
          <w:rFonts w:hint="eastAsia" w:ascii="宋体" w:hAnsi="宋体" w:eastAsia="宋体" w:cs="宋体"/>
          <w:color w:val="auto"/>
          <w:spacing w:val="6"/>
          <w:sz w:val="24"/>
          <w:szCs w:val="24"/>
          <w:highlight w:val="none"/>
        </w:rPr>
        <w:tab/>
      </w:r>
      <w:r>
        <w:rPr>
          <w:rFonts w:hint="eastAsia" w:ascii="宋体" w:hAnsi="宋体" w:eastAsia="宋体" w:cs="宋体"/>
          <w:color w:val="auto"/>
          <w:spacing w:val="6"/>
          <w:sz w:val="24"/>
          <w:szCs w:val="24"/>
          <w:highlight w:val="none"/>
        </w:rPr>
        <w:t>采购人未按本办法规定为中小企业预留采</w:t>
      </w:r>
    </w:p>
    <w:p w14:paraId="12CE6AEB">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购份额，采购人、采购代理机构未按照本办法规定要求实施价格扣除或者价格分加分的，属于未按照规定执行政府采购政策，依照《中华人民共和国政府采购法》等国家有关规定追究法律责任。</w:t>
      </w:r>
    </w:p>
    <w:p w14:paraId="5A912710">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第二十条供应商按照本办法规定提供声明函内容不实的，属于提供虚假材料谋取、成交，依照《中华人民共和国政府采购法》等国家有关规定追究相应责任。</w:t>
      </w:r>
    </w:p>
    <w:p w14:paraId="51DDEC14">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适用招标投标法的政府采购工程建设项目，供应商按照本办法规定提供声明函内容不实的，属于弄虚作假骗取中标，依照《中华人民共和国招标投标法》等国家有关规定追究相应责任。</w:t>
      </w:r>
    </w:p>
    <w:p w14:paraId="0A4EF59B">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二十一条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74A70C6">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第二十二条对外援助项目、国家相关资格或者资质管</w:t>
      </w:r>
    </w:p>
    <w:p w14:paraId="414FFC4C">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理制度另有规定的项目，不适用本办法。</w:t>
      </w:r>
    </w:p>
    <w:p w14:paraId="2CCBD678">
      <w:pPr>
        <w:spacing w:line="360" w:lineRule="auto"/>
        <w:ind w:firstLine="504" w:firstLineChars="200"/>
        <w:jc w:val="left"/>
        <w:rPr>
          <w:rFonts w:hint="eastAsia" w:ascii="宋体" w:hAnsi="宋体" w:eastAsia="宋体" w:cs="宋体"/>
          <w:color w:val="auto"/>
          <w:spacing w:val="6"/>
          <w:sz w:val="24"/>
          <w:szCs w:val="24"/>
          <w:highlight w:val="none"/>
        </w:rPr>
      </w:pPr>
    </w:p>
    <w:p w14:paraId="59C2ABE6">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第二十三条关于视同中小企业的其他主体的政府采购扶持政策，由财政部会同有关部门另行规定。</w:t>
      </w:r>
    </w:p>
    <w:p w14:paraId="7677FD17">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第二十四条省级财政部门可以会同中小企业主管部门根据本办法的规定制定具体实施办法。</w:t>
      </w:r>
    </w:p>
    <w:p w14:paraId="6EFB27D2">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第二十五条本办法自2021年1月1日起施行。《财政部工业和信息化部关于印发〈政府采购促进中小企业发展暂行办法〉的通知》（财库﹝2011﹞181号）同时废止。</w:t>
      </w:r>
    </w:p>
    <w:p w14:paraId="7B57ADAB">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2.</w:t>
      </w:r>
      <w:r>
        <w:rPr>
          <w:rStyle w:val="56"/>
          <w:rFonts w:hint="eastAsia" w:ascii="宋体" w:hAnsi="宋体" w:eastAsia="宋体" w:cs="宋体"/>
          <w:color w:val="auto"/>
          <w:sz w:val="24"/>
          <w:highlight w:val="none"/>
        </w:rPr>
        <w:t>中小企业划型标准规定</w:t>
      </w:r>
    </w:p>
    <w:p w14:paraId="40DECFA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一、根据《中华人民共和国中小企业促进法》和《国务院关于进一步促进中小企业发展的若干意见》(国发〔2009〕36号)，制定本规定。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二、中小企业划分为中型、小型、微型三种类型，具体标准根据企业从业人员、营业收入、资产总额等指标，结合行业特点制定。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w:t>
      </w:r>
      <w:r>
        <w:rPr>
          <w:rFonts w:hint="eastAsia" w:ascii="宋体" w:hAnsi="宋体" w:eastAsia="宋体" w:cs="宋体"/>
          <w:color w:val="auto"/>
          <w:sz w:val="24"/>
          <w:szCs w:val="24"/>
          <w:highlight w:val="none"/>
          <w:lang w:eastAsia="zh-CN"/>
        </w:rPr>
        <w:t>租赁和商务服务业</w:t>
      </w:r>
      <w:r>
        <w:rPr>
          <w:rFonts w:hint="eastAsia" w:ascii="宋体" w:hAnsi="宋体" w:eastAsia="宋体" w:cs="宋体"/>
          <w:color w:val="auto"/>
          <w:sz w:val="24"/>
          <w:szCs w:val="24"/>
          <w:highlight w:val="none"/>
        </w:rPr>
        <w:t>，房地产开发经营，物业管理，租赁和商务服务业，其他未列明行业（包括科学研究和技术服务业，水利、环境和公共设施管理业，居民服务、修理和其他服务业，社会工作，文化、体育和娱乐业等）。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四、各行业划型标准为：</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（十二）</w:t>
      </w:r>
      <w:r>
        <w:rPr>
          <w:rFonts w:hint="eastAsia" w:ascii="宋体" w:hAnsi="宋体" w:eastAsia="宋体" w:cs="宋体"/>
          <w:color w:val="auto"/>
          <w:sz w:val="24"/>
          <w:szCs w:val="24"/>
          <w:highlight w:val="none"/>
          <w:lang w:eastAsia="zh-CN"/>
        </w:rPr>
        <w:t>租赁和商务服务业</w:t>
      </w:r>
      <w:r>
        <w:rPr>
          <w:rFonts w:hint="eastAsia" w:ascii="宋体" w:hAnsi="宋体" w:eastAsia="宋体" w:cs="宋体"/>
          <w:color w:val="auto"/>
          <w:sz w:val="24"/>
          <w:szCs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五、企业类型的划分以统计部门的统计数据为依据。</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六、本规定适用于在中华人民共和国境内依法设立的各类所有制和各种组织形式的企业。个体工商户和本规定以外的行业，参照本规定进行划型。</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八、本规定由工业和信息化部、国家统计局会同有关部门根据《国民经济行业分类》修订情况和企业发展变化情况适时修订。</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九、本规定由工业和信息化部、国家统计局会同有关部门负责解释。</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十、本规定自发布之日起执行，原国家经贸委、原国家计委、财政部和国家统计局2003年颁布的《中小企业标准暂行规定》同时废止。</w:t>
      </w:r>
    </w:p>
    <w:p w14:paraId="7159FE2E">
      <w:pPr>
        <w:spacing w:line="360" w:lineRule="auto"/>
        <w:rPr>
          <w:rFonts w:hint="eastAsia" w:ascii="宋体" w:hAnsi="宋体" w:eastAsia="宋体" w:cs="宋体"/>
          <w:color w:val="auto"/>
          <w:sz w:val="24"/>
          <w:szCs w:val="24"/>
          <w:highlight w:val="none"/>
        </w:rPr>
      </w:pPr>
    </w:p>
    <w:p w14:paraId="674FACC4">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工业和信息化部国家统计局</w:t>
      </w:r>
    </w:p>
    <w:p w14:paraId="3BBE90D7">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国家发展和改革委员会财政部</w:t>
      </w:r>
    </w:p>
    <w:p w14:paraId="74E7A49B">
      <w:pPr>
        <w:spacing w:line="360" w:lineRule="auto"/>
        <w:jc w:val="righ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二〇一一年六月十八日</w:t>
      </w:r>
    </w:p>
    <w:p w14:paraId="2CE11552">
      <w:pPr>
        <w:spacing w:line="360" w:lineRule="auto"/>
        <w:ind w:firstLine="506" w:firstLineChars="200"/>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br w:type="page"/>
      </w:r>
      <w:r>
        <w:rPr>
          <w:rFonts w:hint="eastAsia" w:ascii="宋体" w:hAnsi="宋体" w:eastAsia="宋体" w:cs="宋体"/>
          <w:b/>
          <w:color w:val="auto"/>
          <w:spacing w:val="6"/>
          <w:sz w:val="24"/>
          <w:szCs w:val="24"/>
          <w:highlight w:val="none"/>
        </w:rPr>
        <w:t>3.关于政府采购支持监狱企业发展有关问题的通知</w:t>
      </w:r>
    </w:p>
    <w:p w14:paraId="7B7663F6">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6010B27">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w:t>
      </w:r>
      <w:bookmarkStart w:id="425" w:name="OLE_LINK1"/>
      <w:r>
        <w:rPr>
          <w:rFonts w:hint="eastAsia" w:ascii="宋体" w:hAnsi="宋体" w:eastAsia="宋体" w:cs="宋体"/>
          <w:color w:val="auto"/>
          <w:kern w:val="0"/>
          <w:sz w:val="24"/>
          <w:szCs w:val="24"/>
          <w:highlight w:val="none"/>
        </w:rPr>
        <w:t>监狱企业</w:t>
      </w:r>
      <w:bookmarkEnd w:id="425"/>
      <w:r>
        <w:rPr>
          <w:rFonts w:hint="eastAsia" w:ascii="宋体" w:hAnsi="宋体" w:eastAsia="宋体" w:cs="宋体"/>
          <w:color w:val="auto"/>
          <w:kern w:val="0"/>
          <w:sz w:val="24"/>
          <w:szCs w:val="24"/>
          <w:highlight w:val="none"/>
        </w:rPr>
        <w:t>发展的作用，现就有关事项通知如下:</w:t>
      </w:r>
    </w:p>
    <w:p w14:paraId="4B443B10">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宋体" w:hAnsi="宋体" w:eastAsia="宋体" w:cs="宋体"/>
          <w:color w:val="auto"/>
          <w:kern w:val="0"/>
          <w:sz w:val="24"/>
          <w:szCs w:val="24"/>
          <w:highlight w:val="none"/>
        </w:rPr>
        <w:t>。</w:t>
      </w:r>
    </w:p>
    <w:p w14:paraId="0ABC19DF">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4B7F623D">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4FC0923">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四、各地区可以结合本地区实际，对监狱企业生产的办公用品、家具用具、车辆维修和提供的保养服务、消防设备等，提出预留份额等政府采购支持措施，加大对监狱企业产品的采购力度。</w:t>
      </w:r>
    </w:p>
    <w:p w14:paraId="5B3A2592">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7A69E34">
      <w:pPr>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财政部司法部</w:t>
      </w:r>
    </w:p>
    <w:p w14:paraId="5DF554E1">
      <w:pPr>
        <w:spacing w:line="360" w:lineRule="auto"/>
        <w:jc w:val="right"/>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2014年6月10日</w:t>
      </w:r>
    </w:p>
    <w:p w14:paraId="359E06F7">
      <w:pPr>
        <w:spacing w:line="360" w:lineRule="auto"/>
        <w:ind w:right="1928"/>
        <w:rPr>
          <w:rFonts w:hint="eastAsia" w:ascii="宋体" w:hAnsi="宋体" w:eastAsia="宋体" w:cs="宋体"/>
          <w:color w:val="auto"/>
          <w:sz w:val="24"/>
          <w:szCs w:val="24"/>
          <w:highlight w:val="none"/>
        </w:rPr>
      </w:pPr>
    </w:p>
    <w:sectPr>
      <w:headerReference r:id="rId15" w:type="default"/>
      <w:footerReference r:id="rId16" w:type="default"/>
      <w:pgSz w:w="11907" w:h="16840"/>
      <w:pgMar w:top="1418" w:right="1418" w:bottom="1247" w:left="1418" w:header="964" w:footer="85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entury">
    <w:panose1 w:val="02040604050505020304"/>
    <w:charset w:val="00"/>
    <w:family w:val="roman"/>
    <w:pitch w:val="default"/>
    <w:sig w:usb0="00000287"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华文细黑">
    <w:panose1 w:val="02010600040101010101"/>
    <w:charset w:val="86"/>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书宋简体">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AF216">
    <w:pPr>
      <w:pStyle w:val="3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1BB523">
                          <w:pPr>
                            <w:pStyle w:val="33"/>
                            <w:jc w:val="center"/>
                          </w:pPr>
                          <w:r>
                            <w:fldChar w:fldCharType="begin"/>
                          </w:r>
                          <w:r>
                            <w:instrText xml:space="preserve"> PAGE   \* MERGEFORMAT </w:instrText>
                          </w:r>
                          <w:r>
                            <w:fldChar w:fldCharType="separate"/>
                          </w:r>
                          <w:r>
                            <w:rPr>
                              <w:lang w:val="zh-CN"/>
                            </w:rPr>
                            <w:t>46</w:t>
                          </w:r>
                          <w:r>
                            <w:rPr>
                              <w:lang w:val="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Q5sd4BAAC+AwAADgAAAGRycy9lMm9Eb2MueG1srVPBjtMwEL0j8Q+W&#10;7zTZg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EtDmx3gEAAL4DAAAOAAAAAAAA&#10;AAEAIAAAAB4BAABkcnMvZTJvRG9jLnhtbFBLBQYAAAAABgAGAFkBAABuBQAAAAA=&#10;">
              <v:fill on="f" focussize="0,0"/>
              <v:stroke on="f"/>
              <v:imagedata o:title=""/>
              <o:lock v:ext="edit" aspectratio="f"/>
              <v:textbox inset="0mm,0mm,0mm,0mm" style="mso-fit-shape-to-text:t;">
                <w:txbxContent>
                  <w:p w14:paraId="1F1BB523">
                    <w:pPr>
                      <w:pStyle w:val="33"/>
                      <w:jc w:val="center"/>
                    </w:pPr>
                    <w:r>
                      <w:fldChar w:fldCharType="begin"/>
                    </w:r>
                    <w:r>
                      <w:instrText xml:space="preserve"> PAGE   \* MERGEFORMAT </w:instrText>
                    </w:r>
                    <w:r>
                      <w:fldChar w:fldCharType="separate"/>
                    </w:r>
                    <w:r>
                      <w:rPr>
                        <w:lang w:val="zh-CN"/>
                      </w:rPr>
                      <w:t>46</w:t>
                    </w:r>
                    <w:r>
                      <w:rPr>
                        <w:lang w:val="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9FC48">
    <w:pPr>
      <w:spacing w:line="176" w:lineRule="auto"/>
      <w:ind w:left="447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0BDC5">
    <w:pPr>
      <w:pStyle w:val="3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621073">
                          <w:pPr>
                            <w:pStyle w:val="33"/>
                            <w:jc w:val="center"/>
                          </w:pPr>
                          <w:r>
                            <w:fldChar w:fldCharType="begin"/>
                          </w:r>
                          <w:r>
                            <w:rPr>
                              <w:rStyle w:val="58"/>
                            </w:rPr>
                            <w:instrText xml:space="preserve"> PAGE </w:instrText>
                          </w:r>
                          <w:r>
                            <w:fldChar w:fldCharType="separate"/>
                          </w:r>
                          <w:r>
                            <w:rPr>
                              <w:rStyle w:val="58"/>
                            </w:rPr>
                            <w:t>147</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14:paraId="0D621073">
                    <w:pPr>
                      <w:pStyle w:val="33"/>
                      <w:jc w:val="center"/>
                    </w:pPr>
                    <w:r>
                      <w:fldChar w:fldCharType="begin"/>
                    </w:r>
                    <w:r>
                      <w:rPr>
                        <w:rStyle w:val="58"/>
                      </w:rPr>
                      <w:instrText xml:space="preserve"> PAGE </w:instrText>
                    </w:r>
                    <w:r>
                      <w:fldChar w:fldCharType="separate"/>
                    </w:r>
                    <w:r>
                      <w:rPr>
                        <w:rStyle w:val="58"/>
                      </w:rPr>
                      <w:t>147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4BBDF">
    <w:pPr>
      <w:pStyle w:val="3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0EB2FA">
                          <w:pPr>
                            <w:pStyle w:val="3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xJm0t4BAAC+AwAADgAAAGRycy9lMm9Eb2MueG1srVPBjtMwEL0j8Q+W&#10;7zTZC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jEmbS3gEAAL4DAAAOAAAAAAAA&#10;AAEAIAAAAB4BAABkcnMvZTJvRG9jLnhtbFBLBQYAAAAABgAGAFkBAABuBQAAAAA=&#10;">
              <v:fill on="f" focussize="0,0"/>
              <v:stroke on="f"/>
              <v:imagedata o:title=""/>
              <o:lock v:ext="edit" aspectratio="f"/>
              <v:textbox inset="0mm,0mm,0mm,0mm" style="mso-fit-shape-to-text:t;">
                <w:txbxContent>
                  <w:p w14:paraId="410EB2FA">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F0FF4">
    <w:pPr>
      <w:pStyle w:val="3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C84F79">
                          <w:pPr>
                            <w:pStyle w:val="33"/>
                            <w:jc w:val="center"/>
                          </w:pPr>
                          <w:r>
                            <w:fldChar w:fldCharType="begin"/>
                          </w:r>
                          <w:r>
                            <w:instrText xml:space="preserve"> PAGE   \* MERGEFORMAT </w:instrText>
                          </w:r>
                          <w:r>
                            <w:fldChar w:fldCharType="separate"/>
                          </w:r>
                          <w:r>
                            <w:rPr>
                              <w:lang w:val="zh-CN"/>
                            </w:rPr>
                            <w:t>46</w:t>
                          </w:r>
                          <w:r>
                            <w:rPr>
                              <w:lang w:val="zh-CN"/>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14:paraId="43C84F79">
                    <w:pPr>
                      <w:pStyle w:val="33"/>
                      <w:jc w:val="center"/>
                    </w:pPr>
                    <w:r>
                      <w:fldChar w:fldCharType="begin"/>
                    </w:r>
                    <w:r>
                      <w:instrText xml:space="preserve"> PAGE   \* MERGEFORMAT </w:instrText>
                    </w:r>
                    <w:r>
                      <w:fldChar w:fldCharType="separate"/>
                    </w:r>
                    <w:r>
                      <w:rPr>
                        <w:lang w:val="zh-CN"/>
                      </w:rPr>
                      <w:t>46</w:t>
                    </w:r>
                    <w:r>
                      <w:rPr>
                        <w:lang w:val="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18121">
    <w:pPr>
      <w:pStyle w:val="3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1444C7">
                          <w:pPr>
                            <w:pStyle w:val="3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sI4t4BAAC+AwAADgAAAGRycy9lMm9Eb2MueG1srVPNjtMwEL4j8Q6W&#10;7zTZSqy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yaMycsDfz8/dv5x6/zz6/s&#10;Z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MWwji3gEAAL4DAAAOAAAAAAAA&#10;AAEAIAAAAB4BAABkcnMvZTJvRG9jLnhtbFBLBQYAAAAABgAGAFkBAABuBQAAAAA=&#10;">
              <v:fill on="f" focussize="0,0"/>
              <v:stroke on="f"/>
              <v:imagedata o:title=""/>
              <o:lock v:ext="edit" aspectratio="f"/>
              <v:textbox inset="0mm,0mm,0mm,0mm" style="mso-fit-shape-to-text:t;">
                <w:txbxContent>
                  <w:p w14:paraId="0D1444C7">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6ED93">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FD914F">
                          <w:pPr>
                            <w:pStyle w:val="3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TYewg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VNh7CDgCAABxBAAADgAAAAAAAAABACAAAAAfAQAAZHJzL2Uyb0RvYy54&#10;bWxQSwUGAAAAAAYABgBZAQAAyQUAAAAA&#10;">
              <v:fill on="f" focussize="0,0"/>
              <v:stroke on="f" weight="0.5pt"/>
              <v:imagedata o:title=""/>
              <o:lock v:ext="edit" aspectratio="f"/>
              <v:textbox inset="0mm,0mm,0mm,0mm" style="mso-fit-shape-to-text:t;">
                <w:txbxContent>
                  <w:p w14:paraId="7BFD914F">
                    <w:pPr>
                      <w:pStyle w:val="3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ADAA9">
    <w:pPr>
      <w:spacing w:line="176" w:lineRule="auto"/>
      <w:ind w:left="445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60982">
    <w:pPr>
      <w:spacing w:line="176" w:lineRule="auto"/>
      <w:ind w:left="44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A5F4F">
    <w:pPr>
      <w:spacing w:line="176" w:lineRule="auto"/>
      <w:ind w:left="445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17702">
    <w:pPr>
      <w:spacing w:line="176" w:lineRule="auto"/>
      <w:ind w:left="445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5FBA4">
    <w:pPr>
      <w:pStyle w:val="34"/>
      <w:jc w:val="center"/>
      <w:rPr>
        <w:rFonts w:hint="eastAsia" w:ascii="宋体" w:hAnsi="宋体"/>
        <w:b/>
        <w:bCs/>
        <w:color w:val="000000"/>
        <w:sz w:val="21"/>
        <w:szCs w:val="21"/>
        <w:lang w:eastAsia="zh-CN"/>
      </w:rPr>
    </w:pPr>
  </w:p>
  <w:p w14:paraId="38E2999C">
    <w:pPr>
      <w:pStyle w:val="34"/>
      <w:jc w:val="center"/>
    </w:pPr>
    <w:r>
      <w:rPr>
        <w:rFonts w:hint="eastAsia" w:ascii="宋体" w:hAnsi="宋体"/>
        <w:b/>
        <w:bCs/>
        <w:color w:val="000000"/>
        <w:sz w:val="21"/>
        <w:szCs w:val="21"/>
        <w:lang w:eastAsia="zh-CN"/>
      </w:rPr>
      <w:t>乌鲁木齐高新区（新市区）2017年美丽乡村建设ppp项目（B包）、乌鲁木齐高新区（新市区）城北新区路灯及农村路灯建设ppp复核项目审计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5433F">
    <w:pPr>
      <w:pStyle w:val="34"/>
    </w:pPr>
    <w:r>
      <w:rPr>
        <w:rFonts w:hint="eastAsia" w:ascii="宋体" w:hAnsi="宋体"/>
        <w:b/>
        <w:bCs/>
        <w:color w:val="000000"/>
        <w:sz w:val="21"/>
        <w:szCs w:val="21"/>
        <w:lang w:eastAsia="zh-CN"/>
      </w:rPr>
      <w:t>乌鲁木齐高新区（新市区）2017年美丽乡村建设ppp项目（B包）、乌鲁木齐高新区（新市区）城北新区路灯及农村路灯建设ppp复核项目审计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0B645">
    <w:pPr>
      <w:pStyle w:val="34"/>
      <w:rPr>
        <w:rFonts w:hint="eastAsia" w:eastAsia="宋体"/>
        <w:sz w:val="21"/>
        <w:szCs w:val="21"/>
        <w:lang w:eastAsia="zh-CN"/>
      </w:rPr>
    </w:pPr>
    <w:r>
      <w:rPr>
        <w:rFonts w:hint="eastAsia" w:ascii="宋体" w:hAnsi="宋体"/>
        <w:b/>
        <w:bCs/>
        <w:color w:val="000000"/>
        <w:sz w:val="21"/>
        <w:szCs w:val="21"/>
        <w:lang w:eastAsia="zh-CN"/>
      </w:rPr>
      <w:t>乌鲁木齐高新区（新市区）2017年美丽乡村建设ppp项目（B包）、乌鲁木齐高新区（新市区）城北新区路灯及农村路灯建设ppp复核项目审计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ED579"/>
    <w:multiLevelType w:val="singleLevel"/>
    <w:tmpl w:val="8B4ED579"/>
    <w:lvl w:ilvl="0" w:tentative="0">
      <w:start w:val="1"/>
      <w:numFmt w:val="decimal"/>
      <w:lvlText w:val="%1."/>
      <w:lvlJc w:val="left"/>
      <w:pPr>
        <w:ind w:left="425" w:hanging="425"/>
      </w:pPr>
      <w:rPr>
        <w:rFonts w:hint="default"/>
      </w:rPr>
    </w:lvl>
  </w:abstractNum>
  <w:abstractNum w:abstractNumId="1">
    <w:nsid w:val="ABCCBE8D"/>
    <w:multiLevelType w:val="singleLevel"/>
    <w:tmpl w:val="ABCCBE8D"/>
    <w:lvl w:ilvl="0" w:tentative="0">
      <w:start w:val="4"/>
      <w:numFmt w:val="chineseCounting"/>
      <w:suff w:val="space"/>
      <w:lvlText w:val="第%1章"/>
      <w:lvlJc w:val="left"/>
      <w:rPr>
        <w:rFonts w:hint="eastAsia"/>
      </w:rPr>
    </w:lvl>
  </w:abstractNum>
  <w:abstractNum w:abstractNumId="2">
    <w:nsid w:val="00000009"/>
    <w:multiLevelType w:val="multilevel"/>
    <w:tmpl w:val="00000009"/>
    <w:lvl w:ilvl="0" w:tentative="0">
      <w:start w:val="1"/>
      <w:numFmt w:val="decimal"/>
      <w:lvlText w:val="%1）"/>
      <w:lvlJc w:val="left"/>
      <w:pPr>
        <w:tabs>
          <w:tab w:val="left" w:pos="502"/>
        </w:tabs>
        <w:ind w:left="502" w:hanging="360"/>
      </w:pPr>
      <w:rPr>
        <w:rFonts w:hint="eastAsia"/>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3">
    <w:nsid w:val="0000000E"/>
    <w:multiLevelType w:val="multilevel"/>
    <w:tmpl w:val="0000000E"/>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00000011"/>
    <w:multiLevelType w:val="multilevel"/>
    <w:tmpl w:val="00000011"/>
    <w:lvl w:ilvl="0" w:tentative="0">
      <w:start w:val="2"/>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E"/>
    <w:multiLevelType w:val="multilevel"/>
    <w:tmpl w:val="0000001E"/>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3E16671"/>
    <w:multiLevelType w:val="singleLevel"/>
    <w:tmpl w:val="03E16671"/>
    <w:lvl w:ilvl="0" w:tentative="0">
      <w:start w:val="2"/>
      <w:numFmt w:val="chineseCounting"/>
      <w:suff w:val="nothing"/>
      <w:lvlText w:val="%1、"/>
      <w:lvlJc w:val="left"/>
      <w:rPr>
        <w:rFonts w:hint="eastAsia"/>
      </w:rPr>
    </w:lvl>
  </w:abstractNum>
  <w:abstractNum w:abstractNumId="7">
    <w:nsid w:val="2A800D46"/>
    <w:multiLevelType w:val="singleLevel"/>
    <w:tmpl w:val="2A800D46"/>
    <w:lvl w:ilvl="0" w:tentative="0">
      <w:start w:val="5"/>
      <w:numFmt w:val="decimal"/>
      <w:suff w:val="space"/>
      <w:lvlText w:val="%1)"/>
      <w:lvlJc w:val="left"/>
    </w:lvl>
  </w:abstractNum>
  <w:abstractNum w:abstractNumId="8">
    <w:nsid w:val="322E2208"/>
    <w:multiLevelType w:val="singleLevel"/>
    <w:tmpl w:val="322E2208"/>
    <w:lvl w:ilvl="0" w:tentative="0">
      <w:start w:val="1"/>
      <w:numFmt w:val="decimal"/>
      <w:suff w:val="nothing"/>
      <w:lvlText w:val="%1、"/>
      <w:lvlJc w:val="left"/>
      <w:pPr>
        <w:ind w:left="880" w:firstLine="0"/>
      </w:pPr>
    </w:lvl>
  </w:abstractNum>
  <w:abstractNum w:abstractNumId="9">
    <w:nsid w:val="40582A62"/>
    <w:multiLevelType w:val="multilevel"/>
    <w:tmpl w:val="40582A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8"/>
  </w:num>
  <w:num w:numId="3">
    <w:abstractNumId w:val="5"/>
  </w:num>
  <w:num w:numId="4">
    <w:abstractNumId w:val="7"/>
  </w:num>
  <w:num w:numId="5">
    <w:abstractNumId w:val="9"/>
  </w:num>
  <w:num w:numId="6">
    <w:abstractNumId w:val="0"/>
  </w:num>
  <w:num w:numId="7">
    <w:abstractNumId w:val="6"/>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1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NDA3MTE0ZWM3M2YyOWMzYzBlZDYwOTkyN2YzOGUifQ=="/>
  </w:docVars>
  <w:rsids>
    <w:rsidRoot w:val="00172A27"/>
    <w:rsid w:val="000011FE"/>
    <w:rsid w:val="00001BEF"/>
    <w:rsid w:val="000025E6"/>
    <w:rsid w:val="000029DE"/>
    <w:rsid w:val="0000435B"/>
    <w:rsid w:val="00004EF9"/>
    <w:rsid w:val="0000566B"/>
    <w:rsid w:val="00005684"/>
    <w:rsid w:val="00005927"/>
    <w:rsid w:val="00006F89"/>
    <w:rsid w:val="000072E7"/>
    <w:rsid w:val="00010445"/>
    <w:rsid w:val="00012DB4"/>
    <w:rsid w:val="00013C32"/>
    <w:rsid w:val="00014A34"/>
    <w:rsid w:val="00016097"/>
    <w:rsid w:val="000161A8"/>
    <w:rsid w:val="000175CA"/>
    <w:rsid w:val="00017FE4"/>
    <w:rsid w:val="0002189E"/>
    <w:rsid w:val="00023622"/>
    <w:rsid w:val="000236A0"/>
    <w:rsid w:val="00024BF2"/>
    <w:rsid w:val="00025022"/>
    <w:rsid w:val="000256E1"/>
    <w:rsid w:val="00025876"/>
    <w:rsid w:val="000258F9"/>
    <w:rsid w:val="00026749"/>
    <w:rsid w:val="00027976"/>
    <w:rsid w:val="000303B5"/>
    <w:rsid w:val="00031018"/>
    <w:rsid w:val="00032342"/>
    <w:rsid w:val="000324DE"/>
    <w:rsid w:val="00032805"/>
    <w:rsid w:val="00034286"/>
    <w:rsid w:val="0003490D"/>
    <w:rsid w:val="00034B27"/>
    <w:rsid w:val="00035617"/>
    <w:rsid w:val="000358A5"/>
    <w:rsid w:val="000359A5"/>
    <w:rsid w:val="0003700C"/>
    <w:rsid w:val="000376A9"/>
    <w:rsid w:val="00037CDD"/>
    <w:rsid w:val="00040DBA"/>
    <w:rsid w:val="00042ABA"/>
    <w:rsid w:val="00042AED"/>
    <w:rsid w:val="00043D57"/>
    <w:rsid w:val="000447F1"/>
    <w:rsid w:val="00044B38"/>
    <w:rsid w:val="000459A1"/>
    <w:rsid w:val="0004663D"/>
    <w:rsid w:val="00051C54"/>
    <w:rsid w:val="00052124"/>
    <w:rsid w:val="00052E49"/>
    <w:rsid w:val="0005358F"/>
    <w:rsid w:val="00053BD5"/>
    <w:rsid w:val="00060285"/>
    <w:rsid w:val="0006047D"/>
    <w:rsid w:val="00060781"/>
    <w:rsid w:val="00061445"/>
    <w:rsid w:val="000619C6"/>
    <w:rsid w:val="00062207"/>
    <w:rsid w:val="000624E1"/>
    <w:rsid w:val="000625D6"/>
    <w:rsid w:val="00062C4E"/>
    <w:rsid w:val="00062F04"/>
    <w:rsid w:val="0006369E"/>
    <w:rsid w:val="00063E52"/>
    <w:rsid w:val="00065153"/>
    <w:rsid w:val="00067810"/>
    <w:rsid w:val="000678F3"/>
    <w:rsid w:val="000701E0"/>
    <w:rsid w:val="00070D1C"/>
    <w:rsid w:val="00071459"/>
    <w:rsid w:val="00072A88"/>
    <w:rsid w:val="00073988"/>
    <w:rsid w:val="00073CB9"/>
    <w:rsid w:val="00074564"/>
    <w:rsid w:val="00075C68"/>
    <w:rsid w:val="000769CE"/>
    <w:rsid w:val="00080C51"/>
    <w:rsid w:val="00081268"/>
    <w:rsid w:val="000819B3"/>
    <w:rsid w:val="00081AF7"/>
    <w:rsid w:val="00083DBC"/>
    <w:rsid w:val="0008630D"/>
    <w:rsid w:val="00090F1E"/>
    <w:rsid w:val="000916AC"/>
    <w:rsid w:val="00092263"/>
    <w:rsid w:val="000942C1"/>
    <w:rsid w:val="00094A1D"/>
    <w:rsid w:val="00097C36"/>
    <w:rsid w:val="000A25EE"/>
    <w:rsid w:val="000A2DC1"/>
    <w:rsid w:val="000A5728"/>
    <w:rsid w:val="000A7BD1"/>
    <w:rsid w:val="000B01A3"/>
    <w:rsid w:val="000B0FAB"/>
    <w:rsid w:val="000B18EB"/>
    <w:rsid w:val="000B25EE"/>
    <w:rsid w:val="000B2AD8"/>
    <w:rsid w:val="000B4874"/>
    <w:rsid w:val="000B4BFE"/>
    <w:rsid w:val="000B5A17"/>
    <w:rsid w:val="000B6887"/>
    <w:rsid w:val="000C32C3"/>
    <w:rsid w:val="000C4884"/>
    <w:rsid w:val="000C5166"/>
    <w:rsid w:val="000C6871"/>
    <w:rsid w:val="000D0CD2"/>
    <w:rsid w:val="000D2E8E"/>
    <w:rsid w:val="000D5047"/>
    <w:rsid w:val="000D514A"/>
    <w:rsid w:val="000D600B"/>
    <w:rsid w:val="000D6332"/>
    <w:rsid w:val="000E0F2D"/>
    <w:rsid w:val="000E11A1"/>
    <w:rsid w:val="000E37A4"/>
    <w:rsid w:val="000E4305"/>
    <w:rsid w:val="000E5CA6"/>
    <w:rsid w:val="000E63CA"/>
    <w:rsid w:val="000E787D"/>
    <w:rsid w:val="000E7885"/>
    <w:rsid w:val="000F0D10"/>
    <w:rsid w:val="000F10FD"/>
    <w:rsid w:val="000F28E6"/>
    <w:rsid w:val="000F2BED"/>
    <w:rsid w:val="000F2E49"/>
    <w:rsid w:val="000F2F8F"/>
    <w:rsid w:val="000F4F58"/>
    <w:rsid w:val="000F61E5"/>
    <w:rsid w:val="000F6630"/>
    <w:rsid w:val="00100057"/>
    <w:rsid w:val="00100369"/>
    <w:rsid w:val="00100C75"/>
    <w:rsid w:val="00101063"/>
    <w:rsid w:val="00101187"/>
    <w:rsid w:val="00101611"/>
    <w:rsid w:val="00102A87"/>
    <w:rsid w:val="00102E86"/>
    <w:rsid w:val="0010416B"/>
    <w:rsid w:val="001049BF"/>
    <w:rsid w:val="0010509E"/>
    <w:rsid w:val="001111A6"/>
    <w:rsid w:val="00111460"/>
    <w:rsid w:val="00112565"/>
    <w:rsid w:val="00112691"/>
    <w:rsid w:val="00112CD2"/>
    <w:rsid w:val="00112D51"/>
    <w:rsid w:val="00114594"/>
    <w:rsid w:val="00114AA3"/>
    <w:rsid w:val="00116BBD"/>
    <w:rsid w:val="00117862"/>
    <w:rsid w:val="001219B1"/>
    <w:rsid w:val="0012273C"/>
    <w:rsid w:val="001227E5"/>
    <w:rsid w:val="00123228"/>
    <w:rsid w:val="0012370C"/>
    <w:rsid w:val="001244F3"/>
    <w:rsid w:val="00126A1B"/>
    <w:rsid w:val="00127EB5"/>
    <w:rsid w:val="00130809"/>
    <w:rsid w:val="001325EA"/>
    <w:rsid w:val="00133C9C"/>
    <w:rsid w:val="00134970"/>
    <w:rsid w:val="00140BDB"/>
    <w:rsid w:val="001413E7"/>
    <w:rsid w:val="001438D3"/>
    <w:rsid w:val="00143914"/>
    <w:rsid w:val="00143C50"/>
    <w:rsid w:val="0014455D"/>
    <w:rsid w:val="00144F88"/>
    <w:rsid w:val="0014529B"/>
    <w:rsid w:val="00145494"/>
    <w:rsid w:val="001455C3"/>
    <w:rsid w:val="00145CD8"/>
    <w:rsid w:val="00146211"/>
    <w:rsid w:val="00146792"/>
    <w:rsid w:val="00146FD3"/>
    <w:rsid w:val="001507AB"/>
    <w:rsid w:val="001507CC"/>
    <w:rsid w:val="00150A31"/>
    <w:rsid w:val="0015196B"/>
    <w:rsid w:val="001527C8"/>
    <w:rsid w:val="00153C38"/>
    <w:rsid w:val="001552C7"/>
    <w:rsid w:val="00155598"/>
    <w:rsid w:val="00155670"/>
    <w:rsid w:val="001566B9"/>
    <w:rsid w:val="00156780"/>
    <w:rsid w:val="00157A52"/>
    <w:rsid w:val="0016000B"/>
    <w:rsid w:val="0016212B"/>
    <w:rsid w:val="0016295A"/>
    <w:rsid w:val="00164215"/>
    <w:rsid w:val="0016454B"/>
    <w:rsid w:val="001649A6"/>
    <w:rsid w:val="00167456"/>
    <w:rsid w:val="00167C35"/>
    <w:rsid w:val="00167E6A"/>
    <w:rsid w:val="00167F28"/>
    <w:rsid w:val="00171329"/>
    <w:rsid w:val="0017139B"/>
    <w:rsid w:val="00172243"/>
    <w:rsid w:val="00172562"/>
    <w:rsid w:val="00175CDA"/>
    <w:rsid w:val="0017682A"/>
    <w:rsid w:val="001774B6"/>
    <w:rsid w:val="00180059"/>
    <w:rsid w:val="00180094"/>
    <w:rsid w:val="00180A31"/>
    <w:rsid w:val="001811F6"/>
    <w:rsid w:val="00183AB7"/>
    <w:rsid w:val="0018401C"/>
    <w:rsid w:val="00185C42"/>
    <w:rsid w:val="001861E7"/>
    <w:rsid w:val="001871D2"/>
    <w:rsid w:val="00190120"/>
    <w:rsid w:val="00190329"/>
    <w:rsid w:val="001927C0"/>
    <w:rsid w:val="0019322F"/>
    <w:rsid w:val="001936B9"/>
    <w:rsid w:val="0019431D"/>
    <w:rsid w:val="001945AC"/>
    <w:rsid w:val="00194AE2"/>
    <w:rsid w:val="00196D65"/>
    <w:rsid w:val="00197480"/>
    <w:rsid w:val="00197FBD"/>
    <w:rsid w:val="001A3291"/>
    <w:rsid w:val="001A3597"/>
    <w:rsid w:val="001A4152"/>
    <w:rsid w:val="001A5083"/>
    <w:rsid w:val="001A56B9"/>
    <w:rsid w:val="001A5BBA"/>
    <w:rsid w:val="001A6262"/>
    <w:rsid w:val="001A6D33"/>
    <w:rsid w:val="001B0234"/>
    <w:rsid w:val="001B0BF2"/>
    <w:rsid w:val="001B3057"/>
    <w:rsid w:val="001B5405"/>
    <w:rsid w:val="001B5938"/>
    <w:rsid w:val="001B5DAB"/>
    <w:rsid w:val="001B641C"/>
    <w:rsid w:val="001B6B21"/>
    <w:rsid w:val="001C0674"/>
    <w:rsid w:val="001C15A8"/>
    <w:rsid w:val="001C1B73"/>
    <w:rsid w:val="001C2215"/>
    <w:rsid w:val="001C4451"/>
    <w:rsid w:val="001C61ED"/>
    <w:rsid w:val="001C70DA"/>
    <w:rsid w:val="001D02EC"/>
    <w:rsid w:val="001D0E8D"/>
    <w:rsid w:val="001D11C2"/>
    <w:rsid w:val="001D1F72"/>
    <w:rsid w:val="001D21DB"/>
    <w:rsid w:val="001D46E9"/>
    <w:rsid w:val="001D47F0"/>
    <w:rsid w:val="001D6D56"/>
    <w:rsid w:val="001E00A4"/>
    <w:rsid w:val="001E0571"/>
    <w:rsid w:val="001E2E78"/>
    <w:rsid w:val="001E362C"/>
    <w:rsid w:val="001E40EA"/>
    <w:rsid w:val="001E5555"/>
    <w:rsid w:val="001E64A4"/>
    <w:rsid w:val="001E6CC6"/>
    <w:rsid w:val="001E717A"/>
    <w:rsid w:val="001E7C64"/>
    <w:rsid w:val="001F0727"/>
    <w:rsid w:val="001F09E9"/>
    <w:rsid w:val="001F297B"/>
    <w:rsid w:val="001F2D8A"/>
    <w:rsid w:val="001F323F"/>
    <w:rsid w:val="001F370B"/>
    <w:rsid w:val="001F43A0"/>
    <w:rsid w:val="001F51A0"/>
    <w:rsid w:val="001F63D1"/>
    <w:rsid w:val="001F6A4F"/>
    <w:rsid w:val="001F767D"/>
    <w:rsid w:val="001F790C"/>
    <w:rsid w:val="00201EB2"/>
    <w:rsid w:val="00202521"/>
    <w:rsid w:val="00202B35"/>
    <w:rsid w:val="00202F71"/>
    <w:rsid w:val="00203738"/>
    <w:rsid w:val="0020386D"/>
    <w:rsid w:val="00205301"/>
    <w:rsid w:val="00205C34"/>
    <w:rsid w:val="00206522"/>
    <w:rsid w:val="0020696D"/>
    <w:rsid w:val="002070D9"/>
    <w:rsid w:val="00210D9E"/>
    <w:rsid w:val="002114AE"/>
    <w:rsid w:val="00212258"/>
    <w:rsid w:val="00212E61"/>
    <w:rsid w:val="0021624A"/>
    <w:rsid w:val="00216D0B"/>
    <w:rsid w:val="00221413"/>
    <w:rsid w:val="00221F10"/>
    <w:rsid w:val="00222996"/>
    <w:rsid w:val="00222FD0"/>
    <w:rsid w:val="00224C1B"/>
    <w:rsid w:val="002300D0"/>
    <w:rsid w:val="00231027"/>
    <w:rsid w:val="0023140B"/>
    <w:rsid w:val="00233406"/>
    <w:rsid w:val="002346CF"/>
    <w:rsid w:val="00234FC9"/>
    <w:rsid w:val="00235113"/>
    <w:rsid w:val="0023522D"/>
    <w:rsid w:val="00236B04"/>
    <w:rsid w:val="002401C7"/>
    <w:rsid w:val="00240708"/>
    <w:rsid w:val="00240AEB"/>
    <w:rsid w:val="00240BB7"/>
    <w:rsid w:val="00242FBA"/>
    <w:rsid w:val="002444A3"/>
    <w:rsid w:val="00245075"/>
    <w:rsid w:val="00245C03"/>
    <w:rsid w:val="00246320"/>
    <w:rsid w:val="00246944"/>
    <w:rsid w:val="002471E3"/>
    <w:rsid w:val="00250D0E"/>
    <w:rsid w:val="00250EA5"/>
    <w:rsid w:val="00251AFB"/>
    <w:rsid w:val="002523E2"/>
    <w:rsid w:val="00252DE5"/>
    <w:rsid w:val="00254108"/>
    <w:rsid w:val="00254BE3"/>
    <w:rsid w:val="00254C89"/>
    <w:rsid w:val="002555F3"/>
    <w:rsid w:val="00255B38"/>
    <w:rsid w:val="00255BC4"/>
    <w:rsid w:val="0025618B"/>
    <w:rsid w:val="0025725C"/>
    <w:rsid w:val="00257668"/>
    <w:rsid w:val="002600BE"/>
    <w:rsid w:val="00260B54"/>
    <w:rsid w:val="00260FFF"/>
    <w:rsid w:val="00263EAA"/>
    <w:rsid w:val="0026654D"/>
    <w:rsid w:val="0026679C"/>
    <w:rsid w:val="002674A8"/>
    <w:rsid w:val="00267FB1"/>
    <w:rsid w:val="002703E1"/>
    <w:rsid w:val="00272CC0"/>
    <w:rsid w:val="0027331A"/>
    <w:rsid w:val="00273B55"/>
    <w:rsid w:val="00273BC6"/>
    <w:rsid w:val="002753A0"/>
    <w:rsid w:val="00276478"/>
    <w:rsid w:val="00277BCA"/>
    <w:rsid w:val="00281965"/>
    <w:rsid w:val="002829FE"/>
    <w:rsid w:val="00283CD5"/>
    <w:rsid w:val="00283DEC"/>
    <w:rsid w:val="002843D1"/>
    <w:rsid w:val="00284F05"/>
    <w:rsid w:val="002851D1"/>
    <w:rsid w:val="002854F0"/>
    <w:rsid w:val="00286420"/>
    <w:rsid w:val="00287627"/>
    <w:rsid w:val="00287868"/>
    <w:rsid w:val="00287C49"/>
    <w:rsid w:val="00290743"/>
    <w:rsid w:val="00291274"/>
    <w:rsid w:val="00291D0E"/>
    <w:rsid w:val="0029253E"/>
    <w:rsid w:val="0029362B"/>
    <w:rsid w:val="00293DFE"/>
    <w:rsid w:val="00293E86"/>
    <w:rsid w:val="00294476"/>
    <w:rsid w:val="00295A60"/>
    <w:rsid w:val="002961EA"/>
    <w:rsid w:val="00297078"/>
    <w:rsid w:val="00297576"/>
    <w:rsid w:val="00297F69"/>
    <w:rsid w:val="002A0C40"/>
    <w:rsid w:val="002A1465"/>
    <w:rsid w:val="002A35FA"/>
    <w:rsid w:val="002A4A12"/>
    <w:rsid w:val="002A4BD5"/>
    <w:rsid w:val="002A654F"/>
    <w:rsid w:val="002A6CB7"/>
    <w:rsid w:val="002A7095"/>
    <w:rsid w:val="002B0CD4"/>
    <w:rsid w:val="002B0D3C"/>
    <w:rsid w:val="002B195C"/>
    <w:rsid w:val="002B38B5"/>
    <w:rsid w:val="002B3DBA"/>
    <w:rsid w:val="002B46C3"/>
    <w:rsid w:val="002B5518"/>
    <w:rsid w:val="002B5954"/>
    <w:rsid w:val="002B5B14"/>
    <w:rsid w:val="002B680E"/>
    <w:rsid w:val="002C28C0"/>
    <w:rsid w:val="002C393E"/>
    <w:rsid w:val="002C3D46"/>
    <w:rsid w:val="002C3DFA"/>
    <w:rsid w:val="002C43AA"/>
    <w:rsid w:val="002D1911"/>
    <w:rsid w:val="002D229E"/>
    <w:rsid w:val="002D2A1E"/>
    <w:rsid w:val="002D2CD9"/>
    <w:rsid w:val="002D3733"/>
    <w:rsid w:val="002D3762"/>
    <w:rsid w:val="002D3860"/>
    <w:rsid w:val="002D3B42"/>
    <w:rsid w:val="002D3EFA"/>
    <w:rsid w:val="002D470D"/>
    <w:rsid w:val="002D4B42"/>
    <w:rsid w:val="002D56AA"/>
    <w:rsid w:val="002D752A"/>
    <w:rsid w:val="002E0795"/>
    <w:rsid w:val="002E09D7"/>
    <w:rsid w:val="002E0DCA"/>
    <w:rsid w:val="002E1E87"/>
    <w:rsid w:val="002E3F54"/>
    <w:rsid w:val="002E5EBE"/>
    <w:rsid w:val="002E619C"/>
    <w:rsid w:val="002E6589"/>
    <w:rsid w:val="002E6DBA"/>
    <w:rsid w:val="002E792F"/>
    <w:rsid w:val="002F04CC"/>
    <w:rsid w:val="002F17C7"/>
    <w:rsid w:val="002F1C85"/>
    <w:rsid w:val="002F269D"/>
    <w:rsid w:val="002F29FF"/>
    <w:rsid w:val="002F3CA4"/>
    <w:rsid w:val="002F6B5A"/>
    <w:rsid w:val="002F6F9D"/>
    <w:rsid w:val="002F7499"/>
    <w:rsid w:val="002F7592"/>
    <w:rsid w:val="00301185"/>
    <w:rsid w:val="003016A8"/>
    <w:rsid w:val="00301B17"/>
    <w:rsid w:val="003027CD"/>
    <w:rsid w:val="00304848"/>
    <w:rsid w:val="00304FBA"/>
    <w:rsid w:val="00305B8F"/>
    <w:rsid w:val="003073DC"/>
    <w:rsid w:val="00310411"/>
    <w:rsid w:val="003108C9"/>
    <w:rsid w:val="00311DD8"/>
    <w:rsid w:val="003120D1"/>
    <w:rsid w:val="0031463B"/>
    <w:rsid w:val="00317F61"/>
    <w:rsid w:val="00321EF3"/>
    <w:rsid w:val="00322E30"/>
    <w:rsid w:val="0032381E"/>
    <w:rsid w:val="00324A16"/>
    <w:rsid w:val="00325B9F"/>
    <w:rsid w:val="0032601D"/>
    <w:rsid w:val="003268C0"/>
    <w:rsid w:val="003273B3"/>
    <w:rsid w:val="00330267"/>
    <w:rsid w:val="0033043F"/>
    <w:rsid w:val="00330934"/>
    <w:rsid w:val="003314B9"/>
    <w:rsid w:val="003322F9"/>
    <w:rsid w:val="00332D72"/>
    <w:rsid w:val="00332E44"/>
    <w:rsid w:val="003340A3"/>
    <w:rsid w:val="00334B7E"/>
    <w:rsid w:val="00335895"/>
    <w:rsid w:val="003360F6"/>
    <w:rsid w:val="003366ED"/>
    <w:rsid w:val="0033705D"/>
    <w:rsid w:val="00341BB8"/>
    <w:rsid w:val="00341EB5"/>
    <w:rsid w:val="003423CF"/>
    <w:rsid w:val="00342B00"/>
    <w:rsid w:val="00342E81"/>
    <w:rsid w:val="003438EF"/>
    <w:rsid w:val="0034577F"/>
    <w:rsid w:val="00345F80"/>
    <w:rsid w:val="003472D8"/>
    <w:rsid w:val="0035011F"/>
    <w:rsid w:val="003516BA"/>
    <w:rsid w:val="00351EEA"/>
    <w:rsid w:val="00352599"/>
    <w:rsid w:val="00354ACD"/>
    <w:rsid w:val="00355F2C"/>
    <w:rsid w:val="00357EFD"/>
    <w:rsid w:val="0036143E"/>
    <w:rsid w:val="00362C72"/>
    <w:rsid w:val="003646E0"/>
    <w:rsid w:val="00364C7E"/>
    <w:rsid w:val="00367544"/>
    <w:rsid w:val="0037061B"/>
    <w:rsid w:val="00370A4E"/>
    <w:rsid w:val="00372B85"/>
    <w:rsid w:val="00373448"/>
    <w:rsid w:val="0037368F"/>
    <w:rsid w:val="00373D4B"/>
    <w:rsid w:val="00374296"/>
    <w:rsid w:val="00374B4B"/>
    <w:rsid w:val="00375796"/>
    <w:rsid w:val="00375C25"/>
    <w:rsid w:val="00376C9A"/>
    <w:rsid w:val="00377CF5"/>
    <w:rsid w:val="00377EE1"/>
    <w:rsid w:val="003806B8"/>
    <w:rsid w:val="003817E0"/>
    <w:rsid w:val="00382C2A"/>
    <w:rsid w:val="00383EF1"/>
    <w:rsid w:val="00384898"/>
    <w:rsid w:val="003848EE"/>
    <w:rsid w:val="00385627"/>
    <w:rsid w:val="00386EC9"/>
    <w:rsid w:val="00387654"/>
    <w:rsid w:val="00387C6C"/>
    <w:rsid w:val="0039004E"/>
    <w:rsid w:val="003903E9"/>
    <w:rsid w:val="003905DB"/>
    <w:rsid w:val="00390CE3"/>
    <w:rsid w:val="00391880"/>
    <w:rsid w:val="0039262F"/>
    <w:rsid w:val="003938CF"/>
    <w:rsid w:val="00393A70"/>
    <w:rsid w:val="00394DBE"/>
    <w:rsid w:val="003950F3"/>
    <w:rsid w:val="00395B8D"/>
    <w:rsid w:val="00397276"/>
    <w:rsid w:val="00397614"/>
    <w:rsid w:val="003A10D8"/>
    <w:rsid w:val="003A3207"/>
    <w:rsid w:val="003A377A"/>
    <w:rsid w:val="003A42DE"/>
    <w:rsid w:val="003A45B1"/>
    <w:rsid w:val="003A5880"/>
    <w:rsid w:val="003A68AD"/>
    <w:rsid w:val="003A6979"/>
    <w:rsid w:val="003A6AA6"/>
    <w:rsid w:val="003A755E"/>
    <w:rsid w:val="003B038E"/>
    <w:rsid w:val="003B0C04"/>
    <w:rsid w:val="003B2DBA"/>
    <w:rsid w:val="003B34C7"/>
    <w:rsid w:val="003B36CC"/>
    <w:rsid w:val="003B38B8"/>
    <w:rsid w:val="003B3CCA"/>
    <w:rsid w:val="003B57B8"/>
    <w:rsid w:val="003B73EC"/>
    <w:rsid w:val="003C343F"/>
    <w:rsid w:val="003C448A"/>
    <w:rsid w:val="003C52DD"/>
    <w:rsid w:val="003C79D7"/>
    <w:rsid w:val="003C7C29"/>
    <w:rsid w:val="003D062D"/>
    <w:rsid w:val="003D33E3"/>
    <w:rsid w:val="003D37B7"/>
    <w:rsid w:val="003D3A62"/>
    <w:rsid w:val="003D4388"/>
    <w:rsid w:val="003D4619"/>
    <w:rsid w:val="003D49D0"/>
    <w:rsid w:val="003D4FF2"/>
    <w:rsid w:val="003D5BEA"/>
    <w:rsid w:val="003D70AD"/>
    <w:rsid w:val="003D72A6"/>
    <w:rsid w:val="003E0D27"/>
    <w:rsid w:val="003E2686"/>
    <w:rsid w:val="003E29C0"/>
    <w:rsid w:val="003E2D8D"/>
    <w:rsid w:val="003E3003"/>
    <w:rsid w:val="003E3499"/>
    <w:rsid w:val="003E34C6"/>
    <w:rsid w:val="003E4DE0"/>
    <w:rsid w:val="003E56D5"/>
    <w:rsid w:val="003E71FB"/>
    <w:rsid w:val="003E7D91"/>
    <w:rsid w:val="003E7FCD"/>
    <w:rsid w:val="003F0C37"/>
    <w:rsid w:val="003F1595"/>
    <w:rsid w:val="003F16DA"/>
    <w:rsid w:val="003F193E"/>
    <w:rsid w:val="003F215F"/>
    <w:rsid w:val="003F26E5"/>
    <w:rsid w:val="003F45F4"/>
    <w:rsid w:val="003F4F22"/>
    <w:rsid w:val="003F5C6B"/>
    <w:rsid w:val="003F6425"/>
    <w:rsid w:val="003F6F2B"/>
    <w:rsid w:val="0040032B"/>
    <w:rsid w:val="00401279"/>
    <w:rsid w:val="004020CF"/>
    <w:rsid w:val="004022AE"/>
    <w:rsid w:val="004023D0"/>
    <w:rsid w:val="004026D1"/>
    <w:rsid w:val="00402D98"/>
    <w:rsid w:val="00403296"/>
    <w:rsid w:val="00406441"/>
    <w:rsid w:val="0040647A"/>
    <w:rsid w:val="00407282"/>
    <w:rsid w:val="00407307"/>
    <w:rsid w:val="00407C95"/>
    <w:rsid w:val="004102FA"/>
    <w:rsid w:val="004110BF"/>
    <w:rsid w:val="004128B8"/>
    <w:rsid w:val="00412F77"/>
    <w:rsid w:val="0041313B"/>
    <w:rsid w:val="004136A2"/>
    <w:rsid w:val="00414E0F"/>
    <w:rsid w:val="0041680D"/>
    <w:rsid w:val="004207CF"/>
    <w:rsid w:val="00422BC4"/>
    <w:rsid w:val="00423466"/>
    <w:rsid w:val="004238B4"/>
    <w:rsid w:val="004254AF"/>
    <w:rsid w:val="004277C9"/>
    <w:rsid w:val="00431BC8"/>
    <w:rsid w:val="00431D10"/>
    <w:rsid w:val="00434B87"/>
    <w:rsid w:val="00435C72"/>
    <w:rsid w:val="00435E0C"/>
    <w:rsid w:val="00435FDB"/>
    <w:rsid w:val="00437244"/>
    <w:rsid w:val="00437A6C"/>
    <w:rsid w:val="004412A1"/>
    <w:rsid w:val="004414AB"/>
    <w:rsid w:val="00443671"/>
    <w:rsid w:val="00443B5E"/>
    <w:rsid w:val="00444832"/>
    <w:rsid w:val="00444A97"/>
    <w:rsid w:val="00445093"/>
    <w:rsid w:val="00445FE8"/>
    <w:rsid w:val="0044670B"/>
    <w:rsid w:val="0044795F"/>
    <w:rsid w:val="00447A12"/>
    <w:rsid w:val="00450821"/>
    <w:rsid w:val="004526CC"/>
    <w:rsid w:val="00453884"/>
    <w:rsid w:val="00453A8C"/>
    <w:rsid w:val="00453C5A"/>
    <w:rsid w:val="00460186"/>
    <w:rsid w:val="00460F8C"/>
    <w:rsid w:val="004615D1"/>
    <w:rsid w:val="00463DD7"/>
    <w:rsid w:val="00463E0E"/>
    <w:rsid w:val="00463F06"/>
    <w:rsid w:val="0046482B"/>
    <w:rsid w:val="00464C1D"/>
    <w:rsid w:val="00465308"/>
    <w:rsid w:val="004660F8"/>
    <w:rsid w:val="00466F30"/>
    <w:rsid w:val="004734C9"/>
    <w:rsid w:val="00475078"/>
    <w:rsid w:val="00477055"/>
    <w:rsid w:val="0047752C"/>
    <w:rsid w:val="00477E15"/>
    <w:rsid w:val="00481BED"/>
    <w:rsid w:val="0048353D"/>
    <w:rsid w:val="00484036"/>
    <w:rsid w:val="004845F1"/>
    <w:rsid w:val="0049016F"/>
    <w:rsid w:val="004909C0"/>
    <w:rsid w:val="0049178E"/>
    <w:rsid w:val="004918E4"/>
    <w:rsid w:val="00494A08"/>
    <w:rsid w:val="00496223"/>
    <w:rsid w:val="00496CD6"/>
    <w:rsid w:val="004A12B7"/>
    <w:rsid w:val="004A1933"/>
    <w:rsid w:val="004A28C9"/>
    <w:rsid w:val="004A3B94"/>
    <w:rsid w:val="004A41A4"/>
    <w:rsid w:val="004A5819"/>
    <w:rsid w:val="004A5EFE"/>
    <w:rsid w:val="004A6DAC"/>
    <w:rsid w:val="004A7833"/>
    <w:rsid w:val="004A7F57"/>
    <w:rsid w:val="004B0310"/>
    <w:rsid w:val="004B1B75"/>
    <w:rsid w:val="004B2192"/>
    <w:rsid w:val="004B5513"/>
    <w:rsid w:val="004B5EF5"/>
    <w:rsid w:val="004C0371"/>
    <w:rsid w:val="004C04AF"/>
    <w:rsid w:val="004C0699"/>
    <w:rsid w:val="004C12A0"/>
    <w:rsid w:val="004C1FE6"/>
    <w:rsid w:val="004C316A"/>
    <w:rsid w:val="004C3ABB"/>
    <w:rsid w:val="004C57E2"/>
    <w:rsid w:val="004C585D"/>
    <w:rsid w:val="004C631B"/>
    <w:rsid w:val="004C6427"/>
    <w:rsid w:val="004C67DE"/>
    <w:rsid w:val="004C681C"/>
    <w:rsid w:val="004C7E44"/>
    <w:rsid w:val="004D3ED0"/>
    <w:rsid w:val="004E08B1"/>
    <w:rsid w:val="004E47CD"/>
    <w:rsid w:val="004E7026"/>
    <w:rsid w:val="004E74D1"/>
    <w:rsid w:val="004E7905"/>
    <w:rsid w:val="004E7A47"/>
    <w:rsid w:val="004F02AB"/>
    <w:rsid w:val="004F064E"/>
    <w:rsid w:val="004F0B42"/>
    <w:rsid w:val="004F13C1"/>
    <w:rsid w:val="004F27F3"/>
    <w:rsid w:val="004F4AE2"/>
    <w:rsid w:val="004F4C69"/>
    <w:rsid w:val="004F5480"/>
    <w:rsid w:val="004F6A62"/>
    <w:rsid w:val="004F7D9A"/>
    <w:rsid w:val="00500261"/>
    <w:rsid w:val="005004A8"/>
    <w:rsid w:val="00501D0F"/>
    <w:rsid w:val="00501DFD"/>
    <w:rsid w:val="005023E3"/>
    <w:rsid w:val="00502455"/>
    <w:rsid w:val="0050250C"/>
    <w:rsid w:val="0050334B"/>
    <w:rsid w:val="00503D6D"/>
    <w:rsid w:val="00505FA6"/>
    <w:rsid w:val="005106BC"/>
    <w:rsid w:val="00510BB3"/>
    <w:rsid w:val="00512A37"/>
    <w:rsid w:val="00513358"/>
    <w:rsid w:val="0051556E"/>
    <w:rsid w:val="0051627B"/>
    <w:rsid w:val="005170A1"/>
    <w:rsid w:val="0052017C"/>
    <w:rsid w:val="005205A5"/>
    <w:rsid w:val="005205E7"/>
    <w:rsid w:val="005214BD"/>
    <w:rsid w:val="00521DB4"/>
    <w:rsid w:val="00524CEE"/>
    <w:rsid w:val="00525E1A"/>
    <w:rsid w:val="005270F9"/>
    <w:rsid w:val="00527454"/>
    <w:rsid w:val="0053064C"/>
    <w:rsid w:val="0053113D"/>
    <w:rsid w:val="005327D7"/>
    <w:rsid w:val="00532B61"/>
    <w:rsid w:val="005333E1"/>
    <w:rsid w:val="00533718"/>
    <w:rsid w:val="00535289"/>
    <w:rsid w:val="005363B9"/>
    <w:rsid w:val="00536969"/>
    <w:rsid w:val="005369C6"/>
    <w:rsid w:val="00536E6C"/>
    <w:rsid w:val="00536E75"/>
    <w:rsid w:val="00537D2C"/>
    <w:rsid w:val="00540CD5"/>
    <w:rsid w:val="005412A7"/>
    <w:rsid w:val="00541BA5"/>
    <w:rsid w:val="00541C9E"/>
    <w:rsid w:val="00542708"/>
    <w:rsid w:val="00542A22"/>
    <w:rsid w:val="00542BC9"/>
    <w:rsid w:val="00543194"/>
    <w:rsid w:val="0054358D"/>
    <w:rsid w:val="0054446D"/>
    <w:rsid w:val="00545298"/>
    <w:rsid w:val="00545724"/>
    <w:rsid w:val="00546B48"/>
    <w:rsid w:val="00546EA0"/>
    <w:rsid w:val="00547494"/>
    <w:rsid w:val="005475A5"/>
    <w:rsid w:val="00547A66"/>
    <w:rsid w:val="00547AED"/>
    <w:rsid w:val="0055145F"/>
    <w:rsid w:val="005525CF"/>
    <w:rsid w:val="00553916"/>
    <w:rsid w:val="005547F9"/>
    <w:rsid w:val="00556633"/>
    <w:rsid w:val="0055708B"/>
    <w:rsid w:val="00560173"/>
    <w:rsid w:val="005622A9"/>
    <w:rsid w:val="00562DD9"/>
    <w:rsid w:val="00564565"/>
    <w:rsid w:val="00564D3A"/>
    <w:rsid w:val="0056598F"/>
    <w:rsid w:val="00565ECE"/>
    <w:rsid w:val="00565F08"/>
    <w:rsid w:val="005660C4"/>
    <w:rsid w:val="005660F9"/>
    <w:rsid w:val="00567F76"/>
    <w:rsid w:val="00570A9B"/>
    <w:rsid w:val="0057396F"/>
    <w:rsid w:val="00573E2A"/>
    <w:rsid w:val="0057461B"/>
    <w:rsid w:val="00574FAD"/>
    <w:rsid w:val="005755E9"/>
    <w:rsid w:val="00576257"/>
    <w:rsid w:val="00576CA0"/>
    <w:rsid w:val="00576EF9"/>
    <w:rsid w:val="00580AC1"/>
    <w:rsid w:val="0058147C"/>
    <w:rsid w:val="0058203F"/>
    <w:rsid w:val="00582613"/>
    <w:rsid w:val="00583BF8"/>
    <w:rsid w:val="005841A0"/>
    <w:rsid w:val="005847DA"/>
    <w:rsid w:val="00585A20"/>
    <w:rsid w:val="00586410"/>
    <w:rsid w:val="00591D18"/>
    <w:rsid w:val="00593DAE"/>
    <w:rsid w:val="005947F6"/>
    <w:rsid w:val="00594C1F"/>
    <w:rsid w:val="00596840"/>
    <w:rsid w:val="00597051"/>
    <w:rsid w:val="00597867"/>
    <w:rsid w:val="005A05E3"/>
    <w:rsid w:val="005A0E6B"/>
    <w:rsid w:val="005A1005"/>
    <w:rsid w:val="005A1D49"/>
    <w:rsid w:val="005A58E2"/>
    <w:rsid w:val="005A5ACF"/>
    <w:rsid w:val="005A5BDB"/>
    <w:rsid w:val="005A60D6"/>
    <w:rsid w:val="005A6567"/>
    <w:rsid w:val="005A726F"/>
    <w:rsid w:val="005A782F"/>
    <w:rsid w:val="005B1528"/>
    <w:rsid w:val="005B1E60"/>
    <w:rsid w:val="005B3691"/>
    <w:rsid w:val="005B508A"/>
    <w:rsid w:val="005B5EA1"/>
    <w:rsid w:val="005B6E1C"/>
    <w:rsid w:val="005B75A7"/>
    <w:rsid w:val="005C2E29"/>
    <w:rsid w:val="005C33CC"/>
    <w:rsid w:val="005C561B"/>
    <w:rsid w:val="005C6348"/>
    <w:rsid w:val="005C77B6"/>
    <w:rsid w:val="005C788E"/>
    <w:rsid w:val="005C7DA3"/>
    <w:rsid w:val="005C7ED4"/>
    <w:rsid w:val="005D0CF5"/>
    <w:rsid w:val="005D1656"/>
    <w:rsid w:val="005D190A"/>
    <w:rsid w:val="005D41FA"/>
    <w:rsid w:val="005D62C0"/>
    <w:rsid w:val="005D63C4"/>
    <w:rsid w:val="005D72A3"/>
    <w:rsid w:val="005D7FC6"/>
    <w:rsid w:val="005E1218"/>
    <w:rsid w:val="005E2400"/>
    <w:rsid w:val="005E28B7"/>
    <w:rsid w:val="005E3947"/>
    <w:rsid w:val="005E4132"/>
    <w:rsid w:val="005E62AE"/>
    <w:rsid w:val="005E6C0F"/>
    <w:rsid w:val="005E70CD"/>
    <w:rsid w:val="005E780A"/>
    <w:rsid w:val="005F0A50"/>
    <w:rsid w:val="005F0ED3"/>
    <w:rsid w:val="005F35C8"/>
    <w:rsid w:val="005F3C22"/>
    <w:rsid w:val="005F3CD6"/>
    <w:rsid w:val="005F3D44"/>
    <w:rsid w:val="005F4367"/>
    <w:rsid w:val="005F5E23"/>
    <w:rsid w:val="005F72B1"/>
    <w:rsid w:val="0060084E"/>
    <w:rsid w:val="00601498"/>
    <w:rsid w:val="00603EA6"/>
    <w:rsid w:val="00604337"/>
    <w:rsid w:val="00605AF8"/>
    <w:rsid w:val="006071D5"/>
    <w:rsid w:val="00610836"/>
    <w:rsid w:val="006132D2"/>
    <w:rsid w:val="00613407"/>
    <w:rsid w:val="00613663"/>
    <w:rsid w:val="00614203"/>
    <w:rsid w:val="00615683"/>
    <w:rsid w:val="00616F94"/>
    <w:rsid w:val="00620E69"/>
    <w:rsid w:val="00621296"/>
    <w:rsid w:val="00623BBD"/>
    <w:rsid w:val="00624957"/>
    <w:rsid w:val="00624B27"/>
    <w:rsid w:val="00625084"/>
    <w:rsid w:val="006260AE"/>
    <w:rsid w:val="006306F5"/>
    <w:rsid w:val="006309A1"/>
    <w:rsid w:val="00631773"/>
    <w:rsid w:val="0063188B"/>
    <w:rsid w:val="006319AE"/>
    <w:rsid w:val="00631B18"/>
    <w:rsid w:val="00632F43"/>
    <w:rsid w:val="0063319A"/>
    <w:rsid w:val="00633277"/>
    <w:rsid w:val="0063385F"/>
    <w:rsid w:val="006356BD"/>
    <w:rsid w:val="00635ACE"/>
    <w:rsid w:val="0063661D"/>
    <w:rsid w:val="00636A84"/>
    <w:rsid w:val="006370DF"/>
    <w:rsid w:val="006376E9"/>
    <w:rsid w:val="00637C30"/>
    <w:rsid w:val="00640365"/>
    <w:rsid w:val="00641508"/>
    <w:rsid w:val="00641801"/>
    <w:rsid w:val="0064249C"/>
    <w:rsid w:val="00644795"/>
    <w:rsid w:val="00644BEE"/>
    <w:rsid w:val="0064532F"/>
    <w:rsid w:val="00647504"/>
    <w:rsid w:val="006475A4"/>
    <w:rsid w:val="00647DCA"/>
    <w:rsid w:val="006507F6"/>
    <w:rsid w:val="006518CE"/>
    <w:rsid w:val="00651FE9"/>
    <w:rsid w:val="00652682"/>
    <w:rsid w:val="00653AF0"/>
    <w:rsid w:val="00653CA2"/>
    <w:rsid w:val="00654092"/>
    <w:rsid w:val="00656ED7"/>
    <w:rsid w:val="00657726"/>
    <w:rsid w:val="00660210"/>
    <w:rsid w:val="006619C4"/>
    <w:rsid w:val="00662E7D"/>
    <w:rsid w:val="00663C15"/>
    <w:rsid w:val="00665473"/>
    <w:rsid w:val="00666B3A"/>
    <w:rsid w:val="00667C1D"/>
    <w:rsid w:val="00667ED3"/>
    <w:rsid w:val="00667F8E"/>
    <w:rsid w:val="00670B57"/>
    <w:rsid w:val="0067186F"/>
    <w:rsid w:val="00672399"/>
    <w:rsid w:val="0067445E"/>
    <w:rsid w:val="00675BA5"/>
    <w:rsid w:val="00675D03"/>
    <w:rsid w:val="00675F37"/>
    <w:rsid w:val="00676D45"/>
    <w:rsid w:val="00676E0E"/>
    <w:rsid w:val="00676FB6"/>
    <w:rsid w:val="00677631"/>
    <w:rsid w:val="006804E7"/>
    <w:rsid w:val="00680936"/>
    <w:rsid w:val="006832F2"/>
    <w:rsid w:val="0068490A"/>
    <w:rsid w:val="006854FB"/>
    <w:rsid w:val="00685FBB"/>
    <w:rsid w:val="00687275"/>
    <w:rsid w:val="006875F6"/>
    <w:rsid w:val="006875F8"/>
    <w:rsid w:val="00692AE4"/>
    <w:rsid w:val="00692BB7"/>
    <w:rsid w:val="00693753"/>
    <w:rsid w:val="00696618"/>
    <w:rsid w:val="00696B4D"/>
    <w:rsid w:val="006A06D5"/>
    <w:rsid w:val="006A08D0"/>
    <w:rsid w:val="006A09F2"/>
    <w:rsid w:val="006A2C63"/>
    <w:rsid w:val="006A38AA"/>
    <w:rsid w:val="006A41FE"/>
    <w:rsid w:val="006A438C"/>
    <w:rsid w:val="006A4D8A"/>
    <w:rsid w:val="006A52D5"/>
    <w:rsid w:val="006A5A27"/>
    <w:rsid w:val="006A5F58"/>
    <w:rsid w:val="006A5F5B"/>
    <w:rsid w:val="006A6B13"/>
    <w:rsid w:val="006A760D"/>
    <w:rsid w:val="006B12D3"/>
    <w:rsid w:val="006B1D83"/>
    <w:rsid w:val="006B25A7"/>
    <w:rsid w:val="006B3744"/>
    <w:rsid w:val="006B4EFC"/>
    <w:rsid w:val="006B4FD0"/>
    <w:rsid w:val="006B50B1"/>
    <w:rsid w:val="006B614C"/>
    <w:rsid w:val="006B6FEE"/>
    <w:rsid w:val="006C0386"/>
    <w:rsid w:val="006C0B15"/>
    <w:rsid w:val="006C1E3B"/>
    <w:rsid w:val="006C1F8C"/>
    <w:rsid w:val="006C25B9"/>
    <w:rsid w:val="006C2B55"/>
    <w:rsid w:val="006C30DB"/>
    <w:rsid w:val="006C315B"/>
    <w:rsid w:val="006C3398"/>
    <w:rsid w:val="006C3763"/>
    <w:rsid w:val="006C4680"/>
    <w:rsid w:val="006C5830"/>
    <w:rsid w:val="006C59A0"/>
    <w:rsid w:val="006C5A68"/>
    <w:rsid w:val="006C60DD"/>
    <w:rsid w:val="006C6990"/>
    <w:rsid w:val="006D0F60"/>
    <w:rsid w:val="006D3C32"/>
    <w:rsid w:val="006D4830"/>
    <w:rsid w:val="006D4AD9"/>
    <w:rsid w:val="006D6F47"/>
    <w:rsid w:val="006D70AF"/>
    <w:rsid w:val="006D7681"/>
    <w:rsid w:val="006E28CF"/>
    <w:rsid w:val="006E2AE8"/>
    <w:rsid w:val="006E3FB7"/>
    <w:rsid w:val="006E43FE"/>
    <w:rsid w:val="006E4B92"/>
    <w:rsid w:val="006E5A6A"/>
    <w:rsid w:val="006E6123"/>
    <w:rsid w:val="006E66DE"/>
    <w:rsid w:val="006E717E"/>
    <w:rsid w:val="006E78BF"/>
    <w:rsid w:val="006E7E69"/>
    <w:rsid w:val="006F0FAE"/>
    <w:rsid w:val="006F1F25"/>
    <w:rsid w:val="006F1F66"/>
    <w:rsid w:val="006F2747"/>
    <w:rsid w:val="006F2AD1"/>
    <w:rsid w:val="006F3693"/>
    <w:rsid w:val="006F47C4"/>
    <w:rsid w:val="006F55BB"/>
    <w:rsid w:val="006F5E19"/>
    <w:rsid w:val="006F6C2D"/>
    <w:rsid w:val="006F6F2E"/>
    <w:rsid w:val="006F73F9"/>
    <w:rsid w:val="006F7FC4"/>
    <w:rsid w:val="0070009E"/>
    <w:rsid w:val="00700792"/>
    <w:rsid w:val="00700D47"/>
    <w:rsid w:val="007014BE"/>
    <w:rsid w:val="00701F47"/>
    <w:rsid w:val="00702557"/>
    <w:rsid w:val="00702962"/>
    <w:rsid w:val="00704289"/>
    <w:rsid w:val="0070462B"/>
    <w:rsid w:val="00704D14"/>
    <w:rsid w:val="00705375"/>
    <w:rsid w:val="0070668C"/>
    <w:rsid w:val="00706AE6"/>
    <w:rsid w:val="007072CB"/>
    <w:rsid w:val="00707F68"/>
    <w:rsid w:val="00711194"/>
    <w:rsid w:val="00712734"/>
    <w:rsid w:val="00712913"/>
    <w:rsid w:val="00712F13"/>
    <w:rsid w:val="0071398D"/>
    <w:rsid w:val="00713E65"/>
    <w:rsid w:val="00713EB9"/>
    <w:rsid w:val="00714E08"/>
    <w:rsid w:val="00714F81"/>
    <w:rsid w:val="00715B11"/>
    <w:rsid w:val="00715F5B"/>
    <w:rsid w:val="007160E3"/>
    <w:rsid w:val="00717282"/>
    <w:rsid w:val="00717A68"/>
    <w:rsid w:val="00717A92"/>
    <w:rsid w:val="00720281"/>
    <w:rsid w:val="00720963"/>
    <w:rsid w:val="00722057"/>
    <w:rsid w:val="00722A3F"/>
    <w:rsid w:val="00722BA4"/>
    <w:rsid w:val="007236CA"/>
    <w:rsid w:val="007239FF"/>
    <w:rsid w:val="00723D4D"/>
    <w:rsid w:val="007247BE"/>
    <w:rsid w:val="00724C95"/>
    <w:rsid w:val="0072539E"/>
    <w:rsid w:val="00725DF4"/>
    <w:rsid w:val="00727176"/>
    <w:rsid w:val="007300AF"/>
    <w:rsid w:val="00730F8F"/>
    <w:rsid w:val="00732829"/>
    <w:rsid w:val="00732DD8"/>
    <w:rsid w:val="0073336A"/>
    <w:rsid w:val="00733AE1"/>
    <w:rsid w:val="00733F4C"/>
    <w:rsid w:val="0073462B"/>
    <w:rsid w:val="00735548"/>
    <w:rsid w:val="007366DB"/>
    <w:rsid w:val="00736EC8"/>
    <w:rsid w:val="00736F23"/>
    <w:rsid w:val="00737CFE"/>
    <w:rsid w:val="00740CC5"/>
    <w:rsid w:val="00742B38"/>
    <w:rsid w:val="00742D1C"/>
    <w:rsid w:val="00742E5F"/>
    <w:rsid w:val="007439F6"/>
    <w:rsid w:val="00745BCA"/>
    <w:rsid w:val="00746108"/>
    <w:rsid w:val="00746281"/>
    <w:rsid w:val="00747351"/>
    <w:rsid w:val="0075082E"/>
    <w:rsid w:val="0075095C"/>
    <w:rsid w:val="007512D3"/>
    <w:rsid w:val="00751D28"/>
    <w:rsid w:val="00753103"/>
    <w:rsid w:val="007532D3"/>
    <w:rsid w:val="00753B86"/>
    <w:rsid w:val="0075647B"/>
    <w:rsid w:val="00760596"/>
    <w:rsid w:val="007615C4"/>
    <w:rsid w:val="00761719"/>
    <w:rsid w:val="00761E94"/>
    <w:rsid w:val="00763159"/>
    <w:rsid w:val="00763D7A"/>
    <w:rsid w:val="007642CF"/>
    <w:rsid w:val="00764570"/>
    <w:rsid w:val="007665C7"/>
    <w:rsid w:val="00766C71"/>
    <w:rsid w:val="00770C3B"/>
    <w:rsid w:val="007716C4"/>
    <w:rsid w:val="00771DA7"/>
    <w:rsid w:val="00772381"/>
    <w:rsid w:val="00772B5E"/>
    <w:rsid w:val="00772DA4"/>
    <w:rsid w:val="00773050"/>
    <w:rsid w:val="00773DF1"/>
    <w:rsid w:val="007741D4"/>
    <w:rsid w:val="00774459"/>
    <w:rsid w:val="00774C3C"/>
    <w:rsid w:val="007754A8"/>
    <w:rsid w:val="007766FA"/>
    <w:rsid w:val="0077768D"/>
    <w:rsid w:val="007806CE"/>
    <w:rsid w:val="00781A26"/>
    <w:rsid w:val="00782FAF"/>
    <w:rsid w:val="00783232"/>
    <w:rsid w:val="007845F6"/>
    <w:rsid w:val="007858E7"/>
    <w:rsid w:val="0078608D"/>
    <w:rsid w:val="00787A83"/>
    <w:rsid w:val="00787C8E"/>
    <w:rsid w:val="0079006D"/>
    <w:rsid w:val="007920BA"/>
    <w:rsid w:val="007930EA"/>
    <w:rsid w:val="00793298"/>
    <w:rsid w:val="0079395C"/>
    <w:rsid w:val="007948B7"/>
    <w:rsid w:val="00795321"/>
    <w:rsid w:val="00795FE3"/>
    <w:rsid w:val="00796734"/>
    <w:rsid w:val="00796962"/>
    <w:rsid w:val="00797188"/>
    <w:rsid w:val="0079732D"/>
    <w:rsid w:val="00797925"/>
    <w:rsid w:val="00797F9D"/>
    <w:rsid w:val="007A00B3"/>
    <w:rsid w:val="007A0210"/>
    <w:rsid w:val="007A09A1"/>
    <w:rsid w:val="007A1BA2"/>
    <w:rsid w:val="007A2868"/>
    <w:rsid w:val="007A4E6A"/>
    <w:rsid w:val="007A4F1E"/>
    <w:rsid w:val="007A6601"/>
    <w:rsid w:val="007A6740"/>
    <w:rsid w:val="007A6F80"/>
    <w:rsid w:val="007B0BA6"/>
    <w:rsid w:val="007B28F7"/>
    <w:rsid w:val="007B46E7"/>
    <w:rsid w:val="007B5FF8"/>
    <w:rsid w:val="007B7035"/>
    <w:rsid w:val="007C07B6"/>
    <w:rsid w:val="007C0A51"/>
    <w:rsid w:val="007C1010"/>
    <w:rsid w:val="007C584D"/>
    <w:rsid w:val="007C5E31"/>
    <w:rsid w:val="007C7C64"/>
    <w:rsid w:val="007D21BA"/>
    <w:rsid w:val="007D434C"/>
    <w:rsid w:val="007D5B7C"/>
    <w:rsid w:val="007D6559"/>
    <w:rsid w:val="007D6658"/>
    <w:rsid w:val="007D7841"/>
    <w:rsid w:val="007D7DEF"/>
    <w:rsid w:val="007E0EA9"/>
    <w:rsid w:val="007E220F"/>
    <w:rsid w:val="007E2835"/>
    <w:rsid w:val="007E4727"/>
    <w:rsid w:val="007E590E"/>
    <w:rsid w:val="007E69B1"/>
    <w:rsid w:val="007F2F20"/>
    <w:rsid w:val="007F3302"/>
    <w:rsid w:val="007F4346"/>
    <w:rsid w:val="007F49DF"/>
    <w:rsid w:val="007F577F"/>
    <w:rsid w:val="007F588F"/>
    <w:rsid w:val="007F64C1"/>
    <w:rsid w:val="007F66A1"/>
    <w:rsid w:val="007F6893"/>
    <w:rsid w:val="007F6D7C"/>
    <w:rsid w:val="007F6DDE"/>
    <w:rsid w:val="007F6EF1"/>
    <w:rsid w:val="007F7DC6"/>
    <w:rsid w:val="007F7EFA"/>
    <w:rsid w:val="008025DF"/>
    <w:rsid w:val="00802A1A"/>
    <w:rsid w:val="00802D92"/>
    <w:rsid w:val="008037B7"/>
    <w:rsid w:val="00803C1F"/>
    <w:rsid w:val="0080425C"/>
    <w:rsid w:val="00804BAE"/>
    <w:rsid w:val="00805A54"/>
    <w:rsid w:val="00805AEA"/>
    <w:rsid w:val="00806184"/>
    <w:rsid w:val="008061F4"/>
    <w:rsid w:val="00806283"/>
    <w:rsid w:val="008064CC"/>
    <w:rsid w:val="00806964"/>
    <w:rsid w:val="00807B09"/>
    <w:rsid w:val="008101C3"/>
    <w:rsid w:val="008101F6"/>
    <w:rsid w:val="0081305F"/>
    <w:rsid w:val="00813DE5"/>
    <w:rsid w:val="00813E08"/>
    <w:rsid w:val="0081648F"/>
    <w:rsid w:val="008169D1"/>
    <w:rsid w:val="00816C5E"/>
    <w:rsid w:val="0081731F"/>
    <w:rsid w:val="00817C74"/>
    <w:rsid w:val="00817D4B"/>
    <w:rsid w:val="008205A8"/>
    <w:rsid w:val="00820FCA"/>
    <w:rsid w:val="00821035"/>
    <w:rsid w:val="00822195"/>
    <w:rsid w:val="008239A2"/>
    <w:rsid w:val="00825D27"/>
    <w:rsid w:val="008266D6"/>
    <w:rsid w:val="00826C32"/>
    <w:rsid w:val="00827521"/>
    <w:rsid w:val="00827923"/>
    <w:rsid w:val="008340ED"/>
    <w:rsid w:val="00834289"/>
    <w:rsid w:val="008417F1"/>
    <w:rsid w:val="00841880"/>
    <w:rsid w:val="008423A2"/>
    <w:rsid w:val="0084403B"/>
    <w:rsid w:val="008460AD"/>
    <w:rsid w:val="00847347"/>
    <w:rsid w:val="00847BE4"/>
    <w:rsid w:val="00851EF0"/>
    <w:rsid w:val="0085424E"/>
    <w:rsid w:val="0085709F"/>
    <w:rsid w:val="0085711E"/>
    <w:rsid w:val="00860022"/>
    <w:rsid w:val="008610F4"/>
    <w:rsid w:val="0086194C"/>
    <w:rsid w:val="00863A95"/>
    <w:rsid w:val="00864022"/>
    <w:rsid w:val="008644D9"/>
    <w:rsid w:val="0086660B"/>
    <w:rsid w:val="00871C98"/>
    <w:rsid w:val="00872015"/>
    <w:rsid w:val="0087285D"/>
    <w:rsid w:val="008731E8"/>
    <w:rsid w:val="00873F57"/>
    <w:rsid w:val="008748DB"/>
    <w:rsid w:val="00876A22"/>
    <w:rsid w:val="00876B84"/>
    <w:rsid w:val="00881A8B"/>
    <w:rsid w:val="008839EF"/>
    <w:rsid w:val="00884C6D"/>
    <w:rsid w:val="00885865"/>
    <w:rsid w:val="00887F23"/>
    <w:rsid w:val="0089268E"/>
    <w:rsid w:val="008956B1"/>
    <w:rsid w:val="00895A07"/>
    <w:rsid w:val="00896C1A"/>
    <w:rsid w:val="008A0A8B"/>
    <w:rsid w:val="008A0D15"/>
    <w:rsid w:val="008A2392"/>
    <w:rsid w:val="008A3FC2"/>
    <w:rsid w:val="008A41BE"/>
    <w:rsid w:val="008A53AD"/>
    <w:rsid w:val="008A5CFD"/>
    <w:rsid w:val="008A630A"/>
    <w:rsid w:val="008B16A5"/>
    <w:rsid w:val="008B1F1B"/>
    <w:rsid w:val="008B773A"/>
    <w:rsid w:val="008C1A3E"/>
    <w:rsid w:val="008C3B60"/>
    <w:rsid w:val="008C3D27"/>
    <w:rsid w:val="008C4304"/>
    <w:rsid w:val="008C5117"/>
    <w:rsid w:val="008C5780"/>
    <w:rsid w:val="008C6226"/>
    <w:rsid w:val="008C6BF2"/>
    <w:rsid w:val="008D0B99"/>
    <w:rsid w:val="008D1940"/>
    <w:rsid w:val="008D2245"/>
    <w:rsid w:val="008D23EB"/>
    <w:rsid w:val="008D3C5B"/>
    <w:rsid w:val="008D445C"/>
    <w:rsid w:val="008D6A4E"/>
    <w:rsid w:val="008D6E69"/>
    <w:rsid w:val="008D74D3"/>
    <w:rsid w:val="008D777E"/>
    <w:rsid w:val="008E058F"/>
    <w:rsid w:val="008E120B"/>
    <w:rsid w:val="008E3A2D"/>
    <w:rsid w:val="008E4148"/>
    <w:rsid w:val="008E44F3"/>
    <w:rsid w:val="008E5457"/>
    <w:rsid w:val="008F238C"/>
    <w:rsid w:val="008F245C"/>
    <w:rsid w:val="008F3028"/>
    <w:rsid w:val="008F335C"/>
    <w:rsid w:val="008F3B48"/>
    <w:rsid w:val="008F3CEC"/>
    <w:rsid w:val="008F460B"/>
    <w:rsid w:val="008F46F3"/>
    <w:rsid w:val="008F54B3"/>
    <w:rsid w:val="00900614"/>
    <w:rsid w:val="00900986"/>
    <w:rsid w:val="0090392B"/>
    <w:rsid w:val="00904713"/>
    <w:rsid w:val="009058C0"/>
    <w:rsid w:val="009070B9"/>
    <w:rsid w:val="00912692"/>
    <w:rsid w:val="00914238"/>
    <w:rsid w:val="009148B7"/>
    <w:rsid w:val="00916A14"/>
    <w:rsid w:val="00916D2F"/>
    <w:rsid w:val="00920910"/>
    <w:rsid w:val="009222EE"/>
    <w:rsid w:val="00923BFF"/>
    <w:rsid w:val="009260DC"/>
    <w:rsid w:val="0092622C"/>
    <w:rsid w:val="00926AE1"/>
    <w:rsid w:val="009274F4"/>
    <w:rsid w:val="009305BB"/>
    <w:rsid w:val="00933A3F"/>
    <w:rsid w:val="00933B7F"/>
    <w:rsid w:val="0093426C"/>
    <w:rsid w:val="009343EC"/>
    <w:rsid w:val="009357D1"/>
    <w:rsid w:val="0093595D"/>
    <w:rsid w:val="00936628"/>
    <w:rsid w:val="00936C55"/>
    <w:rsid w:val="009400AD"/>
    <w:rsid w:val="00942BAE"/>
    <w:rsid w:val="00943785"/>
    <w:rsid w:val="00943E85"/>
    <w:rsid w:val="00944245"/>
    <w:rsid w:val="00944852"/>
    <w:rsid w:val="009448FE"/>
    <w:rsid w:val="00945D6A"/>
    <w:rsid w:val="00945FFE"/>
    <w:rsid w:val="00950E57"/>
    <w:rsid w:val="00951894"/>
    <w:rsid w:val="00951FFD"/>
    <w:rsid w:val="00955C1F"/>
    <w:rsid w:val="009566A9"/>
    <w:rsid w:val="0095791C"/>
    <w:rsid w:val="00960A66"/>
    <w:rsid w:val="00960B97"/>
    <w:rsid w:val="00961E78"/>
    <w:rsid w:val="0096247A"/>
    <w:rsid w:val="00970363"/>
    <w:rsid w:val="00970570"/>
    <w:rsid w:val="00970847"/>
    <w:rsid w:val="00971681"/>
    <w:rsid w:val="00971DB3"/>
    <w:rsid w:val="009764F0"/>
    <w:rsid w:val="00976ACC"/>
    <w:rsid w:val="00980318"/>
    <w:rsid w:val="009805F1"/>
    <w:rsid w:val="009815C6"/>
    <w:rsid w:val="00981D26"/>
    <w:rsid w:val="00982F41"/>
    <w:rsid w:val="00983AF6"/>
    <w:rsid w:val="00985C9A"/>
    <w:rsid w:val="009863F7"/>
    <w:rsid w:val="00986ECA"/>
    <w:rsid w:val="00987902"/>
    <w:rsid w:val="00987A5E"/>
    <w:rsid w:val="00987B57"/>
    <w:rsid w:val="0099004E"/>
    <w:rsid w:val="009909DA"/>
    <w:rsid w:val="00991617"/>
    <w:rsid w:val="009921EF"/>
    <w:rsid w:val="00992BD7"/>
    <w:rsid w:val="009934D8"/>
    <w:rsid w:val="00993573"/>
    <w:rsid w:val="009A0745"/>
    <w:rsid w:val="009A0E8F"/>
    <w:rsid w:val="009A1592"/>
    <w:rsid w:val="009A1B6A"/>
    <w:rsid w:val="009A2180"/>
    <w:rsid w:val="009A22DF"/>
    <w:rsid w:val="009A37D1"/>
    <w:rsid w:val="009A3F99"/>
    <w:rsid w:val="009A43BA"/>
    <w:rsid w:val="009A50E0"/>
    <w:rsid w:val="009A57B7"/>
    <w:rsid w:val="009A6D6A"/>
    <w:rsid w:val="009A6D6D"/>
    <w:rsid w:val="009A7DE2"/>
    <w:rsid w:val="009B1FB3"/>
    <w:rsid w:val="009B3CFA"/>
    <w:rsid w:val="009B3D21"/>
    <w:rsid w:val="009B4046"/>
    <w:rsid w:val="009B560F"/>
    <w:rsid w:val="009C0265"/>
    <w:rsid w:val="009C1C25"/>
    <w:rsid w:val="009C1D51"/>
    <w:rsid w:val="009C1FF2"/>
    <w:rsid w:val="009C2202"/>
    <w:rsid w:val="009C3AEE"/>
    <w:rsid w:val="009C3BD5"/>
    <w:rsid w:val="009C536D"/>
    <w:rsid w:val="009C68A5"/>
    <w:rsid w:val="009D054E"/>
    <w:rsid w:val="009D05F3"/>
    <w:rsid w:val="009D1DBA"/>
    <w:rsid w:val="009D1E0E"/>
    <w:rsid w:val="009D2BA1"/>
    <w:rsid w:val="009D3FC8"/>
    <w:rsid w:val="009D411C"/>
    <w:rsid w:val="009D41DB"/>
    <w:rsid w:val="009D4DAF"/>
    <w:rsid w:val="009D53AA"/>
    <w:rsid w:val="009D5EA2"/>
    <w:rsid w:val="009D608C"/>
    <w:rsid w:val="009D734F"/>
    <w:rsid w:val="009D7DCE"/>
    <w:rsid w:val="009E083D"/>
    <w:rsid w:val="009E19D5"/>
    <w:rsid w:val="009E1F38"/>
    <w:rsid w:val="009E3C77"/>
    <w:rsid w:val="009E438C"/>
    <w:rsid w:val="009E489B"/>
    <w:rsid w:val="009E5438"/>
    <w:rsid w:val="009E59B9"/>
    <w:rsid w:val="009E6DBF"/>
    <w:rsid w:val="009E7648"/>
    <w:rsid w:val="009F00C3"/>
    <w:rsid w:val="009F0398"/>
    <w:rsid w:val="009F1700"/>
    <w:rsid w:val="009F37BB"/>
    <w:rsid w:val="009F5E41"/>
    <w:rsid w:val="00A0005B"/>
    <w:rsid w:val="00A00883"/>
    <w:rsid w:val="00A02546"/>
    <w:rsid w:val="00A02B8B"/>
    <w:rsid w:val="00A037D9"/>
    <w:rsid w:val="00A03AA9"/>
    <w:rsid w:val="00A03ED8"/>
    <w:rsid w:val="00A045A4"/>
    <w:rsid w:val="00A05723"/>
    <w:rsid w:val="00A059E7"/>
    <w:rsid w:val="00A071D7"/>
    <w:rsid w:val="00A10B90"/>
    <w:rsid w:val="00A13B5E"/>
    <w:rsid w:val="00A13D16"/>
    <w:rsid w:val="00A148FB"/>
    <w:rsid w:val="00A20790"/>
    <w:rsid w:val="00A238B3"/>
    <w:rsid w:val="00A238E7"/>
    <w:rsid w:val="00A246A0"/>
    <w:rsid w:val="00A2530C"/>
    <w:rsid w:val="00A269BB"/>
    <w:rsid w:val="00A2708D"/>
    <w:rsid w:val="00A2746B"/>
    <w:rsid w:val="00A3181B"/>
    <w:rsid w:val="00A31D9E"/>
    <w:rsid w:val="00A31F90"/>
    <w:rsid w:val="00A32735"/>
    <w:rsid w:val="00A37812"/>
    <w:rsid w:val="00A37FFC"/>
    <w:rsid w:val="00A40E68"/>
    <w:rsid w:val="00A41F0A"/>
    <w:rsid w:val="00A43322"/>
    <w:rsid w:val="00A43A50"/>
    <w:rsid w:val="00A4584D"/>
    <w:rsid w:val="00A45F57"/>
    <w:rsid w:val="00A4771F"/>
    <w:rsid w:val="00A509AC"/>
    <w:rsid w:val="00A51AA4"/>
    <w:rsid w:val="00A5290A"/>
    <w:rsid w:val="00A537E5"/>
    <w:rsid w:val="00A539AB"/>
    <w:rsid w:val="00A53DDD"/>
    <w:rsid w:val="00A55AB0"/>
    <w:rsid w:val="00A57170"/>
    <w:rsid w:val="00A57D95"/>
    <w:rsid w:val="00A57FD7"/>
    <w:rsid w:val="00A60A6D"/>
    <w:rsid w:val="00A62890"/>
    <w:rsid w:val="00A62CA6"/>
    <w:rsid w:val="00A63690"/>
    <w:rsid w:val="00A63CCB"/>
    <w:rsid w:val="00A63F60"/>
    <w:rsid w:val="00A65356"/>
    <w:rsid w:val="00A667EB"/>
    <w:rsid w:val="00A67CCA"/>
    <w:rsid w:val="00A704C9"/>
    <w:rsid w:val="00A708F2"/>
    <w:rsid w:val="00A71212"/>
    <w:rsid w:val="00A719D7"/>
    <w:rsid w:val="00A7304F"/>
    <w:rsid w:val="00A73502"/>
    <w:rsid w:val="00A75D72"/>
    <w:rsid w:val="00A76EFC"/>
    <w:rsid w:val="00A76FB2"/>
    <w:rsid w:val="00A77377"/>
    <w:rsid w:val="00A77CDC"/>
    <w:rsid w:val="00A77DD8"/>
    <w:rsid w:val="00A8073D"/>
    <w:rsid w:val="00A83596"/>
    <w:rsid w:val="00A83FD1"/>
    <w:rsid w:val="00A856BD"/>
    <w:rsid w:val="00A85BE6"/>
    <w:rsid w:val="00A876E8"/>
    <w:rsid w:val="00A92936"/>
    <w:rsid w:val="00A92E7F"/>
    <w:rsid w:val="00A93874"/>
    <w:rsid w:val="00A94EBF"/>
    <w:rsid w:val="00A9515B"/>
    <w:rsid w:val="00A95D3D"/>
    <w:rsid w:val="00A96AC2"/>
    <w:rsid w:val="00A9793F"/>
    <w:rsid w:val="00A97C5D"/>
    <w:rsid w:val="00AA1207"/>
    <w:rsid w:val="00AA2812"/>
    <w:rsid w:val="00AA33B1"/>
    <w:rsid w:val="00AA415E"/>
    <w:rsid w:val="00AA5021"/>
    <w:rsid w:val="00AA5945"/>
    <w:rsid w:val="00AA7857"/>
    <w:rsid w:val="00AB0524"/>
    <w:rsid w:val="00AB0683"/>
    <w:rsid w:val="00AB4C80"/>
    <w:rsid w:val="00AB65C0"/>
    <w:rsid w:val="00AB703F"/>
    <w:rsid w:val="00AB739B"/>
    <w:rsid w:val="00AC010F"/>
    <w:rsid w:val="00AC0697"/>
    <w:rsid w:val="00AC2305"/>
    <w:rsid w:val="00AC2720"/>
    <w:rsid w:val="00AC328E"/>
    <w:rsid w:val="00AC418D"/>
    <w:rsid w:val="00AC5CEA"/>
    <w:rsid w:val="00AC5EDB"/>
    <w:rsid w:val="00AD23C9"/>
    <w:rsid w:val="00AD2C10"/>
    <w:rsid w:val="00AD437A"/>
    <w:rsid w:val="00AD52DC"/>
    <w:rsid w:val="00AD543B"/>
    <w:rsid w:val="00AD6F23"/>
    <w:rsid w:val="00AD79E7"/>
    <w:rsid w:val="00AD7A7F"/>
    <w:rsid w:val="00AE0A91"/>
    <w:rsid w:val="00AE0C90"/>
    <w:rsid w:val="00AE19D4"/>
    <w:rsid w:val="00AE2FDE"/>
    <w:rsid w:val="00AE4084"/>
    <w:rsid w:val="00AE4BAB"/>
    <w:rsid w:val="00AE4BB4"/>
    <w:rsid w:val="00AE7B02"/>
    <w:rsid w:val="00AF1B60"/>
    <w:rsid w:val="00AF1E8E"/>
    <w:rsid w:val="00AF2003"/>
    <w:rsid w:val="00AF3E42"/>
    <w:rsid w:val="00AF50AF"/>
    <w:rsid w:val="00AF50E9"/>
    <w:rsid w:val="00B04EA1"/>
    <w:rsid w:val="00B051C8"/>
    <w:rsid w:val="00B0521C"/>
    <w:rsid w:val="00B06412"/>
    <w:rsid w:val="00B06997"/>
    <w:rsid w:val="00B126C5"/>
    <w:rsid w:val="00B130E1"/>
    <w:rsid w:val="00B14B62"/>
    <w:rsid w:val="00B16E3A"/>
    <w:rsid w:val="00B215E0"/>
    <w:rsid w:val="00B220D6"/>
    <w:rsid w:val="00B227DE"/>
    <w:rsid w:val="00B230A0"/>
    <w:rsid w:val="00B230B5"/>
    <w:rsid w:val="00B23278"/>
    <w:rsid w:val="00B25C90"/>
    <w:rsid w:val="00B269F2"/>
    <w:rsid w:val="00B2752B"/>
    <w:rsid w:val="00B31CB6"/>
    <w:rsid w:val="00B3239C"/>
    <w:rsid w:val="00B32AB4"/>
    <w:rsid w:val="00B3380A"/>
    <w:rsid w:val="00B34296"/>
    <w:rsid w:val="00B34D3F"/>
    <w:rsid w:val="00B3534F"/>
    <w:rsid w:val="00B357CA"/>
    <w:rsid w:val="00B358FF"/>
    <w:rsid w:val="00B37A95"/>
    <w:rsid w:val="00B37C1B"/>
    <w:rsid w:val="00B40442"/>
    <w:rsid w:val="00B41BA4"/>
    <w:rsid w:val="00B41D4A"/>
    <w:rsid w:val="00B43AF4"/>
    <w:rsid w:val="00B44975"/>
    <w:rsid w:val="00B44EAA"/>
    <w:rsid w:val="00B45D61"/>
    <w:rsid w:val="00B47EB3"/>
    <w:rsid w:val="00B51641"/>
    <w:rsid w:val="00B543CD"/>
    <w:rsid w:val="00B548DC"/>
    <w:rsid w:val="00B557AB"/>
    <w:rsid w:val="00B55BD9"/>
    <w:rsid w:val="00B57246"/>
    <w:rsid w:val="00B57745"/>
    <w:rsid w:val="00B60FAF"/>
    <w:rsid w:val="00B62387"/>
    <w:rsid w:val="00B63EE3"/>
    <w:rsid w:val="00B644BB"/>
    <w:rsid w:val="00B64DCF"/>
    <w:rsid w:val="00B65C42"/>
    <w:rsid w:val="00B661AE"/>
    <w:rsid w:val="00B66AAF"/>
    <w:rsid w:val="00B670CC"/>
    <w:rsid w:val="00B678E7"/>
    <w:rsid w:val="00B703A7"/>
    <w:rsid w:val="00B70B7A"/>
    <w:rsid w:val="00B7227B"/>
    <w:rsid w:val="00B722F6"/>
    <w:rsid w:val="00B727E7"/>
    <w:rsid w:val="00B72A5E"/>
    <w:rsid w:val="00B72B5A"/>
    <w:rsid w:val="00B749EC"/>
    <w:rsid w:val="00B75BCC"/>
    <w:rsid w:val="00B75E7F"/>
    <w:rsid w:val="00B76673"/>
    <w:rsid w:val="00B76890"/>
    <w:rsid w:val="00B771AF"/>
    <w:rsid w:val="00B82E58"/>
    <w:rsid w:val="00B831E5"/>
    <w:rsid w:val="00B85E0C"/>
    <w:rsid w:val="00B85E4A"/>
    <w:rsid w:val="00B86D0F"/>
    <w:rsid w:val="00B90337"/>
    <w:rsid w:val="00B91ACB"/>
    <w:rsid w:val="00B9217B"/>
    <w:rsid w:val="00B92630"/>
    <w:rsid w:val="00B92940"/>
    <w:rsid w:val="00B93C9A"/>
    <w:rsid w:val="00B9497C"/>
    <w:rsid w:val="00B94B04"/>
    <w:rsid w:val="00B95E74"/>
    <w:rsid w:val="00B969F4"/>
    <w:rsid w:val="00B9763F"/>
    <w:rsid w:val="00B97DBF"/>
    <w:rsid w:val="00BA1DED"/>
    <w:rsid w:val="00BA23D9"/>
    <w:rsid w:val="00BA56B2"/>
    <w:rsid w:val="00BA5768"/>
    <w:rsid w:val="00BA5C06"/>
    <w:rsid w:val="00BA6578"/>
    <w:rsid w:val="00BA6EAF"/>
    <w:rsid w:val="00BA7FD2"/>
    <w:rsid w:val="00BB05CF"/>
    <w:rsid w:val="00BB12FF"/>
    <w:rsid w:val="00BB139E"/>
    <w:rsid w:val="00BB2CE0"/>
    <w:rsid w:val="00BB385A"/>
    <w:rsid w:val="00BB38E4"/>
    <w:rsid w:val="00BB3D7F"/>
    <w:rsid w:val="00BB3EA2"/>
    <w:rsid w:val="00BB3FD1"/>
    <w:rsid w:val="00BB519C"/>
    <w:rsid w:val="00BB5254"/>
    <w:rsid w:val="00BB719B"/>
    <w:rsid w:val="00BC05D7"/>
    <w:rsid w:val="00BC085F"/>
    <w:rsid w:val="00BC0D0B"/>
    <w:rsid w:val="00BC0DF5"/>
    <w:rsid w:val="00BC0DF6"/>
    <w:rsid w:val="00BC1BF8"/>
    <w:rsid w:val="00BC2947"/>
    <w:rsid w:val="00BC3118"/>
    <w:rsid w:val="00BC3382"/>
    <w:rsid w:val="00BC4018"/>
    <w:rsid w:val="00BC65D1"/>
    <w:rsid w:val="00BC7033"/>
    <w:rsid w:val="00BC7C85"/>
    <w:rsid w:val="00BC7D08"/>
    <w:rsid w:val="00BD01A1"/>
    <w:rsid w:val="00BD0324"/>
    <w:rsid w:val="00BD0368"/>
    <w:rsid w:val="00BD1070"/>
    <w:rsid w:val="00BD1ABD"/>
    <w:rsid w:val="00BD25F5"/>
    <w:rsid w:val="00BD49F6"/>
    <w:rsid w:val="00BD5596"/>
    <w:rsid w:val="00BD64AE"/>
    <w:rsid w:val="00BE00C3"/>
    <w:rsid w:val="00BE0660"/>
    <w:rsid w:val="00BE1283"/>
    <w:rsid w:val="00BE19CD"/>
    <w:rsid w:val="00BE1A0A"/>
    <w:rsid w:val="00BE27FA"/>
    <w:rsid w:val="00BE5645"/>
    <w:rsid w:val="00BE583E"/>
    <w:rsid w:val="00BE786B"/>
    <w:rsid w:val="00BE7D3B"/>
    <w:rsid w:val="00BF0680"/>
    <w:rsid w:val="00BF0D0A"/>
    <w:rsid w:val="00BF0D46"/>
    <w:rsid w:val="00BF199C"/>
    <w:rsid w:val="00BF1A5A"/>
    <w:rsid w:val="00BF326E"/>
    <w:rsid w:val="00BF3BDA"/>
    <w:rsid w:val="00BF5359"/>
    <w:rsid w:val="00BF6E28"/>
    <w:rsid w:val="00BF7734"/>
    <w:rsid w:val="00C00149"/>
    <w:rsid w:val="00C00D45"/>
    <w:rsid w:val="00C01BAB"/>
    <w:rsid w:val="00C01F21"/>
    <w:rsid w:val="00C02F2B"/>
    <w:rsid w:val="00C0353C"/>
    <w:rsid w:val="00C03DBE"/>
    <w:rsid w:val="00C05806"/>
    <w:rsid w:val="00C06478"/>
    <w:rsid w:val="00C06C45"/>
    <w:rsid w:val="00C06C8A"/>
    <w:rsid w:val="00C06D4A"/>
    <w:rsid w:val="00C0717E"/>
    <w:rsid w:val="00C07784"/>
    <w:rsid w:val="00C10601"/>
    <w:rsid w:val="00C10762"/>
    <w:rsid w:val="00C10A26"/>
    <w:rsid w:val="00C10FC1"/>
    <w:rsid w:val="00C112EF"/>
    <w:rsid w:val="00C11673"/>
    <w:rsid w:val="00C117FC"/>
    <w:rsid w:val="00C122D6"/>
    <w:rsid w:val="00C1247E"/>
    <w:rsid w:val="00C12618"/>
    <w:rsid w:val="00C12B3D"/>
    <w:rsid w:val="00C13016"/>
    <w:rsid w:val="00C132BC"/>
    <w:rsid w:val="00C138D9"/>
    <w:rsid w:val="00C13F69"/>
    <w:rsid w:val="00C14A39"/>
    <w:rsid w:val="00C15C84"/>
    <w:rsid w:val="00C16CE0"/>
    <w:rsid w:val="00C2159C"/>
    <w:rsid w:val="00C21735"/>
    <w:rsid w:val="00C22516"/>
    <w:rsid w:val="00C22A3A"/>
    <w:rsid w:val="00C238EF"/>
    <w:rsid w:val="00C246B7"/>
    <w:rsid w:val="00C24A39"/>
    <w:rsid w:val="00C26005"/>
    <w:rsid w:val="00C269CE"/>
    <w:rsid w:val="00C30E25"/>
    <w:rsid w:val="00C311DD"/>
    <w:rsid w:val="00C34E56"/>
    <w:rsid w:val="00C362C8"/>
    <w:rsid w:val="00C403E7"/>
    <w:rsid w:val="00C407ED"/>
    <w:rsid w:val="00C40BB2"/>
    <w:rsid w:val="00C40C39"/>
    <w:rsid w:val="00C40DCE"/>
    <w:rsid w:val="00C4144F"/>
    <w:rsid w:val="00C41921"/>
    <w:rsid w:val="00C44AA0"/>
    <w:rsid w:val="00C45B08"/>
    <w:rsid w:val="00C45EB9"/>
    <w:rsid w:val="00C46983"/>
    <w:rsid w:val="00C46CEB"/>
    <w:rsid w:val="00C50F46"/>
    <w:rsid w:val="00C536DF"/>
    <w:rsid w:val="00C53A28"/>
    <w:rsid w:val="00C53CBC"/>
    <w:rsid w:val="00C54D02"/>
    <w:rsid w:val="00C55626"/>
    <w:rsid w:val="00C57396"/>
    <w:rsid w:val="00C57401"/>
    <w:rsid w:val="00C57B23"/>
    <w:rsid w:val="00C600DC"/>
    <w:rsid w:val="00C601BE"/>
    <w:rsid w:val="00C6029B"/>
    <w:rsid w:val="00C60F27"/>
    <w:rsid w:val="00C6222D"/>
    <w:rsid w:val="00C62677"/>
    <w:rsid w:val="00C629AF"/>
    <w:rsid w:val="00C63CA0"/>
    <w:rsid w:val="00C65988"/>
    <w:rsid w:val="00C6629A"/>
    <w:rsid w:val="00C673CE"/>
    <w:rsid w:val="00C70FF4"/>
    <w:rsid w:val="00C71617"/>
    <w:rsid w:val="00C71938"/>
    <w:rsid w:val="00C73E23"/>
    <w:rsid w:val="00C74092"/>
    <w:rsid w:val="00C74567"/>
    <w:rsid w:val="00C75866"/>
    <w:rsid w:val="00C758DB"/>
    <w:rsid w:val="00C76499"/>
    <w:rsid w:val="00C766C6"/>
    <w:rsid w:val="00C767DA"/>
    <w:rsid w:val="00C805B1"/>
    <w:rsid w:val="00C80FBF"/>
    <w:rsid w:val="00C8118B"/>
    <w:rsid w:val="00C81267"/>
    <w:rsid w:val="00C81BCC"/>
    <w:rsid w:val="00C8312F"/>
    <w:rsid w:val="00C832EA"/>
    <w:rsid w:val="00C85AA4"/>
    <w:rsid w:val="00C85B1B"/>
    <w:rsid w:val="00C85F9F"/>
    <w:rsid w:val="00C86308"/>
    <w:rsid w:val="00C917FC"/>
    <w:rsid w:val="00C92F08"/>
    <w:rsid w:val="00C9309D"/>
    <w:rsid w:val="00C9322E"/>
    <w:rsid w:val="00C942F3"/>
    <w:rsid w:val="00C946F9"/>
    <w:rsid w:val="00C94D0A"/>
    <w:rsid w:val="00C95426"/>
    <w:rsid w:val="00C9577E"/>
    <w:rsid w:val="00C95D32"/>
    <w:rsid w:val="00C9621C"/>
    <w:rsid w:val="00C97819"/>
    <w:rsid w:val="00C97B97"/>
    <w:rsid w:val="00CA180D"/>
    <w:rsid w:val="00CA2C0F"/>
    <w:rsid w:val="00CA37C8"/>
    <w:rsid w:val="00CA4BD9"/>
    <w:rsid w:val="00CA70F0"/>
    <w:rsid w:val="00CB0488"/>
    <w:rsid w:val="00CB1328"/>
    <w:rsid w:val="00CB2B5E"/>
    <w:rsid w:val="00CB2D52"/>
    <w:rsid w:val="00CB3BD4"/>
    <w:rsid w:val="00CB4BCD"/>
    <w:rsid w:val="00CB5229"/>
    <w:rsid w:val="00CB5634"/>
    <w:rsid w:val="00CB5B86"/>
    <w:rsid w:val="00CB7478"/>
    <w:rsid w:val="00CC00E9"/>
    <w:rsid w:val="00CC1DEC"/>
    <w:rsid w:val="00CC32EE"/>
    <w:rsid w:val="00CC354C"/>
    <w:rsid w:val="00CC4211"/>
    <w:rsid w:val="00CC50EA"/>
    <w:rsid w:val="00CC5225"/>
    <w:rsid w:val="00CC7938"/>
    <w:rsid w:val="00CD018E"/>
    <w:rsid w:val="00CD0CAA"/>
    <w:rsid w:val="00CD11C5"/>
    <w:rsid w:val="00CD3615"/>
    <w:rsid w:val="00CD6D21"/>
    <w:rsid w:val="00CD6DD1"/>
    <w:rsid w:val="00CE0BC4"/>
    <w:rsid w:val="00CE0DC3"/>
    <w:rsid w:val="00CE25A5"/>
    <w:rsid w:val="00CE2C68"/>
    <w:rsid w:val="00CE37BE"/>
    <w:rsid w:val="00CE5117"/>
    <w:rsid w:val="00CE58E3"/>
    <w:rsid w:val="00CE66F9"/>
    <w:rsid w:val="00CE7A52"/>
    <w:rsid w:val="00CF02C6"/>
    <w:rsid w:val="00CF0D4C"/>
    <w:rsid w:val="00CF111E"/>
    <w:rsid w:val="00CF1BDC"/>
    <w:rsid w:val="00CF1F5E"/>
    <w:rsid w:val="00CF22E4"/>
    <w:rsid w:val="00CF2943"/>
    <w:rsid w:val="00CF2EEB"/>
    <w:rsid w:val="00CF37D8"/>
    <w:rsid w:val="00CF45E3"/>
    <w:rsid w:val="00CF4C1A"/>
    <w:rsid w:val="00CF549B"/>
    <w:rsid w:val="00CF5A7B"/>
    <w:rsid w:val="00CF5B8B"/>
    <w:rsid w:val="00CF72CC"/>
    <w:rsid w:val="00CF7463"/>
    <w:rsid w:val="00CF7930"/>
    <w:rsid w:val="00D00C8E"/>
    <w:rsid w:val="00D03D68"/>
    <w:rsid w:val="00D04086"/>
    <w:rsid w:val="00D0436E"/>
    <w:rsid w:val="00D07B72"/>
    <w:rsid w:val="00D11A3A"/>
    <w:rsid w:val="00D12041"/>
    <w:rsid w:val="00D1240D"/>
    <w:rsid w:val="00D128B9"/>
    <w:rsid w:val="00D12951"/>
    <w:rsid w:val="00D12FC0"/>
    <w:rsid w:val="00D13040"/>
    <w:rsid w:val="00D14D8C"/>
    <w:rsid w:val="00D15631"/>
    <w:rsid w:val="00D1792A"/>
    <w:rsid w:val="00D20EC5"/>
    <w:rsid w:val="00D22138"/>
    <w:rsid w:val="00D2298A"/>
    <w:rsid w:val="00D23051"/>
    <w:rsid w:val="00D23920"/>
    <w:rsid w:val="00D23F49"/>
    <w:rsid w:val="00D24832"/>
    <w:rsid w:val="00D24853"/>
    <w:rsid w:val="00D262EC"/>
    <w:rsid w:val="00D266D0"/>
    <w:rsid w:val="00D26AC9"/>
    <w:rsid w:val="00D27B83"/>
    <w:rsid w:val="00D306E3"/>
    <w:rsid w:val="00D31C2B"/>
    <w:rsid w:val="00D32C3B"/>
    <w:rsid w:val="00D32D3E"/>
    <w:rsid w:val="00D33895"/>
    <w:rsid w:val="00D341A0"/>
    <w:rsid w:val="00D34E80"/>
    <w:rsid w:val="00D352EE"/>
    <w:rsid w:val="00D36927"/>
    <w:rsid w:val="00D36F2C"/>
    <w:rsid w:val="00D411BD"/>
    <w:rsid w:val="00D4122D"/>
    <w:rsid w:val="00D4152E"/>
    <w:rsid w:val="00D41E5E"/>
    <w:rsid w:val="00D42766"/>
    <w:rsid w:val="00D43E6A"/>
    <w:rsid w:val="00D44D66"/>
    <w:rsid w:val="00D45CBB"/>
    <w:rsid w:val="00D46381"/>
    <w:rsid w:val="00D4723D"/>
    <w:rsid w:val="00D47309"/>
    <w:rsid w:val="00D50A8A"/>
    <w:rsid w:val="00D5169A"/>
    <w:rsid w:val="00D5264E"/>
    <w:rsid w:val="00D5267A"/>
    <w:rsid w:val="00D5390F"/>
    <w:rsid w:val="00D53A7E"/>
    <w:rsid w:val="00D53C4F"/>
    <w:rsid w:val="00D53FB6"/>
    <w:rsid w:val="00D54A7B"/>
    <w:rsid w:val="00D54C24"/>
    <w:rsid w:val="00D5671D"/>
    <w:rsid w:val="00D5690E"/>
    <w:rsid w:val="00D613E1"/>
    <w:rsid w:val="00D61DB6"/>
    <w:rsid w:val="00D62707"/>
    <w:rsid w:val="00D62CC3"/>
    <w:rsid w:val="00D62ECC"/>
    <w:rsid w:val="00D6470F"/>
    <w:rsid w:val="00D64C09"/>
    <w:rsid w:val="00D6506E"/>
    <w:rsid w:val="00D6516B"/>
    <w:rsid w:val="00D66755"/>
    <w:rsid w:val="00D66EB6"/>
    <w:rsid w:val="00D67058"/>
    <w:rsid w:val="00D6726E"/>
    <w:rsid w:val="00D674A2"/>
    <w:rsid w:val="00D67758"/>
    <w:rsid w:val="00D67806"/>
    <w:rsid w:val="00D67ACA"/>
    <w:rsid w:val="00D67BCC"/>
    <w:rsid w:val="00D702E0"/>
    <w:rsid w:val="00D704E9"/>
    <w:rsid w:val="00D710C3"/>
    <w:rsid w:val="00D73425"/>
    <w:rsid w:val="00D736E1"/>
    <w:rsid w:val="00D74534"/>
    <w:rsid w:val="00D80258"/>
    <w:rsid w:val="00D81619"/>
    <w:rsid w:val="00D8201C"/>
    <w:rsid w:val="00D82EB2"/>
    <w:rsid w:val="00D83A75"/>
    <w:rsid w:val="00D844AB"/>
    <w:rsid w:val="00D8578F"/>
    <w:rsid w:val="00D8615F"/>
    <w:rsid w:val="00D86287"/>
    <w:rsid w:val="00D876CD"/>
    <w:rsid w:val="00D90272"/>
    <w:rsid w:val="00D9163C"/>
    <w:rsid w:val="00D95CDD"/>
    <w:rsid w:val="00D9708D"/>
    <w:rsid w:val="00D978B9"/>
    <w:rsid w:val="00DA03E4"/>
    <w:rsid w:val="00DA0776"/>
    <w:rsid w:val="00DA12EF"/>
    <w:rsid w:val="00DA2747"/>
    <w:rsid w:val="00DA40FD"/>
    <w:rsid w:val="00DA5869"/>
    <w:rsid w:val="00DA5E7C"/>
    <w:rsid w:val="00DA642E"/>
    <w:rsid w:val="00DA7700"/>
    <w:rsid w:val="00DA7A0B"/>
    <w:rsid w:val="00DB112F"/>
    <w:rsid w:val="00DB1253"/>
    <w:rsid w:val="00DB21CC"/>
    <w:rsid w:val="00DB2706"/>
    <w:rsid w:val="00DB2DB8"/>
    <w:rsid w:val="00DB57DB"/>
    <w:rsid w:val="00DB6098"/>
    <w:rsid w:val="00DB6588"/>
    <w:rsid w:val="00DB7BCB"/>
    <w:rsid w:val="00DC0071"/>
    <w:rsid w:val="00DC05E5"/>
    <w:rsid w:val="00DC09A5"/>
    <w:rsid w:val="00DC16A9"/>
    <w:rsid w:val="00DC18E2"/>
    <w:rsid w:val="00DC36D6"/>
    <w:rsid w:val="00DC4EDF"/>
    <w:rsid w:val="00DC4F0B"/>
    <w:rsid w:val="00DC6009"/>
    <w:rsid w:val="00DC6483"/>
    <w:rsid w:val="00DC6BB0"/>
    <w:rsid w:val="00DC7E26"/>
    <w:rsid w:val="00DD10CB"/>
    <w:rsid w:val="00DD1F14"/>
    <w:rsid w:val="00DD249A"/>
    <w:rsid w:val="00DD2AF1"/>
    <w:rsid w:val="00DD3448"/>
    <w:rsid w:val="00DD493D"/>
    <w:rsid w:val="00DD4999"/>
    <w:rsid w:val="00DD499F"/>
    <w:rsid w:val="00DD50DD"/>
    <w:rsid w:val="00DD54BC"/>
    <w:rsid w:val="00DD5D23"/>
    <w:rsid w:val="00DD5F0D"/>
    <w:rsid w:val="00DD73F5"/>
    <w:rsid w:val="00DD7F34"/>
    <w:rsid w:val="00DE02EC"/>
    <w:rsid w:val="00DE0B0E"/>
    <w:rsid w:val="00DE24F7"/>
    <w:rsid w:val="00DE2D2F"/>
    <w:rsid w:val="00DE48AE"/>
    <w:rsid w:val="00DE499F"/>
    <w:rsid w:val="00DE4E49"/>
    <w:rsid w:val="00DE507A"/>
    <w:rsid w:val="00DE6A43"/>
    <w:rsid w:val="00DF1399"/>
    <w:rsid w:val="00DF291D"/>
    <w:rsid w:val="00DF34C5"/>
    <w:rsid w:val="00DF3609"/>
    <w:rsid w:val="00DF64A1"/>
    <w:rsid w:val="00DF70DD"/>
    <w:rsid w:val="00DF74C7"/>
    <w:rsid w:val="00E00EE3"/>
    <w:rsid w:val="00E00EED"/>
    <w:rsid w:val="00E010A8"/>
    <w:rsid w:val="00E01C5A"/>
    <w:rsid w:val="00E02980"/>
    <w:rsid w:val="00E0330C"/>
    <w:rsid w:val="00E048F9"/>
    <w:rsid w:val="00E05BB2"/>
    <w:rsid w:val="00E05FA6"/>
    <w:rsid w:val="00E0690A"/>
    <w:rsid w:val="00E07086"/>
    <w:rsid w:val="00E07949"/>
    <w:rsid w:val="00E1106D"/>
    <w:rsid w:val="00E11247"/>
    <w:rsid w:val="00E11DC0"/>
    <w:rsid w:val="00E11E4B"/>
    <w:rsid w:val="00E13FAF"/>
    <w:rsid w:val="00E14544"/>
    <w:rsid w:val="00E16A87"/>
    <w:rsid w:val="00E16CED"/>
    <w:rsid w:val="00E172C9"/>
    <w:rsid w:val="00E20A7C"/>
    <w:rsid w:val="00E23DC3"/>
    <w:rsid w:val="00E24C10"/>
    <w:rsid w:val="00E260FA"/>
    <w:rsid w:val="00E264E1"/>
    <w:rsid w:val="00E269CA"/>
    <w:rsid w:val="00E27E95"/>
    <w:rsid w:val="00E34936"/>
    <w:rsid w:val="00E34C7F"/>
    <w:rsid w:val="00E36118"/>
    <w:rsid w:val="00E40F47"/>
    <w:rsid w:val="00E425EE"/>
    <w:rsid w:val="00E45322"/>
    <w:rsid w:val="00E51434"/>
    <w:rsid w:val="00E53236"/>
    <w:rsid w:val="00E54396"/>
    <w:rsid w:val="00E54865"/>
    <w:rsid w:val="00E55188"/>
    <w:rsid w:val="00E55883"/>
    <w:rsid w:val="00E57E48"/>
    <w:rsid w:val="00E61B08"/>
    <w:rsid w:val="00E63293"/>
    <w:rsid w:val="00E6352F"/>
    <w:rsid w:val="00E63C4E"/>
    <w:rsid w:val="00E66576"/>
    <w:rsid w:val="00E67A0B"/>
    <w:rsid w:val="00E71661"/>
    <w:rsid w:val="00E71D8B"/>
    <w:rsid w:val="00E71F4D"/>
    <w:rsid w:val="00E72B1D"/>
    <w:rsid w:val="00E72E86"/>
    <w:rsid w:val="00E74B4C"/>
    <w:rsid w:val="00E75400"/>
    <w:rsid w:val="00E764E4"/>
    <w:rsid w:val="00E800C6"/>
    <w:rsid w:val="00E80D90"/>
    <w:rsid w:val="00E81490"/>
    <w:rsid w:val="00E82B65"/>
    <w:rsid w:val="00E83359"/>
    <w:rsid w:val="00E8374F"/>
    <w:rsid w:val="00E846CB"/>
    <w:rsid w:val="00E847E9"/>
    <w:rsid w:val="00E84F06"/>
    <w:rsid w:val="00E85856"/>
    <w:rsid w:val="00E85B64"/>
    <w:rsid w:val="00E85C17"/>
    <w:rsid w:val="00E86DA6"/>
    <w:rsid w:val="00E87F70"/>
    <w:rsid w:val="00E906EA"/>
    <w:rsid w:val="00E90F77"/>
    <w:rsid w:val="00E92687"/>
    <w:rsid w:val="00E9332C"/>
    <w:rsid w:val="00E95C0A"/>
    <w:rsid w:val="00E96A72"/>
    <w:rsid w:val="00E96F25"/>
    <w:rsid w:val="00E97A95"/>
    <w:rsid w:val="00EA02E7"/>
    <w:rsid w:val="00EA195A"/>
    <w:rsid w:val="00EA2171"/>
    <w:rsid w:val="00EA21D0"/>
    <w:rsid w:val="00EA3B6A"/>
    <w:rsid w:val="00EA3BAE"/>
    <w:rsid w:val="00EA45F7"/>
    <w:rsid w:val="00EA5AEA"/>
    <w:rsid w:val="00EA5C09"/>
    <w:rsid w:val="00EA6343"/>
    <w:rsid w:val="00EA6871"/>
    <w:rsid w:val="00EA74F6"/>
    <w:rsid w:val="00EA7BEF"/>
    <w:rsid w:val="00EB073F"/>
    <w:rsid w:val="00EB07A6"/>
    <w:rsid w:val="00EB1108"/>
    <w:rsid w:val="00EB20D4"/>
    <w:rsid w:val="00EB32C5"/>
    <w:rsid w:val="00EB353E"/>
    <w:rsid w:val="00EB37F4"/>
    <w:rsid w:val="00EB3882"/>
    <w:rsid w:val="00EB5C84"/>
    <w:rsid w:val="00EB5CDB"/>
    <w:rsid w:val="00EB61C4"/>
    <w:rsid w:val="00EB75F1"/>
    <w:rsid w:val="00EB7740"/>
    <w:rsid w:val="00EB7A53"/>
    <w:rsid w:val="00EC0005"/>
    <w:rsid w:val="00EC1753"/>
    <w:rsid w:val="00EC1C31"/>
    <w:rsid w:val="00EC1E65"/>
    <w:rsid w:val="00EC2DCB"/>
    <w:rsid w:val="00EC2FFA"/>
    <w:rsid w:val="00EC3E9D"/>
    <w:rsid w:val="00EC4A2F"/>
    <w:rsid w:val="00EC5535"/>
    <w:rsid w:val="00EC5669"/>
    <w:rsid w:val="00EC587A"/>
    <w:rsid w:val="00EC5AAD"/>
    <w:rsid w:val="00ED00A4"/>
    <w:rsid w:val="00ED026F"/>
    <w:rsid w:val="00ED29F2"/>
    <w:rsid w:val="00ED3D5F"/>
    <w:rsid w:val="00ED4BB3"/>
    <w:rsid w:val="00ED4CDB"/>
    <w:rsid w:val="00ED5248"/>
    <w:rsid w:val="00ED5500"/>
    <w:rsid w:val="00ED6F3A"/>
    <w:rsid w:val="00EE08B5"/>
    <w:rsid w:val="00EE1201"/>
    <w:rsid w:val="00EE227E"/>
    <w:rsid w:val="00EE4498"/>
    <w:rsid w:val="00EE48A9"/>
    <w:rsid w:val="00EE4A93"/>
    <w:rsid w:val="00EE4AA0"/>
    <w:rsid w:val="00EE5CE2"/>
    <w:rsid w:val="00EE6573"/>
    <w:rsid w:val="00EE70FD"/>
    <w:rsid w:val="00EE7910"/>
    <w:rsid w:val="00EF09E2"/>
    <w:rsid w:val="00EF10FD"/>
    <w:rsid w:val="00EF11AE"/>
    <w:rsid w:val="00EF25BD"/>
    <w:rsid w:val="00EF3670"/>
    <w:rsid w:val="00EF3F7E"/>
    <w:rsid w:val="00EF7448"/>
    <w:rsid w:val="00F010C7"/>
    <w:rsid w:val="00F01138"/>
    <w:rsid w:val="00F018CE"/>
    <w:rsid w:val="00F01AD0"/>
    <w:rsid w:val="00F0301F"/>
    <w:rsid w:val="00F04984"/>
    <w:rsid w:val="00F04D0E"/>
    <w:rsid w:val="00F05183"/>
    <w:rsid w:val="00F0555B"/>
    <w:rsid w:val="00F06087"/>
    <w:rsid w:val="00F077BD"/>
    <w:rsid w:val="00F07838"/>
    <w:rsid w:val="00F07ADD"/>
    <w:rsid w:val="00F07B71"/>
    <w:rsid w:val="00F12B5E"/>
    <w:rsid w:val="00F13918"/>
    <w:rsid w:val="00F13B0A"/>
    <w:rsid w:val="00F14CE7"/>
    <w:rsid w:val="00F15F73"/>
    <w:rsid w:val="00F2059D"/>
    <w:rsid w:val="00F20786"/>
    <w:rsid w:val="00F20E4E"/>
    <w:rsid w:val="00F211C8"/>
    <w:rsid w:val="00F2153B"/>
    <w:rsid w:val="00F2419E"/>
    <w:rsid w:val="00F242C9"/>
    <w:rsid w:val="00F24403"/>
    <w:rsid w:val="00F24F14"/>
    <w:rsid w:val="00F25A5A"/>
    <w:rsid w:val="00F306DF"/>
    <w:rsid w:val="00F306FB"/>
    <w:rsid w:val="00F3097B"/>
    <w:rsid w:val="00F3118C"/>
    <w:rsid w:val="00F3298F"/>
    <w:rsid w:val="00F3394D"/>
    <w:rsid w:val="00F35431"/>
    <w:rsid w:val="00F36725"/>
    <w:rsid w:val="00F40142"/>
    <w:rsid w:val="00F415CE"/>
    <w:rsid w:val="00F418CF"/>
    <w:rsid w:val="00F41B2D"/>
    <w:rsid w:val="00F4211F"/>
    <w:rsid w:val="00F429F1"/>
    <w:rsid w:val="00F4394C"/>
    <w:rsid w:val="00F44441"/>
    <w:rsid w:val="00F44C9A"/>
    <w:rsid w:val="00F45016"/>
    <w:rsid w:val="00F46BA8"/>
    <w:rsid w:val="00F50478"/>
    <w:rsid w:val="00F50AAE"/>
    <w:rsid w:val="00F51D96"/>
    <w:rsid w:val="00F52127"/>
    <w:rsid w:val="00F52DBD"/>
    <w:rsid w:val="00F53385"/>
    <w:rsid w:val="00F5361F"/>
    <w:rsid w:val="00F56490"/>
    <w:rsid w:val="00F56E47"/>
    <w:rsid w:val="00F5797D"/>
    <w:rsid w:val="00F60A3A"/>
    <w:rsid w:val="00F60A63"/>
    <w:rsid w:val="00F63AA7"/>
    <w:rsid w:val="00F64794"/>
    <w:rsid w:val="00F66689"/>
    <w:rsid w:val="00F6678E"/>
    <w:rsid w:val="00F70C0E"/>
    <w:rsid w:val="00F716FA"/>
    <w:rsid w:val="00F73356"/>
    <w:rsid w:val="00F7677B"/>
    <w:rsid w:val="00F773F4"/>
    <w:rsid w:val="00F80166"/>
    <w:rsid w:val="00F816FC"/>
    <w:rsid w:val="00F82637"/>
    <w:rsid w:val="00F8471B"/>
    <w:rsid w:val="00F84A06"/>
    <w:rsid w:val="00F85036"/>
    <w:rsid w:val="00F851E4"/>
    <w:rsid w:val="00F87941"/>
    <w:rsid w:val="00F902BB"/>
    <w:rsid w:val="00F908C3"/>
    <w:rsid w:val="00F915AC"/>
    <w:rsid w:val="00F92B37"/>
    <w:rsid w:val="00F943CB"/>
    <w:rsid w:val="00F949EF"/>
    <w:rsid w:val="00F97B74"/>
    <w:rsid w:val="00F97D69"/>
    <w:rsid w:val="00FA2FE3"/>
    <w:rsid w:val="00FA3038"/>
    <w:rsid w:val="00FA33D3"/>
    <w:rsid w:val="00FA37AD"/>
    <w:rsid w:val="00FA38A3"/>
    <w:rsid w:val="00FA4FD4"/>
    <w:rsid w:val="00FA6E6A"/>
    <w:rsid w:val="00FA781A"/>
    <w:rsid w:val="00FA78B9"/>
    <w:rsid w:val="00FA7F48"/>
    <w:rsid w:val="00FB00AF"/>
    <w:rsid w:val="00FB0E85"/>
    <w:rsid w:val="00FB3AFE"/>
    <w:rsid w:val="00FB3F4B"/>
    <w:rsid w:val="00FB44D1"/>
    <w:rsid w:val="00FB54FF"/>
    <w:rsid w:val="00FB5C67"/>
    <w:rsid w:val="00FB5D20"/>
    <w:rsid w:val="00FC021B"/>
    <w:rsid w:val="00FC1A97"/>
    <w:rsid w:val="00FC24F7"/>
    <w:rsid w:val="00FC2C47"/>
    <w:rsid w:val="00FC540C"/>
    <w:rsid w:val="00FC5ADB"/>
    <w:rsid w:val="00FC5F7C"/>
    <w:rsid w:val="00FD1138"/>
    <w:rsid w:val="00FD1C00"/>
    <w:rsid w:val="00FD3166"/>
    <w:rsid w:val="00FD3A88"/>
    <w:rsid w:val="00FD4AD1"/>
    <w:rsid w:val="00FD60B7"/>
    <w:rsid w:val="00FD6C98"/>
    <w:rsid w:val="00FD748A"/>
    <w:rsid w:val="00FD7A46"/>
    <w:rsid w:val="00FE08BD"/>
    <w:rsid w:val="00FE28E6"/>
    <w:rsid w:val="00FE4140"/>
    <w:rsid w:val="00FE6727"/>
    <w:rsid w:val="00FF0D3F"/>
    <w:rsid w:val="00FF2D32"/>
    <w:rsid w:val="00FF2FE0"/>
    <w:rsid w:val="00FF4313"/>
    <w:rsid w:val="00FF560B"/>
    <w:rsid w:val="00FF5680"/>
    <w:rsid w:val="00FF60C4"/>
    <w:rsid w:val="00FF6F46"/>
    <w:rsid w:val="0105505F"/>
    <w:rsid w:val="010672C1"/>
    <w:rsid w:val="01186DD4"/>
    <w:rsid w:val="012A0545"/>
    <w:rsid w:val="01563749"/>
    <w:rsid w:val="015D0D5E"/>
    <w:rsid w:val="01797145"/>
    <w:rsid w:val="01864822"/>
    <w:rsid w:val="019C46CE"/>
    <w:rsid w:val="01A00C4B"/>
    <w:rsid w:val="01C715DA"/>
    <w:rsid w:val="023B1D7D"/>
    <w:rsid w:val="023C4B8F"/>
    <w:rsid w:val="02423867"/>
    <w:rsid w:val="024E65D4"/>
    <w:rsid w:val="02AC12A0"/>
    <w:rsid w:val="02C32B34"/>
    <w:rsid w:val="02C34EEF"/>
    <w:rsid w:val="02DB1D15"/>
    <w:rsid w:val="02E8355E"/>
    <w:rsid w:val="03160F43"/>
    <w:rsid w:val="031C522D"/>
    <w:rsid w:val="033426E3"/>
    <w:rsid w:val="036F6C29"/>
    <w:rsid w:val="037C514D"/>
    <w:rsid w:val="03872C93"/>
    <w:rsid w:val="03E07041"/>
    <w:rsid w:val="03E276F8"/>
    <w:rsid w:val="03F26091"/>
    <w:rsid w:val="03F86B1C"/>
    <w:rsid w:val="040E27E3"/>
    <w:rsid w:val="04455BB0"/>
    <w:rsid w:val="04571E35"/>
    <w:rsid w:val="049F482A"/>
    <w:rsid w:val="04C73219"/>
    <w:rsid w:val="04D24FE8"/>
    <w:rsid w:val="04FE1116"/>
    <w:rsid w:val="052557DD"/>
    <w:rsid w:val="05295A8E"/>
    <w:rsid w:val="053343CC"/>
    <w:rsid w:val="053A13B6"/>
    <w:rsid w:val="05622C55"/>
    <w:rsid w:val="05746676"/>
    <w:rsid w:val="05752765"/>
    <w:rsid w:val="05861E93"/>
    <w:rsid w:val="05876656"/>
    <w:rsid w:val="05AD43EF"/>
    <w:rsid w:val="05C57460"/>
    <w:rsid w:val="05CB4ED1"/>
    <w:rsid w:val="05CD665D"/>
    <w:rsid w:val="06074019"/>
    <w:rsid w:val="06296392"/>
    <w:rsid w:val="06304C93"/>
    <w:rsid w:val="064F18FD"/>
    <w:rsid w:val="066A1381"/>
    <w:rsid w:val="066C2FCB"/>
    <w:rsid w:val="06740725"/>
    <w:rsid w:val="06A8302D"/>
    <w:rsid w:val="06AD7ECB"/>
    <w:rsid w:val="06B97CE7"/>
    <w:rsid w:val="06BA1EED"/>
    <w:rsid w:val="06C72FFA"/>
    <w:rsid w:val="06C93A9D"/>
    <w:rsid w:val="06D54CFF"/>
    <w:rsid w:val="06E9224E"/>
    <w:rsid w:val="06F63309"/>
    <w:rsid w:val="06FA27D4"/>
    <w:rsid w:val="070E2AFA"/>
    <w:rsid w:val="071F233A"/>
    <w:rsid w:val="07200809"/>
    <w:rsid w:val="07227DF4"/>
    <w:rsid w:val="07373517"/>
    <w:rsid w:val="074719FC"/>
    <w:rsid w:val="075E2ADB"/>
    <w:rsid w:val="076935CA"/>
    <w:rsid w:val="076D78B8"/>
    <w:rsid w:val="07816301"/>
    <w:rsid w:val="07911952"/>
    <w:rsid w:val="079B438E"/>
    <w:rsid w:val="07A061A4"/>
    <w:rsid w:val="07B56195"/>
    <w:rsid w:val="07BE225E"/>
    <w:rsid w:val="07C47B47"/>
    <w:rsid w:val="07D82121"/>
    <w:rsid w:val="07DC3475"/>
    <w:rsid w:val="07E53733"/>
    <w:rsid w:val="07EC2B3E"/>
    <w:rsid w:val="07F570E3"/>
    <w:rsid w:val="07FF149A"/>
    <w:rsid w:val="081E1951"/>
    <w:rsid w:val="083B0AA1"/>
    <w:rsid w:val="083B2E38"/>
    <w:rsid w:val="084942E8"/>
    <w:rsid w:val="08650A2C"/>
    <w:rsid w:val="08704243"/>
    <w:rsid w:val="0878614C"/>
    <w:rsid w:val="087D3B8F"/>
    <w:rsid w:val="0889737B"/>
    <w:rsid w:val="088C3CD7"/>
    <w:rsid w:val="089B216C"/>
    <w:rsid w:val="089E2E5D"/>
    <w:rsid w:val="08A25FF9"/>
    <w:rsid w:val="08D611DD"/>
    <w:rsid w:val="08D67052"/>
    <w:rsid w:val="08D9482C"/>
    <w:rsid w:val="08DF3D86"/>
    <w:rsid w:val="08E1469A"/>
    <w:rsid w:val="08E37B4B"/>
    <w:rsid w:val="08EA7362"/>
    <w:rsid w:val="09075A53"/>
    <w:rsid w:val="091B514F"/>
    <w:rsid w:val="09331037"/>
    <w:rsid w:val="09580CD5"/>
    <w:rsid w:val="09654793"/>
    <w:rsid w:val="09812F4D"/>
    <w:rsid w:val="099336B0"/>
    <w:rsid w:val="09981FF0"/>
    <w:rsid w:val="09A96FFA"/>
    <w:rsid w:val="09AF1C11"/>
    <w:rsid w:val="09AF66F9"/>
    <w:rsid w:val="09CA4081"/>
    <w:rsid w:val="09CB3712"/>
    <w:rsid w:val="09F45FD8"/>
    <w:rsid w:val="0A0A12D9"/>
    <w:rsid w:val="0A0A7596"/>
    <w:rsid w:val="0A152311"/>
    <w:rsid w:val="0A330DCA"/>
    <w:rsid w:val="0A4F471E"/>
    <w:rsid w:val="0A5A68C7"/>
    <w:rsid w:val="0A636EFA"/>
    <w:rsid w:val="0A7C092D"/>
    <w:rsid w:val="0A8362CF"/>
    <w:rsid w:val="0A87565D"/>
    <w:rsid w:val="0A92645A"/>
    <w:rsid w:val="0AA10AD1"/>
    <w:rsid w:val="0AC64C05"/>
    <w:rsid w:val="0ACB31DC"/>
    <w:rsid w:val="0AF60FD2"/>
    <w:rsid w:val="0AF76376"/>
    <w:rsid w:val="0B1D42B0"/>
    <w:rsid w:val="0B38120E"/>
    <w:rsid w:val="0B5D195B"/>
    <w:rsid w:val="0B666A61"/>
    <w:rsid w:val="0B6F1D79"/>
    <w:rsid w:val="0B717BC8"/>
    <w:rsid w:val="0B8016B5"/>
    <w:rsid w:val="0B92390C"/>
    <w:rsid w:val="0BB377CC"/>
    <w:rsid w:val="0BB4630F"/>
    <w:rsid w:val="0BD47E6F"/>
    <w:rsid w:val="0C3B4206"/>
    <w:rsid w:val="0C4B036F"/>
    <w:rsid w:val="0C517711"/>
    <w:rsid w:val="0C555D02"/>
    <w:rsid w:val="0C5C1EF4"/>
    <w:rsid w:val="0C7613D7"/>
    <w:rsid w:val="0C921148"/>
    <w:rsid w:val="0CDE27B8"/>
    <w:rsid w:val="0D357CA3"/>
    <w:rsid w:val="0D404A68"/>
    <w:rsid w:val="0D4C39B2"/>
    <w:rsid w:val="0D55508E"/>
    <w:rsid w:val="0D6A30EF"/>
    <w:rsid w:val="0D933771"/>
    <w:rsid w:val="0DA33F9D"/>
    <w:rsid w:val="0DB14B9F"/>
    <w:rsid w:val="0DC33F6E"/>
    <w:rsid w:val="0DC81D2F"/>
    <w:rsid w:val="0DC940F3"/>
    <w:rsid w:val="0DD41AD5"/>
    <w:rsid w:val="0DD759F4"/>
    <w:rsid w:val="0E02742F"/>
    <w:rsid w:val="0E210DB4"/>
    <w:rsid w:val="0E547F9C"/>
    <w:rsid w:val="0E70252E"/>
    <w:rsid w:val="0E880155"/>
    <w:rsid w:val="0E882366"/>
    <w:rsid w:val="0E924011"/>
    <w:rsid w:val="0EB2020F"/>
    <w:rsid w:val="0EB61AAE"/>
    <w:rsid w:val="0ED67878"/>
    <w:rsid w:val="0EE4486D"/>
    <w:rsid w:val="0F000F7B"/>
    <w:rsid w:val="0F2A5FF8"/>
    <w:rsid w:val="0F4838E1"/>
    <w:rsid w:val="0F521A4C"/>
    <w:rsid w:val="0F593239"/>
    <w:rsid w:val="0F6558E1"/>
    <w:rsid w:val="0F6F18C9"/>
    <w:rsid w:val="0F910284"/>
    <w:rsid w:val="0F933B9D"/>
    <w:rsid w:val="0F9C52F8"/>
    <w:rsid w:val="0FC101EF"/>
    <w:rsid w:val="0FFF62CC"/>
    <w:rsid w:val="103B7CCB"/>
    <w:rsid w:val="10406802"/>
    <w:rsid w:val="10611392"/>
    <w:rsid w:val="10694C8E"/>
    <w:rsid w:val="10AC3791"/>
    <w:rsid w:val="10B96175"/>
    <w:rsid w:val="10BD35C7"/>
    <w:rsid w:val="10E36E09"/>
    <w:rsid w:val="10FD7E68"/>
    <w:rsid w:val="110C3C07"/>
    <w:rsid w:val="112927F0"/>
    <w:rsid w:val="113D64B6"/>
    <w:rsid w:val="114E1FA7"/>
    <w:rsid w:val="11632707"/>
    <w:rsid w:val="11A9641F"/>
    <w:rsid w:val="11E87475"/>
    <w:rsid w:val="11FF551A"/>
    <w:rsid w:val="1224113F"/>
    <w:rsid w:val="12241424"/>
    <w:rsid w:val="123847D2"/>
    <w:rsid w:val="12487ECE"/>
    <w:rsid w:val="125A0FB4"/>
    <w:rsid w:val="128B35FF"/>
    <w:rsid w:val="128F6F5E"/>
    <w:rsid w:val="129D43BC"/>
    <w:rsid w:val="12A07FC9"/>
    <w:rsid w:val="12CF4E4F"/>
    <w:rsid w:val="12FE0301"/>
    <w:rsid w:val="1316696E"/>
    <w:rsid w:val="132873D1"/>
    <w:rsid w:val="132A0CBC"/>
    <w:rsid w:val="13405356"/>
    <w:rsid w:val="13443932"/>
    <w:rsid w:val="135C7DC7"/>
    <w:rsid w:val="1362691C"/>
    <w:rsid w:val="13643AC4"/>
    <w:rsid w:val="136E6ED9"/>
    <w:rsid w:val="137A27C4"/>
    <w:rsid w:val="13A33C48"/>
    <w:rsid w:val="13A51CC5"/>
    <w:rsid w:val="13B13B7C"/>
    <w:rsid w:val="13D0615B"/>
    <w:rsid w:val="13EE1298"/>
    <w:rsid w:val="141D36AF"/>
    <w:rsid w:val="145F4142"/>
    <w:rsid w:val="14642F45"/>
    <w:rsid w:val="146D0E60"/>
    <w:rsid w:val="146D6400"/>
    <w:rsid w:val="148F633F"/>
    <w:rsid w:val="14A4637A"/>
    <w:rsid w:val="14CC63C7"/>
    <w:rsid w:val="14F0383F"/>
    <w:rsid w:val="14F4344C"/>
    <w:rsid w:val="150F2941"/>
    <w:rsid w:val="15366EA0"/>
    <w:rsid w:val="15386514"/>
    <w:rsid w:val="1548496F"/>
    <w:rsid w:val="154A7E87"/>
    <w:rsid w:val="155969A0"/>
    <w:rsid w:val="15B07C04"/>
    <w:rsid w:val="15C53946"/>
    <w:rsid w:val="15D13D22"/>
    <w:rsid w:val="15EF1E88"/>
    <w:rsid w:val="15FD7FC2"/>
    <w:rsid w:val="16005D04"/>
    <w:rsid w:val="16045B27"/>
    <w:rsid w:val="160550C9"/>
    <w:rsid w:val="161B48EC"/>
    <w:rsid w:val="16210154"/>
    <w:rsid w:val="16405699"/>
    <w:rsid w:val="164139FC"/>
    <w:rsid w:val="16453962"/>
    <w:rsid w:val="166C5148"/>
    <w:rsid w:val="16830681"/>
    <w:rsid w:val="168A5BF8"/>
    <w:rsid w:val="16BA6792"/>
    <w:rsid w:val="16C64A6B"/>
    <w:rsid w:val="16CE404C"/>
    <w:rsid w:val="16E02FB7"/>
    <w:rsid w:val="16E469DE"/>
    <w:rsid w:val="16F413FC"/>
    <w:rsid w:val="16F54B2D"/>
    <w:rsid w:val="170136FC"/>
    <w:rsid w:val="17343966"/>
    <w:rsid w:val="17434ECF"/>
    <w:rsid w:val="17805E3B"/>
    <w:rsid w:val="17842718"/>
    <w:rsid w:val="17A51112"/>
    <w:rsid w:val="17A70B2D"/>
    <w:rsid w:val="17B21DCB"/>
    <w:rsid w:val="17B2302E"/>
    <w:rsid w:val="17B736B1"/>
    <w:rsid w:val="17B84125"/>
    <w:rsid w:val="17CA43F9"/>
    <w:rsid w:val="17D02B9E"/>
    <w:rsid w:val="17DE1F7B"/>
    <w:rsid w:val="17EB3D68"/>
    <w:rsid w:val="17F50149"/>
    <w:rsid w:val="17FE0B8F"/>
    <w:rsid w:val="181D45F4"/>
    <w:rsid w:val="18324341"/>
    <w:rsid w:val="1867767C"/>
    <w:rsid w:val="18A56033"/>
    <w:rsid w:val="18A71443"/>
    <w:rsid w:val="18B07D0B"/>
    <w:rsid w:val="18FA6A3B"/>
    <w:rsid w:val="18FE29CF"/>
    <w:rsid w:val="19463714"/>
    <w:rsid w:val="19533DA4"/>
    <w:rsid w:val="198129D4"/>
    <w:rsid w:val="1990355E"/>
    <w:rsid w:val="199C0759"/>
    <w:rsid w:val="19A370D2"/>
    <w:rsid w:val="19B83939"/>
    <w:rsid w:val="19B9064A"/>
    <w:rsid w:val="19CE2B59"/>
    <w:rsid w:val="1A1A0090"/>
    <w:rsid w:val="1A301F5F"/>
    <w:rsid w:val="1A3B2AF0"/>
    <w:rsid w:val="1A5A3DEF"/>
    <w:rsid w:val="1A657C6D"/>
    <w:rsid w:val="1A663406"/>
    <w:rsid w:val="1AC954E4"/>
    <w:rsid w:val="1AD4512B"/>
    <w:rsid w:val="1ADF10FE"/>
    <w:rsid w:val="1AEE4DCF"/>
    <w:rsid w:val="1AF24BAD"/>
    <w:rsid w:val="1AF903A2"/>
    <w:rsid w:val="1AFC0E66"/>
    <w:rsid w:val="1B3D7FDF"/>
    <w:rsid w:val="1B4903A2"/>
    <w:rsid w:val="1B4C56F7"/>
    <w:rsid w:val="1B5927BC"/>
    <w:rsid w:val="1B5E1503"/>
    <w:rsid w:val="1B770817"/>
    <w:rsid w:val="1B8711E3"/>
    <w:rsid w:val="1B8A325B"/>
    <w:rsid w:val="1B8F758F"/>
    <w:rsid w:val="1B9405AB"/>
    <w:rsid w:val="1B9852A9"/>
    <w:rsid w:val="1BDA71D0"/>
    <w:rsid w:val="1C075F5D"/>
    <w:rsid w:val="1C0D3EAF"/>
    <w:rsid w:val="1C164C4B"/>
    <w:rsid w:val="1C18671C"/>
    <w:rsid w:val="1C1918CE"/>
    <w:rsid w:val="1C2431B3"/>
    <w:rsid w:val="1C2A5A2D"/>
    <w:rsid w:val="1C316C17"/>
    <w:rsid w:val="1C8F74B0"/>
    <w:rsid w:val="1CB61746"/>
    <w:rsid w:val="1CB82E95"/>
    <w:rsid w:val="1CDD1FA4"/>
    <w:rsid w:val="1CFC75AC"/>
    <w:rsid w:val="1D061E52"/>
    <w:rsid w:val="1D1E5C45"/>
    <w:rsid w:val="1D221E21"/>
    <w:rsid w:val="1D274825"/>
    <w:rsid w:val="1D2E61D3"/>
    <w:rsid w:val="1D306ECF"/>
    <w:rsid w:val="1D59141F"/>
    <w:rsid w:val="1D597759"/>
    <w:rsid w:val="1D705297"/>
    <w:rsid w:val="1D74500E"/>
    <w:rsid w:val="1D9A0C30"/>
    <w:rsid w:val="1DA73DBC"/>
    <w:rsid w:val="1DAE3AA1"/>
    <w:rsid w:val="1DC9132E"/>
    <w:rsid w:val="1DCB1B90"/>
    <w:rsid w:val="1DDA60E7"/>
    <w:rsid w:val="1E227B2A"/>
    <w:rsid w:val="1E3D270E"/>
    <w:rsid w:val="1E480531"/>
    <w:rsid w:val="1E505322"/>
    <w:rsid w:val="1E91495A"/>
    <w:rsid w:val="1EAC6A29"/>
    <w:rsid w:val="1EAE52F0"/>
    <w:rsid w:val="1EC2345A"/>
    <w:rsid w:val="1ED66200"/>
    <w:rsid w:val="1F020C41"/>
    <w:rsid w:val="1F1F1647"/>
    <w:rsid w:val="1F37222C"/>
    <w:rsid w:val="1F4E1E02"/>
    <w:rsid w:val="1F5A7E8B"/>
    <w:rsid w:val="1F6B0CE4"/>
    <w:rsid w:val="1F8B4967"/>
    <w:rsid w:val="1FAD2130"/>
    <w:rsid w:val="1FC80998"/>
    <w:rsid w:val="1FDC3F4F"/>
    <w:rsid w:val="1FE47C51"/>
    <w:rsid w:val="1FED44E2"/>
    <w:rsid w:val="20110608"/>
    <w:rsid w:val="2035761C"/>
    <w:rsid w:val="20563899"/>
    <w:rsid w:val="2060779B"/>
    <w:rsid w:val="20711CD8"/>
    <w:rsid w:val="207C2063"/>
    <w:rsid w:val="20B42A49"/>
    <w:rsid w:val="20C125FE"/>
    <w:rsid w:val="20DB1602"/>
    <w:rsid w:val="20E37F84"/>
    <w:rsid w:val="20F76CF2"/>
    <w:rsid w:val="210E58AE"/>
    <w:rsid w:val="211F4D25"/>
    <w:rsid w:val="212F279E"/>
    <w:rsid w:val="212F703F"/>
    <w:rsid w:val="215F7F35"/>
    <w:rsid w:val="216527C0"/>
    <w:rsid w:val="21892A8E"/>
    <w:rsid w:val="21C93DC0"/>
    <w:rsid w:val="21CD7BCA"/>
    <w:rsid w:val="221943D6"/>
    <w:rsid w:val="22263E2A"/>
    <w:rsid w:val="22504A84"/>
    <w:rsid w:val="225141ED"/>
    <w:rsid w:val="2277018B"/>
    <w:rsid w:val="22823719"/>
    <w:rsid w:val="22D2011B"/>
    <w:rsid w:val="22D203C7"/>
    <w:rsid w:val="22E61C01"/>
    <w:rsid w:val="22F47531"/>
    <w:rsid w:val="23232B2D"/>
    <w:rsid w:val="232410A6"/>
    <w:rsid w:val="23347540"/>
    <w:rsid w:val="233774DA"/>
    <w:rsid w:val="234B5430"/>
    <w:rsid w:val="235C2A1B"/>
    <w:rsid w:val="23B708EE"/>
    <w:rsid w:val="23DF57AE"/>
    <w:rsid w:val="23E67B58"/>
    <w:rsid w:val="23F351BD"/>
    <w:rsid w:val="240B4692"/>
    <w:rsid w:val="241A2229"/>
    <w:rsid w:val="243A55A9"/>
    <w:rsid w:val="244D480A"/>
    <w:rsid w:val="24602324"/>
    <w:rsid w:val="24637B8A"/>
    <w:rsid w:val="246762B0"/>
    <w:rsid w:val="24840EF0"/>
    <w:rsid w:val="24876A43"/>
    <w:rsid w:val="2488596C"/>
    <w:rsid w:val="248D6D09"/>
    <w:rsid w:val="248E4DCE"/>
    <w:rsid w:val="248F6BD1"/>
    <w:rsid w:val="24993BB4"/>
    <w:rsid w:val="249D2051"/>
    <w:rsid w:val="24A14412"/>
    <w:rsid w:val="24C543C1"/>
    <w:rsid w:val="24E50894"/>
    <w:rsid w:val="24F643FC"/>
    <w:rsid w:val="24FB5A31"/>
    <w:rsid w:val="25036C42"/>
    <w:rsid w:val="252217F3"/>
    <w:rsid w:val="252F58D4"/>
    <w:rsid w:val="25324530"/>
    <w:rsid w:val="25335F8E"/>
    <w:rsid w:val="255A4217"/>
    <w:rsid w:val="257C22E0"/>
    <w:rsid w:val="259A75DB"/>
    <w:rsid w:val="259D3E73"/>
    <w:rsid w:val="25A601BF"/>
    <w:rsid w:val="25A95A70"/>
    <w:rsid w:val="25CF4697"/>
    <w:rsid w:val="25D20B7A"/>
    <w:rsid w:val="25D3404A"/>
    <w:rsid w:val="25D5682F"/>
    <w:rsid w:val="25D93016"/>
    <w:rsid w:val="25E1143B"/>
    <w:rsid w:val="25EE7927"/>
    <w:rsid w:val="25F62CC2"/>
    <w:rsid w:val="25FF2B7F"/>
    <w:rsid w:val="2610789E"/>
    <w:rsid w:val="263A35EE"/>
    <w:rsid w:val="26420D15"/>
    <w:rsid w:val="26524F0B"/>
    <w:rsid w:val="26654D7A"/>
    <w:rsid w:val="26660F79"/>
    <w:rsid w:val="268E70C3"/>
    <w:rsid w:val="26BB6460"/>
    <w:rsid w:val="26C31AC6"/>
    <w:rsid w:val="26CE3700"/>
    <w:rsid w:val="26CF59AB"/>
    <w:rsid w:val="26EC03CC"/>
    <w:rsid w:val="270337B1"/>
    <w:rsid w:val="272524D7"/>
    <w:rsid w:val="27333DFF"/>
    <w:rsid w:val="27392E24"/>
    <w:rsid w:val="273C2EE6"/>
    <w:rsid w:val="27405259"/>
    <w:rsid w:val="2751223D"/>
    <w:rsid w:val="27856B06"/>
    <w:rsid w:val="2786250D"/>
    <w:rsid w:val="278937F4"/>
    <w:rsid w:val="279058FD"/>
    <w:rsid w:val="2794633F"/>
    <w:rsid w:val="27992E60"/>
    <w:rsid w:val="279A0E7D"/>
    <w:rsid w:val="27A037F9"/>
    <w:rsid w:val="27AB7A4E"/>
    <w:rsid w:val="27C808CF"/>
    <w:rsid w:val="27EE163A"/>
    <w:rsid w:val="28042538"/>
    <w:rsid w:val="280C2212"/>
    <w:rsid w:val="280D678A"/>
    <w:rsid w:val="2814396F"/>
    <w:rsid w:val="2815563F"/>
    <w:rsid w:val="283A6B09"/>
    <w:rsid w:val="284E71B2"/>
    <w:rsid w:val="285640EB"/>
    <w:rsid w:val="285D2B42"/>
    <w:rsid w:val="288E455E"/>
    <w:rsid w:val="28A075FF"/>
    <w:rsid w:val="28C536C0"/>
    <w:rsid w:val="28D64267"/>
    <w:rsid w:val="28D7787A"/>
    <w:rsid w:val="28E6165B"/>
    <w:rsid w:val="28E76FDC"/>
    <w:rsid w:val="291835DD"/>
    <w:rsid w:val="29214016"/>
    <w:rsid w:val="292627E9"/>
    <w:rsid w:val="292A6B2B"/>
    <w:rsid w:val="29310257"/>
    <w:rsid w:val="29375CEB"/>
    <w:rsid w:val="293B10D5"/>
    <w:rsid w:val="294066EC"/>
    <w:rsid w:val="29565008"/>
    <w:rsid w:val="29714639"/>
    <w:rsid w:val="29823491"/>
    <w:rsid w:val="298827EE"/>
    <w:rsid w:val="29D35FD2"/>
    <w:rsid w:val="29D6541E"/>
    <w:rsid w:val="29DA3610"/>
    <w:rsid w:val="29E320AA"/>
    <w:rsid w:val="29E81E81"/>
    <w:rsid w:val="29E95E43"/>
    <w:rsid w:val="29EF1EF3"/>
    <w:rsid w:val="2A07087A"/>
    <w:rsid w:val="2A0C4545"/>
    <w:rsid w:val="2A19409E"/>
    <w:rsid w:val="2A1A53A7"/>
    <w:rsid w:val="2A223A3E"/>
    <w:rsid w:val="2A4449F5"/>
    <w:rsid w:val="2A6A76DB"/>
    <w:rsid w:val="2A6C52BE"/>
    <w:rsid w:val="2A7811F7"/>
    <w:rsid w:val="2A7F0A79"/>
    <w:rsid w:val="2A9C5BA4"/>
    <w:rsid w:val="2AB231CB"/>
    <w:rsid w:val="2AC57D40"/>
    <w:rsid w:val="2AC86999"/>
    <w:rsid w:val="2B0F281A"/>
    <w:rsid w:val="2B1862B4"/>
    <w:rsid w:val="2B351FF1"/>
    <w:rsid w:val="2B491FE1"/>
    <w:rsid w:val="2B5D17D7"/>
    <w:rsid w:val="2B643A4A"/>
    <w:rsid w:val="2B792DE6"/>
    <w:rsid w:val="2B974C47"/>
    <w:rsid w:val="2BA36BB8"/>
    <w:rsid w:val="2BA927B7"/>
    <w:rsid w:val="2BD86485"/>
    <w:rsid w:val="2BE44FEB"/>
    <w:rsid w:val="2BF3473C"/>
    <w:rsid w:val="2C025787"/>
    <w:rsid w:val="2C0348D8"/>
    <w:rsid w:val="2C0C0F54"/>
    <w:rsid w:val="2C271604"/>
    <w:rsid w:val="2C5569DF"/>
    <w:rsid w:val="2C5A2B3F"/>
    <w:rsid w:val="2C757574"/>
    <w:rsid w:val="2C805346"/>
    <w:rsid w:val="2CA824E3"/>
    <w:rsid w:val="2CC7433D"/>
    <w:rsid w:val="2CC8377F"/>
    <w:rsid w:val="2CD049DA"/>
    <w:rsid w:val="2CD21C92"/>
    <w:rsid w:val="2CF9108B"/>
    <w:rsid w:val="2D026EC5"/>
    <w:rsid w:val="2D0A7975"/>
    <w:rsid w:val="2D1741FA"/>
    <w:rsid w:val="2D1E6C41"/>
    <w:rsid w:val="2D285E15"/>
    <w:rsid w:val="2D286470"/>
    <w:rsid w:val="2D4615F9"/>
    <w:rsid w:val="2D742E08"/>
    <w:rsid w:val="2D9301D6"/>
    <w:rsid w:val="2D941796"/>
    <w:rsid w:val="2DA05899"/>
    <w:rsid w:val="2DB17BB8"/>
    <w:rsid w:val="2DBE1984"/>
    <w:rsid w:val="2DD83397"/>
    <w:rsid w:val="2DEC3781"/>
    <w:rsid w:val="2E020414"/>
    <w:rsid w:val="2E291E44"/>
    <w:rsid w:val="2E313734"/>
    <w:rsid w:val="2E4D2EE9"/>
    <w:rsid w:val="2E543552"/>
    <w:rsid w:val="2E70635A"/>
    <w:rsid w:val="2E7256E4"/>
    <w:rsid w:val="2E754F71"/>
    <w:rsid w:val="2E844C27"/>
    <w:rsid w:val="2E90573F"/>
    <w:rsid w:val="2E9279E9"/>
    <w:rsid w:val="2EA86897"/>
    <w:rsid w:val="2EB9692C"/>
    <w:rsid w:val="2EE922E4"/>
    <w:rsid w:val="2F06561F"/>
    <w:rsid w:val="2F0A7C8C"/>
    <w:rsid w:val="2F20265F"/>
    <w:rsid w:val="2F2820FC"/>
    <w:rsid w:val="2F285C58"/>
    <w:rsid w:val="2F3436AE"/>
    <w:rsid w:val="2F3B7993"/>
    <w:rsid w:val="2F3E6F8A"/>
    <w:rsid w:val="2F756F35"/>
    <w:rsid w:val="2F961AA2"/>
    <w:rsid w:val="2FD73064"/>
    <w:rsid w:val="2FE95EC9"/>
    <w:rsid w:val="302F08F7"/>
    <w:rsid w:val="30340007"/>
    <w:rsid w:val="3078702D"/>
    <w:rsid w:val="307A685F"/>
    <w:rsid w:val="307D6477"/>
    <w:rsid w:val="30934FB5"/>
    <w:rsid w:val="30A01083"/>
    <w:rsid w:val="30A752A2"/>
    <w:rsid w:val="30A9692D"/>
    <w:rsid w:val="30B70C56"/>
    <w:rsid w:val="30C25A54"/>
    <w:rsid w:val="30C3032E"/>
    <w:rsid w:val="30C51B92"/>
    <w:rsid w:val="31093B9F"/>
    <w:rsid w:val="31096094"/>
    <w:rsid w:val="311807C7"/>
    <w:rsid w:val="31190ACD"/>
    <w:rsid w:val="311968F7"/>
    <w:rsid w:val="311F308B"/>
    <w:rsid w:val="311F3919"/>
    <w:rsid w:val="313221AD"/>
    <w:rsid w:val="313E1763"/>
    <w:rsid w:val="313E5176"/>
    <w:rsid w:val="31522AEA"/>
    <w:rsid w:val="315C47F1"/>
    <w:rsid w:val="317A153E"/>
    <w:rsid w:val="31825DC0"/>
    <w:rsid w:val="319121DA"/>
    <w:rsid w:val="31B656DD"/>
    <w:rsid w:val="31CE7167"/>
    <w:rsid w:val="31DC2ED2"/>
    <w:rsid w:val="31DD71CE"/>
    <w:rsid w:val="320162F9"/>
    <w:rsid w:val="32097509"/>
    <w:rsid w:val="321264C9"/>
    <w:rsid w:val="3215472D"/>
    <w:rsid w:val="32185E38"/>
    <w:rsid w:val="321E3012"/>
    <w:rsid w:val="324A05DB"/>
    <w:rsid w:val="3257514F"/>
    <w:rsid w:val="325C63C7"/>
    <w:rsid w:val="327A0EC0"/>
    <w:rsid w:val="32BA306B"/>
    <w:rsid w:val="32CF6916"/>
    <w:rsid w:val="32D4250E"/>
    <w:rsid w:val="32D8090C"/>
    <w:rsid w:val="32E11FEC"/>
    <w:rsid w:val="32E321DD"/>
    <w:rsid w:val="32EF7B75"/>
    <w:rsid w:val="33305A23"/>
    <w:rsid w:val="33367C13"/>
    <w:rsid w:val="333A2E3D"/>
    <w:rsid w:val="334A547D"/>
    <w:rsid w:val="334D6658"/>
    <w:rsid w:val="334E0556"/>
    <w:rsid w:val="337049AD"/>
    <w:rsid w:val="33713485"/>
    <w:rsid w:val="33997124"/>
    <w:rsid w:val="33B74A6B"/>
    <w:rsid w:val="33BC47DA"/>
    <w:rsid w:val="33CA17CC"/>
    <w:rsid w:val="33D4374A"/>
    <w:rsid w:val="33E72BDD"/>
    <w:rsid w:val="34235597"/>
    <w:rsid w:val="34632250"/>
    <w:rsid w:val="34753F7E"/>
    <w:rsid w:val="34A97988"/>
    <w:rsid w:val="34E2275F"/>
    <w:rsid w:val="34E645EB"/>
    <w:rsid w:val="34F15BCD"/>
    <w:rsid w:val="34F51C8B"/>
    <w:rsid w:val="34FD1C7E"/>
    <w:rsid w:val="350D1D4E"/>
    <w:rsid w:val="352259EE"/>
    <w:rsid w:val="353B08D6"/>
    <w:rsid w:val="353F06C4"/>
    <w:rsid w:val="354172A9"/>
    <w:rsid w:val="35482318"/>
    <w:rsid w:val="356C0C5D"/>
    <w:rsid w:val="357779AA"/>
    <w:rsid w:val="357E7FE7"/>
    <w:rsid w:val="358C4E25"/>
    <w:rsid w:val="35952708"/>
    <w:rsid w:val="35AB1E03"/>
    <w:rsid w:val="35BC2938"/>
    <w:rsid w:val="35F5121D"/>
    <w:rsid w:val="35FA1366"/>
    <w:rsid w:val="35FF472B"/>
    <w:rsid w:val="360D23FE"/>
    <w:rsid w:val="36105698"/>
    <w:rsid w:val="36113044"/>
    <w:rsid w:val="361515AF"/>
    <w:rsid w:val="361618DA"/>
    <w:rsid w:val="361B4D83"/>
    <w:rsid w:val="362B7BE4"/>
    <w:rsid w:val="363377EA"/>
    <w:rsid w:val="367C0076"/>
    <w:rsid w:val="368E4F3A"/>
    <w:rsid w:val="36AA4C91"/>
    <w:rsid w:val="36B00545"/>
    <w:rsid w:val="36BB7C5E"/>
    <w:rsid w:val="36C51C5F"/>
    <w:rsid w:val="36CF279A"/>
    <w:rsid w:val="36DD42E6"/>
    <w:rsid w:val="36EF52AD"/>
    <w:rsid w:val="37161AB6"/>
    <w:rsid w:val="37172028"/>
    <w:rsid w:val="37174B90"/>
    <w:rsid w:val="37275D88"/>
    <w:rsid w:val="374D3DCD"/>
    <w:rsid w:val="375D5FA6"/>
    <w:rsid w:val="378118EA"/>
    <w:rsid w:val="37817D86"/>
    <w:rsid w:val="37996423"/>
    <w:rsid w:val="37A02B15"/>
    <w:rsid w:val="37A662B4"/>
    <w:rsid w:val="37AB3120"/>
    <w:rsid w:val="37CB0036"/>
    <w:rsid w:val="37FA6822"/>
    <w:rsid w:val="381532D1"/>
    <w:rsid w:val="381C6172"/>
    <w:rsid w:val="381D6436"/>
    <w:rsid w:val="382628F2"/>
    <w:rsid w:val="382B0F00"/>
    <w:rsid w:val="383C4EAE"/>
    <w:rsid w:val="38415A34"/>
    <w:rsid w:val="384358B1"/>
    <w:rsid w:val="384C0B1E"/>
    <w:rsid w:val="384D07CF"/>
    <w:rsid w:val="385334AA"/>
    <w:rsid w:val="385F4328"/>
    <w:rsid w:val="386A1350"/>
    <w:rsid w:val="38754D19"/>
    <w:rsid w:val="387A57B2"/>
    <w:rsid w:val="387D0D44"/>
    <w:rsid w:val="38AB5592"/>
    <w:rsid w:val="38CC77A0"/>
    <w:rsid w:val="39475D07"/>
    <w:rsid w:val="39593F0D"/>
    <w:rsid w:val="395A5325"/>
    <w:rsid w:val="3976659A"/>
    <w:rsid w:val="398D4134"/>
    <w:rsid w:val="3990384D"/>
    <w:rsid w:val="39944B91"/>
    <w:rsid w:val="39AB7A8F"/>
    <w:rsid w:val="39B5302E"/>
    <w:rsid w:val="39C66DF2"/>
    <w:rsid w:val="39E74AFE"/>
    <w:rsid w:val="3A096920"/>
    <w:rsid w:val="3A1A39E2"/>
    <w:rsid w:val="3A240D62"/>
    <w:rsid w:val="3A454AEE"/>
    <w:rsid w:val="3A5C534F"/>
    <w:rsid w:val="3A6164A0"/>
    <w:rsid w:val="3A6F463D"/>
    <w:rsid w:val="3A712118"/>
    <w:rsid w:val="3A7E6928"/>
    <w:rsid w:val="3A96260F"/>
    <w:rsid w:val="3AC511A1"/>
    <w:rsid w:val="3ACC042A"/>
    <w:rsid w:val="3AD43138"/>
    <w:rsid w:val="3AD43689"/>
    <w:rsid w:val="3AED5FA8"/>
    <w:rsid w:val="3AF11EF8"/>
    <w:rsid w:val="3B1123CC"/>
    <w:rsid w:val="3B201ED9"/>
    <w:rsid w:val="3B242B7F"/>
    <w:rsid w:val="3B4249B9"/>
    <w:rsid w:val="3BBB4FDD"/>
    <w:rsid w:val="3BBB7E54"/>
    <w:rsid w:val="3BF27D19"/>
    <w:rsid w:val="3C153A08"/>
    <w:rsid w:val="3C251135"/>
    <w:rsid w:val="3C592773"/>
    <w:rsid w:val="3C5F6B62"/>
    <w:rsid w:val="3C75673F"/>
    <w:rsid w:val="3C7A7C8B"/>
    <w:rsid w:val="3CA54D50"/>
    <w:rsid w:val="3CC467E5"/>
    <w:rsid w:val="3CC601CB"/>
    <w:rsid w:val="3CCB5D50"/>
    <w:rsid w:val="3CD10B7B"/>
    <w:rsid w:val="3CE26EC2"/>
    <w:rsid w:val="3CF81B37"/>
    <w:rsid w:val="3D031AB2"/>
    <w:rsid w:val="3D193A7A"/>
    <w:rsid w:val="3D1B0EB9"/>
    <w:rsid w:val="3D3876E8"/>
    <w:rsid w:val="3D3E1DDD"/>
    <w:rsid w:val="3D420A04"/>
    <w:rsid w:val="3D502FFC"/>
    <w:rsid w:val="3D5268AA"/>
    <w:rsid w:val="3D577CBC"/>
    <w:rsid w:val="3D6649FF"/>
    <w:rsid w:val="3D6A6F06"/>
    <w:rsid w:val="3DB80AEF"/>
    <w:rsid w:val="3DBC449B"/>
    <w:rsid w:val="3DBE5A3F"/>
    <w:rsid w:val="3DBF1E7D"/>
    <w:rsid w:val="3DDA5794"/>
    <w:rsid w:val="3DF81922"/>
    <w:rsid w:val="3E174EC3"/>
    <w:rsid w:val="3E421531"/>
    <w:rsid w:val="3E625F01"/>
    <w:rsid w:val="3E6B3DB3"/>
    <w:rsid w:val="3E8054C5"/>
    <w:rsid w:val="3E946E66"/>
    <w:rsid w:val="3EC3774B"/>
    <w:rsid w:val="3EC60FE9"/>
    <w:rsid w:val="3ECC48C2"/>
    <w:rsid w:val="3EF4422E"/>
    <w:rsid w:val="3F070815"/>
    <w:rsid w:val="3F0C1A64"/>
    <w:rsid w:val="3F16625D"/>
    <w:rsid w:val="3F2542DB"/>
    <w:rsid w:val="3F312907"/>
    <w:rsid w:val="3F3E5A91"/>
    <w:rsid w:val="3F6B601D"/>
    <w:rsid w:val="3F6F04EB"/>
    <w:rsid w:val="3F7444AA"/>
    <w:rsid w:val="3F7A64EB"/>
    <w:rsid w:val="3F8F17B0"/>
    <w:rsid w:val="3FAE3489"/>
    <w:rsid w:val="3FB452E6"/>
    <w:rsid w:val="3FD14D83"/>
    <w:rsid w:val="3FE0423D"/>
    <w:rsid w:val="3FE34482"/>
    <w:rsid w:val="3FE95549"/>
    <w:rsid w:val="400670CB"/>
    <w:rsid w:val="402700DD"/>
    <w:rsid w:val="40491ED2"/>
    <w:rsid w:val="40547F05"/>
    <w:rsid w:val="405C467E"/>
    <w:rsid w:val="406E5DB0"/>
    <w:rsid w:val="40903C4C"/>
    <w:rsid w:val="40936E75"/>
    <w:rsid w:val="409E73A7"/>
    <w:rsid w:val="40BA61E5"/>
    <w:rsid w:val="40CA30C4"/>
    <w:rsid w:val="40CD3961"/>
    <w:rsid w:val="40D808BE"/>
    <w:rsid w:val="40D91D7B"/>
    <w:rsid w:val="40F12DA5"/>
    <w:rsid w:val="410C5ECA"/>
    <w:rsid w:val="412E4C40"/>
    <w:rsid w:val="4136731B"/>
    <w:rsid w:val="41616BD4"/>
    <w:rsid w:val="4162149D"/>
    <w:rsid w:val="41664660"/>
    <w:rsid w:val="4175243E"/>
    <w:rsid w:val="41872CB2"/>
    <w:rsid w:val="41AC0B23"/>
    <w:rsid w:val="41B16B29"/>
    <w:rsid w:val="41B22101"/>
    <w:rsid w:val="41F50F36"/>
    <w:rsid w:val="42091FB6"/>
    <w:rsid w:val="42116A20"/>
    <w:rsid w:val="42281967"/>
    <w:rsid w:val="42415557"/>
    <w:rsid w:val="42456961"/>
    <w:rsid w:val="42461AD9"/>
    <w:rsid w:val="425E589B"/>
    <w:rsid w:val="42772D26"/>
    <w:rsid w:val="4277583B"/>
    <w:rsid w:val="429A2FD3"/>
    <w:rsid w:val="429F5722"/>
    <w:rsid w:val="42B86F5D"/>
    <w:rsid w:val="42BD6F18"/>
    <w:rsid w:val="42CB7090"/>
    <w:rsid w:val="42E57F38"/>
    <w:rsid w:val="42F12B1B"/>
    <w:rsid w:val="43505326"/>
    <w:rsid w:val="43611ED9"/>
    <w:rsid w:val="43865B08"/>
    <w:rsid w:val="43A25373"/>
    <w:rsid w:val="43AF4742"/>
    <w:rsid w:val="43C72D21"/>
    <w:rsid w:val="44361F41"/>
    <w:rsid w:val="44493ACA"/>
    <w:rsid w:val="444C0567"/>
    <w:rsid w:val="4476700E"/>
    <w:rsid w:val="44801D0D"/>
    <w:rsid w:val="44AC31FF"/>
    <w:rsid w:val="44B47B0A"/>
    <w:rsid w:val="44CA41A5"/>
    <w:rsid w:val="44D97CC8"/>
    <w:rsid w:val="44E056A3"/>
    <w:rsid w:val="4506587D"/>
    <w:rsid w:val="450F4A95"/>
    <w:rsid w:val="4517434D"/>
    <w:rsid w:val="451B0EA1"/>
    <w:rsid w:val="451B1BAD"/>
    <w:rsid w:val="453E0023"/>
    <w:rsid w:val="4559015B"/>
    <w:rsid w:val="456D3E09"/>
    <w:rsid w:val="458635A7"/>
    <w:rsid w:val="45874347"/>
    <w:rsid w:val="45921C25"/>
    <w:rsid w:val="45950911"/>
    <w:rsid w:val="45A42F6E"/>
    <w:rsid w:val="46205483"/>
    <w:rsid w:val="46332E6A"/>
    <w:rsid w:val="46511F23"/>
    <w:rsid w:val="46533091"/>
    <w:rsid w:val="4670055E"/>
    <w:rsid w:val="46775A91"/>
    <w:rsid w:val="467E52F8"/>
    <w:rsid w:val="4698326B"/>
    <w:rsid w:val="46AC6D17"/>
    <w:rsid w:val="46B53E1D"/>
    <w:rsid w:val="4706199C"/>
    <w:rsid w:val="470A0A25"/>
    <w:rsid w:val="471050E8"/>
    <w:rsid w:val="472E1EAA"/>
    <w:rsid w:val="47307948"/>
    <w:rsid w:val="473716BC"/>
    <w:rsid w:val="47536EB2"/>
    <w:rsid w:val="47574C62"/>
    <w:rsid w:val="475F0927"/>
    <w:rsid w:val="476365DE"/>
    <w:rsid w:val="47662D9E"/>
    <w:rsid w:val="47AE2EFB"/>
    <w:rsid w:val="47B93AA0"/>
    <w:rsid w:val="47BE6D02"/>
    <w:rsid w:val="47CB19CA"/>
    <w:rsid w:val="47D96D2D"/>
    <w:rsid w:val="47F96523"/>
    <w:rsid w:val="480E17B4"/>
    <w:rsid w:val="482573B4"/>
    <w:rsid w:val="483759B6"/>
    <w:rsid w:val="484B6B98"/>
    <w:rsid w:val="48624793"/>
    <w:rsid w:val="486828B7"/>
    <w:rsid w:val="4897682B"/>
    <w:rsid w:val="48AE237C"/>
    <w:rsid w:val="48C47089"/>
    <w:rsid w:val="48C554C9"/>
    <w:rsid w:val="48DB38F5"/>
    <w:rsid w:val="48DF5182"/>
    <w:rsid w:val="490C04DE"/>
    <w:rsid w:val="4918196D"/>
    <w:rsid w:val="493019BF"/>
    <w:rsid w:val="49417BEA"/>
    <w:rsid w:val="4953551A"/>
    <w:rsid w:val="495A5459"/>
    <w:rsid w:val="49701AE3"/>
    <w:rsid w:val="49715AC0"/>
    <w:rsid w:val="497C1D54"/>
    <w:rsid w:val="498A0EAA"/>
    <w:rsid w:val="49A27CCC"/>
    <w:rsid w:val="49BB739A"/>
    <w:rsid w:val="49CB1BAA"/>
    <w:rsid w:val="49D266B9"/>
    <w:rsid w:val="49D40682"/>
    <w:rsid w:val="49E31C02"/>
    <w:rsid w:val="49E8337F"/>
    <w:rsid w:val="49EC5CCB"/>
    <w:rsid w:val="49F569FB"/>
    <w:rsid w:val="4A174DEF"/>
    <w:rsid w:val="4A3B1463"/>
    <w:rsid w:val="4A404346"/>
    <w:rsid w:val="4A5E6EB3"/>
    <w:rsid w:val="4A6931F1"/>
    <w:rsid w:val="4A78588E"/>
    <w:rsid w:val="4A8F0528"/>
    <w:rsid w:val="4A923BAA"/>
    <w:rsid w:val="4A9B3185"/>
    <w:rsid w:val="4AA30431"/>
    <w:rsid w:val="4AAA4495"/>
    <w:rsid w:val="4AE262F1"/>
    <w:rsid w:val="4AFF3FA4"/>
    <w:rsid w:val="4B0237E2"/>
    <w:rsid w:val="4B1E4AC4"/>
    <w:rsid w:val="4B1F2500"/>
    <w:rsid w:val="4B225CD9"/>
    <w:rsid w:val="4B9D30D2"/>
    <w:rsid w:val="4BB019F5"/>
    <w:rsid w:val="4BBD5522"/>
    <w:rsid w:val="4BC74D44"/>
    <w:rsid w:val="4BE203D9"/>
    <w:rsid w:val="4BF47877"/>
    <w:rsid w:val="4BF74FA1"/>
    <w:rsid w:val="4C0C0983"/>
    <w:rsid w:val="4C6A38FC"/>
    <w:rsid w:val="4C76404F"/>
    <w:rsid w:val="4C7C26A9"/>
    <w:rsid w:val="4C833733"/>
    <w:rsid w:val="4C8814D1"/>
    <w:rsid w:val="4C9509F5"/>
    <w:rsid w:val="4CE013F4"/>
    <w:rsid w:val="4CF27858"/>
    <w:rsid w:val="4CFC1A9D"/>
    <w:rsid w:val="4D160F70"/>
    <w:rsid w:val="4D177792"/>
    <w:rsid w:val="4D1D34E8"/>
    <w:rsid w:val="4D41311B"/>
    <w:rsid w:val="4D5C5BEA"/>
    <w:rsid w:val="4D5D6998"/>
    <w:rsid w:val="4D7F702D"/>
    <w:rsid w:val="4D881488"/>
    <w:rsid w:val="4DA665C5"/>
    <w:rsid w:val="4DA92205"/>
    <w:rsid w:val="4DC3327C"/>
    <w:rsid w:val="4DE6351B"/>
    <w:rsid w:val="4DE913C7"/>
    <w:rsid w:val="4DF01BDF"/>
    <w:rsid w:val="4DFB3D4C"/>
    <w:rsid w:val="4DFF1E22"/>
    <w:rsid w:val="4E1D0A71"/>
    <w:rsid w:val="4E696A27"/>
    <w:rsid w:val="4E7740AE"/>
    <w:rsid w:val="4E7F64CC"/>
    <w:rsid w:val="4E802F63"/>
    <w:rsid w:val="4EAA7868"/>
    <w:rsid w:val="4ED955AF"/>
    <w:rsid w:val="4EF474AD"/>
    <w:rsid w:val="4EF72911"/>
    <w:rsid w:val="4F18319B"/>
    <w:rsid w:val="4F2B11B8"/>
    <w:rsid w:val="4F4E3061"/>
    <w:rsid w:val="4F673E76"/>
    <w:rsid w:val="4F6B31AC"/>
    <w:rsid w:val="4F8D1DDB"/>
    <w:rsid w:val="4FA25ECB"/>
    <w:rsid w:val="4FDD5303"/>
    <w:rsid w:val="4FE74261"/>
    <w:rsid w:val="4FF82FCD"/>
    <w:rsid w:val="4FF97471"/>
    <w:rsid w:val="5012426B"/>
    <w:rsid w:val="502446A6"/>
    <w:rsid w:val="508B2B3D"/>
    <w:rsid w:val="508D5E0B"/>
    <w:rsid w:val="50952F67"/>
    <w:rsid w:val="50C01E74"/>
    <w:rsid w:val="50C17863"/>
    <w:rsid w:val="50DB4CB5"/>
    <w:rsid w:val="50E0418D"/>
    <w:rsid w:val="50EB1E21"/>
    <w:rsid w:val="50EC788D"/>
    <w:rsid w:val="510E28ED"/>
    <w:rsid w:val="51124957"/>
    <w:rsid w:val="511D4C2B"/>
    <w:rsid w:val="51287594"/>
    <w:rsid w:val="512B1415"/>
    <w:rsid w:val="512E5737"/>
    <w:rsid w:val="51542A08"/>
    <w:rsid w:val="5164007B"/>
    <w:rsid w:val="51707292"/>
    <w:rsid w:val="51730B5D"/>
    <w:rsid w:val="51875EE4"/>
    <w:rsid w:val="51910D87"/>
    <w:rsid w:val="519B00B4"/>
    <w:rsid w:val="51A12521"/>
    <w:rsid w:val="51A63DC1"/>
    <w:rsid w:val="51B82603"/>
    <w:rsid w:val="51B85D8F"/>
    <w:rsid w:val="52063F26"/>
    <w:rsid w:val="52072E18"/>
    <w:rsid w:val="521C733B"/>
    <w:rsid w:val="52214A5D"/>
    <w:rsid w:val="52216A68"/>
    <w:rsid w:val="52226E61"/>
    <w:rsid w:val="52232583"/>
    <w:rsid w:val="524339BD"/>
    <w:rsid w:val="525E5BEE"/>
    <w:rsid w:val="527A416D"/>
    <w:rsid w:val="527E6986"/>
    <w:rsid w:val="528409C9"/>
    <w:rsid w:val="528A0145"/>
    <w:rsid w:val="529053E3"/>
    <w:rsid w:val="529D6135"/>
    <w:rsid w:val="52A23107"/>
    <w:rsid w:val="52B23125"/>
    <w:rsid w:val="52D70DA4"/>
    <w:rsid w:val="52D916B6"/>
    <w:rsid w:val="52FF3756"/>
    <w:rsid w:val="53316F22"/>
    <w:rsid w:val="53372B46"/>
    <w:rsid w:val="5348103D"/>
    <w:rsid w:val="535248BD"/>
    <w:rsid w:val="53A82D87"/>
    <w:rsid w:val="53DF3567"/>
    <w:rsid w:val="53FD1C59"/>
    <w:rsid w:val="540D5111"/>
    <w:rsid w:val="54132B5C"/>
    <w:rsid w:val="5417524C"/>
    <w:rsid w:val="5417743E"/>
    <w:rsid w:val="542579E2"/>
    <w:rsid w:val="54275582"/>
    <w:rsid w:val="54352307"/>
    <w:rsid w:val="543B6B00"/>
    <w:rsid w:val="543D1071"/>
    <w:rsid w:val="548412D3"/>
    <w:rsid w:val="549436E6"/>
    <w:rsid w:val="54A11E85"/>
    <w:rsid w:val="54B90F7D"/>
    <w:rsid w:val="54C526F8"/>
    <w:rsid w:val="54CA676B"/>
    <w:rsid w:val="54D124B5"/>
    <w:rsid w:val="54FC7658"/>
    <w:rsid w:val="55087255"/>
    <w:rsid w:val="55175745"/>
    <w:rsid w:val="5535736D"/>
    <w:rsid w:val="553A028A"/>
    <w:rsid w:val="556E764D"/>
    <w:rsid w:val="557913D0"/>
    <w:rsid w:val="558868BF"/>
    <w:rsid w:val="55A21A11"/>
    <w:rsid w:val="55BB246A"/>
    <w:rsid w:val="55CF657E"/>
    <w:rsid w:val="56243888"/>
    <w:rsid w:val="564B32F4"/>
    <w:rsid w:val="56517F37"/>
    <w:rsid w:val="566C201F"/>
    <w:rsid w:val="567333AD"/>
    <w:rsid w:val="56757125"/>
    <w:rsid w:val="56903053"/>
    <w:rsid w:val="56995020"/>
    <w:rsid w:val="56996534"/>
    <w:rsid w:val="56B95056"/>
    <w:rsid w:val="56BC545A"/>
    <w:rsid w:val="56C36B42"/>
    <w:rsid w:val="56D25F88"/>
    <w:rsid w:val="57532BEE"/>
    <w:rsid w:val="575A7EE6"/>
    <w:rsid w:val="577E602D"/>
    <w:rsid w:val="57831D16"/>
    <w:rsid w:val="57881AB5"/>
    <w:rsid w:val="57A25887"/>
    <w:rsid w:val="57A37CC2"/>
    <w:rsid w:val="57E21A3E"/>
    <w:rsid w:val="57EB169B"/>
    <w:rsid w:val="57FD4A4A"/>
    <w:rsid w:val="580321AD"/>
    <w:rsid w:val="580A370A"/>
    <w:rsid w:val="582726A1"/>
    <w:rsid w:val="582B36AC"/>
    <w:rsid w:val="582D7422"/>
    <w:rsid w:val="58356871"/>
    <w:rsid w:val="585C7F9A"/>
    <w:rsid w:val="586D47B8"/>
    <w:rsid w:val="58743CBA"/>
    <w:rsid w:val="5886561A"/>
    <w:rsid w:val="588C69A8"/>
    <w:rsid w:val="588E2720"/>
    <w:rsid w:val="58AD477B"/>
    <w:rsid w:val="58C34194"/>
    <w:rsid w:val="58C674AE"/>
    <w:rsid w:val="58CF092A"/>
    <w:rsid w:val="58F3649C"/>
    <w:rsid w:val="58FC58DC"/>
    <w:rsid w:val="58FD1741"/>
    <w:rsid w:val="59232E69"/>
    <w:rsid w:val="5954100D"/>
    <w:rsid w:val="599155BE"/>
    <w:rsid w:val="59973E3F"/>
    <w:rsid w:val="59CE23FF"/>
    <w:rsid w:val="59DD3F60"/>
    <w:rsid w:val="5A054C64"/>
    <w:rsid w:val="5A160BEA"/>
    <w:rsid w:val="5A1A1946"/>
    <w:rsid w:val="5A250E62"/>
    <w:rsid w:val="5A354818"/>
    <w:rsid w:val="5A3F29E6"/>
    <w:rsid w:val="5A410416"/>
    <w:rsid w:val="5A565C87"/>
    <w:rsid w:val="5A7A11AE"/>
    <w:rsid w:val="5A7A6A80"/>
    <w:rsid w:val="5A820F19"/>
    <w:rsid w:val="5A847DF0"/>
    <w:rsid w:val="5A8F5128"/>
    <w:rsid w:val="5A92474A"/>
    <w:rsid w:val="5A9402B8"/>
    <w:rsid w:val="5A951835"/>
    <w:rsid w:val="5AA1673B"/>
    <w:rsid w:val="5AA95508"/>
    <w:rsid w:val="5AAA4997"/>
    <w:rsid w:val="5ABC0AA6"/>
    <w:rsid w:val="5AF34F41"/>
    <w:rsid w:val="5B1F28C5"/>
    <w:rsid w:val="5B215ACE"/>
    <w:rsid w:val="5B24707B"/>
    <w:rsid w:val="5B2A1279"/>
    <w:rsid w:val="5B493FCC"/>
    <w:rsid w:val="5B4A02E3"/>
    <w:rsid w:val="5B841779"/>
    <w:rsid w:val="5B8E3C6F"/>
    <w:rsid w:val="5B9242D5"/>
    <w:rsid w:val="5B961680"/>
    <w:rsid w:val="5BAE2921"/>
    <w:rsid w:val="5BD348A5"/>
    <w:rsid w:val="5BD60666"/>
    <w:rsid w:val="5BDD49CC"/>
    <w:rsid w:val="5BF24007"/>
    <w:rsid w:val="5C065DDC"/>
    <w:rsid w:val="5C085895"/>
    <w:rsid w:val="5C0F610F"/>
    <w:rsid w:val="5C2B0FDF"/>
    <w:rsid w:val="5C312A7E"/>
    <w:rsid w:val="5C462465"/>
    <w:rsid w:val="5C6E4B2D"/>
    <w:rsid w:val="5C781F43"/>
    <w:rsid w:val="5C8171D7"/>
    <w:rsid w:val="5C865455"/>
    <w:rsid w:val="5C893F80"/>
    <w:rsid w:val="5CAF2C65"/>
    <w:rsid w:val="5CF56E9E"/>
    <w:rsid w:val="5D096819"/>
    <w:rsid w:val="5D184CAE"/>
    <w:rsid w:val="5D296EBB"/>
    <w:rsid w:val="5D380EAD"/>
    <w:rsid w:val="5D3A0A28"/>
    <w:rsid w:val="5D6B3FAD"/>
    <w:rsid w:val="5D6F2B20"/>
    <w:rsid w:val="5D8501B7"/>
    <w:rsid w:val="5DB524FD"/>
    <w:rsid w:val="5DCA1629"/>
    <w:rsid w:val="5DD075DE"/>
    <w:rsid w:val="5DD14D10"/>
    <w:rsid w:val="5DDF41B7"/>
    <w:rsid w:val="5E0966EA"/>
    <w:rsid w:val="5E153B5E"/>
    <w:rsid w:val="5E23390B"/>
    <w:rsid w:val="5E262220"/>
    <w:rsid w:val="5E32757F"/>
    <w:rsid w:val="5E4C277E"/>
    <w:rsid w:val="5E5143CF"/>
    <w:rsid w:val="5E7B54F5"/>
    <w:rsid w:val="5E9443A0"/>
    <w:rsid w:val="5EBB78E8"/>
    <w:rsid w:val="5ECB046E"/>
    <w:rsid w:val="5ED27BFF"/>
    <w:rsid w:val="5EDD7F5D"/>
    <w:rsid w:val="5EDE0417"/>
    <w:rsid w:val="5EE300FC"/>
    <w:rsid w:val="5EE412EC"/>
    <w:rsid w:val="5EF62940"/>
    <w:rsid w:val="5F1804D2"/>
    <w:rsid w:val="5F245B8C"/>
    <w:rsid w:val="5F397ECE"/>
    <w:rsid w:val="5F3C4C84"/>
    <w:rsid w:val="5F45763D"/>
    <w:rsid w:val="5F5C11EF"/>
    <w:rsid w:val="5F67708B"/>
    <w:rsid w:val="5F774782"/>
    <w:rsid w:val="5F8613C2"/>
    <w:rsid w:val="5F9048F7"/>
    <w:rsid w:val="5FA91D42"/>
    <w:rsid w:val="5FF81F86"/>
    <w:rsid w:val="60065292"/>
    <w:rsid w:val="600E3729"/>
    <w:rsid w:val="60164322"/>
    <w:rsid w:val="602A0E6D"/>
    <w:rsid w:val="602B16DA"/>
    <w:rsid w:val="6062696C"/>
    <w:rsid w:val="6084462E"/>
    <w:rsid w:val="60904069"/>
    <w:rsid w:val="60A70161"/>
    <w:rsid w:val="60B74989"/>
    <w:rsid w:val="60B77EAA"/>
    <w:rsid w:val="60DD5F31"/>
    <w:rsid w:val="60F7367D"/>
    <w:rsid w:val="61070139"/>
    <w:rsid w:val="61075D41"/>
    <w:rsid w:val="610E4379"/>
    <w:rsid w:val="611C2FBF"/>
    <w:rsid w:val="61237AA5"/>
    <w:rsid w:val="612E7379"/>
    <w:rsid w:val="61406361"/>
    <w:rsid w:val="61662A70"/>
    <w:rsid w:val="61741D64"/>
    <w:rsid w:val="61741F13"/>
    <w:rsid w:val="618B1EF3"/>
    <w:rsid w:val="61B2168A"/>
    <w:rsid w:val="61C13B66"/>
    <w:rsid w:val="61E138C1"/>
    <w:rsid w:val="61E60EF6"/>
    <w:rsid w:val="61EE6A76"/>
    <w:rsid w:val="61F21FBB"/>
    <w:rsid w:val="61FC2584"/>
    <w:rsid w:val="62084F4C"/>
    <w:rsid w:val="62285EAA"/>
    <w:rsid w:val="622E192C"/>
    <w:rsid w:val="62326099"/>
    <w:rsid w:val="62597FB3"/>
    <w:rsid w:val="62665ABF"/>
    <w:rsid w:val="626F1F56"/>
    <w:rsid w:val="627741E3"/>
    <w:rsid w:val="62961CE2"/>
    <w:rsid w:val="62971044"/>
    <w:rsid w:val="62A63A93"/>
    <w:rsid w:val="62A759D9"/>
    <w:rsid w:val="62E4258D"/>
    <w:rsid w:val="630C68B4"/>
    <w:rsid w:val="6323075D"/>
    <w:rsid w:val="63462420"/>
    <w:rsid w:val="636C2555"/>
    <w:rsid w:val="637C30F1"/>
    <w:rsid w:val="637D69CE"/>
    <w:rsid w:val="638E15EE"/>
    <w:rsid w:val="639130C5"/>
    <w:rsid w:val="63A252D2"/>
    <w:rsid w:val="63A97BC5"/>
    <w:rsid w:val="63B71183"/>
    <w:rsid w:val="63BB046D"/>
    <w:rsid w:val="63BF124D"/>
    <w:rsid w:val="63C67212"/>
    <w:rsid w:val="63E4765C"/>
    <w:rsid w:val="63EA73A4"/>
    <w:rsid w:val="63F37308"/>
    <w:rsid w:val="64001603"/>
    <w:rsid w:val="6401649C"/>
    <w:rsid w:val="6414730D"/>
    <w:rsid w:val="64187FA9"/>
    <w:rsid w:val="642D7981"/>
    <w:rsid w:val="645F4D79"/>
    <w:rsid w:val="647F4AB3"/>
    <w:rsid w:val="64A84E85"/>
    <w:rsid w:val="64C661A0"/>
    <w:rsid w:val="64D140C0"/>
    <w:rsid w:val="64DE67DD"/>
    <w:rsid w:val="64E41ED7"/>
    <w:rsid w:val="64E50B45"/>
    <w:rsid w:val="65222D91"/>
    <w:rsid w:val="652A1A23"/>
    <w:rsid w:val="65476131"/>
    <w:rsid w:val="654F3C76"/>
    <w:rsid w:val="655214B8"/>
    <w:rsid w:val="656016D2"/>
    <w:rsid w:val="6561663B"/>
    <w:rsid w:val="658D78E4"/>
    <w:rsid w:val="6598010F"/>
    <w:rsid w:val="65B437B9"/>
    <w:rsid w:val="65C81635"/>
    <w:rsid w:val="65CF1F5D"/>
    <w:rsid w:val="65D8147F"/>
    <w:rsid w:val="65E6134E"/>
    <w:rsid w:val="65FB2A63"/>
    <w:rsid w:val="65FC7D01"/>
    <w:rsid w:val="663B4702"/>
    <w:rsid w:val="665A2773"/>
    <w:rsid w:val="666101DB"/>
    <w:rsid w:val="669B4986"/>
    <w:rsid w:val="669C449A"/>
    <w:rsid w:val="66A84459"/>
    <w:rsid w:val="66BF5746"/>
    <w:rsid w:val="66C37A39"/>
    <w:rsid w:val="66D376F6"/>
    <w:rsid w:val="66DA17A5"/>
    <w:rsid w:val="66DA5CAB"/>
    <w:rsid w:val="67220C03"/>
    <w:rsid w:val="672D574D"/>
    <w:rsid w:val="67394E12"/>
    <w:rsid w:val="67613E8E"/>
    <w:rsid w:val="676978A6"/>
    <w:rsid w:val="676C36CF"/>
    <w:rsid w:val="67AA388A"/>
    <w:rsid w:val="67AB161D"/>
    <w:rsid w:val="67DE407D"/>
    <w:rsid w:val="67E53349"/>
    <w:rsid w:val="67F2492C"/>
    <w:rsid w:val="67F53A83"/>
    <w:rsid w:val="680040E3"/>
    <w:rsid w:val="68233958"/>
    <w:rsid w:val="683218A2"/>
    <w:rsid w:val="6837358A"/>
    <w:rsid w:val="687207B3"/>
    <w:rsid w:val="68AD09A1"/>
    <w:rsid w:val="68D85DC4"/>
    <w:rsid w:val="68DC3A58"/>
    <w:rsid w:val="68DE5D4B"/>
    <w:rsid w:val="68E311A8"/>
    <w:rsid w:val="68F24E7E"/>
    <w:rsid w:val="68F65778"/>
    <w:rsid w:val="691D0E8B"/>
    <w:rsid w:val="693115D2"/>
    <w:rsid w:val="693D1D24"/>
    <w:rsid w:val="69491553"/>
    <w:rsid w:val="697E3CB3"/>
    <w:rsid w:val="697F058F"/>
    <w:rsid w:val="69AD562E"/>
    <w:rsid w:val="69B74D2D"/>
    <w:rsid w:val="69CB37D4"/>
    <w:rsid w:val="69E96FD8"/>
    <w:rsid w:val="6A1567FD"/>
    <w:rsid w:val="6A176492"/>
    <w:rsid w:val="6A3F2257"/>
    <w:rsid w:val="6A434F94"/>
    <w:rsid w:val="6A4C0455"/>
    <w:rsid w:val="6A537326"/>
    <w:rsid w:val="6A5406CE"/>
    <w:rsid w:val="6A6E23B2"/>
    <w:rsid w:val="6A6F750E"/>
    <w:rsid w:val="6A837C0B"/>
    <w:rsid w:val="6AA02011"/>
    <w:rsid w:val="6AA455B4"/>
    <w:rsid w:val="6ABB19EC"/>
    <w:rsid w:val="6AC50223"/>
    <w:rsid w:val="6ACB0F57"/>
    <w:rsid w:val="6AE207C5"/>
    <w:rsid w:val="6B045E53"/>
    <w:rsid w:val="6B144B1B"/>
    <w:rsid w:val="6B2B3D96"/>
    <w:rsid w:val="6B2D7739"/>
    <w:rsid w:val="6B7B2FD8"/>
    <w:rsid w:val="6B7C46CC"/>
    <w:rsid w:val="6B826114"/>
    <w:rsid w:val="6B9C7E4E"/>
    <w:rsid w:val="6BBD3F4C"/>
    <w:rsid w:val="6BBD6FDB"/>
    <w:rsid w:val="6BD72F65"/>
    <w:rsid w:val="6BEF58C9"/>
    <w:rsid w:val="6C043B4B"/>
    <w:rsid w:val="6C08200D"/>
    <w:rsid w:val="6C1E253F"/>
    <w:rsid w:val="6C2E0AE8"/>
    <w:rsid w:val="6C347027"/>
    <w:rsid w:val="6C3B18FB"/>
    <w:rsid w:val="6C3B60CC"/>
    <w:rsid w:val="6C6E14B3"/>
    <w:rsid w:val="6C8B6E80"/>
    <w:rsid w:val="6C951280"/>
    <w:rsid w:val="6CA200F0"/>
    <w:rsid w:val="6CDE3FB8"/>
    <w:rsid w:val="6CFC3FBE"/>
    <w:rsid w:val="6D14194F"/>
    <w:rsid w:val="6D1A24AB"/>
    <w:rsid w:val="6D3231D7"/>
    <w:rsid w:val="6D554A12"/>
    <w:rsid w:val="6D9739CD"/>
    <w:rsid w:val="6DBB590E"/>
    <w:rsid w:val="6E0C2943"/>
    <w:rsid w:val="6E0F394F"/>
    <w:rsid w:val="6E120B56"/>
    <w:rsid w:val="6E2419C1"/>
    <w:rsid w:val="6E2B2A93"/>
    <w:rsid w:val="6E3D39E7"/>
    <w:rsid w:val="6E3F209B"/>
    <w:rsid w:val="6E60181E"/>
    <w:rsid w:val="6E647D53"/>
    <w:rsid w:val="6E7D0E15"/>
    <w:rsid w:val="6E850B46"/>
    <w:rsid w:val="6EC83387"/>
    <w:rsid w:val="6ED60767"/>
    <w:rsid w:val="6F0A1473"/>
    <w:rsid w:val="6F1B2B08"/>
    <w:rsid w:val="6F1C062E"/>
    <w:rsid w:val="6F1D19CF"/>
    <w:rsid w:val="6F2E04AE"/>
    <w:rsid w:val="6F332177"/>
    <w:rsid w:val="6F455360"/>
    <w:rsid w:val="6F4E7789"/>
    <w:rsid w:val="6F571666"/>
    <w:rsid w:val="6F5F0599"/>
    <w:rsid w:val="6F653F7C"/>
    <w:rsid w:val="6F687E8A"/>
    <w:rsid w:val="6F7A584D"/>
    <w:rsid w:val="6F8054FF"/>
    <w:rsid w:val="6F8167BE"/>
    <w:rsid w:val="6FC9321C"/>
    <w:rsid w:val="704A521A"/>
    <w:rsid w:val="707F3C4A"/>
    <w:rsid w:val="70AC7790"/>
    <w:rsid w:val="70D27E4F"/>
    <w:rsid w:val="70F80C27"/>
    <w:rsid w:val="70FB4716"/>
    <w:rsid w:val="70FF3D63"/>
    <w:rsid w:val="7105313D"/>
    <w:rsid w:val="71206B36"/>
    <w:rsid w:val="715E7D0E"/>
    <w:rsid w:val="716D2B52"/>
    <w:rsid w:val="71A46B7B"/>
    <w:rsid w:val="71AB5C99"/>
    <w:rsid w:val="71B01156"/>
    <w:rsid w:val="71D13F9E"/>
    <w:rsid w:val="71F56B07"/>
    <w:rsid w:val="720831F9"/>
    <w:rsid w:val="720A4EC1"/>
    <w:rsid w:val="72127AC6"/>
    <w:rsid w:val="721E5CEF"/>
    <w:rsid w:val="72256B49"/>
    <w:rsid w:val="7234022E"/>
    <w:rsid w:val="724F554C"/>
    <w:rsid w:val="72550690"/>
    <w:rsid w:val="72865A3B"/>
    <w:rsid w:val="729E627B"/>
    <w:rsid w:val="72A23083"/>
    <w:rsid w:val="72B50B7E"/>
    <w:rsid w:val="72E44471"/>
    <w:rsid w:val="72E46F4A"/>
    <w:rsid w:val="72EF2D52"/>
    <w:rsid w:val="72FE79B6"/>
    <w:rsid w:val="730576A2"/>
    <w:rsid w:val="730C3DB3"/>
    <w:rsid w:val="73405A79"/>
    <w:rsid w:val="73577565"/>
    <w:rsid w:val="736C5378"/>
    <w:rsid w:val="736E27F7"/>
    <w:rsid w:val="73901C9F"/>
    <w:rsid w:val="73A86D6B"/>
    <w:rsid w:val="73B4795D"/>
    <w:rsid w:val="73C82B32"/>
    <w:rsid w:val="7402080F"/>
    <w:rsid w:val="740D6A21"/>
    <w:rsid w:val="742501C4"/>
    <w:rsid w:val="743D707D"/>
    <w:rsid w:val="745A0E84"/>
    <w:rsid w:val="74617786"/>
    <w:rsid w:val="74700682"/>
    <w:rsid w:val="74874F46"/>
    <w:rsid w:val="749769DC"/>
    <w:rsid w:val="74C97B73"/>
    <w:rsid w:val="74CB1119"/>
    <w:rsid w:val="74CD786D"/>
    <w:rsid w:val="74F63707"/>
    <w:rsid w:val="750372A9"/>
    <w:rsid w:val="75183646"/>
    <w:rsid w:val="75222214"/>
    <w:rsid w:val="75263B59"/>
    <w:rsid w:val="752F6C39"/>
    <w:rsid w:val="7535244A"/>
    <w:rsid w:val="7542130E"/>
    <w:rsid w:val="754F5D43"/>
    <w:rsid w:val="756A27F6"/>
    <w:rsid w:val="75A0305A"/>
    <w:rsid w:val="75A373B3"/>
    <w:rsid w:val="75A82AEB"/>
    <w:rsid w:val="75C54260"/>
    <w:rsid w:val="75C615E1"/>
    <w:rsid w:val="75E136B8"/>
    <w:rsid w:val="75E40130"/>
    <w:rsid w:val="75F06371"/>
    <w:rsid w:val="761010FD"/>
    <w:rsid w:val="76273D57"/>
    <w:rsid w:val="762D0467"/>
    <w:rsid w:val="76425173"/>
    <w:rsid w:val="76733624"/>
    <w:rsid w:val="769048E9"/>
    <w:rsid w:val="76A01B45"/>
    <w:rsid w:val="76A03A75"/>
    <w:rsid w:val="76CB0376"/>
    <w:rsid w:val="76F854DD"/>
    <w:rsid w:val="770304E8"/>
    <w:rsid w:val="77260F4B"/>
    <w:rsid w:val="772C0548"/>
    <w:rsid w:val="776A1163"/>
    <w:rsid w:val="776A48A8"/>
    <w:rsid w:val="77897442"/>
    <w:rsid w:val="778C19FD"/>
    <w:rsid w:val="77917BC1"/>
    <w:rsid w:val="77B12F63"/>
    <w:rsid w:val="77CF26E1"/>
    <w:rsid w:val="77E1083D"/>
    <w:rsid w:val="77E37F3B"/>
    <w:rsid w:val="780508CB"/>
    <w:rsid w:val="780621C6"/>
    <w:rsid w:val="780779A0"/>
    <w:rsid w:val="780F6673"/>
    <w:rsid w:val="78120D5F"/>
    <w:rsid w:val="78400885"/>
    <w:rsid w:val="78793100"/>
    <w:rsid w:val="787F5718"/>
    <w:rsid w:val="7898191A"/>
    <w:rsid w:val="78A076BA"/>
    <w:rsid w:val="78CD73A6"/>
    <w:rsid w:val="78D70118"/>
    <w:rsid w:val="78F21A0A"/>
    <w:rsid w:val="78F33E83"/>
    <w:rsid w:val="78F74036"/>
    <w:rsid w:val="79017D47"/>
    <w:rsid w:val="791A46B2"/>
    <w:rsid w:val="79370073"/>
    <w:rsid w:val="793A37EF"/>
    <w:rsid w:val="79404852"/>
    <w:rsid w:val="794C244E"/>
    <w:rsid w:val="79601108"/>
    <w:rsid w:val="79867202"/>
    <w:rsid w:val="79876FEC"/>
    <w:rsid w:val="798A707B"/>
    <w:rsid w:val="7990604A"/>
    <w:rsid w:val="7997039D"/>
    <w:rsid w:val="79A57038"/>
    <w:rsid w:val="79B3448F"/>
    <w:rsid w:val="79CF62B9"/>
    <w:rsid w:val="7A2D185A"/>
    <w:rsid w:val="7A384C2F"/>
    <w:rsid w:val="7A401675"/>
    <w:rsid w:val="7A401CEE"/>
    <w:rsid w:val="7A443C8C"/>
    <w:rsid w:val="7A607D75"/>
    <w:rsid w:val="7A8236DF"/>
    <w:rsid w:val="7A861051"/>
    <w:rsid w:val="7A8B4372"/>
    <w:rsid w:val="7A97417B"/>
    <w:rsid w:val="7AA15FD1"/>
    <w:rsid w:val="7ABA2EB3"/>
    <w:rsid w:val="7ABA2F92"/>
    <w:rsid w:val="7AE022A7"/>
    <w:rsid w:val="7AE571D9"/>
    <w:rsid w:val="7B1B6F19"/>
    <w:rsid w:val="7B221F32"/>
    <w:rsid w:val="7B224073"/>
    <w:rsid w:val="7B30793B"/>
    <w:rsid w:val="7B406DCD"/>
    <w:rsid w:val="7B527CAA"/>
    <w:rsid w:val="7B664AA9"/>
    <w:rsid w:val="7BA313BD"/>
    <w:rsid w:val="7BB045D8"/>
    <w:rsid w:val="7BBE504C"/>
    <w:rsid w:val="7BC64AB3"/>
    <w:rsid w:val="7BC91C1E"/>
    <w:rsid w:val="7BE36B75"/>
    <w:rsid w:val="7C0F4760"/>
    <w:rsid w:val="7C372194"/>
    <w:rsid w:val="7C3E3DE7"/>
    <w:rsid w:val="7C4823A2"/>
    <w:rsid w:val="7C4D1AD4"/>
    <w:rsid w:val="7C62206C"/>
    <w:rsid w:val="7C6D3290"/>
    <w:rsid w:val="7C925852"/>
    <w:rsid w:val="7CCE522E"/>
    <w:rsid w:val="7CD87032"/>
    <w:rsid w:val="7CE03D93"/>
    <w:rsid w:val="7CF078AC"/>
    <w:rsid w:val="7D1530BC"/>
    <w:rsid w:val="7D5124C4"/>
    <w:rsid w:val="7D545437"/>
    <w:rsid w:val="7D602E59"/>
    <w:rsid w:val="7D611596"/>
    <w:rsid w:val="7D804775"/>
    <w:rsid w:val="7D903CDB"/>
    <w:rsid w:val="7D993FB3"/>
    <w:rsid w:val="7DB80490"/>
    <w:rsid w:val="7DC10D1E"/>
    <w:rsid w:val="7DC802F3"/>
    <w:rsid w:val="7E134384"/>
    <w:rsid w:val="7E145E5F"/>
    <w:rsid w:val="7E192908"/>
    <w:rsid w:val="7E4416AA"/>
    <w:rsid w:val="7E5042D1"/>
    <w:rsid w:val="7E777385"/>
    <w:rsid w:val="7E795155"/>
    <w:rsid w:val="7E801270"/>
    <w:rsid w:val="7E855E11"/>
    <w:rsid w:val="7E8D1711"/>
    <w:rsid w:val="7E9504E0"/>
    <w:rsid w:val="7EA66DB6"/>
    <w:rsid w:val="7EA94963"/>
    <w:rsid w:val="7ECB117A"/>
    <w:rsid w:val="7EEC1DCB"/>
    <w:rsid w:val="7F1906E6"/>
    <w:rsid w:val="7F295FF5"/>
    <w:rsid w:val="7F430380"/>
    <w:rsid w:val="7F553F7E"/>
    <w:rsid w:val="7F59265A"/>
    <w:rsid w:val="7F6257A6"/>
    <w:rsid w:val="7F7A1E5B"/>
    <w:rsid w:val="7F7F2C3F"/>
    <w:rsid w:val="7F941CC0"/>
    <w:rsid w:val="7FA371CB"/>
    <w:rsid w:val="7FA54E7E"/>
    <w:rsid w:val="7FD862DD"/>
    <w:rsid w:val="7FE101C6"/>
    <w:rsid w:val="7FE64DF0"/>
    <w:rsid w:val="7FEF3CCC"/>
    <w:rsid w:val="7FFC1E45"/>
    <w:rsid w:val="7FFD10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3"/>
    <w:qFormat/>
    <w:uiPriority w:val="0"/>
    <w:pPr>
      <w:keepNext/>
      <w:tabs>
        <w:tab w:val="left" w:pos="432"/>
      </w:tabs>
      <w:spacing w:line="480" w:lineRule="exact"/>
      <w:ind w:left="432" w:hanging="432"/>
      <w:jc w:val="center"/>
      <w:outlineLvl w:val="0"/>
    </w:pPr>
    <w:rPr>
      <w:rFonts w:ascii="楷体_GB2312" w:eastAsia="楷体_GB2312"/>
      <w:b/>
      <w:bCs/>
      <w:color w:val="FF0000"/>
      <w:sz w:val="24"/>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64"/>
    <w:qFormat/>
    <w:uiPriority w:val="0"/>
    <w:pPr>
      <w:keepNext/>
      <w:keepLines/>
      <w:numPr>
        <w:ilvl w:val="2"/>
        <w:numId w:val="1"/>
      </w:numPr>
      <w:spacing w:before="260" w:after="260" w:line="413" w:lineRule="auto"/>
      <w:outlineLvl w:val="2"/>
    </w:pPr>
    <w:rPr>
      <w:b/>
      <w:bCs/>
      <w:sz w:val="32"/>
      <w:szCs w:val="32"/>
    </w:rPr>
  </w:style>
  <w:style w:type="paragraph" w:styleId="5">
    <w:name w:val="heading 4"/>
    <w:basedOn w:val="1"/>
    <w:next w:val="1"/>
    <w:link w:val="65"/>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6">
    <w:name w:val="heading 5"/>
    <w:basedOn w:val="1"/>
    <w:next w:val="1"/>
    <w:link w:val="66"/>
    <w:qFormat/>
    <w:uiPriority w:val="0"/>
    <w:pPr>
      <w:keepNext/>
      <w:keepLines/>
      <w:spacing w:before="280" w:beforeLines="0" w:after="290" w:afterLines="0" w:line="372" w:lineRule="auto"/>
      <w:outlineLvl w:val="4"/>
    </w:pPr>
    <w:rPr>
      <w:b/>
      <w:bCs/>
      <w:sz w:val="28"/>
      <w:szCs w:val="28"/>
    </w:rPr>
  </w:style>
  <w:style w:type="paragraph" w:styleId="7">
    <w:name w:val="heading 6"/>
    <w:basedOn w:val="1"/>
    <w:next w:val="1"/>
    <w:qFormat/>
    <w:uiPriority w:val="0"/>
    <w:pPr>
      <w:keepNext/>
      <w:keepLines/>
      <w:tabs>
        <w:tab w:val="left" w:pos="1440"/>
      </w:tabs>
      <w:spacing w:before="240" w:after="64" w:line="317" w:lineRule="auto"/>
      <w:ind w:left="1152" w:hanging="1152"/>
      <w:outlineLvl w:val="5"/>
    </w:pPr>
    <w:rPr>
      <w:rFonts w:ascii="Arial" w:hAnsi="Arial" w:eastAsia="黑体"/>
      <w:b/>
      <w:bCs/>
      <w:sz w:val="24"/>
      <w:szCs w:val="24"/>
    </w:rPr>
  </w:style>
  <w:style w:type="paragraph" w:styleId="8">
    <w:name w:val="heading 7"/>
    <w:basedOn w:val="1"/>
    <w:next w:val="1"/>
    <w:link w:val="67"/>
    <w:qFormat/>
    <w:uiPriority w:val="0"/>
    <w:pPr>
      <w:keepNext/>
      <w:keepLines/>
      <w:tabs>
        <w:tab w:val="left" w:pos="2520"/>
      </w:tabs>
      <w:spacing w:before="240" w:after="64" w:line="317" w:lineRule="auto"/>
      <w:ind w:left="1296" w:hanging="1296"/>
      <w:outlineLvl w:val="6"/>
    </w:pPr>
    <w:rPr>
      <w:b/>
      <w:bCs/>
      <w:sz w:val="24"/>
      <w:szCs w:val="24"/>
    </w:rPr>
  </w:style>
  <w:style w:type="paragraph" w:styleId="9">
    <w:name w:val="heading 8"/>
    <w:basedOn w:val="1"/>
    <w:next w:val="1"/>
    <w:qFormat/>
    <w:uiPriority w:val="0"/>
    <w:pPr>
      <w:keepNext/>
      <w:keepLines/>
      <w:tabs>
        <w:tab w:val="left" w:pos="1440"/>
      </w:tabs>
      <w:spacing w:before="240" w:after="64" w:line="317" w:lineRule="auto"/>
      <w:ind w:left="1440" w:hanging="1440"/>
      <w:outlineLvl w:val="7"/>
    </w:pPr>
    <w:rPr>
      <w:rFonts w:ascii="Arial" w:hAnsi="Arial" w:eastAsia="黑体"/>
      <w:sz w:val="24"/>
      <w:szCs w:val="24"/>
    </w:rPr>
  </w:style>
  <w:style w:type="paragraph" w:styleId="10">
    <w:name w:val="heading 9"/>
    <w:basedOn w:val="1"/>
    <w:next w:val="1"/>
    <w:qFormat/>
    <w:uiPriority w:val="0"/>
    <w:pPr>
      <w:keepNext/>
      <w:keepLines/>
      <w:tabs>
        <w:tab w:val="left" w:pos="1584"/>
      </w:tabs>
      <w:spacing w:before="240" w:after="64" w:line="317" w:lineRule="auto"/>
      <w:ind w:left="1584" w:hanging="1584"/>
      <w:outlineLvl w:val="8"/>
    </w:pPr>
    <w:rPr>
      <w:rFonts w:ascii="Arial" w:hAnsi="Arial" w:eastAsia="黑体"/>
      <w:szCs w:val="21"/>
    </w:rPr>
  </w:style>
  <w:style w:type="character" w:default="1" w:styleId="55">
    <w:name w:val="Default Paragraph Font"/>
    <w:qFormat/>
    <w:uiPriority w:val="0"/>
  </w:style>
  <w:style w:type="table" w:default="1" w:styleId="53">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spacing w:line="360" w:lineRule="auto"/>
      <w:ind w:left="100" w:leftChars="400" w:hanging="200" w:hangingChars="200"/>
    </w:pPr>
    <w:rPr>
      <w:sz w:val="28"/>
      <w:szCs w:val="24"/>
    </w:rPr>
  </w:style>
  <w:style w:type="paragraph" w:styleId="12">
    <w:name w:val="toc 7"/>
    <w:basedOn w:val="1"/>
    <w:next w:val="1"/>
    <w:qFormat/>
    <w:uiPriority w:val="0"/>
    <w:pPr>
      <w:ind w:left="2520" w:leftChars="1200"/>
    </w:pPr>
    <w:rPr>
      <w:szCs w:val="24"/>
    </w:rPr>
  </w:style>
  <w:style w:type="paragraph" w:styleId="13">
    <w:name w:val="Normal Indent"/>
    <w:basedOn w:val="1"/>
    <w:link w:val="68"/>
    <w:qFormat/>
    <w:uiPriority w:val="0"/>
    <w:pPr>
      <w:ind w:firstLine="420" w:firstLineChars="200"/>
    </w:pPr>
    <w:rPr>
      <w:sz w:val="24"/>
    </w:rPr>
  </w:style>
  <w:style w:type="paragraph" w:styleId="14">
    <w:name w:val="caption"/>
    <w:basedOn w:val="1"/>
    <w:next w:val="1"/>
    <w:qFormat/>
    <w:uiPriority w:val="0"/>
    <w:pPr>
      <w:adjustRightInd w:val="0"/>
      <w:spacing w:before="152" w:after="160" w:line="360" w:lineRule="atLeast"/>
      <w:jc w:val="left"/>
      <w:textAlignment w:val="baseline"/>
    </w:pPr>
    <w:rPr>
      <w:rFonts w:ascii="Arial" w:hAnsi="Arial" w:eastAsia="黑体"/>
      <w:kern w:val="0"/>
      <w:sz w:val="24"/>
      <w:szCs w:val="24"/>
    </w:rPr>
  </w:style>
  <w:style w:type="paragraph" w:styleId="15">
    <w:name w:val="Document Map"/>
    <w:basedOn w:val="1"/>
    <w:link w:val="69"/>
    <w:qFormat/>
    <w:uiPriority w:val="0"/>
    <w:pPr>
      <w:shd w:val="clear" w:color="auto" w:fill="000080"/>
    </w:pPr>
  </w:style>
  <w:style w:type="paragraph" w:styleId="16">
    <w:name w:val="toa heading"/>
    <w:basedOn w:val="1"/>
    <w:next w:val="1"/>
    <w:qFormat/>
    <w:uiPriority w:val="0"/>
    <w:pPr>
      <w:spacing w:before="120"/>
    </w:pPr>
    <w:rPr>
      <w:rFonts w:ascii="Cambria" w:hAnsi="Cambria"/>
      <w:sz w:val="24"/>
    </w:rPr>
  </w:style>
  <w:style w:type="paragraph" w:styleId="17">
    <w:name w:val="annotation text"/>
    <w:basedOn w:val="1"/>
    <w:link w:val="70"/>
    <w:qFormat/>
    <w:uiPriority w:val="0"/>
    <w:pPr>
      <w:jc w:val="left"/>
    </w:pPr>
  </w:style>
  <w:style w:type="paragraph" w:styleId="18">
    <w:name w:val="Salutation"/>
    <w:basedOn w:val="1"/>
    <w:next w:val="1"/>
    <w:link w:val="71"/>
    <w:qFormat/>
    <w:uiPriority w:val="99"/>
    <w:rPr>
      <w:sz w:val="28"/>
    </w:rPr>
  </w:style>
  <w:style w:type="paragraph" w:styleId="19">
    <w:name w:val="Body Text 3"/>
    <w:basedOn w:val="1"/>
    <w:link w:val="72"/>
    <w:uiPriority w:val="0"/>
    <w:pPr>
      <w:tabs>
        <w:tab w:val="left" w:pos="735"/>
      </w:tabs>
      <w:spacing w:line="400" w:lineRule="exact"/>
      <w:ind w:right="-108"/>
      <w:jc w:val="center"/>
    </w:pPr>
    <w:rPr>
      <w:rFonts w:ascii="楷体_GB2312" w:eastAsia="楷体_GB2312"/>
    </w:rPr>
  </w:style>
  <w:style w:type="paragraph" w:styleId="20">
    <w:name w:val="Body Text"/>
    <w:basedOn w:val="1"/>
    <w:next w:val="21"/>
    <w:link w:val="73"/>
    <w:qFormat/>
    <w:uiPriority w:val="0"/>
    <w:rPr>
      <w:sz w:val="28"/>
    </w:rPr>
  </w:style>
  <w:style w:type="paragraph" w:styleId="21">
    <w:name w:val="Body Text First Indent"/>
    <w:basedOn w:val="20"/>
    <w:next w:val="1"/>
    <w:qFormat/>
    <w:uiPriority w:val="0"/>
    <w:pPr>
      <w:spacing w:after="120" w:afterLines="0"/>
      <w:ind w:firstLine="100" w:firstLineChars="100"/>
      <w:jc w:val="both"/>
      <w:textAlignment w:val="auto"/>
    </w:pPr>
    <w:rPr>
      <w:rFonts w:ascii="Calibri"/>
      <w:sz w:val="21"/>
      <w:szCs w:val="24"/>
    </w:rPr>
  </w:style>
  <w:style w:type="paragraph" w:styleId="22">
    <w:name w:val="Body Text Indent"/>
    <w:basedOn w:val="1"/>
    <w:next w:val="23"/>
    <w:link w:val="74"/>
    <w:qFormat/>
    <w:uiPriority w:val="0"/>
    <w:pPr>
      <w:spacing w:line="360" w:lineRule="auto"/>
      <w:ind w:right="10" w:firstLine="480"/>
    </w:pPr>
    <w:rPr>
      <w:rFonts w:ascii="宋体"/>
      <w:sz w:val="24"/>
    </w:rPr>
  </w:style>
  <w:style w:type="paragraph" w:styleId="23">
    <w:name w:val="Body Text Indent 2"/>
    <w:basedOn w:val="1"/>
    <w:next w:val="1"/>
    <w:link w:val="75"/>
    <w:qFormat/>
    <w:uiPriority w:val="0"/>
    <w:pPr>
      <w:spacing w:line="440" w:lineRule="exact"/>
      <w:ind w:firstLine="412"/>
    </w:pPr>
    <w:rPr>
      <w:rFonts w:ascii="宋体"/>
      <w:color w:val="FF0000"/>
      <w:sz w:val="24"/>
    </w:rPr>
  </w:style>
  <w:style w:type="paragraph" w:styleId="24">
    <w:name w:val="List 2"/>
    <w:basedOn w:val="1"/>
    <w:qFormat/>
    <w:uiPriority w:val="0"/>
    <w:pPr>
      <w:spacing w:line="360" w:lineRule="auto"/>
      <w:ind w:left="100" w:leftChars="200" w:hanging="200" w:hangingChars="200"/>
    </w:pPr>
    <w:rPr>
      <w:sz w:val="28"/>
      <w:szCs w:val="24"/>
    </w:rPr>
  </w:style>
  <w:style w:type="paragraph" w:styleId="25">
    <w:name w:val="Block Text"/>
    <w:basedOn w:val="1"/>
    <w:qFormat/>
    <w:uiPriority w:val="0"/>
    <w:pPr>
      <w:spacing w:line="580" w:lineRule="exact"/>
      <w:ind w:left="945" w:leftChars="250" w:right="28" w:hanging="420" w:hangingChars="164"/>
    </w:pPr>
    <w:rPr>
      <w:rFonts w:ascii="楷体_GB2312" w:eastAsia="楷体_GB2312"/>
      <w:snapToGrid w:val="0"/>
      <w:spacing w:val="8"/>
      <w:kern w:val="0"/>
      <w:sz w:val="24"/>
    </w:rPr>
  </w:style>
  <w:style w:type="paragraph" w:styleId="26">
    <w:name w:val="toc 5"/>
    <w:basedOn w:val="1"/>
    <w:next w:val="1"/>
    <w:qFormat/>
    <w:uiPriority w:val="0"/>
    <w:pPr>
      <w:widowControl/>
      <w:ind w:left="800"/>
      <w:jc w:val="left"/>
    </w:pPr>
    <w:rPr>
      <w:kern w:val="0"/>
      <w:sz w:val="24"/>
      <w:szCs w:val="24"/>
    </w:rPr>
  </w:style>
  <w:style w:type="paragraph" w:styleId="27">
    <w:name w:val="toc 3"/>
    <w:basedOn w:val="1"/>
    <w:next w:val="1"/>
    <w:qFormat/>
    <w:uiPriority w:val="39"/>
    <w:pPr>
      <w:widowControl/>
      <w:ind w:left="400" w:right="255"/>
    </w:pPr>
    <w:rPr>
      <w:kern w:val="0"/>
      <w:sz w:val="24"/>
    </w:rPr>
  </w:style>
  <w:style w:type="paragraph" w:styleId="28">
    <w:name w:val="Plain Text"/>
    <w:basedOn w:val="1"/>
    <w:link w:val="76"/>
    <w:qFormat/>
    <w:uiPriority w:val="0"/>
    <w:rPr>
      <w:rFonts w:ascii="宋体" w:hAnsi="Courier New" w:cs="Courier New"/>
      <w:sz w:val="24"/>
      <w:szCs w:val="21"/>
    </w:rPr>
  </w:style>
  <w:style w:type="paragraph" w:styleId="29">
    <w:name w:val="toc 8"/>
    <w:basedOn w:val="1"/>
    <w:next w:val="1"/>
    <w:qFormat/>
    <w:uiPriority w:val="0"/>
    <w:pPr>
      <w:ind w:left="2940" w:leftChars="1400"/>
    </w:pPr>
    <w:rPr>
      <w:szCs w:val="24"/>
    </w:rPr>
  </w:style>
  <w:style w:type="paragraph" w:styleId="30">
    <w:name w:val="Date"/>
    <w:basedOn w:val="1"/>
    <w:next w:val="1"/>
    <w:link w:val="77"/>
    <w:qFormat/>
    <w:uiPriority w:val="0"/>
    <w:pPr>
      <w:ind w:left="100" w:leftChars="2500"/>
    </w:pPr>
    <w:rPr>
      <w:rFonts w:ascii="楷体_GB2312" w:eastAsia="楷体_GB2312"/>
      <w:sz w:val="24"/>
    </w:rPr>
  </w:style>
  <w:style w:type="paragraph" w:styleId="31">
    <w:name w:val="List Continue 5"/>
    <w:basedOn w:val="1"/>
    <w:qFormat/>
    <w:uiPriority w:val="0"/>
    <w:pPr>
      <w:spacing w:after="120" w:line="360" w:lineRule="auto"/>
      <w:ind w:left="2100" w:leftChars="1000"/>
    </w:pPr>
    <w:rPr>
      <w:sz w:val="28"/>
      <w:szCs w:val="24"/>
    </w:rPr>
  </w:style>
  <w:style w:type="paragraph" w:styleId="32">
    <w:name w:val="Balloon Text"/>
    <w:basedOn w:val="1"/>
    <w:link w:val="78"/>
    <w:qFormat/>
    <w:uiPriority w:val="0"/>
    <w:rPr>
      <w:sz w:val="18"/>
      <w:szCs w:val="18"/>
    </w:rPr>
  </w:style>
  <w:style w:type="paragraph" w:styleId="33">
    <w:name w:val="footer"/>
    <w:basedOn w:val="1"/>
    <w:link w:val="79"/>
    <w:qFormat/>
    <w:uiPriority w:val="99"/>
    <w:pPr>
      <w:tabs>
        <w:tab w:val="center" w:pos="4153"/>
        <w:tab w:val="right" w:pos="8306"/>
      </w:tabs>
      <w:snapToGrid w:val="0"/>
      <w:jc w:val="left"/>
    </w:pPr>
    <w:rPr>
      <w:sz w:val="18"/>
      <w:szCs w:val="18"/>
    </w:rPr>
  </w:style>
  <w:style w:type="paragraph" w:styleId="34">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style>
  <w:style w:type="paragraph" w:styleId="36">
    <w:name w:val="toc 4"/>
    <w:basedOn w:val="1"/>
    <w:next w:val="1"/>
    <w:uiPriority w:val="0"/>
    <w:pPr>
      <w:widowControl/>
      <w:spacing w:line="360" w:lineRule="auto"/>
      <w:ind w:firstLine="480" w:firstLineChars="200"/>
    </w:pPr>
    <w:rPr>
      <w:rFonts w:ascii="宋体" w:hAnsi="宋体"/>
      <w:b/>
      <w:bCs/>
      <w:kern w:val="0"/>
      <w:sz w:val="24"/>
      <w:szCs w:val="21"/>
    </w:rPr>
  </w:style>
  <w:style w:type="paragraph" w:styleId="37">
    <w:name w:val="List"/>
    <w:basedOn w:val="1"/>
    <w:qFormat/>
    <w:uiPriority w:val="0"/>
    <w:pPr>
      <w:ind w:left="200" w:hanging="200"/>
    </w:pPr>
    <w:rPr>
      <w:rFonts w:ascii="Century" w:hAnsi="Century"/>
    </w:rPr>
  </w:style>
  <w:style w:type="paragraph" w:styleId="38">
    <w:name w:val="footnote text"/>
    <w:basedOn w:val="1"/>
    <w:link w:val="81"/>
    <w:qFormat/>
    <w:uiPriority w:val="0"/>
    <w:pPr>
      <w:adjustRightInd w:val="0"/>
      <w:spacing w:line="312" w:lineRule="atLeast"/>
      <w:jc w:val="left"/>
      <w:textAlignment w:val="baseline"/>
    </w:pPr>
    <w:rPr>
      <w:kern w:val="0"/>
      <w:sz w:val="18"/>
    </w:rPr>
  </w:style>
  <w:style w:type="paragraph" w:styleId="39">
    <w:name w:val="toc 6"/>
    <w:basedOn w:val="1"/>
    <w:next w:val="1"/>
    <w:uiPriority w:val="0"/>
    <w:pPr>
      <w:ind w:left="2100" w:leftChars="1000"/>
    </w:pPr>
  </w:style>
  <w:style w:type="paragraph" w:styleId="40">
    <w:name w:val="List 5"/>
    <w:basedOn w:val="1"/>
    <w:qFormat/>
    <w:uiPriority w:val="0"/>
    <w:pPr>
      <w:spacing w:line="360" w:lineRule="auto"/>
      <w:ind w:left="100" w:leftChars="800" w:hanging="200" w:hangingChars="200"/>
    </w:pPr>
    <w:rPr>
      <w:sz w:val="28"/>
      <w:szCs w:val="24"/>
    </w:rPr>
  </w:style>
  <w:style w:type="paragraph" w:styleId="41">
    <w:name w:val="Body Text Indent 3"/>
    <w:basedOn w:val="1"/>
    <w:link w:val="82"/>
    <w:uiPriority w:val="0"/>
    <w:pPr>
      <w:spacing w:line="620" w:lineRule="exact"/>
      <w:ind w:firstLine="570"/>
    </w:pPr>
    <w:rPr>
      <w:rFonts w:ascii="宋体"/>
      <w:sz w:val="24"/>
    </w:rPr>
  </w:style>
  <w:style w:type="paragraph" w:styleId="42">
    <w:name w:val="toc 2"/>
    <w:basedOn w:val="1"/>
    <w:next w:val="1"/>
    <w:qFormat/>
    <w:uiPriority w:val="39"/>
    <w:pPr>
      <w:ind w:left="420" w:leftChars="200"/>
    </w:pPr>
  </w:style>
  <w:style w:type="paragraph" w:styleId="43">
    <w:name w:val="toc 9"/>
    <w:basedOn w:val="1"/>
    <w:next w:val="1"/>
    <w:qFormat/>
    <w:uiPriority w:val="0"/>
    <w:pPr>
      <w:ind w:left="3360" w:leftChars="1600"/>
    </w:pPr>
    <w:rPr>
      <w:szCs w:val="24"/>
    </w:rPr>
  </w:style>
  <w:style w:type="paragraph" w:styleId="44">
    <w:name w:val="Body Text 2"/>
    <w:basedOn w:val="1"/>
    <w:link w:val="83"/>
    <w:qFormat/>
    <w:uiPriority w:val="0"/>
    <w:pPr>
      <w:spacing w:line="360" w:lineRule="auto"/>
    </w:pPr>
    <w:rPr>
      <w:rFonts w:ascii="宋体"/>
      <w:sz w:val="24"/>
    </w:rPr>
  </w:style>
  <w:style w:type="paragraph" w:styleId="45">
    <w:name w:val="List 4"/>
    <w:basedOn w:val="1"/>
    <w:qFormat/>
    <w:uiPriority w:val="0"/>
    <w:pPr>
      <w:spacing w:line="360" w:lineRule="auto"/>
      <w:ind w:left="100" w:leftChars="600" w:hanging="200" w:hangingChars="200"/>
    </w:pPr>
    <w:rPr>
      <w:sz w:val="28"/>
      <w:szCs w:val="24"/>
    </w:rPr>
  </w:style>
  <w:style w:type="paragraph" w:styleId="46">
    <w:name w:val="List Continue 2"/>
    <w:basedOn w:val="1"/>
    <w:uiPriority w:val="0"/>
    <w:pPr>
      <w:spacing w:after="120" w:line="360" w:lineRule="auto"/>
      <w:ind w:left="840" w:leftChars="400"/>
    </w:pPr>
    <w:rPr>
      <w:sz w:val="28"/>
      <w:szCs w:val="24"/>
    </w:rPr>
  </w:style>
  <w:style w:type="paragraph" w:styleId="4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kern w:val="0"/>
      <w:sz w:val="28"/>
      <w:szCs w:val="28"/>
    </w:rPr>
  </w:style>
  <w:style w:type="paragraph" w:styleId="48">
    <w:name w:val="Normal (Web)"/>
    <w:basedOn w:val="1"/>
    <w:qFormat/>
    <w:uiPriority w:val="0"/>
    <w:pPr>
      <w:widowControl/>
      <w:adjustRightInd w:val="0"/>
      <w:spacing w:before="100" w:beforeLines="0" w:beforeAutospacing="1" w:after="100" w:afterLines="0" w:afterAutospacing="1" w:line="360" w:lineRule="atLeast"/>
      <w:jc w:val="left"/>
    </w:pPr>
    <w:rPr>
      <w:rFonts w:hint="eastAsia" w:ascii="宋体" w:hAnsi="宋体"/>
      <w:kern w:val="0"/>
      <w:sz w:val="24"/>
      <w:szCs w:val="24"/>
    </w:rPr>
  </w:style>
  <w:style w:type="paragraph" w:styleId="49">
    <w:name w:val="index 1"/>
    <w:basedOn w:val="1"/>
    <w:next w:val="1"/>
    <w:uiPriority w:val="0"/>
    <w:pPr>
      <w:autoSpaceDE w:val="0"/>
      <w:autoSpaceDN w:val="0"/>
      <w:adjustRightInd w:val="0"/>
      <w:spacing w:line="256" w:lineRule="atLeast"/>
      <w:jc w:val="left"/>
    </w:pPr>
    <w:rPr>
      <w:rFonts w:ascii="MingLiU" w:eastAsia="MingLiU"/>
      <w:spacing w:val="60"/>
      <w:kern w:val="0"/>
      <w:sz w:val="22"/>
      <w:szCs w:val="24"/>
      <w:lang w:eastAsia="zh-TW"/>
    </w:rPr>
  </w:style>
  <w:style w:type="paragraph" w:styleId="50">
    <w:name w:val="Title"/>
    <w:basedOn w:val="1"/>
    <w:next w:val="1"/>
    <w:link w:val="84"/>
    <w:qFormat/>
    <w:uiPriority w:val="0"/>
    <w:pPr>
      <w:pageBreakBefore/>
      <w:widowControl/>
      <w:spacing w:before="3120" w:beforeLines="1000" w:after="3120" w:afterLines="1000" w:line="240" w:lineRule="atLeast"/>
      <w:jc w:val="center"/>
      <w:outlineLvl w:val="0"/>
    </w:pPr>
    <w:rPr>
      <w:rFonts w:ascii="华文细黑" w:hAnsi="华文细黑" w:eastAsia="华文细黑"/>
      <w:b/>
      <w:bCs/>
      <w:color w:val="000000"/>
      <w:kern w:val="0"/>
      <w:sz w:val="52"/>
      <w:szCs w:val="32"/>
    </w:rPr>
  </w:style>
  <w:style w:type="paragraph" w:styleId="51">
    <w:name w:val="annotation subject"/>
    <w:basedOn w:val="17"/>
    <w:next w:val="17"/>
    <w:link w:val="85"/>
    <w:qFormat/>
    <w:uiPriority w:val="0"/>
    <w:rPr>
      <w:b/>
      <w:bCs/>
    </w:rPr>
  </w:style>
  <w:style w:type="paragraph" w:styleId="52">
    <w:name w:val="Body Text First Indent 2"/>
    <w:basedOn w:val="22"/>
    <w:qFormat/>
    <w:uiPriority w:val="0"/>
    <w:pPr>
      <w:widowControl/>
      <w:spacing w:after="120" w:line="240" w:lineRule="auto"/>
      <w:ind w:left="420" w:right="0" w:firstLine="210"/>
      <w:jc w:val="left"/>
    </w:pPr>
    <w:rPr>
      <w:rFonts w:ascii="Times New Roman"/>
      <w:kern w:val="0"/>
      <w:sz w:val="20"/>
    </w:r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endnote reference"/>
    <w:qFormat/>
    <w:uiPriority w:val="0"/>
    <w:rPr>
      <w:vertAlign w:val="superscript"/>
    </w:rPr>
  </w:style>
  <w:style w:type="character" w:styleId="58">
    <w:name w:val="page number"/>
    <w:uiPriority w:val="0"/>
  </w:style>
  <w:style w:type="character" w:styleId="59">
    <w:name w:val="FollowedHyperlink"/>
    <w:qFormat/>
    <w:uiPriority w:val="99"/>
    <w:rPr>
      <w:color w:val="800080"/>
      <w:u w:val="single"/>
    </w:rPr>
  </w:style>
  <w:style w:type="character" w:styleId="60">
    <w:name w:val="Hyperlink"/>
    <w:qFormat/>
    <w:uiPriority w:val="99"/>
    <w:rPr>
      <w:color w:val="0000FF"/>
      <w:u w:val="single"/>
    </w:rPr>
  </w:style>
  <w:style w:type="character" w:styleId="61">
    <w:name w:val="annotation reference"/>
    <w:qFormat/>
    <w:uiPriority w:val="0"/>
    <w:rPr>
      <w:sz w:val="21"/>
      <w:szCs w:val="21"/>
    </w:rPr>
  </w:style>
  <w:style w:type="character" w:styleId="62">
    <w:name w:val="footnote reference"/>
    <w:uiPriority w:val="0"/>
    <w:rPr>
      <w:vertAlign w:val="superscript"/>
    </w:rPr>
  </w:style>
  <w:style w:type="character" w:customStyle="1" w:styleId="63">
    <w:name w:val="标题 1 Char"/>
    <w:link w:val="2"/>
    <w:qFormat/>
    <w:locked/>
    <w:uiPriority w:val="0"/>
    <w:rPr>
      <w:rFonts w:ascii="楷体_GB2312" w:eastAsia="楷体_GB2312"/>
      <w:b/>
      <w:bCs/>
      <w:color w:val="FF0000"/>
      <w:kern w:val="2"/>
      <w:sz w:val="24"/>
    </w:rPr>
  </w:style>
  <w:style w:type="character" w:customStyle="1" w:styleId="64">
    <w:name w:val="标题 3 Char"/>
    <w:link w:val="4"/>
    <w:qFormat/>
    <w:locked/>
    <w:uiPriority w:val="0"/>
    <w:rPr>
      <w:b/>
      <w:bCs/>
      <w:kern w:val="2"/>
      <w:sz w:val="32"/>
      <w:szCs w:val="32"/>
    </w:rPr>
  </w:style>
  <w:style w:type="character" w:customStyle="1" w:styleId="65">
    <w:name w:val="标题 4 Char"/>
    <w:link w:val="5"/>
    <w:qFormat/>
    <w:locked/>
    <w:uiPriority w:val="0"/>
    <w:rPr>
      <w:rFonts w:ascii="Arial" w:hAnsi="Arial" w:eastAsia="黑体"/>
      <w:b/>
      <w:bCs/>
      <w:kern w:val="2"/>
      <w:sz w:val="28"/>
      <w:szCs w:val="28"/>
    </w:rPr>
  </w:style>
  <w:style w:type="character" w:customStyle="1" w:styleId="66">
    <w:name w:val="标题 5 Char"/>
    <w:link w:val="6"/>
    <w:qFormat/>
    <w:locked/>
    <w:uiPriority w:val="0"/>
    <w:rPr>
      <w:b/>
      <w:bCs/>
      <w:kern w:val="2"/>
      <w:sz w:val="28"/>
      <w:szCs w:val="28"/>
    </w:rPr>
  </w:style>
  <w:style w:type="character" w:customStyle="1" w:styleId="67">
    <w:name w:val="标题 7 Char"/>
    <w:link w:val="8"/>
    <w:uiPriority w:val="0"/>
    <w:rPr>
      <w:b/>
      <w:bCs/>
      <w:kern w:val="2"/>
      <w:sz w:val="24"/>
      <w:szCs w:val="24"/>
    </w:rPr>
  </w:style>
  <w:style w:type="character" w:customStyle="1" w:styleId="68">
    <w:name w:val="正文缩进 Char"/>
    <w:link w:val="13"/>
    <w:qFormat/>
    <w:uiPriority w:val="0"/>
    <w:rPr>
      <w:rFonts w:eastAsia="宋体"/>
      <w:kern w:val="2"/>
      <w:sz w:val="24"/>
      <w:lang w:val="en-US" w:eastAsia="zh-CN" w:bidi="ar-SA"/>
    </w:rPr>
  </w:style>
  <w:style w:type="character" w:customStyle="1" w:styleId="69">
    <w:name w:val="文档结构图 Char"/>
    <w:link w:val="15"/>
    <w:qFormat/>
    <w:locked/>
    <w:uiPriority w:val="0"/>
    <w:rPr>
      <w:kern w:val="2"/>
      <w:sz w:val="21"/>
      <w:shd w:val="clear" w:color="auto" w:fill="000080"/>
    </w:rPr>
  </w:style>
  <w:style w:type="character" w:customStyle="1" w:styleId="70">
    <w:name w:val="批注文字 Char"/>
    <w:link w:val="17"/>
    <w:qFormat/>
    <w:locked/>
    <w:uiPriority w:val="0"/>
    <w:rPr>
      <w:kern w:val="2"/>
      <w:sz w:val="21"/>
    </w:rPr>
  </w:style>
  <w:style w:type="character" w:customStyle="1" w:styleId="71">
    <w:name w:val="称呼 Char"/>
    <w:link w:val="18"/>
    <w:qFormat/>
    <w:locked/>
    <w:uiPriority w:val="99"/>
    <w:rPr>
      <w:kern w:val="2"/>
      <w:sz w:val="28"/>
    </w:rPr>
  </w:style>
  <w:style w:type="character" w:customStyle="1" w:styleId="72">
    <w:name w:val="正文文本 3 Char"/>
    <w:link w:val="19"/>
    <w:qFormat/>
    <w:locked/>
    <w:uiPriority w:val="0"/>
    <w:rPr>
      <w:rFonts w:ascii="楷体_GB2312" w:eastAsia="楷体_GB2312"/>
      <w:kern w:val="2"/>
      <w:sz w:val="21"/>
    </w:rPr>
  </w:style>
  <w:style w:type="character" w:customStyle="1" w:styleId="73">
    <w:name w:val="正文文本 Char"/>
    <w:link w:val="20"/>
    <w:qFormat/>
    <w:locked/>
    <w:uiPriority w:val="0"/>
    <w:rPr>
      <w:kern w:val="2"/>
      <w:sz w:val="28"/>
    </w:rPr>
  </w:style>
  <w:style w:type="character" w:customStyle="1" w:styleId="74">
    <w:name w:val="正文文本缩进 Char"/>
    <w:link w:val="22"/>
    <w:qFormat/>
    <w:locked/>
    <w:uiPriority w:val="0"/>
    <w:rPr>
      <w:rFonts w:ascii="宋体"/>
      <w:kern w:val="2"/>
      <w:sz w:val="24"/>
    </w:rPr>
  </w:style>
  <w:style w:type="character" w:customStyle="1" w:styleId="75">
    <w:name w:val="正文文本缩进 2 Char"/>
    <w:link w:val="23"/>
    <w:qFormat/>
    <w:locked/>
    <w:uiPriority w:val="0"/>
    <w:rPr>
      <w:rFonts w:ascii="宋体"/>
      <w:color w:val="FF0000"/>
      <w:kern w:val="2"/>
      <w:sz w:val="24"/>
    </w:rPr>
  </w:style>
  <w:style w:type="character" w:customStyle="1" w:styleId="76">
    <w:name w:val="纯文本 Char"/>
    <w:link w:val="28"/>
    <w:qFormat/>
    <w:uiPriority w:val="0"/>
    <w:rPr>
      <w:rFonts w:ascii="宋体" w:hAnsi="Courier New" w:eastAsia="宋体" w:cs="Courier New"/>
      <w:kern w:val="2"/>
      <w:sz w:val="24"/>
      <w:szCs w:val="21"/>
      <w:lang w:val="en-US" w:eastAsia="zh-CN" w:bidi="ar-SA"/>
    </w:rPr>
  </w:style>
  <w:style w:type="character" w:customStyle="1" w:styleId="77">
    <w:name w:val="日期 Char"/>
    <w:link w:val="30"/>
    <w:qFormat/>
    <w:uiPriority w:val="0"/>
    <w:rPr>
      <w:rFonts w:ascii="楷体_GB2312" w:eastAsia="楷体_GB2312"/>
      <w:kern w:val="2"/>
      <w:sz w:val="24"/>
      <w:lang w:val="en-US" w:eastAsia="zh-CN" w:bidi="ar-SA"/>
    </w:rPr>
  </w:style>
  <w:style w:type="character" w:customStyle="1" w:styleId="78">
    <w:name w:val="批注框文本 Char"/>
    <w:link w:val="32"/>
    <w:qFormat/>
    <w:locked/>
    <w:uiPriority w:val="0"/>
    <w:rPr>
      <w:kern w:val="2"/>
      <w:sz w:val="18"/>
      <w:szCs w:val="18"/>
    </w:rPr>
  </w:style>
  <w:style w:type="character" w:customStyle="1" w:styleId="79">
    <w:name w:val="页脚 Char"/>
    <w:link w:val="33"/>
    <w:qFormat/>
    <w:locked/>
    <w:uiPriority w:val="99"/>
    <w:rPr>
      <w:kern w:val="2"/>
      <w:sz w:val="18"/>
      <w:szCs w:val="18"/>
    </w:rPr>
  </w:style>
  <w:style w:type="character" w:customStyle="1" w:styleId="80">
    <w:name w:val="页眉 Char"/>
    <w:link w:val="34"/>
    <w:qFormat/>
    <w:locked/>
    <w:uiPriority w:val="99"/>
    <w:rPr>
      <w:kern w:val="2"/>
      <w:sz w:val="18"/>
      <w:szCs w:val="18"/>
    </w:rPr>
  </w:style>
  <w:style w:type="character" w:customStyle="1" w:styleId="81">
    <w:name w:val="脚注文本 Char"/>
    <w:link w:val="38"/>
    <w:qFormat/>
    <w:uiPriority w:val="0"/>
    <w:rPr>
      <w:sz w:val="18"/>
    </w:rPr>
  </w:style>
  <w:style w:type="character" w:customStyle="1" w:styleId="82">
    <w:name w:val="正文文本缩进 3 Char"/>
    <w:link w:val="41"/>
    <w:qFormat/>
    <w:locked/>
    <w:uiPriority w:val="0"/>
    <w:rPr>
      <w:rFonts w:ascii="宋体"/>
      <w:kern w:val="2"/>
      <w:sz w:val="24"/>
    </w:rPr>
  </w:style>
  <w:style w:type="character" w:customStyle="1" w:styleId="83">
    <w:name w:val="正文文本 2 Char"/>
    <w:link w:val="44"/>
    <w:qFormat/>
    <w:uiPriority w:val="0"/>
    <w:rPr>
      <w:rFonts w:ascii="宋体" w:eastAsia="宋体"/>
      <w:kern w:val="2"/>
      <w:sz w:val="24"/>
      <w:lang w:val="en-US" w:eastAsia="zh-CN" w:bidi="ar-SA"/>
    </w:rPr>
  </w:style>
  <w:style w:type="character" w:customStyle="1" w:styleId="84">
    <w:name w:val="标题 Char"/>
    <w:link w:val="50"/>
    <w:qFormat/>
    <w:uiPriority w:val="0"/>
    <w:rPr>
      <w:rFonts w:ascii="华文细黑" w:hAnsi="华文细黑" w:eastAsia="华文细黑" w:cs="Arial"/>
      <w:b/>
      <w:bCs/>
      <w:color w:val="000000"/>
      <w:sz w:val="52"/>
      <w:szCs w:val="32"/>
    </w:rPr>
  </w:style>
  <w:style w:type="character" w:customStyle="1" w:styleId="85">
    <w:name w:val="批注主题 Char"/>
    <w:link w:val="51"/>
    <w:qFormat/>
    <w:locked/>
    <w:uiPriority w:val="0"/>
    <w:rPr>
      <w:b/>
      <w:bCs/>
      <w:kern w:val="2"/>
      <w:sz w:val="21"/>
    </w:rPr>
  </w:style>
  <w:style w:type="paragraph" w:customStyle="1" w:styleId="86">
    <w:name w:val="1"/>
    <w:basedOn w:val="87"/>
    <w:next w:val="1"/>
    <w:qFormat/>
    <w:uiPriority w:val="0"/>
    <w:pPr>
      <w:tabs>
        <w:tab w:val="left" w:pos="0"/>
      </w:tabs>
      <w:spacing w:line="360" w:lineRule="auto"/>
    </w:pPr>
    <w:rPr>
      <w:rFonts w:ascii="宋体" w:hAnsi="宋体"/>
      <w:bCs/>
      <w:sz w:val="24"/>
    </w:rPr>
  </w:style>
  <w:style w:type="paragraph" w:customStyle="1" w:styleId="87">
    <w:name w:val="正文_new"/>
    <w:basedOn w:val="1"/>
    <w:qFormat/>
    <w:uiPriority w:val="0"/>
    <w:pPr>
      <w:ind w:firstLine="480"/>
    </w:pPr>
    <w:rPr>
      <w:rFonts w:ascii="宋体" w:hAnsi="宋体"/>
      <w:szCs w:val="28"/>
    </w:rPr>
  </w:style>
  <w:style w:type="paragraph" w:customStyle="1" w:styleId="88">
    <w:name w:val="Default"/>
    <w:basedOn w:val="50"/>
    <w:next w:val="1"/>
    <w:qFormat/>
    <w:uiPriority w:val="0"/>
    <w:pPr>
      <w:widowControl w:val="0"/>
      <w:autoSpaceDE w:val="0"/>
      <w:autoSpaceDN w:val="0"/>
      <w:adjustRightInd w:val="0"/>
    </w:pPr>
    <w:rPr>
      <w:rFonts w:ascii="宋体" w:cs="宋体"/>
      <w:color w:val="000000"/>
      <w:sz w:val="24"/>
      <w:szCs w:val="24"/>
      <w:lang w:val="en-US" w:eastAsia="zh-CN" w:bidi="ar-SA"/>
    </w:rPr>
  </w:style>
  <w:style w:type="character" w:customStyle="1" w:styleId="89">
    <w:name w:val=" Char Char11"/>
    <w:qFormat/>
    <w:locked/>
    <w:uiPriority w:val="0"/>
    <w:rPr>
      <w:rFonts w:ascii="宋体" w:eastAsia="宋体"/>
      <w:sz w:val="24"/>
      <w:szCs w:val="24"/>
      <w:lang w:val="en-US" w:eastAsia="zh-CN" w:bidi="ar-SA"/>
    </w:rPr>
  </w:style>
  <w:style w:type="character" w:customStyle="1" w:styleId="90">
    <w:name w:val=" Char Char4"/>
    <w:qFormat/>
    <w:locked/>
    <w:uiPriority w:val="0"/>
    <w:rPr>
      <w:rFonts w:ascii="华文细黑" w:hAnsi="华文细黑" w:eastAsia="华文细黑" w:cs="Arial"/>
      <w:b/>
      <w:bCs/>
      <w:color w:val="000000"/>
      <w:sz w:val="52"/>
      <w:szCs w:val="32"/>
      <w:lang w:val="en-US" w:eastAsia="zh-CN" w:bidi="ar-SA"/>
    </w:rPr>
  </w:style>
  <w:style w:type="character" w:customStyle="1" w:styleId="91">
    <w:name w:val=" Char Char3"/>
    <w:qFormat/>
    <w:locked/>
    <w:uiPriority w:val="0"/>
    <w:rPr>
      <w:rFonts w:eastAsia="宋体"/>
      <w:sz w:val="24"/>
      <w:lang w:val="en-US" w:eastAsia="zh-CN" w:bidi="ar-SA"/>
    </w:rPr>
  </w:style>
  <w:style w:type="character" w:customStyle="1" w:styleId="92">
    <w:name w:val="标题 2 Char"/>
    <w:qFormat/>
    <w:uiPriority w:val="0"/>
    <w:rPr>
      <w:sz w:val="28"/>
    </w:rPr>
  </w:style>
  <w:style w:type="character" w:customStyle="1" w:styleId="93">
    <w:name w:val="GP正文(首行缩进) Char"/>
    <w:link w:val="94"/>
    <w:qFormat/>
    <w:uiPriority w:val="0"/>
    <w:rPr>
      <w:rFonts w:ascii="宋体" w:hAnsi="宋体"/>
      <w:sz w:val="24"/>
      <w:szCs w:val="24"/>
    </w:rPr>
  </w:style>
  <w:style w:type="paragraph" w:customStyle="1" w:styleId="94">
    <w:name w:val="GP正文(首行缩进)"/>
    <w:basedOn w:val="1"/>
    <w:link w:val="93"/>
    <w:qFormat/>
    <w:uiPriority w:val="0"/>
    <w:pPr>
      <w:ind w:firstLine="482"/>
    </w:pPr>
    <w:rPr>
      <w:rFonts w:ascii="宋体" w:hAnsi="宋体"/>
      <w:kern w:val="0"/>
      <w:sz w:val="24"/>
      <w:szCs w:val="24"/>
    </w:rPr>
  </w:style>
  <w:style w:type="character" w:customStyle="1" w:styleId="95">
    <w:name w:val=" Char Char"/>
    <w:qFormat/>
    <w:locked/>
    <w:uiPriority w:val="0"/>
    <w:rPr>
      <w:rFonts w:ascii="宋体" w:eastAsia="宋体"/>
      <w:b/>
      <w:bCs/>
      <w:sz w:val="24"/>
      <w:szCs w:val="24"/>
      <w:lang w:val="en-US" w:eastAsia="zh-CN" w:bidi="ar-SA"/>
    </w:rPr>
  </w:style>
  <w:style w:type="character" w:customStyle="1" w:styleId="96">
    <w:name w:val="15"/>
    <w:qFormat/>
    <w:uiPriority w:val="0"/>
    <w:rPr>
      <w:rFonts w:hint="default" w:ascii="Times New Roman" w:hAnsi="Times New Roman" w:cs="Times New Roman"/>
      <w:color w:val="0000FF"/>
      <w:u w:val="single"/>
    </w:rPr>
  </w:style>
  <w:style w:type="character" w:customStyle="1" w:styleId="97">
    <w:name w:val="纯文本 字符1"/>
    <w:qFormat/>
    <w:uiPriority w:val="0"/>
    <w:rPr>
      <w:rFonts w:ascii="宋体" w:hAnsi="Courier New" w:eastAsia="宋体" w:cs="Times New Roman"/>
      <w:szCs w:val="20"/>
    </w:rPr>
  </w:style>
  <w:style w:type="character" w:customStyle="1" w:styleId="98">
    <w:name w:val="middle1"/>
    <w:qFormat/>
    <w:uiPriority w:val="0"/>
    <w:rPr>
      <w:rFonts w:hint="default" w:ascii="_x000B__x000C_" w:hAnsi="_x000B__x000C_"/>
      <w:sz w:val="21"/>
      <w:szCs w:val="21"/>
    </w:rPr>
  </w:style>
  <w:style w:type="character" w:customStyle="1" w:styleId="99">
    <w:name w:val="列出段落 Char"/>
    <w:link w:val="100"/>
    <w:qFormat/>
    <w:uiPriority w:val="0"/>
    <w:rPr>
      <w:rFonts w:ascii="Calibri" w:hAnsi="Calibri"/>
      <w:kern w:val="2"/>
      <w:sz w:val="21"/>
      <w:szCs w:val="22"/>
    </w:rPr>
  </w:style>
  <w:style w:type="paragraph" w:styleId="100">
    <w:name w:val="List Paragraph"/>
    <w:basedOn w:val="1"/>
    <w:link w:val="99"/>
    <w:qFormat/>
    <w:uiPriority w:val="99"/>
    <w:pPr>
      <w:ind w:firstLine="420" w:firstLineChars="200"/>
    </w:pPr>
    <w:rPr>
      <w:rFonts w:ascii="Calibri" w:hAnsi="Calibri"/>
      <w:szCs w:val="22"/>
    </w:rPr>
  </w:style>
  <w:style w:type="character" w:customStyle="1" w:styleId="101">
    <w:name w:val=" Char Char6"/>
    <w:qFormat/>
    <w:locked/>
    <w:uiPriority w:val="0"/>
    <w:rPr>
      <w:rFonts w:eastAsia="宋体"/>
      <w:kern w:val="2"/>
      <w:sz w:val="21"/>
      <w:szCs w:val="24"/>
      <w:lang w:val="en-US" w:eastAsia="zh-CN" w:bidi="ar-SA"/>
    </w:rPr>
  </w:style>
  <w:style w:type="character" w:customStyle="1" w:styleId="102">
    <w:name w:val="合同标题 Char Char"/>
    <w:qFormat/>
    <w:locked/>
    <w:uiPriority w:val="0"/>
    <w:rPr>
      <w:rFonts w:ascii="黑体" w:eastAsia="黑体"/>
      <w:b/>
      <w:sz w:val="21"/>
      <w:szCs w:val="24"/>
      <w:lang w:val="en-US" w:eastAsia="zh-CN" w:bidi="ar-SA"/>
    </w:rPr>
  </w:style>
  <w:style w:type="character" w:customStyle="1" w:styleId="103">
    <w:name w:val="正文缩进 字符"/>
    <w:qFormat/>
    <w:uiPriority w:val="0"/>
    <w:rPr>
      <w:rFonts w:ascii="宋体" w:hAnsi="Times New Roman" w:eastAsia="宋体" w:cs="Times New Roman"/>
      <w:kern w:val="0"/>
      <w:sz w:val="24"/>
      <w:szCs w:val="20"/>
    </w:rPr>
  </w:style>
  <w:style w:type="character" w:customStyle="1" w:styleId="104">
    <w:name w:val=" Char Char7"/>
    <w:qFormat/>
    <w:locked/>
    <w:uiPriority w:val="0"/>
    <w:rPr>
      <w:rFonts w:ascii="宋体" w:hAnsi="宋体" w:eastAsia="宋体"/>
      <w:b/>
      <w:sz w:val="24"/>
      <w:szCs w:val="24"/>
      <w:lang w:val="en-US" w:eastAsia="zh-CN" w:bidi="ar-SA"/>
    </w:rPr>
  </w:style>
  <w:style w:type="character" w:customStyle="1" w:styleId="105">
    <w:name w:val="font31"/>
    <w:qFormat/>
    <w:uiPriority w:val="0"/>
    <w:rPr>
      <w:rFonts w:hint="eastAsia" w:ascii="宋体" w:hAnsi="宋体" w:eastAsia="宋体" w:cs="宋体"/>
      <w:color w:val="00CCFF"/>
      <w:sz w:val="24"/>
      <w:szCs w:val="24"/>
      <w:u w:val="none"/>
    </w:rPr>
  </w:style>
  <w:style w:type="character" w:customStyle="1" w:styleId="106">
    <w:name w:val="f14b1"/>
    <w:qFormat/>
    <w:uiPriority w:val="0"/>
    <w:rPr>
      <w:b/>
      <w:bCs/>
      <w:sz w:val="21"/>
      <w:szCs w:val="21"/>
    </w:rPr>
  </w:style>
  <w:style w:type="character" w:customStyle="1" w:styleId="107">
    <w:name w:val="font21"/>
    <w:qFormat/>
    <w:uiPriority w:val="0"/>
    <w:rPr>
      <w:rFonts w:hint="eastAsia" w:ascii="宋体" w:hAnsi="宋体" w:eastAsia="宋体" w:cs="宋体"/>
      <w:color w:val="00B050"/>
      <w:sz w:val="24"/>
      <w:szCs w:val="24"/>
      <w:u w:val="none"/>
    </w:rPr>
  </w:style>
  <w:style w:type="character" w:customStyle="1" w:styleId="108">
    <w:name w:val=" Char Char Char Char Char Char Char Char Char"/>
    <w:qFormat/>
    <w:uiPriority w:val="0"/>
    <w:rPr>
      <w:rFonts w:ascii="宋体" w:eastAsia="宋体"/>
      <w:sz w:val="24"/>
      <w:lang w:val="en-US" w:eastAsia="zh-CN" w:bidi="ar-SA"/>
    </w:rPr>
  </w:style>
  <w:style w:type="character" w:customStyle="1" w:styleId="109">
    <w:name w:val=" Char Char5"/>
    <w:qFormat/>
    <w:locked/>
    <w:uiPriority w:val="0"/>
    <w:rPr>
      <w:rFonts w:ascii="宋体" w:eastAsia="宋体"/>
      <w:sz w:val="24"/>
      <w:szCs w:val="24"/>
      <w:lang w:val="en-US" w:eastAsia="zh-CN" w:bidi="ar-SA"/>
    </w:rPr>
  </w:style>
  <w:style w:type="character" w:customStyle="1" w:styleId="110">
    <w:name w:val="font41"/>
    <w:qFormat/>
    <w:uiPriority w:val="0"/>
    <w:rPr>
      <w:rFonts w:hint="eastAsia" w:ascii="宋体" w:hAnsi="宋体" w:eastAsia="宋体" w:cs="宋体"/>
      <w:color w:val="FF0000"/>
      <w:sz w:val="28"/>
      <w:szCs w:val="28"/>
      <w:u w:val="none"/>
    </w:rPr>
  </w:style>
  <w:style w:type="character" w:customStyle="1" w:styleId="111">
    <w:name w:val="font01"/>
    <w:qFormat/>
    <w:uiPriority w:val="0"/>
    <w:rPr>
      <w:rFonts w:hint="eastAsia" w:ascii="宋体" w:hAnsi="宋体" w:eastAsia="宋体" w:cs="宋体"/>
      <w:color w:val="000000"/>
      <w:sz w:val="28"/>
      <w:szCs w:val="28"/>
      <w:u w:val="none"/>
    </w:rPr>
  </w:style>
  <w:style w:type="character" w:customStyle="1" w:styleId="112">
    <w:name w:val="*正文 Char"/>
    <w:link w:val="113"/>
    <w:qFormat/>
    <w:locked/>
    <w:uiPriority w:val="0"/>
    <w:rPr>
      <w:rFonts w:ascii="仿宋" w:hAnsi="仿宋" w:eastAsia="仿宋" w:cs="仿宋"/>
      <w:color w:val="000000"/>
      <w:sz w:val="28"/>
      <w:szCs w:val="28"/>
    </w:rPr>
  </w:style>
  <w:style w:type="paragraph" w:customStyle="1" w:styleId="113">
    <w:name w:val="*正文"/>
    <w:basedOn w:val="1"/>
    <w:link w:val="112"/>
    <w:qFormat/>
    <w:uiPriority w:val="0"/>
    <w:pPr>
      <w:widowControl/>
      <w:spacing w:line="360" w:lineRule="auto"/>
      <w:ind w:firstLine="200" w:firstLineChars="200"/>
    </w:pPr>
    <w:rPr>
      <w:rFonts w:ascii="仿宋" w:hAnsi="仿宋" w:eastAsia="仿宋" w:cs="仿宋"/>
      <w:color w:val="000000"/>
      <w:kern w:val="0"/>
      <w:sz w:val="28"/>
      <w:szCs w:val="28"/>
    </w:rPr>
  </w:style>
  <w:style w:type="character" w:customStyle="1" w:styleId="114">
    <w:name w:val="Para head"/>
    <w:qFormat/>
    <w:uiPriority w:val="0"/>
    <w:rPr>
      <w:rFonts w:ascii="Arial" w:hAnsi="Arial" w:eastAsia="Times New Roman"/>
      <w:sz w:val="20"/>
    </w:rPr>
  </w:style>
  <w:style w:type="character" w:customStyle="1" w:styleId="115">
    <w:name w:val="font51"/>
    <w:qFormat/>
    <w:uiPriority w:val="0"/>
    <w:rPr>
      <w:rFonts w:hint="eastAsia" w:ascii="宋体" w:hAnsi="宋体" w:eastAsia="宋体" w:cs="宋体"/>
      <w:color w:val="000000"/>
      <w:sz w:val="24"/>
      <w:szCs w:val="24"/>
      <w:u w:val="none"/>
    </w:rPr>
  </w:style>
  <w:style w:type="paragraph" w:customStyle="1" w:styleId="11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kern w:val="0"/>
      <w:sz w:val="26"/>
      <w:szCs w:val="26"/>
    </w:rPr>
  </w:style>
  <w:style w:type="paragraph" w:customStyle="1" w:styleId="117">
    <w:name w:val="菲页(卷)"/>
    <w:basedOn w:val="2"/>
    <w:next w:val="118"/>
    <w:qFormat/>
    <w:uiPriority w:val="0"/>
    <w:pPr>
      <w:widowControl/>
      <w:numPr>
        <w:ilvl w:val="0"/>
        <w:numId w:val="0"/>
      </w:numPr>
      <w:spacing w:line="240" w:lineRule="auto"/>
      <w:ind w:left="432" w:hanging="432"/>
      <w:outlineLvl w:val="1"/>
    </w:pPr>
    <w:rPr>
      <w:rFonts w:hint="eastAsia" w:ascii="黑体" w:eastAsia="黑体"/>
      <w:b w:val="0"/>
      <w:bCs w:val="0"/>
      <w:color w:val="auto"/>
      <w:kern w:val="0"/>
      <w:sz w:val="52"/>
    </w:rPr>
  </w:style>
  <w:style w:type="paragraph" w:customStyle="1" w:styleId="118">
    <w:name w:val="Normal"/>
    <w:basedOn w:val="119"/>
    <w:qFormat/>
    <w:uiPriority w:val="0"/>
    <w:pPr>
      <w:widowControl w:val="0"/>
      <w:adjustRightInd w:val="0"/>
      <w:spacing w:line="312" w:lineRule="atLeast"/>
      <w:jc w:val="both"/>
      <w:textAlignment w:val="baseline"/>
    </w:pPr>
    <w:rPr>
      <w:rFonts w:ascii="宋体"/>
      <w:sz w:val="34"/>
      <w:lang w:val="en-US" w:eastAsia="zh-CN" w:bidi="ar-SA"/>
    </w:rPr>
  </w:style>
  <w:style w:type="paragraph" w:customStyle="1" w:styleId="119">
    <w:name w:val="正文_0"/>
    <w:basedOn w:val="120"/>
    <w:next w:val="20"/>
    <w:qFormat/>
    <w:uiPriority w:val="0"/>
    <w:pPr>
      <w:widowControl w:val="0"/>
      <w:jc w:val="both"/>
    </w:pPr>
    <w:rPr>
      <w:kern w:val="2"/>
      <w:sz w:val="21"/>
      <w:szCs w:val="24"/>
      <w:lang w:val="en-US" w:eastAsia="zh-CN" w:bidi="ar-SA"/>
    </w:rPr>
  </w:style>
  <w:style w:type="paragraph" w:customStyle="1" w:styleId="120">
    <w:name w:val="正文_1"/>
    <w:next w:val="1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列表_0"/>
    <w:basedOn w:val="120"/>
    <w:semiHidden/>
    <w:qFormat/>
    <w:locked/>
    <w:uiPriority w:val="0"/>
    <w:pPr>
      <w:ind w:left="200" w:hanging="200" w:hangingChars="200"/>
    </w:pPr>
  </w:style>
  <w:style w:type="paragraph" w:customStyle="1" w:styleId="122">
    <w:name w:val="xl48"/>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6"/>
      <w:szCs w:val="26"/>
    </w:rPr>
  </w:style>
  <w:style w:type="paragraph" w:customStyle="1" w:styleId="1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2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36"/>
      <w:szCs w:val="36"/>
    </w:rPr>
  </w:style>
  <w:style w:type="paragraph" w:customStyle="1" w:styleId="125">
    <w:name w:val="附件"/>
    <w:basedOn w:val="1"/>
    <w:qFormat/>
    <w:uiPriority w:val="0"/>
    <w:pPr>
      <w:jc w:val="center"/>
    </w:pPr>
    <w:rPr>
      <w:rFonts w:ascii="宋体"/>
      <w:b/>
      <w:color w:val="000000"/>
      <w:sz w:val="36"/>
      <w:szCs w:val="36"/>
    </w:rPr>
  </w:style>
  <w:style w:type="paragraph" w:customStyle="1" w:styleId="126">
    <w:name w:val="样式 标题 2 + (西文) 方正书宋简体 (中文) 方正黑体简体 非加粗 黑色 行距: 固定值 15 磅1"/>
    <w:basedOn w:val="3"/>
    <w:qFormat/>
    <w:uiPriority w:val="0"/>
    <w:pPr>
      <w:spacing w:before="0" w:after="0" w:line="300" w:lineRule="exact"/>
      <w:jc w:val="left"/>
    </w:pPr>
    <w:rPr>
      <w:rFonts w:ascii="方正书宋简体" w:hAnsi="宋体" w:eastAsia="方正小标宋简体" w:cs="宋体"/>
      <w:b w:val="0"/>
      <w:bCs w:val="0"/>
      <w:color w:val="000000"/>
      <w:sz w:val="21"/>
      <w:szCs w:val="20"/>
    </w:rPr>
  </w:style>
  <w:style w:type="paragraph" w:customStyle="1" w:styleId="127">
    <w:name w:val="font10"/>
    <w:basedOn w:val="1"/>
    <w:qFormat/>
    <w:uiPriority w:val="0"/>
    <w:pPr>
      <w:widowControl/>
      <w:spacing w:before="100" w:beforeLines="0" w:beforeAutospacing="1" w:after="100" w:afterLines="0" w:afterAutospacing="1"/>
      <w:jc w:val="left"/>
    </w:pPr>
    <w:rPr>
      <w:rFonts w:eastAsia="Arial Unicode MS"/>
      <w:color w:val="000000"/>
      <w:kern w:val="0"/>
      <w:szCs w:val="21"/>
    </w:rPr>
  </w:style>
  <w:style w:type="paragraph" w:customStyle="1" w:styleId="128">
    <w:name w:val="searchare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9">
    <w:name w:val=" Char Char Char"/>
    <w:basedOn w:val="1"/>
    <w:qFormat/>
    <w:uiPriority w:val="0"/>
    <w:rPr>
      <w:rFonts w:ascii="Tahoma" w:hAnsi="Tahoma"/>
      <w:sz w:val="24"/>
    </w:rPr>
  </w:style>
  <w:style w:type="paragraph" w:customStyle="1" w:styleId="13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kern w:val="0"/>
      <w:sz w:val="26"/>
      <w:szCs w:val="26"/>
    </w:rPr>
  </w:style>
  <w:style w:type="paragraph" w:customStyle="1" w:styleId="131">
    <w:name w:val="样式1"/>
    <w:basedOn w:val="1"/>
    <w:qFormat/>
    <w:uiPriority w:val="0"/>
    <w:pPr>
      <w:spacing w:before="120" w:beforeLines="0" w:after="120" w:afterLines="0" w:line="300" w:lineRule="auto"/>
    </w:pPr>
    <w:rPr>
      <w:rFonts w:hint="eastAsia" w:ascii="宋体" w:hAnsi="宋体"/>
      <w:b/>
      <w:sz w:val="24"/>
    </w:rPr>
  </w:style>
  <w:style w:type="paragraph" w:customStyle="1" w:styleId="132">
    <w:name w:val="Char Char Char Char"/>
    <w:basedOn w:val="1"/>
    <w:qFormat/>
    <w:uiPriority w:val="0"/>
    <w:pPr>
      <w:widowControl/>
      <w:spacing w:after="160" w:afterLines="0" w:line="240" w:lineRule="exact"/>
      <w:jc w:val="left"/>
    </w:pPr>
    <w:rPr>
      <w:rFonts w:ascii="Arial" w:hAnsi="Arial" w:eastAsia="Times New Roman" w:cs="Verdana"/>
      <w:b/>
      <w:kern w:val="0"/>
      <w:sz w:val="24"/>
      <w:lang w:eastAsia="en-US"/>
    </w:rPr>
  </w:style>
  <w:style w:type="paragraph" w:customStyle="1" w:styleId="133">
    <w:name w:val="font9"/>
    <w:basedOn w:val="1"/>
    <w:qFormat/>
    <w:uiPriority w:val="0"/>
    <w:pPr>
      <w:widowControl/>
      <w:spacing w:before="100" w:beforeLines="0" w:beforeAutospacing="1" w:after="100" w:afterLines="0" w:afterAutospacing="1"/>
      <w:jc w:val="left"/>
    </w:pPr>
    <w:rPr>
      <w:rFonts w:hint="eastAsia" w:ascii="宋体" w:hAnsi="宋体" w:cs="Arial Unicode MS"/>
      <w:kern w:val="0"/>
      <w:sz w:val="30"/>
      <w:szCs w:val="30"/>
    </w:rPr>
  </w:style>
  <w:style w:type="paragraph" w:customStyle="1" w:styleId="134">
    <w:name w:val="菲页2"/>
    <w:basedOn w:val="4"/>
    <w:qFormat/>
    <w:uiPriority w:val="0"/>
    <w:pPr>
      <w:widowControl/>
      <w:numPr>
        <w:ilvl w:val="2"/>
        <w:numId w:val="0"/>
      </w:numPr>
      <w:spacing w:before="120" w:beforeLines="0" w:after="120" w:afterLines="0" w:line="360" w:lineRule="auto"/>
      <w:ind w:left="720" w:hanging="720"/>
      <w:jc w:val="center"/>
    </w:pPr>
    <w:rPr>
      <w:rFonts w:hint="eastAsia" w:ascii="黑体" w:hAnsi="宋体" w:eastAsia="黑体"/>
      <w:b w:val="0"/>
      <w:bCs w:val="0"/>
      <w:kern w:val="0"/>
      <w:sz w:val="44"/>
      <w:szCs w:val="20"/>
    </w:rPr>
  </w:style>
  <w:style w:type="paragraph" w:customStyle="1" w:styleId="135">
    <w:name w:val="font5"/>
    <w:basedOn w:val="1"/>
    <w:qFormat/>
    <w:uiPriority w:val="0"/>
    <w:pPr>
      <w:widowControl/>
      <w:spacing w:before="100" w:beforeLines="0" w:beforeAutospacing="1" w:after="100" w:afterLines="0" w:afterAutospacing="1"/>
      <w:jc w:val="left"/>
    </w:pPr>
    <w:rPr>
      <w:rFonts w:hint="eastAsia" w:ascii="宋体" w:hAnsi="宋体" w:cs="Arial Unicode MS"/>
      <w:kern w:val="0"/>
      <w:sz w:val="18"/>
      <w:szCs w:val="18"/>
    </w:rPr>
  </w:style>
  <w:style w:type="paragraph" w:customStyle="1" w:styleId="13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Unicode MS" w:hAnsi="Arial Unicode MS" w:eastAsia="Arial Unicode MS" w:cs="Arial Unicode MS"/>
      <w:kern w:val="0"/>
      <w:sz w:val="36"/>
      <w:szCs w:val="36"/>
    </w:rPr>
  </w:style>
  <w:style w:type="paragraph" w:customStyle="1" w:styleId="137">
    <w:name w:val="Char Char Char"/>
    <w:basedOn w:val="1"/>
    <w:qFormat/>
    <w:uiPriority w:val="0"/>
    <w:rPr>
      <w:rFonts w:ascii="Tahoma" w:hAnsi="Tahoma"/>
      <w:sz w:val="24"/>
    </w:rPr>
  </w:style>
  <w:style w:type="paragraph" w:customStyle="1" w:styleId="13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Unicode MS" w:hAnsi="Arial Unicode MS" w:eastAsia="Arial Unicode MS" w:cs="Arial Unicode MS"/>
      <w:kern w:val="0"/>
      <w:sz w:val="36"/>
      <w:szCs w:val="36"/>
    </w:rPr>
  </w:style>
  <w:style w:type="paragraph" w:customStyle="1" w:styleId="139">
    <w:name w:val="Char"/>
    <w:basedOn w:val="1"/>
    <w:qFormat/>
    <w:uiPriority w:val="0"/>
    <w:pPr>
      <w:widowControl/>
      <w:spacing w:after="160" w:line="240" w:lineRule="exact"/>
      <w:jc w:val="left"/>
    </w:pPr>
    <w:rPr>
      <w:rFonts w:ascii="Verdana" w:hAnsi="Verdana"/>
      <w:kern w:val="0"/>
      <w:sz w:val="20"/>
      <w:lang w:eastAsia="en-US"/>
    </w:rPr>
  </w:style>
  <w:style w:type="paragraph" w:customStyle="1" w:styleId="140">
    <w:name w:val="font7"/>
    <w:basedOn w:val="1"/>
    <w:qFormat/>
    <w:uiPriority w:val="0"/>
    <w:pPr>
      <w:widowControl/>
      <w:spacing w:before="100" w:beforeLines="0" w:beforeAutospacing="1" w:after="100" w:afterLines="0" w:afterAutospacing="1"/>
      <w:jc w:val="left"/>
    </w:pPr>
    <w:rPr>
      <w:rFonts w:hint="eastAsia" w:ascii="宋体" w:hAnsi="宋体" w:cs="Arial Unicode MS"/>
      <w:kern w:val="0"/>
      <w:sz w:val="26"/>
      <w:szCs w:val="26"/>
    </w:rPr>
  </w:style>
  <w:style w:type="paragraph" w:customStyle="1" w:styleId="141">
    <w:name w:val="No Spacing"/>
    <w:qFormat/>
    <w:uiPriority w:val="0"/>
    <w:pPr>
      <w:widowControl w:val="0"/>
      <w:ind w:firstLine="200" w:firstLineChars="200"/>
      <w:jc w:val="both"/>
    </w:pPr>
    <w:rPr>
      <w:rFonts w:ascii="Times New Roman" w:hAnsi="Times New Roman" w:eastAsia="楷体" w:cs="Times New Roman"/>
      <w:kern w:val="2"/>
      <w:sz w:val="24"/>
      <w:szCs w:val="22"/>
      <w:lang w:val="en-US" w:eastAsia="zh-CN" w:bidi="ar-SA"/>
    </w:rPr>
  </w:style>
  <w:style w:type="paragraph" w:customStyle="1" w:styleId="142">
    <w:name w:val="样式 标题 2 + (西文) 方正书宋简体 (中文) 方正黑体简体 非加粗 黑色 行距: 固定值 15 磅2"/>
    <w:basedOn w:val="3"/>
    <w:qFormat/>
    <w:uiPriority w:val="0"/>
    <w:pPr>
      <w:spacing w:before="0" w:after="0" w:line="300" w:lineRule="exact"/>
      <w:ind w:firstLine="200" w:firstLineChars="200"/>
      <w:jc w:val="left"/>
    </w:pPr>
    <w:rPr>
      <w:rFonts w:ascii="方正书宋简体" w:eastAsia="方正小标宋简体" w:cs="宋体"/>
      <w:b w:val="0"/>
      <w:bCs w:val="0"/>
      <w:color w:val="000000"/>
      <w:sz w:val="21"/>
      <w:szCs w:val="20"/>
    </w:rPr>
  </w:style>
  <w:style w:type="paragraph" w:customStyle="1" w:styleId="143">
    <w:name w:val="xl45"/>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6"/>
      <w:szCs w:val="26"/>
    </w:rPr>
  </w:style>
  <w:style w:type="paragraph" w:customStyle="1" w:styleId="14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30"/>
      <w:szCs w:val="30"/>
    </w:rPr>
  </w:style>
  <w:style w:type="paragraph" w:customStyle="1" w:styleId="145">
    <w:name w:val="列出段落1"/>
    <w:basedOn w:val="1"/>
    <w:qFormat/>
    <w:uiPriority w:val="0"/>
    <w:pPr>
      <w:ind w:firstLine="420" w:firstLineChars="200"/>
    </w:pPr>
    <w:rPr>
      <w:rFonts w:ascii="Calibri" w:hAnsi="Calibri"/>
      <w:kern w:val="0"/>
      <w:sz w:val="20"/>
      <w:szCs w:val="22"/>
    </w:rPr>
  </w:style>
  <w:style w:type="paragraph" w:customStyle="1" w:styleId="146">
    <w:name w:val=" Char1 Char Char Char Char Char Char"/>
    <w:basedOn w:val="1"/>
    <w:qFormat/>
    <w:uiPriority w:val="0"/>
    <w:rPr>
      <w:rFonts w:ascii="Tahoma" w:hAnsi="Tahoma"/>
      <w:sz w:val="24"/>
    </w:rPr>
  </w:style>
  <w:style w:type="paragraph" w:customStyle="1" w:styleId="147">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textAlignment w:val="center"/>
    </w:pPr>
    <w:rPr>
      <w:rFonts w:ascii="Arial Unicode MS" w:hAnsi="Arial Unicode MS" w:eastAsia="Arial Unicode MS" w:cs="Arial Unicode MS"/>
      <w:color w:val="000000"/>
      <w:kern w:val="0"/>
      <w:szCs w:val="21"/>
    </w:rPr>
  </w:style>
  <w:style w:type="paragraph" w:customStyle="1" w:styleId="14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6"/>
      <w:szCs w:val="26"/>
    </w:rPr>
  </w:style>
  <w:style w:type="paragraph" w:customStyle="1" w:styleId="149">
    <w:name w:val="正文 1.1.1"/>
    <w:basedOn w:val="1"/>
    <w:next w:val="1"/>
    <w:qFormat/>
    <w:uiPriority w:val="0"/>
    <w:pPr>
      <w:adjustRightInd w:val="0"/>
      <w:spacing w:line="360" w:lineRule="auto"/>
      <w:ind w:left="142"/>
      <w:jc w:val="left"/>
      <w:textAlignment w:val="baseline"/>
      <w:outlineLvl w:val="2"/>
    </w:pPr>
    <w:rPr>
      <w:rFonts w:ascii="宋体" w:hAnsi="宋体"/>
      <w:color w:val="FF0000"/>
      <w:kern w:val="0"/>
      <w:sz w:val="28"/>
      <w:szCs w:val="21"/>
    </w:rPr>
  </w:style>
  <w:style w:type="paragraph" w:customStyle="1" w:styleId="150">
    <w:name w:val="xl44"/>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6"/>
      <w:szCs w:val="26"/>
    </w:rPr>
  </w:style>
  <w:style w:type="paragraph" w:customStyle="1" w:styleId="151">
    <w:name w:val="xl49"/>
    <w:basedOn w:val="1"/>
    <w:qFormat/>
    <w:uiPriority w:val="0"/>
    <w:pPr>
      <w:widowControl/>
      <w:pBdr>
        <w:bottom w:val="single" w:color="auto" w:sz="4" w:space="0"/>
      </w:pBdr>
      <w:spacing w:before="100" w:beforeLines="0" w:beforeAutospacing="1" w:after="100" w:afterLines="0" w:afterAutospacing="1"/>
      <w:jc w:val="center"/>
      <w:textAlignment w:val="top"/>
    </w:pPr>
    <w:rPr>
      <w:rFonts w:ascii="Arial Unicode MS" w:hAnsi="Arial Unicode MS" w:eastAsia="Arial Unicode MS" w:cs="Arial Unicode MS"/>
      <w:kern w:val="0"/>
      <w:sz w:val="36"/>
      <w:szCs w:val="36"/>
    </w:rPr>
  </w:style>
  <w:style w:type="paragraph" w:customStyle="1" w:styleId="15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6"/>
      <w:szCs w:val="26"/>
    </w:rPr>
  </w:style>
  <w:style w:type="paragraph" w:customStyle="1" w:styleId="153">
    <w:name w:val="xl47"/>
    <w:basedOn w:val="1"/>
    <w:qFormat/>
    <w:uiPriority w:val="0"/>
    <w:pPr>
      <w:widowControl/>
      <w:pBdr>
        <w:bottom w:val="single" w:color="auto" w:sz="4" w:space="0"/>
      </w:pBdr>
      <w:spacing w:before="100" w:beforeLines="0" w:beforeAutospacing="1" w:after="100" w:afterLines="0" w:afterAutospacing="1"/>
      <w:jc w:val="center"/>
      <w:textAlignment w:val="top"/>
    </w:pPr>
    <w:rPr>
      <w:rFonts w:ascii="Arial Unicode MS" w:hAnsi="Arial Unicode MS" w:eastAsia="Arial Unicode MS" w:cs="Arial Unicode MS"/>
      <w:kern w:val="0"/>
      <w:sz w:val="36"/>
      <w:szCs w:val="36"/>
    </w:rPr>
  </w:style>
  <w:style w:type="paragraph" w:customStyle="1" w:styleId="15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6"/>
      <w:szCs w:val="26"/>
    </w:rPr>
  </w:style>
  <w:style w:type="paragraph" w:customStyle="1" w:styleId="155">
    <w:name w:val="xl4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6"/>
      <w:szCs w:val="26"/>
    </w:rPr>
  </w:style>
  <w:style w:type="paragraph" w:customStyle="1" w:styleId="156">
    <w:name w:val=" Char"/>
    <w:basedOn w:val="1"/>
    <w:qFormat/>
    <w:uiPriority w:val="0"/>
    <w:rPr>
      <w:szCs w:val="24"/>
    </w:rPr>
  </w:style>
  <w:style w:type="paragraph" w:customStyle="1" w:styleId="157">
    <w:name w:val="font11"/>
    <w:basedOn w:val="1"/>
    <w:qFormat/>
    <w:uiPriority w:val="0"/>
    <w:pPr>
      <w:widowControl/>
      <w:spacing w:before="100" w:beforeLines="0" w:beforeAutospacing="1" w:after="100" w:afterLines="0" w:afterAutospacing="1"/>
      <w:jc w:val="left"/>
    </w:pPr>
    <w:rPr>
      <w:rFonts w:hint="eastAsia" w:ascii="宋体" w:hAnsi="宋体" w:cs="Arial Unicode MS"/>
      <w:color w:val="000000"/>
      <w:kern w:val="0"/>
      <w:sz w:val="20"/>
    </w:rPr>
  </w:style>
  <w:style w:type="paragraph" w:customStyle="1" w:styleId="15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16"/>
      <w:szCs w:val="16"/>
    </w:rPr>
  </w:style>
  <w:style w:type="paragraph" w:customStyle="1" w:styleId="159">
    <w:name w:val="样式一"/>
    <w:basedOn w:val="1"/>
    <w:qFormat/>
    <w:uiPriority w:val="0"/>
    <w:pPr>
      <w:autoSpaceDE w:val="0"/>
      <w:autoSpaceDN w:val="0"/>
      <w:adjustRightInd w:val="0"/>
      <w:spacing w:line="360" w:lineRule="auto"/>
      <w:textAlignment w:val="baseline"/>
    </w:pPr>
    <w:rPr>
      <w:rFonts w:ascii="宋体" w:hAnsi="宋体"/>
      <w:kern w:val="0"/>
      <w:sz w:val="24"/>
      <w:lang w:val="en-GB"/>
    </w:rPr>
  </w:style>
  <w:style w:type="paragraph" w:customStyle="1" w:styleId="160">
    <w:name w:val="封面2"/>
    <w:basedOn w:val="1"/>
    <w:qFormat/>
    <w:uiPriority w:val="0"/>
    <w:pPr>
      <w:adjustRightInd w:val="0"/>
      <w:spacing w:line="400" w:lineRule="exact"/>
      <w:ind w:firstLine="480" w:firstLineChars="200"/>
      <w:textAlignment w:val="baseline"/>
    </w:pPr>
    <w:rPr>
      <w:kern w:val="0"/>
      <w:sz w:val="32"/>
      <w:szCs w:val="34"/>
    </w:rPr>
  </w:style>
  <w:style w:type="paragraph" w:customStyle="1" w:styleId="161">
    <w:name w:val="Char Char Char Char Char Char Char Char Char Char Char Char Char"/>
    <w:basedOn w:val="1"/>
    <w:qFormat/>
    <w:uiPriority w:val="0"/>
    <w:rPr>
      <w:rFonts w:ascii="仿宋_GB2312" w:eastAsia="仿宋_GB2312"/>
      <w:b/>
      <w:sz w:val="32"/>
      <w:szCs w:val="32"/>
    </w:rPr>
  </w:style>
  <w:style w:type="paragraph" w:customStyle="1" w:styleId="162">
    <w:name w:val="Plain Text"/>
    <w:basedOn w:val="1"/>
    <w:qFormat/>
    <w:uiPriority w:val="0"/>
    <w:pPr>
      <w:adjustRightInd w:val="0"/>
    </w:pPr>
  </w:style>
  <w:style w:type="paragraph" w:customStyle="1" w:styleId="16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kern w:val="0"/>
      <w:sz w:val="26"/>
      <w:szCs w:val="26"/>
    </w:rPr>
  </w:style>
  <w:style w:type="paragraph" w:customStyle="1" w:styleId="164">
    <w:name w:val="目录文字"/>
    <w:basedOn w:val="1"/>
    <w:qFormat/>
    <w:uiPriority w:val="0"/>
    <w:pPr>
      <w:widowControl/>
      <w:spacing w:line="480" w:lineRule="auto"/>
      <w:jc w:val="left"/>
    </w:pPr>
    <w:rPr>
      <w:rFonts w:hint="eastAsia" w:ascii="宋体" w:hAnsi="宋体"/>
      <w:kern w:val="0"/>
      <w:sz w:val="24"/>
    </w:rPr>
  </w:style>
  <w:style w:type="paragraph" w:customStyle="1" w:styleId="165">
    <w:name w:val="font1"/>
    <w:basedOn w:val="1"/>
    <w:qFormat/>
    <w:uiPriority w:val="0"/>
    <w:pPr>
      <w:widowControl/>
      <w:spacing w:before="100" w:beforeLines="0" w:beforeAutospacing="1" w:after="100" w:afterLines="0" w:afterAutospacing="1"/>
      <w:jc w:val="left"/>
    </w:pPr>
    <w:rPr>
      <w:rFonts w:hint="eastAsia" w:ascii="宋体" w:hAnsi="宋体" w:cs="Arial Unicode MS"/>
      <w:kern w:val="0"/>
      <w:sz w:val="24"/>
      <w:szCs w:val="24"/>
    </w:rPr>
  </w:style>
  <w:style w:type="paragraph" w:customStyle="1" w:styleId="166">
    <w:name w:val="标准段"/>
    <w:basedOn w:val="1"/>
    <w:qFormat/>
    <w:uiPriority w:val="0"/>
    <w:pPr>
      <w:widowControl/>
      <w:overflowPunct w:val="0"/>
      <w:autoSpaceDE w:val="0"/>
      <w:adjustRightInd w:val="0"/>
      <w:snapToGrid w:val="0"/>
      <w:spacing w:before="100" w:beforeLines="0" w:after="100" w:afterLines="0"/>
      <w:ind w:left="718" w:right="26"/>
      <w:textAlignment w:val="baseline"/>
    </w:pPr>
    <w:rPr>
      <w:color w:val="000000"/>
      <w:kern w:val="0"/>
      <w:sz w:val="24"/>
    </w:rPr>
  </w:style>
  <w:style w:type="paragraph" w:customStyle="1" w:styleId="167">
    <w:name w:val="正文空2格  1."/>
    <w:basedOn w:val="1"/>
    <w:qFormat/>
    <w:uiPriority w:val="0"/>
    <w:pPr>
      <w:adjustRightInd w:val="0"/>
      <w:spacing w:line="360" w:lineRule="auto"/>
      <w:ind w:firstLine="480" w:firstLineChars="200"/>
      <w:textAlignment w:val="baseline"/>
    </w:pPr>
    <w:rPr>
      <w:rFonts w:ascii="宋体" w:eastAsia="仿宋" w:cs="宋体"/>
      <w:kern w:val="0"/>
      <w:sz w:val="28"/>
    </w:rPr>
  </w:style>
  <w:style w:type="paragraph" w:customStyle="1" w:styleId="168">
    <w:name w:val="font8"/>
    <w:basedOn w:val="1"/>
    <w:qFormat/>
    <w:uiPriority w:val="0"/>
    <w:pPr>
      <w:widowControl/>
      <w:spacing w:before="100" w:beforeLines="0" w:beforeAutospacing="1" w:after="100" w:afterLines="0" w:afterAutospacing="1"/>
      <w:jc w:val="left"/>
    </w:pPr>
    <w:rPr>
      <w:rFonts w:eastAsia="Arial Unicode MS"/>
      <w:kern w:val="0"/>
      <w:sz w:val="30"/>
      <w:szCs w:val="30"/>
    </w:rPr>
  </w:style>
  <w:style w:type="paragraph" w:customStyle="1" w:styleId="169">
    <w:name w:val="章标题"/>
    <w:next w:val="1"/>
    <w:qFormat/>
    <w:uiPriority w:val="0"/>
    <w:pPr>
      <w:spacing w:beforeLines="50" w:afterLines="50"/>
      <w:jc w:val="both"/>
      <w:outlineLvl w:val="1"/>
    </w:pPr>
    <w:rPr>
      <w:rFonts w:ascii="黑体" w:hAnsi="Times New Roman" w:eastAsia="黑体" w:cs="黑体"/>
      <w:sz w:val="21"/>
      <w:szCs w:val="21"/>
      <w:lang w:val="en-US" w:eastAsia="zh-CN" w:bidi="ar-SA"/>
    </w:rPr>
  </w:style>
  <w:style w:type="paragraph" w:customStyle="1" w:styleId="1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Arial Unicode MS" w:hAnsi="Arial Unicode MS" w:eastAsia="Arial Unicode MS" w:cs="Arial Unicode MS"/>
      <w:kern w:val="0"/>
      <w:sz w:val="26"/>
      <w:szCs w:val="26"/>
    </w:rPr>
  </w:style>
  <w:style w:type="paragraph" w:customStyle="1" w:styleId="17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center"/>
    </w:pPr>
    <w:rPr>
      <w:rFonts w:ascii="Arial Unicode MS" w:hAnsi="Arial Unicode MS" w:eastAsia="Arial Unicode MS" w:cs="Arial Unicode MS"/>
      <w:kern w:val="0"/>
      <w:sz w:val="26"/>
      <w:szCs w:val="26"/>
    </w:rPr>
  </w:style>
  <w:style w:type="paragraph" w:customStyle="1" w:styleId="17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30"/>
      <w:szCs w:val="30"/>
    </w:rPr>
  </w:style>
  <w:style w:type="paragraph" w:customStyle="1" w:styleId="173">
    <w:name w:val="."/>
    <w:basedOn w:val="1"/>
    <w:qFormat/>
    <w:uiPriority w:val="0"/>
    <w:pPr>
      <w:widowControl/>
      <w:tabs>
        <w:tab w:val="left" w:pos="360"/>
      </w:tabs>
      <w:ind w:left="360" w:hanging="360"/>
      <w:jc w:val="left"/>
    </w:pPr>
    <w:rPr>
      <w:kern w:val="0"/>
      <w:sz w:val="20"/>
    </w:rPr>
  </w:style>
  <w:style w:type="paragraph" w:customStyle="1" w:styleId="17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textAlignment w:val="center"/>
    </w:pPr>
    <w:rPr>
      <w:rFonts w:ascii="Arial Unicode MS" w:hAnsi="Arial Unicode MS" w:eastAsia="Arial Unicode MS" w:cs="Arial Unicode MS"/>
      <w:color w:val="000000"/>
      <w:kern w:val="0"/>
      <w:szCs w:val="21"/>
    </w:rPr>
  </w:style>
  <w:style w:type="paragraph" w:customStyle="1" w:styleId="175">
    <w:name w:val="1.1"/>
    <w:basedOn w:val="1"/>
    <w:qFormat/>
    <w:uiPriority w:val="0"/>
    <w:pPr>
      <w:spacing w:line="360" w:lineRule="auto"/>
      <w:ind w:left="1" w:hanging="1"/>
    </w:pPr>
    <w:rPr>
      <w:rFonts w:ascii="宋体" w:hAnsi="宋体"/>
      <w:b/>
      <w:bCs/>
      <w:color w:val="000000"/>
      <w:sz w:val="24"/>
      <w:szCs w:val="24"/>
      <w:u w:val="none" w:color="FF0000"/>
    </w:rPr>
  </w:style>
  <w:style w:type="paragraph" w:customStyle="1" w:styleId="176">
    <w:name w:val="xl43"/>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6"/>
      <w:szCs w:val="26"/>
    </w:rPr>
  </w:style>
  <w:style w:type="paragraph" w:customStyle="1" w:styleId="177">
    <w:name w:val="样式 标题 2 + (西文) 方正书宋简体 (中文) 方正黑体简体 非加粗 黑色 段前: 0 磅 段后: 0 磅 行..."/>
    <w:basedOn w:val="3"/>
    <w:qFormat/>
    <w:uiPriority w:val="0"/>
    <w:pPr>
      <w:spacing w:before="0" w:after="0" w:line="300" w:lineRule="exact"/>
      <w:jc w:val="left"/>
    </w:pPr>
    <w:rPr>
      <w:rFonts w:ascii="方正书宋简体" w:hAnsi="宋体" w:eastAsia="方正小标宋简体" w:cs="宋体"/>
      <w:b w:val="0"/>
      <w:bCs w:val="0"/>
      <w:color w:val="000000"/>
      <w:sz w:val="21"/>
      <w:szCs w:val="20"/>
    </w:rPr>
  </w:style>
  <w:style w:type="paragraph" w:customStyle="1" w:styleId="178">
    <w:name w:val="font6"/>
    <w:basedOn w:val="1"/>
    <w:qFormat/>
    <w:uiPriority w:val="0"/>
    <w:pPr>
      <w:widowControl/>
      <w:spacing w:before="100" w:beforeLines="0" w:beforeAutospacing="1" w:after="100" w:afterLines="0" w:afterAutospacing="1"/>
      <w:jc w:val="left"/>
    </w:pPr>
    <w:rPr>
      <w:rFonts w:eastAsia="Arial Unicode MS"/>
      <w:kern w:val="0"/>
      <w:sz w:val="26"/>
      <w:szCs w:val="26"/>
    </w:rPr>
  </w:style>
  <w:style w:type="paragraph" w:customStyle="1" w:styleId="179">
    <w:name w:val="xl37"/>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top"/>
    </w:pPr>
    <w:rPr>
      <w:rFonts w:ascii="Arial Unicode MS" w:hAnsi="Arial Unicode MS" w:eastAsia="Arial Unicode MS" w:cs="Arial Unicode MS"/>
      <w:kern w:val="0"/>
      <w:szCs w:val="21"/>
    </w:rPr>
  </w:style>
  <w:style w:type="paragraph" w:customStyle="1" w:styleId="180">
    <w:name w:val="默认段落字体 Para Char Char Char Char Char Char Char Char Char Char"/>
    <w:basedOn w:val="1"/>
    <w:qFormat/>
    <w:uiPriority w:val="0"/>
    <w:rPr>
      <w:rFonts w:ascii="Tahoma" w:hAnsi="Tahoma"/>
      <w:sz w:val="24"/>
    </w:rPr>
  </w:style>
  <w:style w:type="paragraph" w:customStyle="1" w:styleId="181">
    <w:name w:val=" Char Char Char Char Char Char Char Char Char Char Char Char Char"/>
    <w:basedOn w:val="1"/>
    <w:qFormat/>
    <w:uiPriority w:val="0"/>
    <w:rPr>
      <w:rFonts w:ascii="仿宋_GB2312" w:eastAsia="仿宋_GB2312"/>
      <w:b/>
      <w:sz w:val="32"/>
      <w:szCs w:val="32"/>
    </w:rPr>
  </w:style>
  <w:style w:type="paragraph" w:customStyle="1" w:styleId="182">
    <w:name w:val="font12"/>
    <w:basedOn w:val="1"/>
    <w:qFormat/>
    <w:uiPriority w:val="0"/>
    <w:pPr>
      <w:widowControl/>
      <w:spacing w:before="100" w:beforeLines="0" w:beforeAutospacing="1" w:after="100" w:afterLines="0" w:afterAutospacing="1"/>
      <w:jc w:val="left"/>
    </w:pPr>
    <w:rPr>
      <w:rFonts w:hint="eastAsia" w:ascii="宋体" w:hAnsi="宋体" w:cs="Arial Unicode MS"/>
      <w:b/>
      <w:bCs/>
      <w:color w:val="000000"/>
      <w:kern w:val="0"/>
      <w:sz w:val="20"/>
    </w:rPr>
  </w:style>
  <w:style w:type="paragraph" w:customStyle="1" w:styleId="183">
    <w:name w:val="Blockquote"/>
    <w:basedOn w:val="1"/>
    <w:qFormat/>
    <w:uiPriority w:val="0"/>
    <w:pPr>
      <w:autoSpaceDE w:val="0"/>
      <w:autoSpaceDN w:val="0"/>
      <w:adjustRightInd w:val="0"/>
      <w:spacing w:before="100" w:after="100"/>
      <w:ind w:left="250" w:right="720"/>
      <w:jc w:val="left"/>
    </w:pPr>
    <w:rPr>
      <w:rFonts w:ascii="宋体" w:hAnsi="宋体"/>
      <w:color w:val="000080"/>
      <w:kern w:val="0"/>
      <w:sz w:val="24"/>
      <w:u w:val="single"/>
    </w:rPr>
  </w:style>
  <w:style w:type="paragraph" w:customStyle="1" w:styleId="1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6"/>
      <w:szCs w:val="26"/>
    </w:rPr>
  </w:style>
  <w:style w:type="paragraph" w:customStyle="1" w:styleId="185">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eastAsia="Arial Unicode MS"/>
      <w:color w:val="000000"/>
      <w:kern w:val="0"/>
      <w:sz w:val="26"/>
      <w:szCs w:val="26"/>
    </w:rPr>
  </w:style>
  <w:style w:type="paragraph" w:customStyle="1" w:styleId="186">
    <w:name w:val="1111 Char Char Char Char"/>
    <w:basedOn w:val="1"/>
    <w:qFormat/>
    <w:uiPriority w:val="0"/>
    <w:pPr>
      <w:spacing w:line="360" w:lineRule="auto"/>
      <w:ind w:firstLine="560" w:firstLineChars="200"/>
    </w:pPr>
  </w:style>
  <w:style w:type="paragraph" w:customStyle="1" w:styleId="187">
    <w:name w:val="xl2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top"/>
    </w:pPr>
    <w:rPr>
      <w:rFonts w:eastAsia="Arial Unicode MS"/>
      <w:kern w:val="0"/>
      <w:szCs w:val="21"/>
    </w:rPr>
  </w:style>
  <w:style w:type="paragraph" w:customStyle="1" w:styleId="188">
    <w:name w:val="样式 标题 2 + (西文) 方正书宋简体 (中文) 方正黑体简体 非加粗 黑色 行距: 固定值 15 磅"/>
    <w:basedOn w:val="3"/>
    <w:qFormat/>
    <w:uiPriority w:val="0"/>
    <w:pPr>
      <w:spacing w:before="0" w:after="0" w:line="300" w:lineRule="exact"/>
      <w:ind w:firstLine="200" w:firstLineChars="200"/>
      <w:jc w:val="left"/>
    </w:pPr>
    <w:rPr>
      <w:rFonts w:ascii="方正书宋简体" w:hAnsi="宋体" w:eastAsia="方正小标宋简体" w:cs="宋体"/>
      <w:b w:val="0"/>
      <w:bCs w:val="0"/>
      <w:color w:val="000000"/>
      <w:sz w:val="21"/>
      <w:szCs w:val="20"/>
    </w:rPr>
  </w:style>
  <w:style w:type="paragraph" w:customStyle="1" w:styleId="189">
    <w:name w:val="目录"/>
    <w:basedOn w:val="1"/>
    <w:qFormat/>
    <w:uiPriority w:val="0"/>
    <w:pPr>
      <w:widowControl/>
      <w:jc w:val="center"/>
    </w:pPr>
    <w:rPr>
      <w:rFonts w:hint="eastAsia" w:ascii="宋体"/>
      <w:b/>
      <w:kern w:val="0"/>
      <w:sz w:val="36"/>
    </w:rPr>
  </w:style>
  <w:style w:type="paragraph" w:customStyle="1" w:styleId="190">
    <w:name w:val="_Style 189"/>
    <w:basedOn w:val="2"/>
    <w:next w:val="1"/>
    <w:qFormat/>
    <w:uiPriority w:val="39"/>
    <w:pPr>
      <w:keepLines/>
      <w:widowControl/>
      <w:tabs>
        <w:tab w:val="clear" w:pos="432"/>
      </w:tabs>
      <w:spacing w:before="480" w:line="276" w:lineRule="auto"/>
      <w:ind w:left="0" w:firstLine="0"/>
      <w:jc w:val="left"/>
      <w:outlineLvl w:val="9"/>
    </w:pPr>
    <w:rPr>
      <w:rFonts w:ascii="Cambria" w:hAnsi="Cambria" w:eastAsia="宋体" w:cs="Times New Roman"/>
      <w:color w:val="365F91"/>
      <w:kern w:val="0"/>
      <w:sz w:val="28"/>
      <w:szCs w:val="28"/>
    </w:rPr>
  </w:style>
  <w:style w:type="paragraph" w:customStyle="1" w:styleId="191">
    <w:name w:val="样式 首行缩进:  2 字符"/>
    <w:basedOn w:val="1"/>
    <w:qFormat/>
    <w:uiPriority w:val="0"/>
    <w:pPr>
      <w:spacing w:after="160" w:line="400" w:lineRule="exact"/>
      <w:ind w:firstLine="200" w:firstLineChars="200"/>
    </w:pPr>
    <w:rPr>
      <w:rFonts w:ascii="Calibri" w:hAnsi="Calibri" w:cs="宋体"/>
      <w:sz w:val="24"/>
    </w:rPr>
  </w:style>
  <w:style w:type="paragraph" w:customStyle="1" w:styleId="192">
    <w:name w:val="文章标题"/>
    <w:basedOn w:val="1"/>
    <w:qFormat/>
    <w:uiPriority w:val="0"/>
    <w:pPr>
      <w:spacing w:line="480" w:lineRule="auto"/>
      <w:ind w:firstLine="541" w:firstLineChars="150"/>
    </w:pPr>
    <w:rPr>
      <w:rFonts w:ascii="宋体" w:hAnsi="宋体"/>
      <w:b/>
      <w:bCs/>
      <w:sz w:val="36"/>
    </w:rPr>
  </w:style>
  <w:style w:type="paragraph" w:customStyle="1" w:styleId="193">
    <w:name w:val="示例"/>
    <w:next w:val="1"/>
    <w:qFormat/>
    <w:uiPriority w:val="0"/>
    <w:pPr>
      <w:tabs>
        <w:tab w:val="left" w:pos="360"/>
      </w:tabs>
      <w:jc w:val="both"/>
    </w:pPr>
    <w:rPr>
      <w:rFonts w:ascii="宋体" w:hAnsi="Times New Roman" w:eastAsia="宋体" w:cs="宋体"/>
      <w:sz w:val="18"/>
      <w:szCs w:val="18"/>
      <w:lang w:val="en-US" w:eastAsia="zh-CN" w:bidi="ar-SA"/>
    </w:rPr>
  </w:style>
  <w:style w:type="paragraph" w:customStyle="1" w:styleId="19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30"/>
      <w:szCs w:val="30"/>
    </w:rPr>
  </w:style>
  <w:style w:type="paragraph" w:customStyle="1" w:styleId="195">
    <w:name w:val="封面"/>
    <w:basedOn w:val="1"/>
    <w:qFormat/>
    <w:uiPriority w:val="0"/>
    <w:pPr>
      <w:widowControl/>
      <w:tabs>
        <w:tab w:val="left" w:pos="6240"/>
      </w:tabs>
      <w:autoSpaceDE w:val="0"/>
      <w:autoSpaceDN w:val="0"/>
      <w:adjustRightInd w:val="0"/>
      <w:snapToGrid w:val="0"/>
      <w:jc w:val="center"/>
      <w:textAlignment w:val="bottom"/>
    </w:pPr>
    <w:rPr>
      <w:b/>
      <w:w w:val="90"/>
      <w:kern w:val="0"/>
      <w:sz w:val="48"/>
      <w:szCs w:val="48"/>
    </w:rPr>
  </w:style>
  <w:style w:type="paragraph" w:customStyle="1" w:styleId="196">
    <w:name w:val="1 Char Char Char Char"/>
    <w:basedOn w:val="1"/>
    <w:qFormat/>
    <w:uiPriority w:val="0"/>
    <w:rPr>
      <w:rFonts w:ascii="Tahoma" w:hAnsi="Tahoma"/>
      <w:sz w:val="24"/>
    </w:rPr>
  </w:style>
  <w:style w:type="paragraph" w:customStyle="1" w:styleId="197">
    <w:name w:val="一"/>
    <w:basedOn w:val="1"/>
    <w:qFormat/>
    <w:uiPriority w:val="0"/>
    <w:pPr>
      <w:tabs>
        <w:tab w:val="left" w:pos="840"/>
      </w:tabs>
      <w:ind w:left="840" w:hanging="360"/>
    </w:pPr>
    <w:rPr>
      <w:rFonts w:eastAsia="黑体"/>
      <w:b/>
      <w:sz w:val="24"/>
    </w:rPr>
  </w:style>
  <w:style w:type="paragraph" w:customStyle="1" w:styleId="198">
    <w:name w:val="菲页1"/>
    <w:basedOn w:val="3"/>
    <w:qFormat/>
    <w:uiPriority w:val="0"/>
    <w:pPr>
      <w:widowControl/>
      <w:spacing w:line="240" w:lineRule="auto"/>
      <w:jc w:val="center"/>
    </w:pPr>
    <w:rPr>
      <w:rFonts w:ascii="黑体" w:hAnsi="宋体"/>
      <w:b w:val="0"/>
      <w:kern w:val="0"/>
      <w:sz w:val="52"/>
      <w:szCs w:val="44"/>
    </w:rPr>
  </w:style>
  <w:style w:type="paragraph" w:customStyle="1" w:styleId="199">
    <w:name w:val="Body text|1"/>
    <w:basedOn w:val="1"/>
    <w:qFormat/>
    <w:uiPriority w:val="0"/>
    <w:pPr>
      <w:spacing w:line="480" w:lineRule="auto"/>
      <w:ind w:firstLine="400"/>
    </w:pPr>
    <w:rPr>
      <w:rFonts w:ascii="MingLiU" w:hAnsi="MingLiU" w:eastAsia="MingLiU" w:cs="MingLiU"/>
      <w:sz w:val="19"/>
      <w:szCs w:val="19"/>
      <w:lang w:val="zh-TW" w:eastAsia="zh-TW" w:bidi="zh-TW"/>
    </w:rPr>
  </w:style>
  <w:style w:type="paragraph" w:customStyle="1" w:styleId="200">
    <w:name w:val="正文缩进1"/>
    <w:basedOn w:val="1"/>
    <w:qFormat/>
    <w:uiPriority w:val="0"/>
    <w:pPr>
      <w:ind w:firstLine="420" w:firstLineChars="200"/>
    </w:pPr>
  </w:style>
  <w:style w:type="paragraph" w:customStyle="1" w:styleId="201">
    <w:name w:val="目录 53"/>
    <w:basedOn w:val="1"/>
    <w:next w:val="1"/>
    <w:qFormat/>
    <w:uiPriority w:val="0"/>
    <w:pPr>
      <w:ind w:left="840"/>
    </w:pPr>
    <w:rPr>
      <w:sz w:val="18"/>
    </w:rPr>
  </w:style>
  <w:style w:type="paragraph" w:customStyle="1" w:styleId="202">
    <w:name w:val="Normal_1"/>
    <w:qFormat/>
    <w:uiPriority w:val="0"/>
    <w:rPr>
      <w:rFonts w:ascii="Times New Roman" w:hAnsi="Times New Roman" w:eastAsia="Times New Roman" w:cs="Times New Roman"/>
      <w:sz w:val="24"/>
      <w:szCs w:val="24"/>
      <w:lang w:bidi="ar-SA"/>
    </w:rPr>
  </w:style>
  <w:style w:type="paragraph" w:customStyle="1" w:styleId="203">
    <w:name w:val="正文文本 (2)"/>
    <w:basedOn w:val="1"/>
    <w:qFormat/>
    <w:uiPriority w:val="99"/>
    <w:pPr>
      <w:shd w:val="clear" w:color="auto" w:fill="FFFFFF"/>
      <w:spacing w:after="200"/>
      <w:jc w:val="left"/>
    </w:pPr>
    <w:rPr>
      <w:rFonts w:ascii="宋体" w:hAnsi="Times New Roman" w:cs="宋体"/>
      <w:kern w:val="0"/>
      <w:sz w:val="20"/>
      <w:szCs w:val="20"/>
      <w:lang w:val="zh-CN"/>
    </w:rPr>
  </w:style>
  <w:style w:type="paragraph" w:customStyle="1" w:styleId="204">
    <w:name w:val="Normal_0"/>
    <w:qFormat/>
    <w:uiPriority w:val="0"/>
    <w:rPr>
      <w:rFonts w:ascii="Times New Roman" w:hAnsi="Times New Roman" w:eastAsia="Times New Roman" w:cs="Times New Roman"/>
      <w:sz w:val="24"/>
      <w:szCs w:val="24"/>
      <w:lang w:val="en-US" w:eastAsia="zh-CN" w:bidi="ar-SA"/>
    </w:rPr>
  </w:style>
  <w:style w:type="paragraph" w:customStyle="1" w:styleId="205">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6">
    <w:name w:val="p0"/>
    <w:basedOn w:val="1"/>
    <w:next w:val="33"/>
    <w:qFormat/>
    <w:uiPriority w:val="0"/>
    <w:pPr>
      <w:widowControl/>
    </w:pPr>
    <w:rPr>
      <w:rFonts w:ascii="Times New Roman" w:hAnsi="Times New Roman"/>
      <w:kern w:val="0"/>
      <w:szCs w:val="21"/>
    </w:rPr>
  </w:style>
  <w:style w:type="paragraph" w:customStyle="1" w:styleId="207">
    <w:name w:val="脚注文本_0"/>
    <w:basedOn w:val="208"/>
    <w:next w:val="217"/>
    <w:unhideWhenUsed/>
    <w:qFormat/>
    <w:uiPriority w:val="99"/>
    <w:pPr>
      <w:snapToGrid w:val="0"/>
      <w:jc w:val="left"/>
    </w:pPr>
    <w:rPr>
      <w:rFonts w:ascii="Calibri" w:hAnsi="Calibri" w:eastAsia="Calibri"/>
      <w:sz w:val="18"/>
    </w:rPr>
  </w:style>
  <w:style w:type="paragraph" w:customStyle="1" w:styleId="208">
    <w:name w:val="正文_0_2"/>
    <w:basedOn w:val="209"/>
    <w:next w:val="2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正文_2_1"/>
    <w:basedOn w:val="210"/>
    <w:next w:val="2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0">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1">
    <w:name w:val="No Spacing_0"/>
    <w:basedOn w:val="212"/>
    <w:qFormat/>
    <w:uiPriority w:val="1"/>
  </w:style>
  <w:style w:type="paragraph" w:customStyle="1" w:styleId="212">
    <w:name w:val="正文_5"/>
    <w:basedOn w:val="213"/>
    <w:next w:val="215"/>
    <w:qFormat/>
    <w:uiPriority w:val="0"/>
    <w:pPr>
      <w:widowControl w:val="0"/>
      <w:jc w:val="both"/>
    </w:pPr>
    <w:rPr>
      <w:rFonts w:ascii="Calibri" w:hAnsi="Calibri"/>
      <w:kern w:val="2"/>
      <w:sz w:val="21"/>
      <w:szCs w:val="22"/>
      <w:lang w:val="en-US" w:eastAsia="zh-CN" w:bidi="ar-SA"/>
    </w:rPr>
  </w:style>
  <w:style w:type="paragraph" w:customStyle="1" w:styleId="213">
    <w:name w:val="正文_6"/>
    <w:next w:val="2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4">
    <w:name w:val="列表_1"/>
    <w:basedOn w:val="213"/>
    <w:semiHidden/>
    <w:qFormat/>
    <w:locked/>
    <w:uiPriority w:val="0"/>
    <w:pPr>
      <w:ind w:left="200" w:hanging="200" w:hangingChars="200"/>
    </w:pPr>
  </w:style>
  <w:style w:type="paragraph" w:customStyle="1" w:styleId="215">
    <w:name w:val="段_0"/>
    <w:next w:val="212"/>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216">
    <w:name w:val="页脚_0_0"/>
    <w:basedOn w:val="208"/>
    <w:unhideWhenUsed/>
    <w:qFormat/>
    <w:uiPriority w:val="99"/>
    <w:pPr>
      <w:tabs>
        <w:tab w:val="center" w:pos="4153"/>
        <w:tab w:val="right" w:pos="8306"/>
      </w:tabs>
      <w:snapToGrid w:val="0"/>
      <w:jc w:val="left"/>
    </w:pPr>
    <w:rPr>
      <w:sz w:val="18"/>
      <w:szCs w:val="18"/>
    </w:rPr>
  </w:style>
  <w:style w:type="paragraph" w:customStyle="1" w:styleId="217">
    <w:name w:val="正文_2"/>
    <w:basedOn w:val="120"/>
    <w:next w:val="218"/>
    <w:qFormat/>
    <w:uiPriority w:val="0"/>
    <w:pPr>
      <w:widowControl w:val="0"/>
      <w:jc w:val="both"/>
    </w:pPr>
    <w:rPr>
      <w:rFonts w:ascii="Calibri" w:hAnsi="Calibri"/>
      <w:kern w:val="2"/>
      <w:sz w:val="21"/>
      <w:szCs w:val="22"/>
      <w:lang w:val="en-US" w:eastAsia="zh-CN" w:bidi="ar-SA"/>
    </w:rPr>
  </w:style>
  <w:style w:type="paragraph" w:customStyle="1" w:styleId="218">
    <w:name w:val="首行缩进"/>
    <w:basedOn w:val="219"/>
    <w:qFormat/>
    <w:uiPriority w:val="0"/>
    <w:pPr>
      <w:ind w:firstLine="480" w:firstLineChars="200"/>
    </w:pPr>
    <w:rPr>
      <w:rFonts w:ascii="Calibri" w:hAnsi="Calibri"/>
      <w:lang w:val="zh-CN"/>
    </w:rPr>
  </w:style>
  <w:style w:type="paragraph" w:customStyle="1" w:styleId="219">
    <w:name w:val="正文_4"/>
    <w:basedOn w:val="220"/>
    <w:next w:val="218"/>
    <w:qFormat/>
    <w:uiPriority w:val="0"/>
    <w:pPr>
      <w:widowControl w:val="0"/>
      <w:jc w:val="both"/>
    </w:pPr>
    <w:rPr>
      <w:rFonts w:ascii="Calibri" w:hAnsi="Calibri"/>
      <w:kern w:val="2"/>
      <w:sz w:val="21"/>
      <w:szCs w:val="22"/>
      <w:lang w:val="en-US" w:eastAsia="zh-CN" w:bidi="ar-SA"/>
    </w:rPr>
  </w:style>
  <w:style w:type="paragraph" w:customStyle="1" w:styleId="220">
    <w:name w:val="正文_0_1"/>
    <w:basedOn w:val="208"/>
    <w:next w:val="221"/>
    <w:qFormat/>
    <w:uiPriority w:val="0"/>
    <w:pPr>
      <w:widowControl w:val="0"/>
      <w:jc w:val="both"/>
    </w:pPr>
    <w:rPr>
      <w:kern w:val="2"/>
      <w:sz w:val="21"/>
      <w:szCs w:val="24"/>
      <w:lang w:val="en-US" w:eastAsia="zh-CN" w:bidi="ar-SA"/>
    </w:rPr>
  </w:style>
  <w:style w:type="paragraph" w:customStyle="1" w:styleId="221">
    <w:name w:val="页脚_0"/>
    <w:basedOn w:val="119"/>
    <w:unhideWhenUsed/>
    <w:qFormat/>
    <w:uiPriority w:val="99"/>
    <w:pPr>
      <w:tabs>
        <w:tab w:val="center" w:pos="4153"/>
        <w:tab w:val="right" w:pos="8306"/>
      </w:tabs>
      <w:snapToGrid w:val="0"/>
      <w:jc w:val="left"/>
    </w:pPr>
    <w:rPr>
      <w:sz w:val="18"/>
      <w:szCs w:val="18"/>
    </w:rPr>
  </w:style>
  <w:style w:type="table" w:customStyle="1" w:styleId="222">
    <w:name w:val="Table Normal"/>
    <w:unhideWhenUsed/>
    <w:qFormat/>
    <w:uiPriority w:val="0"/>
    <w:tblPr>
      <w:tblCellMar>
        <w:top w:w="0" w:type="dxa"/>
        <w:left w:w="0" w:type="dxa"/>
        <w:bottom w:w="0" w:type="dxa"/>
        <w:right w:w="0" w:type="dxa"/>
      </w:tblCellMar>
    </w:tblPr>
  </w:style>
  <w:style w:type="paragraph" w:customStyle="1" w:styleId="223">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17558</Words>
  <Characters>18862</Characters>
  <Lines>809</Lines>
  <Paragraphs>227</Paragraphs>
  <TotalTime>67</TotalTime>
  <ScaleCrop>false</ScaleCrop>
  <LinksUpToDate>false</LinksUpToDate>
  <CharactersWithSpaces>19937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2020-07-07T08:31:00Z</dcterms:created>
  <dc:creator>李响(业务二部lixiang)</dc:creator>
  <cp:lastModifiedBy>侯亚娟</cp:lastModifiedBy>
  <cp:lastPrinted>2025-07-14T06:32:20Z</cp:lastPrinted>
  <dcterms:modified xsi:type="dcterms:W3CDTF">2025-07-14T06:32:32Z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8ECD66C9BE8148CEAEEE39CE25F749A8_13</vt:lpwstr>
  </property>
  <property fmtid="{D5CDD505-2E9C-101B-9397-08002B2CF9AE}" pid="4" name="commondata">
    <vt:lpwstr>eyJoZGlkIjoiNjllOWRlMzI1NzQ2MThlZTY5M2M3ZjJlOTZlOGIwYzMifQ==</vt:lpwstr>
  </property>
  <property fmtid="{D5CDD505-2E9C-101B-9397-08002B2CF9AE}" pid="5" name="KSOTemplateDocerSaveRecord">
    <vt:lpwstr>eyJoZGlkIjoiODcxNDA3MTE0ZWM3M2YyOWMzYzBlZDYwOTkyN2YzOGUiLCJ1c2VySWQiOiIyNDUwMzA0NzMifQ==</vt:lpwstr>
  </property>
</Properties>
</file>