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AEC25">
      <w:pPr>
        <w:pStyle w:val="5"/>
        <w:pageBreakBefore w:val="0"/>
        <w:kinsoku w:val="0"/>
        <w:overflowPunct/>
        <w:topLinePunct w:val="0"/>
        <w:autoSpaceDE w:val="0"/>
        <w:autoSpaceDN w:val="0"/>
        <w:bidi w:val="0"/>
        <w:adjustRightInd w:val="0"/>
        <w:snapToGrid w:val="0"/>
        <w:spacing w:before="28" w:line="360" w:lineRule="auto"/>
        <w:ind w:left="484" w:right="0"/>
        <w:jc w:val="center"/>
        <w:textAlignment w:val="baseline"/>
        <w:rPr>
          <w:rFonts w:hint="eastAsia" w:ascii="仿宋" w:hAnsi="仿宋" w:eastAsia="仿宋" w:cs="仿宋"/>
          <w:b/>
          <w:bCs/>
          <w:spacing w:val="3"/>
          <w:sz w:val="52"/>
          <w:szCs w:val="52"/>
          <w:lang w:eastAsia="zh-CN"/>
        </w:rPr>
      </w:pPr>
    </w:p>
    <w:p w14:paraId="0E8531B4">
      <w:pPr>
        <w:pStyle w:val="5"/>
        <w:pageBreakBefore w:val="0"/>
        <w:kinsoku w:val="0"/>
        <w:overflowPunct/>
        <w:topLinePunct w:val="0"/>
        <w:autoSpaceDE w:val="0"/>
        <w:autoSpaceDN w:val="0"/>
        <w:bidi w:val="0"/>
        <w:adjustRightInd w:val="0"/>
        <w:snapToGrid w:val="0"/>
        <w:spacing w:before="28" w:line="360" w:lineRule="auto"/>
        <w:ind w:left="484" w:right="0"/>
        <w:jc w:val="center"/>
        <w:textAlignment w:val="baseline"/>
        <w:rPr>
          <w:rFonts w:hint="eastAsia" w:ascii="仿宋" w:hAnsi="仿宋" w:eastAsia="仿宋" w:cs="仿宋"/>
          <w:b/>
          <w:bCs/>
          <w:spacing w:val="3"/>
          <w:sz w:val="52"/>
          <w:szCs w:val="52"/>
          <w:lang w:eastAsia="zh-CN"/>
        </w:rPr>
      </w:pPr>
      <w:r>
        <w:rPr>
          <w:rFonts w:hint="eastAsia" w:ascii="仿宋" w:hAnsi="仿宋" w:eastAsia="仿宋" w:cs="仿宋"/>
          <w:b/>
          <w:bCs/>
          <w:spacing w:val="3"/>
          <w:sz w:val="52"/>
          <w:szCs w:val="52"/>
          <w:lang w:eastAsia="zh-CN"/>
        </w:rPr>
        <w:t>新疆农业职业</w:t>
      </w:r>
      <w:r>
        <w:rPr>
          <w:rFonts w:hint="eastAsia" w:ascii="仿宋" w:hAnsi="仿宋" w:eastAsia="仿宋" w:cs="仿宋"/>
          <w:b/>
          <w:bCs/>
          <w:spacing w:val="3"/>
          <w:sz w:val="52"/>
          <w:szCs w:val="52"/>
          <w:lang w:val="en-US" w:eastAsia="zh-CN"/>
        </w:rPr>
        <w:t>技术</w:t>
      </w:r>
      <w:r>
        <w:rPr>
          <w:rFonts w:hint="eastAsia" w:ascii="仿宋" w:hAnsi="仿宋" w:eastAsia="仿宋" w:cs="仿宋"/>
          <w:b/>
          <w:bCs/>
          <w:spacing w:val="3"/>
          <w:sz w:val="52"/>
          <w:szCs w:val="52"/>
          <w:lang w:eastAsia="zh-CN"/>
        </w:rPr>
        <w:t>大学</w:t>
      </w:r>
    </w:p>
    <w:p w14:paraId="00FB61E3">
      <w:pPr>
        <w:pStyle w:val="5"/>
        <w:pageBreakBefore w:val="0"/>
        <w:kinsoku w:val="0"/>
        <w:overflowPunct/>
        <w:topLinePunct w:val="0"/>
        <w:autoSpaceDE w:val="0"/>
        <w:autoSpaceDN w:val="0"/>
        <w:bidi w:val="0"/>
        <w:adjustRightInd w:val="0"/>
        <w:snapToGrid w:val="0"/>
        <w:spacing w:before="28" w:line="360" w:lineRule="auto"/>
        <w:ind w:left="484" w:right="0"/>
        <w:jc w:val="center"/>
        <w:textAlignment w:val="baseline"/>
        <w:rPr>
          <w:rFonts w:hint="eastAsia" w:ascii="仿宋" w:hAnsi="仿宋" w:eastAsia="仿宋" w:cs="仿宋"/>
          <w:b/>
          <w:bCs/>
          <w:spacing w:val="3"/>
          <w:sz w:val="52"/>
          <w:szCs w:val="52"/>
          <w:lang w:eastAsia="zh-CN"/>
        </w:rPr>
      </w:pPr>
      <w:r>
        <w:rPr>
          <w:rFonts w:hint="eastAsia" w:ascii="仿宋" w:hAnsi="仿宋" w:eastAsia="仿宋" w:cs="仿宋"/>
          <w:b/>
          <w:bCs/>
          <w:spacing w:val="3"/>
          <w:sz w:val="52"/>
          <w:szCs w:val="52"/>
          <w:lang w:eastAsia="zh-CN"/>
        </w:rPr>
        <w:t>校史馆建设项目</w:t>
      </w:r>
    </w:p>
    <w:p w14:paraId="154F344F">
      <w:pPr>
        <w:pageBreakBefore w:val="0"/>
        <w:kinsoku w:val="0"/>
        <w:overflowPunct/>
        <w:topLinePunct w:val="0"/>
        <w:autoSpaceDE w:val="0"/>
        <w:autoSpaceDN w:val="0"/>
        <w:bidi w:val="0"/>
        <w:adjustRightInd w:val="0"/>
        <w:snapToGrid w:val="0"/>
        <w:spacing w:line="600" w:lineRule="exact"/>
        <w:ind w:left="0" w:leftChars="0" w:right="0" w:firstLine="0" w:firstLineChars="0"/>
        <w:jc w:val="center"/>
        <w:textAlignment w:val="baseline"/>
        <w:outlineLvl w:val="9"/>
        <w:rPr>
          <w:rFonts w:ascii="仿宋_GB2312" w:hAnsi="仿宋_GB2312" w:eastAsia="仿宋_GB2312" w:cs="仿宋_GB2312"/>
          <w:b/>
          <w:bCs/>
          <w:color w:val="auto"/>
          <w:sz w:val="36"/>
          <w:szCs w:val="36"/>
          <w:highlight w:val="none"/>
          <w:lang w:eastAsia="zh-CN"/>
        </w:rPr>
      </w:pPr>
    </w:p>
    <w:p w14:paraId="4E3781B3">
      <w:pPr>
        <w:pStyle w:val="3"/>
        <w:pageBreakBefore w:val="0"/>
        <w:kinsoku w:val="0"/>
        <w:overflowPunct/>
        <w:topLinePunct w:val="0"/>
        <w:autoSpaceDE w:val="0"/>
        <w:autoSpaceDN w:val="0"/>
        <w:bidi w:val="0"/>
        <w:adjustRightInd w:val="0"/>
        <w:snapToGrid w:val="0"/>
        <w:ind w:right="0"/>
        <w:textAlignment w:val="baseline"/>
        <w:outlineLvl w:val="9"/>
        <w:rPr>
          <w:rFonts w:hint="eastAsia"/>
          <w:highlight w:val="none"/>
          <w:lang w:eastAsia="zh-CN"/>
        </w:rPr>
      </w:pPr>
    </w:p>
    <w:p w14:paraId="7FE26A27">
      <w:pPr>
        <w:pageBreakBefore w:val="0"/>
        <w:tabs>
          <w:tab w:val="left" w:pos="6595"/>
        </w:tabs>
        <w:kinsoku w:val="0"/>
        <w:overflowPunct/>
        <w:topLinePunct w:val="0"/>
        <w:autoSpaceDE w:val="0"/>
        <w:autoSpaceDN w:val="0"/>
        <w:bidi w:val="0"/>
        <w:adjustRightInd w:val="0"/>
        <w:snapToGrid w:val="0"/>
        <w:spacing w:line="600" w:lineRule="exact"/>
        <w:ind w:right="0" w:firstLine="1446" w:firstLineChars="400"/>
        <w:jc w:val="both"/>
        <w:textAlignment w:val="baseline"/>
        <w:outlineLvl w:val="9"/>
        <w:rPr>
          <w:rFonts w:ascii="仿宋_GB2312" w:hAnsi="仿宋_GB2312" w:eastAsia="仿宋_GB2312" w:cs="仿宋_GB2312"/>
          <w:b/>
          <w:bCs/>
          <w:color w:val="auto"/>
          <w:sz w:val="36"/>
          <w:szCs w:val="36"/>
          <w:highlight w:val="none"/>
          <w:lang w:eastAsia="zh-CN"/>
        </w:rPr>
      </w:pPr>
      <w:r>
        <w:rPr>
          <w:rFonts w:hint="eastAsia" w:ascii="仿宋_GB2312" w:hAnsi="仿宋_GB2312" w:eastAsia="仿宋_GB2312" w:cs="仿宋_GB2312"/>
          <w:b/>
          <w:bCs/>
          <w:color w:val="auto"/>
          <w:sz w:val="36"/>
          <w:szCs w:val="36"/>
          <w:highlight w:val="none"/>
          <w:lang w:eastAsia="zh-CN"/>
        </w:rPr>
        <w:tab/>
      </w:r>
    </w:p>
    <w:p w14:paraId="5F5FA948">
      <w:pPr>
        <w:pageBreakBefore w:val="0"/>
        <w:kinsoku w:val="0"/>
        <w:overflowPunct/>
        <w:topLinePunct w:val="0"/>
        <w:autoSpaceDE w:val="0"/>
        <w:autoSpaceDN w:val="0"/>
        <w:bidi w:val="0"/>
        <w:adjustRightInd w:val="0"/>
        <w:snapToGrid w:val="0"/>
        <w:spacing w:line="600" w:lineRule="exact"/>
        <w:ind w:right="0" w:firstLine="1446" w:firstLineChars="400"/>
        <w:jc w:val="both"/>
        <w:textAlignment w:val="baseline"/>
        <w:outlineLvl w:val="9"/>
        <w:rPr>
          <w:rFonts w:ascii="仿宋_GB2312" w:hAnsi="仿宋_GB2312" w:eastAsia="仿宋_GB2312" w:cs="仿宋_GB2312"/>
          <w:b/>
          <w:bCs/>
          <w:color w:val="auto"/>
          <w:sz w:val="36"/>
          <w:szCs w:val="36"/>
          <w:highlight w:val="none"/>
          <w:lang w:eastAsia="zh-CN"/>
        </w:rPr>
      </w:pPr>
    </w:p>
    <w:p w14:paraId="22B9575F">
      <w:pPr>
        <w:pStyle w:val="3"/>
        <w:pageBreakBefore w:val="0"/>
        <w:kinsoku w:val="0"/>
        <w:overflowPunct/>
        <w:topLinePunct w:val="0"/>
        <w:autoSpaceDE w:val="0"/>
        <w:autoSpaceDN w:val="0"/>
        <w:bidi w:val="0"/>
        <w:adjustRightInd w:val="0"/>
        <w:snapToGrid w:val="0"/>
        <w:ind w:left="0" w:leftChars="0" w:right="0" w:firstLine="0" w:firstLineChars="0"/>
        <w:textAlignment w:val="baseline"/>
        <w:outlineLvl w:val="9"/>
        <w:rPr>
          <w:highlight w:val="none"/>
          <w:lang w:eastAsia="zh-CN"/>
        </w:rPr>
      </w:pPr>
    </w:p>
    <w:p w14:paraId="386FCCA3">
      <w:pPr>
        <w:pageBreakBefore w:val="0"/>
        <w:kinsoku w:val="0"/>
        <w:overflowPunct/>
        <w:topLinePunct w:val="0"/>
        <w:autoSpaceDE w:val="0"/>
        <w:autoSpaceDN w:val="0"/>
        <w:bidi w:val="0"/>
        <w:adjustRightInd w:val="0"/>
        <w:snapToGrid w:val="0"/>
        <w:spacing w:line="600" w:lineRule="exact"/>
        <w:ind w:right="0" w:firstLine="3253" w:firstLineChars="900"/>
        <w:jc w:val="both"/>
        <w:textAlignment w:val="baseline"/>
        <w:outlineLvl w:val="9"/>
        <w:rPr>
          <w:rFonts w:ascii="仿宋_GB2312" w:hAnsi="仿宋_GB2312" w:eastAsia="仿宋_GB2312" w:cs="仿宋_GB2312"/>
          <w:b/>
          <w:bCs/>
          <w:color w:val="auto"/>
          <w:sz w:val="36"/>
          <w:szCs w:val="36"/>
          <w:highlight w:val="none"/>
          <w:lang w:eastAsia="zh-CN"/>
        </w:rPr>
      </w:pPr>
    </w:p>
    <w:p w14:paraId="258F78CF">
      <w:pPr>
        <w:pageBreakBefore w:val="0"/>
        <w:kinsoku w:val="0"/>
        <w:overflowPunct/>
        <w:topLinePunct w:val="0"/>
        <w:autoSpaceDE w:val="0"/>
        <w:autoSpaceDN w:val="0"/>
        <w:bidi w:val="0"/>
        <w:adjustRightInd w:val="0"/>
        <w:snapToGrid w:val="0"/>
        <w:ind w:right="0"/>
        <w:jc w:val="center"/>
        <w:textAlignment w:val="baseline"/>
        <w:outlineLvl w:val="9"/>
        <w:rPr>
          <w:rFonts w:ascii="仿宋_GB2312" w:hAnsi="仿宋_GB2312" w:eastAsia="仿宋_GB2312" w:cs="仿宋_GB2312"/>
          <w:b/>
          <w:bCs/>
          <w:color w:val="auto"/>
          <w:sz w:val="72"/>
          <w:szCs w:val="72"/>
          <w:highlight w:val="none"/>
          <w:lang w:eastAsia="zh-CN"/>
        </w:rPr>
      </w:pPr>
      <w:r>
        <w:rPr>
          <w:rFonts w:hint="eastAsia" w:ascii="仿宋_GB2312" w:hAnsi="仿宋_GB2312" w:eastAsia="仿宋_GB2312" w:cs="仿宋_GB2312"/>
          <w:b/>
          <w:bCs/>
          <w:color w:val="auto"/>
          <w:sz w:val="72"/>
          <w:szCs w:val="72"/>
          <w:highlight w:val="none"/>
          <w:lang w:val="en-US" w:eastAsia="zh-CN"/>
        </w:rPr>
        <w:t>竞争性磋商</w:t>
      </w:r>
      <w:r>
        <w:rPr>
          <w:rFonts w:hint="eastAsia" w:ascii="仿宋_GB2312" w:hAnsi="仿宋_GB2312" w:eastAsia="仿宋_GB2312" w:cs="仿宋_GB2312"/>
          <w:b/>
          <w:bCs/>
          <w:color w:val="auto"/>
          <w:sz w:val="72"/>
          <w:szCs w:val="72"/>
          <w:highlight w:val="none"/>
          <w:lang w:eastAsia="zh-CN"/>
        </w:rPr>
        <w:t>文件</w:t>
      </w:r>
    </w:p>
    <w:p w14:paraId="039F9CB2">
      <w:pPr>
        <w:pageBreakBefore w:val="0"/>
        <w:kinsoku w:val="0"/>
        <w:overflowPunct/>
        <w:topLinePunct w:val="0"/>
        <w:autoSpaceDE w:val="0"/>
        <w:autoSpaceDN w:val="0"/>
        <w:bidi w:val="0"/>
        <w:adjustRightInd w:val="0"/>
        <w:snapToGrid w:val="0"/>
        <w:spacing w:line="600" w:lineRule="exact"/>
        <w:ind w:right="0"/>
        <w:jc w:val="center"/>
        <w:textAlignment w:val="baseline"/>
        <w:outlineLvl w:val="9"/>
        <w:rPr>
          <w:rFonts w:hint="eastAsia" w:ascii="仿宋_GB2312" w:hAnsi="仿宋_GB2312" w:eastAsia="仿宋_GB2312" w:cs="仿宋_GB2312"/>
          <w:b/>
          <w:bCs/>
          <w:color w:val="auto"/>
          <w:sz w:val="36"/>
          <w:szCs w:val="36"/>
          <w:highlight w:val="none"/>
          <w:lang w:eastAsia="zh-CN"/>
        </w:rPr>
      </w:pPr>
      <w:r>
        <w:rPr>
          <w:rFonts w:hint="eastAsia" w:ascii="仿宋_GB2312" w:hAnsi="仿宋_GB2312" w:eastAsia="仿宋_GB2312" w:cs="仿宋_GB2312"/>
          <w:b/>
          <w:bCs/>
          <w:color w:val="auto"/>
          <w:sz w:val="36"/>
          <w:szCs w:val="36"/>
          <w:highlight w:val="none"/>
          <w:lang w:val="en-US" w:eastAsia="zh-CN"/>
        </w:rPr>
        <w:t>项目</w:t>
      </w:r>
      <w:r>
        <w:rPr>
          <w:rFonts w:hint="eastAsia" w:ascii="仿宋_GB2312" w:hAnsi="仿宋_GB2312" w:eastAsia="仿宋_GB2312" w:cs="仿宋_GB2312"/>
          <w:b/>
          <w:bCs/>
          <w:color w:val="auto"/>
          <w:sz w:val="36"/>
          <w:szCs w:val="36"/>
          <w:highlight w:val="none"/>
          <w:lang w:eastAsia="zh-CN"/>
        </w:rPr>
        <w:t>编号</w:t>
      </w:r>
      <w:r>
        <w:rPr>
          <w:rFonts w:hint="eastAsia" w:ascii="仿宋_GB2312" w:hAnsi="仿宋_GB2312" w:eastAsia="仿宋_GB2312" w:cs="仿宋_GB2312"/>
          <w:b/>
          <w:bCs/>
          <w:color w:val="000000" w:themeColor="text1"/>
          <w:sz w:val="36"/>
          <w:szCs w:val="36"/>
          <w:highlight w:val="none"/>
          <w:lang w:eastAsia="zh-CN"/>
          <w14:textFill>
            <w14:solidFill>
              <w14:schemeClr w14:val="tx1"/>
            </w14:solidFill>
          </w14:textFill>
        </w:rPr>
        <w:t>：</w:t>
      </w:r>
      <w:r>
        <w:rPr>
          <w:rFonts w:hint="eastAsia" w:ascii="仿宋" w:hAnsi="仿宋" w:eastAsia="仿宋" w:cs="仿宋"/>
          <w:spacing w:val="-14"/>
          <w:sz w:val="36"/>
          <w:szCs w:val="36"/>
          <w:lang w:eastAsia="zh-CN"/>
        </w:rPr>
        <w:t>XJJY-GC-250708</w:t>
      </w:r>
    </w:p>
    <w:p w14:paraId="4EE22ED0">
      <w:pPr>
        <w:pageBreakBefore w:val="0"/>
        <w:kinsoku w:val="0"/>
        <w:overflowPunct/>
        <w:topLinePunct w:val="0"/>
        <w:autoSpaceDE w:val="0"/>
        <w:autoSpaceDN w:val="0"/>
        <w:bidi w:val="0"/>
        <w:adjustRightInd w:val="0"/>
        <w:snapToGrid w:val="0"/>
        <w:spacing w:line="600" w:lineRule="exact"/>
        <w:ind w:right="0" w:firstLine="3253" w:firstLineChars="900"/>
        <w:jc w:val="both"/>
        <w:textAlignment w:val="baseline"/>
        <w:outlineLvl w:val="9"/>
        <w:rPr>
          <w:rFonts w:ascii="仿宋_GB2312" w:hAnsi="仿宋_GB2312" w:eastAsia="仿宋_GB2312" w:cs="仿宋_GB2312"/>
          <w:b/>
          <w:bCs/>
          <w:color w:val="auto"/>
          <w:sz w:val="36"/>
          <w:szCs w:val="36"/>
          <w:highlight w:val="none"/>
          <w:lang w:eastAsia="zh-CN"/>
        </w:rPr>
      </w:pPr>
    </w:p>
    <w:p w14:paraId="6CC99C16">
      <w:pPr>
        <w:pageBreakBefore w:val="0"/>
        <w:kinsoku w:val="0"/>
        <w:overflowPunct/>
        <w:topLinePunct w:val="0"/>
        <w:autoSpaceDE w:val="0"/>
        <w:autoSpaceDN w:val="0"/>
        <w:bidi w:val="0"/>
        <w:adjustRightInd w:val="0"/>
        <w:snapToGrid w:val="0"/>
        <w:spacing w:line="600" w:lineRule="exact"/>
        <w:ind w:right="0" w:firstLine="3253" w:firstLineChars="900"/>
        <w:jc w:val="both"/>
        <w:textAlignment w:val="baseline"/>
        <w:outlineLvl w:val="9"/>
        <w:rPr>
          <w:rFonts w:ascii="仿宋_GB2312" w:hAnsi="仿宋_GB2312" w:eastAsia="仿宋_GB2312" w:cs="仿宋_GB2312"/>
          <w:b/>
          <w:bCs/>
          <w:color w:val="auto"/>
          <w:sz w:val="36"/>
          <w:szCs w:val="36"/>
          <w:highlight w:val="none"/>
          <w:lang w:eastAsia="zh-CN"/>
        </w:rPr>
      </w:pPr>
    </w:p>
    <w:p w14:paraId="5F830AAD">
      <w:pPr>
        <w:pStyle w:val="3"/>
        <w:pageBreakBefore w:val="0"/>
        <w:kinsoku w:val="0"/>
        <w:overflowPunct/>
        <w:topLinePunct w:val="0"/>
        <w:autoSpaceDE w:val="0"/>
        <w:autoSpaceDN w:val="0"/>
        <w:bidi w:val="0"/>
        <w:adjustRightInd w:val="0"/>
        <w:snapToGrid w:val="0"/>
        <w:ind w:right="0"/>
        <w:textAlignment w:val="baseline"/>
        <w:outlineLvl w:val="9"/>
        <w:rPr>
          <w:highlight w:val="none"/>
          <w:lang w:eastAsia="zh-CN"/>
        </w:rPr>
      </w:pPr>
    </w:p>
    <w:p w14:paraId="6BA9AD46">
      <w:pPr>
        <w:pageBreakBefore w:val="0"/>
        <w:kinsoku w:val="0"/>
        <w:overflowPunct/>
        <w:topLinePunct w:val="0"/>
        <w:autoSpaceDE w:val="0"/>
        <w:autoSpaceDN w:val="0"/>
        <w:bidi w:val="0"/>
        <w:adjustRightInd w:val="0"/>
        <w:snapToGrid w:val="0"/>
        <w:spacing w:line="600" w:lineRule="exact"/>
        <w:ind w:right="0" w:firstLine="1920" w:firstLineChars="600"/>
        <w:jc w:val="both"/>
        <w:textAlignment w:val="baseline"/>
        <w:outlineLvl w:val="9"/>
        <w:rPr>
          <w:rFonts w:ascii="仿宋_GB2312" w:hAnsi="仿宋_GB2312" w:eastAsia="仿宋_GB2312" w:cs="仿宋_GB2312"/>
          <w:color w:val="auto"/>
          <w:sz w:val="32"/>
          <w:szCs w:val="32"/>
          <w:highlight w:val="none"/>
          <w:lang w:eastAsia="zh-CN"/>
        </w:rPr>
      </w:pPr>
    </w:p>
    <w:p w14:paraId="20C5C74A">
      <w:pPr>
        <w:pStyle w:val="25"/>
        <w:pageBreakBefore w:val="0"/>
        <w:kinsoku w:val="0"/>
        <w:overflowPunct/>
        <w:topLinePunct w:val="0"/>
        <w:autoSpaceDE w:val="0"/>
        <w:autoSpaceDN w:val="0"/>
        <w:bidi w:val="0"/>
        <w:adjustRightInd w:val="0"/>
        <w:snapToGrid w:val="0"/>
        <w:ind w:right="0"/>
        <w:textAlignment w:val="baseline"/>
        <w:rPr>
          <w:rFonts w:ascii="仿宋_GB2312" w:hAnsi="仿宋_GB2312" w:eastAsia="仿宋_GB2312" w:cs="仿宋_GB2312"/>
          <w:color w:val="auto"/>
          <w:sz w:val="32"/>
          <w:szCs w:val="32"/>
          <w:highlight w:val="none"/>
          <w:lang w:eastAsia="zh-CN"/>
        </w:rPr>
      </w:pPr>
    </w:p>
    <w:p w14:paraId="5CF8D371">
      <w:pPr>
        <w:pStyle w:val="25"/>
        <w:pageBreakBefore w:val="0"/>
        <w:kinsoku w:val="0"/>
        <w:overflowPunct/>
        <w:topLinePunct w:val="0"/>
        <w:autoSpaceDE w:val="0"/>
        <w:autoSpaceDN w:val="0"/>
        <w:bidi w:val="0"/>
        <w:adjustRightInd w:val="0"/>
        <w:snapToGrid w:val="0"/>
        <w:ind w:right="0"/>
        <w:textAlignment w:val="baseline"/>
        <w:rPr>
          <w:rFonts w:ascii="仿宋_GB2312" w:hAnsi="仿宋_GB2312" w:eastAsia="仿宋_GB2312" w:cs="仿宋_GB2312"/>
          <w:color w:val="auto"/>
          <w:sz w:val="32"/>
          <w:szCs w:val="32"/>
          <w:highlight w:val="none"/>
          <w:lang w:eastAsia="zh-CN"/>
        </w:rPr>
      </w:pPr>
    </w:p>
    <w:p w14:paraId="35660371">
      <w:pPr>
        <w:pageBreakBefore w:val="0"/>
        <w:kinsoku w:val="0"/>
        <w:overflowPunct/>
        <w:topLinePunct w:val="0"/>
        <w:autoSpaceDE w:val="0"/>
        <w:autoSpaceDN w:val="0"/>
        <w:bidi w:val="0"/>
        <w:adjustRightInd w:val="0"/>
        <w:snapToGrid w:val="0"/>
        <w:spacing w:before="240" w:line="360" w:lineRule="auto"/>
        <w:ind w:right="0"/>
        <w:jc w:val="center"/>
        <w:textAlignment w:val="baseline"/>
        <w:outlineLvl w:val="9"/>
        <w:rPr>
          <w:rFonts w:hint="eastAsia" w:ascii="仿宋_GB2312" w:eastAsia="仿宋_GB2312" w:cs="仿宋_GB2312"/>
          <w:color w:val="auto"/>
          <w:sz w:val="36"/>
          <w:szCs w:val="36"/>
          <w:highlight w:val="none"/>
          <w:lang w:bidi="ar-SA"/>
        </w:rPr>
      </w:pPr>
      <w:r>
        <w:rPr>
          <w:rFonts w:hint="eastAsia" w:ascii="仿宋_GB2312" w:eastAsia="仿宋_GB2312" w:cs="仿宋_GB2312"/>
          <w:color w:val="auto"/>
          <w:sz w:val="36"/>
          <w:szCs w:val="36"/>
          <w:highlight w:val="none"/>
          <w:lang w:bidi="ar-SA"/>
        </w:rPr>
        <w:t>新疆玖一建设项目管理咨询有限公司</w:t>
      </w:r>
    </w:p>
    <w:p w14:paraId="5D11E208">
      <w:pPr>
        <w:pageBreakBefore w:val="0"/>
        <w:kinsoku w:val="0"/>
        <w:overflowPunct/>
        <w:topLinePunct w:val="0"/>
        <w:autoSpaceDE w:val="0"/>
        <w:autoSpaceDN w:val="0"/>
        <w:bidi w:val="0"/>
        <w:adjustRightInd w:val="0"/>
        <w:snapToGrid w:val="0"/>
        <w:spacing w:line="600" w:lineRule="exact"/>
        <w:ind w:right="0" w:firstLine="720" w:firstLineChars="200"/>
        <w:jc w:val="center"/>
        <w:textAlignment w:val="baseline"/>
        <w:outlineLvl w:val="9"/>
        <w:rPr>
          <w:rFonts w:hint="eastAsia" w:ascii="仿宋_GB2312" w:eastAsia="仿宋_GB2312" w:cs="仿宋_GB2312"/>
          <w:color w:val="auto"/>
          <w:sz w:val="36"/>
          <w:szCs w:val="36"/>
          <w:highlight w:val="none"/>
          <w:lang w:bidi="ar-SA"/>
        </w:rPr>
      </w:pPr>
    </w:p>
    <w:p w14:paraId="514712FC">
      <w:pPr>
        <w:pageBreakBefore w:val="0"/>
        <w:kinsoku w:val="0"/>
        <w:overflowPunct/>
        <w:topLinePunct w:val="0"/>
        <w:autoSpaceDE w:val="0"/>
        <w:autoSpaceDN w:val="0"/>
        <w:bidi w:val="0"/>
        <w:adjustRightInd w:val="0"/>
        <w:snapToGrid w:val="0"/>
        <w:spacing w:line="600" w:lineRule="exact"/>
        <w:ind w:left="0" w:leftChars="0" w:right="0" w:firstLine="0" w:firstLineChars="0"/>
        <w:jc w:val="center"/>
        <w:textAlignment w:val="baseline"/>
        <w:outlineLvl w:val="9"/>
        <w:rPr>
          <w:rFonts w:hint="eastAsia" w:ascii="仿宋_GB2312" w:eastAsia="仿宋_GB2312" w:cs="仿宋_GB2312"/>
          <w:color w:val="auto"/>
          <w:sz w:val="36"/>
          <w:szCs w:val="36"/>
          <w:highlight w:val="none"/>
          <w:lang w:bidi="ar-SA"/>
        </w:rPr>
      </w:pPr>
      <w:r>
        <w:rPr>
          <w:rFonts w:hint="eastAsia" w:ascii="仿宋_GB2312" w:eastAsia="仿宋_GB2312" w:cs="仿宋_GB2312"/>
          <w:color w:val="auto"/>
          <w:sz w:val="36"/>
          <w:szCs w:val="36"/>
          <w:highlight w:val="none"/>
          <w:lang w:bidi="ar-SA"/>
        </w:rPr>
        <w:t>20</w:t>
      </w:r>
      <w:r>
        <w:rPr>
          <w:rFonts w:hint="eastAsia" w:ascii="仿宋_GB2312" w:eastAsia="仿宋_GB2312" w:cs="仿宋_GB2312"/>
          <w:color w:val="auto"/>
          <w:sz w:val="36"/>
          <w:szCs w:val="36"/>
          <w:highlight w:val="none"/>
          <w:lang w:val="en-US" w:eastAsia="zh-CN" w:bidi="ar-SA"/>
        </w:rPr>
        <w:t>25</w:t>
      </w:r>
      <w:r>
        <w:rPr>
          <w:rFonts w:hint="eastAsia" w:ascii="仿宋_GB2312" w:eastAsia="仿宋_GB2312" w:cs="仿宋_GB2312"/>
          <w:color w:val="auto"/>
          <w:sz w:val="36"/>
          <w:szCs w:val="36"/>
          <w:highlight w:val="none"/>
          <w:lang w:bidi="ar-SA"/>
        </w:rPr>
        <w:t>年</w:t>
      </w:r>
      <w:r>
        <w:rPr>
          <w:rFonts w:hint="eastAsia" w:ascii="仿宋_GB2312" w:eastAsia="仿宋_GB2312" w:cs="仿宋_GB2312"/>
          <w:color w:val="auto"/>
          <w:sz w:val="36"/>
          <w:szCs w:val="36"/>
          <w:highlight w:val="none"/>
          <w:lang w:val="en-US" w:eastAsia="zh-CN" w:bidi="ar-SA"/>
        </w:rPr>
        <w:t>6</w:t>
      </w:r>
      <w:r>
        <w:rPr>
          <w:rFonts w:hint="eastAsia" w:ascii="仿宋_GB2312" w:eastAsia="仿宋_GB2312" w:cs="仿宋_GB2312"/>
          <w:color w:val="auto"/>
          <w:sz w:val="36"/>
          <w:szCs w:val="36"/>
          <w:highlight w:val="none"/>
          <w:lang w:bidi="ar-SA"/>
        </w:rPr>
        <w:t>月</w:t>
      </w:r>
    </w:p>
    <w:p w14:paraId="7C1A9943">
      <w:pPr>
        <w:pageBreakBefore w:val="0"/>
        <w:kinsoku w:val="0"/>
        <w:overflowPunct/>
        <w:topLinePunct w:val="0"/>
        <w:autoSpaceDE w:val="0"/>
        <w:autoSpaceDN w:val="0"/>
        <w:bidi w:val="0"/>
        <w:adjustRightInd w:val="0"/>
        <w:snapToGrid w:val="0"/>
        <w:ind w:right="0"/>
        <w:textAlignment w:val="baseline"/>
        <w:outlineLvl w:val="9"/>
        <w:rPr>
          <w:highlight w:val="none"/>
          <w:lang w:eastAsia="zh-CN"/>
        </w:rPr>
      </w:pPr>
    </w:p>
    <w:p w14:paraId="57FB26C1">
      <w:pPr>
        <w:pStyle w:val="5"/>
        <w:pageBreakBefore w:val="0"/>
        <w:kinsoku w:val="0"/>
        <w:overflowPunct/>
        <w:topLinePunct w:val="0"/>
        <w:autoSpaceDE w:val="0"/>
        <w:autoSpaceDN w:val="0"/>
        <w:bidi w:val="0"/>
        <w:adjustRightInd w:val="0"/>
        <w:snapToGrid w:val="0"/>
        <w:ind w:right="0"/>
        <w:textAlignment w:val="baseline"/>
        <w:rPr>
          <w:highlight w:val="none"/>
          <w:lang w:eastAsia="zh-CN"/>
        </w:rPr>
      </w:pPr>
    </w:p>
    <w:p w14:paraId="37B84255">
      <w:pPr>
        <w:pageBreakBefore w:val="0"/>
        <w:kinsoku w:val="0"/>
        <w:overflowPunct/>
        <w:topLinePunct w:val="0"/>
        <w:autoSpaceDE w:val="0"/>
        <w:autoSpaceDN w:val="0"/>
        <w:bidi w:val="0"/>
        <w:adjustRightInd w:val="0"/>
        <w:snapToGrid w:val="0"/>
        <w:ind w:right="0"/>
        <w:textAlignment w:val="baseline"/>
        <w:rPr>
          <w:highlight w:val="none"/>
          <w:lang w:eastAsia="zh-CN"/>
        </w:rPr>
      </w:pPr>
    </w:p>
    <w:p w14:paraId="614C0E77">
      <w:pPr>
        <w:pageBreakBefore w:val="0"/>
        <w:kinsoku w:val="0"/>
        <w:overflowPunct/>
        <w:topLinePunct w:val="0"/>
        <w:autoSpaceDE w:val="0"/>
        <w:autoSpaceDN w:val="0"/>
        <w:bidi w:val="0"/>
        <w:adjustRightInd w:val="0"/>
        <w:snapToGrid w:val="0"/>
        <w:spacing w:before="312" w:beforeLines="100"/>
        <w:ind w:right="0"/>
        <w:jc w:val="center"/>
        <w:textAlignment w:val="baseline"/>
        <w:outlineLvl w:val="0"/>
        <w:rPr>
          <w:rFonts w:hint="eastAsia" w:ascii="黑体" w:hAnsi="黑体" w:eastAsia="黑体" w:cs="黑体"/>
          <w:color w:val="auto"/>
          <w:sz w:val="32"/>
          <w:szCs w:val="36"/>
          <w:lang w:val="en-US" w:eastAsia="zh-CN"/>
        </w:rPr>
      </w:pPr>
      <w:bookmarkStart w:id="0" w:name="_Toc18317"/>
    </w:p>
    <w:p w14:paraId="0AF5E38F">
      <w:pPr>
        <w:pStyle w:val="25"/>
        <w:pageBreakBefore w:val="0"/>
        <w:kinsoku w:val="0"/>
        <w:overflowPunct/>
        <w:topLinePunct w:val="0"/>
        <w:autoSpaceDE w:val="0"/>
        <w:autoSpaceDN w:val="0"/>
        <w:bidi w:val="0"/>
        <w:adjustRightInd w:val="0"/>
        <w:snapToGrid w:val="0"/>
        <w:ind w:right="0"/>
        <w:textAlignment w:val="baseline"/>
        <w:rPr>
          <w:rFonts w:hint="eastAsia" w:ascii="黑体" w:hAnsi="黑体" w:eastAsia="黑体" w:cs="黑体"/>
          <w:color w:val="auto"/>
          <w:sz w:val="32"/>
          <w:szCs w:val="36"/>
          <w:lang w:val="en-US" w:eastAsia="zh-CN"/>
        </w:rPr>
      </w:pPr>
    </w:p>
    <w:p w14:paraId="00CDF126">
      <w:pPr>
        <w:pStyle w:val="25"/>
        <w:pageBreakBefore w:val="0"/>
        <w:kinsoku w:val="0"/>
        <w:overflowPunct/>
        <w:topLinePunct w:val="0"/>
        <w:autoSpaceDE w:val="0"/>
        <w:autoSpaceDN w:val="0"/>
        <w:bidi w:val="0"/>
        <w:adjustRightInd w:val="0"/>
        <w:snapToGrid w:val="0"/>
        <w:ind w:right="0"/>
        <w:textAlignment w:val="baseline"/>
        <w:rPr>
          <w:rFonts w:hint="eastAsia" w:ascii="黑体" w:hAnsi="黑体" w:eastAsia="黑体" w:cs="黑体"/>
          <w:color w:val="auto"/>
          <w:sz w:val="32"/>
          <w:szCs w:val="36"/>
          <w:lang w:val="en-US" w:eastAsia="zh-CN"/>
        </w:rPr>
      </w:pPr>
    </w:p>
    <w:p w14:paraId="3188B459">
      <w:pPr>
        <w:pageBreakBefore w:val="0"/>
        <w:kinsoku w:val="0"/>
        <w:overflowPunct/>
        <w:topLinePunct w:val="0"/>
        <w:autoSpaceDE w:val="0"/>
        <w:autoSpaceDN w:val="0"/>
        <w:bidi w:val="0"/>
        <w:adjustRightInd w:val="0"/>
        <w:snapToGrid w:val="0"/>
        <w:spacing w:before="312" w:beforeLines="100"/>
        <w:ind w:right="0"/>
        <w:jc w:val="center"/>
        <w:textAlignment w:val="baseline"/>
        <w:outlineLvl w:val="0"/>
        <w:rPr>
          <w:rFonts w:hint="default" w:eastAsia="宋体"/>
          <w:color w:val="auto"/>
          <w:sz w:val="44"/>
          <w:szCs w:val="44"/>
          <w:lang w:val="en-US" w:eastAsia="zh-CN"/>
        </w:rPr>
      </w:pPr>
      <w:bookmarkStart w:id="1" w:name="_Toc27337"/>
      <w:bookmarkStart w:id="2" w:name="_Toc29199"/>
      <w:r>
        <w:rPr>
          <w:rFonts w:hint="eastAsia" w:ascii="黑体" w:hAnsi="黑体" w:eastAsia="黑体" w:cs="黑体"/>
          <w:color w:val="auto"/>
          <w:sz w:val="44"/>
          <w:szCs w:val="44"/>
          <w:lang w:val="en-US" w:eastAsia="zh-CN"/>
        </w:rPr>
        <w:t>竞争性磋商文件</w:t>
      </w:r>
      <w:bookmarkEnd w:id="0"/>
      <w:bookmarkEnd w:id="1"/>
      <w:bookmarkEnd w:id="2"/>
    </w:p>
    <w:p w14:paraId="0B25FBC2">
      <w:pPr>
        <w:pageBreakBefore w:val="0"/>
        <w:kinsoku w:val="0"/>
        <w:overflowPunct/>
        <w:topLinePunct w:val="0"/>
        <w:autoSpaceDE w:val="0"/>
        <w:autoSpaceDN w:val="0"/>
        <w:bidi w:val="0"/>
        <w:adjustRightInd w:val="0"/>
        <w:snapToGrid w:val="0"/>
        <w:ind w:right="0"/>
        <w:textAlignment w:val="baseline"/>
        <w:rPr>
          <w:rFonts w:hint="eastAsia"/>
          <w:color w:val="auto"/>
        </w:rPr>
      </w:pPr>
    </w:p>
    <w:p w14:paraId="7FFA7932">
      <w:pPr>
        <w:pStyle w:val="25"/>
        <w:pageBreakBefore w:val="0"/>
        <w:kinsoku w:val="0"/>
        <w:overflowPunct/>
        <w:topLinePunct w:val="0"/>
        <w:autoSpaceDE w:val="0"/>
        <w:autoSpaceDN w:val="0"/>
        <w:bidi w:val="0"/>
        <w:adjustRightInd w:val="0"/>
        <w:snapToGrid w:val="0"/>
        <w:ind w:right="0"/>
        <w:textAlignment w:val="baseline"/>
        <w:rPr>
          <w:rFonts w:hint="eastAsia"/>
        </w:rPr>
      </w:pPr>
    </w:p>
    <w:p w14:paraId="51F63221">
      <w:pPr>
        <w:pStyle w:val="25"/>
        <w:pageBreakBefore w:val="0"/>
        <w:kinsoku w:val="0"/>
        <w:overflowPunct/>
        <w:topLinePunct w:val="0"/>
        <w:autoSpaceDE w:val="0"/>
        <w:autoSpaceDN w:val="0"/>
        <w:bidi w:val="0"/>
        <w:adjustRightInd w:val="0"/>
        <w:snapToGrid w:val="0"/>
        <w:ind w:right="0"/>
        <w:textAlignment w:val="baseline"/>
        <w:rPr>
          <w:rFonts w:hint="eastAsia"/>
        </w:rPr>
      </w:pPr>
    </w:p>
    <w:p w14:paraId="1260508E">
      <w:pPr>
        <w:pStyle w:val="25"/>
        <w:pageBreakBefore w:val="0"/>
        <w:kinsoku w:val="0"/>
        <w:overflowPunct/>
        <w:topLinePunct w:val="0"/>
        <w:autoSpaceDE w:val="0"/>
        <w:autoSpaceDN w:val="0"/>
        <w:bidi w:val="0"/>
        <w:adjustRightInd w:val="0"/>
        <w:snapToGrid w:val="0"/>
        <w:ind w:right="0"/>
        <w:textAlignment w:val="baseline"/>
        <w:rPr>
          <w:rFonts w:hint="eastAsia"/>
        </w:rPr>
      </w:pPr>
    </w:p>
    <w:p w14:paraId="387EFC33">
      <w:pPr>
        <w:pStyle w:val="25"/>
        <w:pageBreakBefore w:val="0"/>
        <w:kinsoku w:val="0"/>
        <w:overflowPunct/>
        <w:topLinePunct w:val="0"/>
        <w:autoSpaceDE w:val="0"/>
        <w:autoSpaceDN w:val="0"/>
        <w:bidi w:val="0"/>
        <w:adjustRightInd w:val="0"/>
        <w:snapToGrid w:val="0"/>
        <w:ind w:right="0"/>
        <w:textAlignment w:val="baseline"/>
        <w:rPr>
          <w:rFonts w:hint="eastAsia"/>
        </w:rPr>
      </w:pPr>
    </w:p>
    <w:p w14:paraId="1302F693">
      <w:pPr>
        <w:pageBreakBefore w:val="0"/>
        <w:kinsoku w:val="0"/>
        <w:overflowPunct/>
        <w:topLinePunct w:val="0"/>
        <w:autoSpaceDE w:val="0"/>
        <w:autoSpaceDN w:val="0"/>
        <w:bidi w:val="0"/>
        <w:adjustRightInd w:val="0"/>
        <w:snapToGrid w:val="0"/>
        <w:ind w:right="0"/>
        <w:textAlignment w:val="baseline"/>
        <w:rPr>
          <w:rFonts w:hint="eastAsia"/>
          <w:color w:val="auto"/>
        </w:rPr>
      </w:pPr>
    </w:p>
    <w:p w14:paraId="498E899B">
      <w:pPr>
        <w:pageBreakBefore w:val="0"/>
        <w:kinsoku w:val="0"/>
        <w:overflowPunct/>
        <w:topLinePunct w:val="0"/>
        <w:autoSpaceDE w:val="0"/>
        <w:autoSpaceDN w:val="0"/>
        <w:bidi w:val="0"/>
        <w:adjustRightInd w:val="0"/>
        <w:snapToGrid w:val="0"/>
        <w:ind w:right="0"/>
        <w:textAlignment w:val="baseline"/>
        <w:rPr>
          <w:rFonts w:hint="eastAsia"/>
          <w:color w:val="auto"/>
        </w:rPr>
      </w:pPr>
    </w:p>
    <w:p w14:paraId="7DAE1068">
      <w:pPr>
        <w:pageBreakBefore w:val="0"/>
        <w:kinsoku w:val="0"/>
        <w:overflowPunct/>
        <w:topLinePunct w:val="0"/>
        <w:autoSpaceDE w:val="0"/>
        <w:autoSpaceDN w:val="0"/>
        <w:bidi w:val="0"/>
        <w:adjustRightInd w:val="0"/>
        <w:snapToGrid w:val="0"/>
        <w:spacing w:line="360" w:lineRule="auto"/>
        <w:ind w:left="1918" w:leftChars="304" w:right="0" w:hanging="1280" w:hangingChars="400"/>
        <w:textAlignment w:val="baseline"/>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28"/>
          <w:lang w:eastAsia="zh-CN"/>
        </w:rPr>
        <w:t>项目</w:t>
      </w:r>
      <w:r>
        <w:rPr>
          <w:rFonts w:hint="eastAsia" w:ascii="仿宋" w:hAnsi="仿宋" w:eastAsia="仿宋" w:cs="仿宋"/>
          <w:color w:val="auto"/>
          <w:sz w:val="32"/>
          <w:szCs w:val="28"/>
        </w:rPr>
        <w:t>名称:</w:t>
      </w:r>
      <w:r>
        <w:rPr>
          <w:rFonts w:hint="eastAsia" w:ascii="仿宋" w:hAnsi="仿宋" w:eastAsia="仿宋" w:cs="仿宋"/>
          <w:spacing w:val="3"/>
          <w:sz w:val="32"/>
          <w:szCs w:val="32"/>
          <w:u w:val="none"/>
          <w:lang w:eastAsia="zh-CN"/>
        </w:rPr>
        <w:t>新疆农业职业</w:t>
      </w:r>
      <w:r>
        <w:rPr>
          <w:rFonts w:hint="eastAsia" w:ascii="仿宋" w:hAnsi="仿宋" w:eastAsia="仿宋" w:cs="仿宋"/>
          <w:spacing w:val="3"/>
          <w:sz w:val="32"/>
          <w:szCs w:val="32"/>
          <w:u w:val="none"/>
          <w:lang w:val="en-US" w:eastAsia="zh-CN"/>
        </w:rPr>
        <w:t>技术</w:t>
      </w:r>
      <w:r>
        <w:rPr>
          <w:rFonts w:hint="eastAsia" w:ascii="仿宋" w:hAnsi="仿宋" w:eastAsia="仿宋" w:cs="仿宋"/>
          <w:spacing w:val="3"/>
          <w:sz w:val="32"/>
          <w:szCs w:val="32"/>
          <w:u w:val="none"/>
          <w:lang w:eastAsia="zh-CN"/>
        </w:rPr>
        <w:t>大学校史馆建设项目</w:t>
      </w:r>
    </w:p>
    <w:p w14:paraId="7A5B68F2">
      <w:pPr>
        <w:pStyle w:val="25"/>
        <w:pageBreakBefore w:val="0"/>
        <w:kinsoku w:val="0"/>
        <w:overflowPunct/>
        <w:topLinePunct w:val="0"/>
        <w:autoSpaceDE w:val="0"/>
        <w:autoSpaceDN w:val="0"/>
        <w:bidi w:val="0"/>
        <w:adjustRightInd w:val="0"/>
        <w:snapToGrid w:val="0"/>
        <w:ind w:right="0"/>
        <w:textAlignment w:val="baseline"/>
        <w:rPr>
          <w:rFonts w:hint="eastAsia"/>
          <w:lang w:val="en-US" w:eastAsia="zh-CN"/>
        </w:rPr>
      </w:pPr>
    </w:p>
    <w:p w14:paraId="6914E16B">
      <w:pPr>
        <w:pStyle w:val="25"/>
        <w:pageBreakBefore w:val="0"/>
        <w:kinsoku w:val="0"/>
        <w:overflowPunct/>
        <w:topLinePunct w:val="0"/>
        <w:autoSpaceDE w:val="0"/>
        <w:autoSpaceDN w:val="0"/>
        <w:bidi w:val="0"/>
        <w:adjustRightInd w:val="0"/>
        <w:snapToGrid w:val="0"/>
        <w:ind w:right="0"/>
        <w:textAlignment w:val="baseline"/>
        <w:rPr>
          <w:rFonts w:hint="eastAsia"/>
          <w:lang w:val="en-US" w:eastAsia="zh-CN"/>
        </w:rPr>
      </w:pPr>
    </w:p>
    <w:p w14:paraId="42D2413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jc w:val="both"/>
        <w:textAlignment w:val="baseline"/>
        <w:rPr>
          <w:rFonts w:hint="eastAsia" w:ascii="仿宋" w:hAnsi="仿宋" w:eastAsia="仿宋" w:cs="仿宋"/>
          <w:spacing w:val="13"/>
          <w:sz w:val="24"/>
          <w:szCs w:val="24"/>
          <w:lang w:eastAsia="zh-CN"/>
        </w:rPr>
      </w:pPr>
      <w:r>
        <w:rPr>
          <w:rFonts w:hint="eastAsia" w:ascii="仿宋" w:hAnsi="仿宋" w:eastAsia="仿宋" w:cs="仿宋"/>
          <w:color w:val="auto"/>
          <w:sz w:val="32"/>
          <w:szCs w:val="28"/>
          <w:lang w:val="en-US" w:eastAsia="zh-CN"/>
        </w:rPr>
        <w:t>采购</w:t>
      </w:r>
      <w:r>
        <w:rPr>
          <w:rFonts w:hint="eastAsia" w:ascii="仿宋" w:hAnsi="仿宋" w:eastAsia="仿宋" w:cs="仿宋"/>
          <w:color w:val="auto"/>
          <w:sz w:val="32"/>
          <w:szCs w:val="28"/>
        </w:rPr>
        <w:t>人（公章）：</w:t>
      </w:r>
      <w:r>
        <w:rPr>
          <w:rFonts w:hint="eastAsia" w:ascii="仿宋" w:hAnsi="仿宋" w:eastAsia="仿宋" w:cs="仿宋"/>
          <w:spacing w:val="13"/>
          <w:sz w:val="32"/>
          <w:szCs w:val="32"/>
          <w:lang w:eastAsia="zh-CN"/>
        </w:rPr>
        <w:t>新疆农业职业技术大学</w:t>
      </w:r>
    </w:p>
    <w:p w14:paraId="47EA742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textAlignment w:val="baseline"/>
        <w:rPr>
          <w:rFonts w:hint="eastAsia" w:ascii="仿宋" w:hAnsi="仿宋" w:eastAsia="仿宋" w:cs="仿宋"/>
          <w:color w:val="auto"/>
          <w:sz w:val="32"/>
          <w:szCs w:val="28"/>
          <w:lang w:eastAsia="zh-CN"/>
        </w:rPr>
      </w:pPr>
      <w:r>
        <w:rPr>
          <w:rFonts w:hint="eastAsia" w:ascii="仿宋" w:hAnsi="仿宋" w:eastAsia="仿宋" w:cs="仿宋"/>
          <w:color w:val="auto"/>
          <w:sz w:val="32"/>
          <w:szCs w:val="28"/>
        </w:rPr>
        <w:t>法定代表人（签字或盖章）：</w:t>
      </w:r>
    </w:p>
    <w:p w14:paraId="1E8667A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textAlignment w:val="baseline"/>
        <w:rPr>
          <w:rFonts w:hint="default" w:ascii="仿宋" w:hAnsi="仿宋" w:eastAsia="仿宋" w:cs="仿宋"/>
          <w:color w:val="auto"/>
          <w:sz w:val="32"/>
          <w:szCs w:val="28"/>
          <w:lang w:val="en-US" w:eastAsia="zh-CN"/>
        </w:rPr>
      </w:pPr>
      <w:r>
        <w:rPr>
          <w:rFonts w:hint="eastAsia" w:ascii="仿宋" w:hAnsi="仿宋" w:eastAsia="仿宋" w:cs="仿宋"/>
          <w:color w:val="auto"/>
          <w:sz w:val="32"/>
          <w:szCs w:val="28"/>
        </w:rPr>
        <w:t>联系人：</w:t>
      </w:r>
      <w:r>
        <w:rPr>
          <w:rFonts w:hint="eastAsia" w:ascii="仿宋" w:hAnsi="仿宋" w:eastAsia="仿宋" w:cs="仿宋"/>
          <w:color w:val="auto"/>
          <w:sz w:val="32"/>
          <w:szCs w:val="28"/>
          <w:lang w:val="en-US" w:eastAsia="zh-CN"/>
        </w:rPr>
        <w:t>李雪娜</w:t>
      </w:r>
    </w:p>
    <w:p w14:paraId="49B74C2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textAlignment w:val="baseline"/>
        <w:rPr>
          <w:rFonts w:hint="default" w:ascii="仿宋" w:hAnsi="仿宋" w:eastAsia="仿宋" w:cs="仿宋"/>
          <w:color w:val="auto"/>
          <w:sz w:val="32"/>
          <w:szCs w:val="28"/>
          <w:lang w:val="en-US" w:eastAsia="zh-CN"/>
        </w:rPr>
      </w:pPr>
      <w:r>
        <w:rPr>
          <w:rFonts w:hint="eastAsia" w:ascii="仿宋" w:hAnsi="仿宋" w:eastAsia="仿宋" w:cs="仿宋"/>
          <w:color w:val="auto"/>
          <w:sz w:val="32"/>
          <w:szCs w:val="28"/>
        </w:rPr>
        <w:t>电话：</w:t>
      </w:r>
      <w:r>
        <w:rPr>
          <w:rFonts w:hint="eastAsia" w:ascii="仿宋" w:hAnsi="仿宋" w:eastAsia="仿宋" w:cs="仿宋"/>
          <w:color w:val="auto"/>
          <w:sz w:val="32"/>
          <w:szCs w:val="28"/>
          <w:lang w:val="en-US" w:eastAsia="zh-CN"/>
        </w:rPr>
        <w:t>18690139425</w:t>
      </w:r>
    </w:p>
    <w:p w14:paraId="328CA43B">
      <w:pPr>
        <w:pStyle w:val="29"/>
        <w:pageBreakBefore w:val="0"/>
        <w:kinsoku w:val="0"/>
        <w:overflowPunct/>
        <w:topLinePunct w:val="0"/>
        <w:autoSpaceDE w:val="0"/>
        <w:autoSpaceDN w:val="0"/>
        <w:bidi w:val="0"/>
        <w:adjustRightInd w:val="0"/>
        <w:snapToGrid w:val="0"/>
        <w:ind w:left="0" w:leftChars="0" w:right="0" w:firstLine="0" w:firstLineChars="0"/>
        <w:textAlignment w:val="baseline"/>
        <w:rPr>
          <w:rFonts w:hint="eastAsia" w:ascii="仿宋" w:hAnsi="仿宋" w:eastAsia="仿宋" w:cs="仿宋"/>
          <w:color w:val="auto"/>
          <w:sz w:val="28"/>
          <w:szCs w:val="24"/>
          <w:lang w:val="en-US" w:eastAsia="zh-CN"/>
        </w:rPr>
      </w:pPr>
    </w:p>
    <w:p w14:paraId="2285E462">
      <w:pPr>
        <w:pStyle w:val="29"/>
        <w:pageBreakBefore w:val="0"/>
        <w:kinsoku w:val="0"/>
        <w:overflowPunct/>
        <w:topLinePunct w:val="0"/>
        <w:autoSpaceDE w:val="0"/>
        <w:autoSpaceDN w:val="0"/>
        <w:bidi w:val="0"/>
        <w:adjustRightInd w:val="0"/>
        <w:snapToGrid w:val="0"/>
        <w:ind w:left="0" w:leftChars="0" w:right="0" w:firstLine="0" w:firstLineChars="0"/>
        <w:textAlignment w:val="baseline"/>
        <w:rPr>
          <w:rFonts w:hint="eastAsia" w:ascii="仿宋" w:hAnsi="仿宋" w:eastAsia="仿宋" w:cs="仿宋"/>
          <w:color w:val="auto"/>
          <w:sz w:val="28"/>
          <w:szCs w:val="24"/>
          <w:lang w:val="en-US" w:eastAsia="zh-CN"/>
        </w:rPr>
      </w:pPr>
    </w:p>
    <w:p w14:paraId="415E71CA">
      <w:pPr>
        <w:keepNext w:val="0"/>
        <w:keepLines w:val="0"/>
        <w:pageBreakBefore w:val="0"/>
        <w:widowControl/>
        <w:tabs>
          <w:tab w:val="left" w:pos="4000"/>
        </w:tabs>
        <w:kinsoku w:val="0"/>
        <w:wordWrap/>
        <w:overflowPunct/>
        <w:topLinePunct w:val="0"/>
        <w:autoSpaceDE w:val="0"/>
        <w:autoSpaceDN w:val="0"/>
        <w:bidi w:val="0"/>
        <w:adjustRightInd w:val="0"/>
        <w:snapToGrid w:val="0"/>
        <w:spacing w:line="360" w:lineRule="auto"/>
        <w:ind w:left="3838" w:leftChars="304" w:right="-521" w:rightChars="-248" w:hanging="3200" w:hangingChars="100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代理人（公章）：新疆玖一建设项目管理咨询有限公司</w:t>
      </w:r>
    </w:p>
    <w:p w14:paraId="65440D3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法定代表人（签字或盖章）：</w:t>
      </w:r>
    </w:p>
    <w:p w14:paraId="2146C95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联系人：王荣荣</w:t>
      </w:r>
    </w:p>
    <w:p w14:paraId="79AFF73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电话：0991-3836791</w:t>
      </w:r>
    </w:p>
    <w:p w14:paraId="059588B5">
      <w:pPr>
        <w:pStyle w:val="29"/>
        <w:pageBreakBefore w:val="0"/>
        <w:kinsoku w:val="0"/>
        <w:overflowPunct/>
        <w:topLinePunct w:val="0"/>
        <w:autoSpaceDE w:val="0"/>
        <w:autoSpaceDN w:val="0"/>
        <w:bidi w:val="0"/>
        <w:adjustRightInd w:val="0"/>
        <w:snapToGrid w:val="0"/>
        <w:ind w:left="0" w:leftChars="0" w:right="0" w:firstLine="0" w:firstLineChars="0"/>
        <w:textAlignment w:val="baseline"/>
        <w:rPr>
          <w:rFonts w:hint="eastAsia" w:ascii="仿宋" w:hAnsi="仿宋" w:eastAsia="仿宋" w:cs="仿宋"/>
          <w:color w:val="auto"/>
          <w:sz w:val="22"/>
          <w:szCs w:val="24"/>
        </w:rPr>
      </w:pPr>
    </w:p>
    <w:p w14:paraId="087E24B7">
      <w:pPr>
        <w:pStyle w:val="29"/>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color w:val="auto"/>
          <w:sz w:val="22"/>
          <w:szCs w:val="24"/>
        </w:rPr>
      </w:pPr>
    </w:p>
    <w:p w14:paraId="0A984CE6">
      <w:pPr>
        <w:pStyle w:val="29"/>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color w:val="auto"/>
          <w:sz w:val="22"/>
          <w:szCs w:val="24"/>
        </w:rPr>
      </w:pPr>
    </w:p>
    <w:p w14:paraId="1F517B32">
      <w:pPr>
        <w:pStyle w:val="29"/>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color w:val="auto"/>
          <w:sz w:val="22"/>
          <w:szCs w:val="24"/>
        </w:rPr>
      </w:pPr>
    </w:p>
    <w:p w14:paraId="115BBAB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color w:val="auto"/>
          <w:sz w:val="22"/>
          <w:szCs w:val="24"/>
        </w:rPr>
      </w:pPr>
    </w:p>
    <w:p w14:paraId="47F89E1F">
      <w:pPr>
        <w:pageBreakBefore w:val="0"/>
        <w:kinsoku w:val="0"/>
        <w:overflowPunct/>
        <w:topLinePunct w:val="0"/>
        <w:autoSpaceDE w:val="0"/>
        <w:autoSpaceDN w:val="0"/>
        <w:bidi w:val="0"/>
        <w:adjustRightInd w:val="0"/>
        <w:snapToGrid w:val="0"/>
        <w:ind w:right="0"/>
        <w:jc w:val="center"/>
        <w:textAlignment w:val="baseline"/>
        <w:rPr>
          <w:rFonts w:hint="default" w:eastAsia="宋体"/>
          <w:color w:val="auto"/>
          <w:sz w:val="32"/>
          <w:szCs w:val="32"/>
          <w:lang w:val="en-US" w:eastAsia="zh-CN"/>
        </w:rPr>
        <w:sectPr>
          <w:headerReference r:id="rId5" w:type="default"/>
          <w:footerReference r:id="rId6" w:type="default"/>
          <w:pgSz w:w="11905" w:h="16838"/>
          <w:pgMar w:top="1440" w:right="1803" w:bottom="1440" w:left="1803" w:header="0" w:footer="567" w:gutter="0"/>
          <w:pgNumType w:fmt="decimal" w:start="1"/>
          <w:cols w:space="0" w:num="1"/>
          <w:rtlGutter w:val="0"/>
          <w:docGrid w:linePitch="312" w:charSpace="0"/>
        </w:sect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p>
    <w:p w14:paraId="0B175FB1">
      <w:pPr>
        <w:pageBreakBefore w:val="0"/>
        <w:kinsoku w:val="0"/>
        <w:overflowPunct/>
        <w:topLinePunct w:val="0"/>
        <w:autoSpaceDE w:val="0"/>
        <w:autoSpaceDN w:val="0"/>
        <w:bidi w:val="0"/>
        <w:adjustRightInd w:val="0"/>
        <w:snapToGrid w:val="0"/>
        <w:spacing w:line="244" w:lineRule="auto"/>
        <w:ind w:right="0"/>
        <w:textAlignment w:val="baseline"/>
        <w:rPr>
          <w:rFonts w:hint="eastAsia" w:ascii="仿宋" w:hAnsi="仿宋" w:eastAsia="仿宋" w:cs="仿宋"/>
          <w:sz w:val="21"/>
        </w:rPr>
      </w:pPr>
    </w:p>
    <w:p w14:paraId="6F405EB5">
      <w:pPr>
        <w:pageBreakBefore w:val="0"/>
        <w:kinsoku w:val="0"/>
        <w:overflowPunct/>
        <w:topLinePunct w:val="0"/>
        <w:autoSpaceDE w:val="0"/>
        <w:autoSpaceDN w:val="0"/>
        <w:bidi w:val="0"/>
        <w:adjustRightInd w:val="0"/>
        <w:snapToGrid w:val="0"/>
        <w:spacing w:line="244" w:lineRule="auto"/>
        <w:ind w:right="0"/>
        <w:textAlignment w:val="baseline"/>
        <w:rPr>
          <w:rFonts w:hint="eastAsia" w:ascii="仿宋" w:hAnsi="仿宋" w:eastAsia="仿宋" w:cs="仿宋"/>
          <w:sz w:val="21"/>
        </w:rPr>
      </w:pPr>
    </w:p>
    <w:p w14:paraId="38184784">
      <w:pPr>
        <w:pageBreakBefore w:val="0"/>
        <w:kinsoku w:val="0"/>
        <w:overflowPunct/>
        <w:topLinePunct w:val="0"/>
        <w:autoSpaceDE w:val="0"/>
        <w:autoSpaceDN w:val="0"/>
        <w:bidi w:val="0"/>
        <w:adjustRightInd w:val="0"/>
        <w:snapToGrid w:val="0"/>
        <w:spacing w:line="245" w:lineRule="auto"/>
        <w:ind w:right="0"/>
        <w:textAlignment w:val="baseline"/>
        <w:rPr>
          <w:rFonts w:hint="eastAsia" w:ascii="仿宋" w:hAnsi="仿宋" w:eastAsia="仿宋" w:cs="仿宋"/>
          <w:sz w:val="21"/>
        </w:rPr>
      </w:pPr>
    </w:p>
    <w:p w14:paraId="797C4A90">
      <w:pPr>
        <w:pageBreakBefore w:val="0"/>
        <w:kinsoku w:val="0"/>
        <w:overflowPunct/>
        <w:topLinePunct w:val="0"/>
        <w:autoSpaceDE w:val="0"/>
        <w:autoSpaceDN w:val="0"/>
        <w:bidi w:val="0"/>
        <w:adjustRightInd w:val="0"/>
        <w:snapToGrid w:val="0"/>
        <w:spacing w:line="245" w:lineRule="auto"/>
        <w:ind w:right="0"/>
        <w:textAlignment w:val="baseline"/>
        <w:rPr>
          <w:rFonts w:hint="eastAsia" w:ascii="仿宋" w:hAnsi="仿宋" w:eastAsia="仿宋" w:cs="仿宋"/>
          <w:sz w:val="21"/>
        </w:rPr>
      </w:pPr>
    </w:p>
    <w:p w14:paraId="1C765C5C">
      <w:pPr>
        <w:pageBreakBefore w:val="0"/>
        <w:kinsoku w:val="0"/>
        <w:overflowPunct/>
        <w:topLinePunct w:val="0"/>
        <w:autoSpaceDE w:val="0"/>
        <w:autoSpaceDN w:val="0"/>
        <w:bidi w:val="0"/>
        <w:adjustRightInd w:val="0"/>
        <w:snapToGrid w:val="0"/>
        <w:spacing w:line="245" w:lineRule="auto"/>
        <w:ind w:right="0"/>
        <w:textAlignment w:val="baseline"/>
        <w:rPr>
          <w:rFonts w:hint="eastAsia" w:ascii="仿宋" w:hAnsi="仿宋" w:eastAsia="仿宋" w:cs="仿宋"/>
          <w:sz w:val="21"/>
        </w:rPr>
      </w:pPr>
    </w:p>
    <w:sdt>
      <w:sdtPr>
        <w:rPr>
          <w:rFonts w:hint="eastAsia" w:ascii="仿宋" w:hAnsi="仿宋" w:eastAsia="仿宋" w:cs="仿宋"/>
          <w:spacing w:val="-37"/>
          <w:sz w:val="32"/>
          <w:szCs w:val="32"/>
          <w:lang w:val="en-US" w:eastAsia="en-US"/>
          <w14:textOutline w14:w="6584" w14:cap="flat" w14:cmpd="sng">
            <w14:solidFill>
              <w14:srgbClr w14:val="000000"/>
            </w14:solidFill>
            <w14:prstDash w14:val="solid"/>
            <w14:miter w14:val="0"/>
          </w14:textOutline>
        </w:rPr>
        <w:id w:val="147479957"/>
        <w15:color w:val="DBDBDB"/>
        <w:docPartObj>
          <w:docPartGallery w:val="Table of Contents"/>
          <w:docPartUnique/>
        </w:docPartObj>
      </w:sdtPr>
      <w:sdtEndPr>
        <w:rPr>
          <w:rFonts w:hint="eastAsia" w:ascii="仿宋" w:hAnsi="仿宋" w:eastAsia="仿宋" w:cs="仿宋"/>
          <w:spacing w:val="-37"/>
          <w:sz w:val="32"/>
          <w:szCs w:val="32"/>
          <w:lang w:val="en-US" w:eastAsia="en-US"/>
          <w14:textOutline w14:w="6584" w14:cap="flat" w14:cmpd="sng">
            <w14:solidFill>
              <w14:srgbClr w14:val="000000"/>
            </w14:solidFill>
            <w14:prstDash w14:val="solid"/>
            <w14:miter w14:val="0"/>
          </w14:textOutline>
        </w:rPr>
      </w:sdtEndPr>
      <w:sdtContent>
        <w:p w14:paraId="5370DF77">
          <w:pPr>
            <w:pStyle w:val="5"/>
            <w:pageBreakBefore w:val="0"/>
            <w:kinsoku w:val="0"/>
            <w:overflowPunct/>
            <w:topLinePunct w:val="0"/>
            <w:autoSpaceDE w:val="0"/>
            <w:autoSpaceDN w:val="0"/>
            <w:bidi w:val="0"/>
            <w:adjustRightInd w:val="0"/>
            <w:snapToGrid w:val="0"/>
            <w:spacing w:before="71" w:line="192" w:lineRule="auto"/>
            <w:ind w:left="3485" w:right="0"/>
            <w:textAlignment w:val="baseline"/>
            <w:outlineLvl w:val="0"/>
            <w:rPr>
              <w:rFonts w:hint="eastAsia" w:ascii="仿宋" w:hAnsi="仿宋" w:eastAsia="仿宋" w:cs="仿宋"/>
              <w:spacing w:val="-37"/>
              <w:sz w:val="32"/>
              <w:szCs w:val="32"/>
              <w14:textOutline w14:w="6584" w14:cap="flat" w14:cmpd="sng">
                <w14:solidFill>
                  <w14:srgbClr w14:val="000000"/>
                </w14:solidFill>
                <w14:prstDash w14:val="solid"/>
                <w14:miter w14:val="0"/>
              </w14:textOutline>
            </w:rPr>
          </w:pPr>
          <w:r>
            <w:rPr>
              <w:rFonts w:hint="eastAsia" w:ascii="仿宋" w:hAnsi="仿宋" w:eastAsia="仿宋" w:cs="仿宋"/>
              <w:spacing w:val="-37"/>
              <w:sz w:val="32"/>
              <w:szCs w:val="32"/>
              <w14:textOutline w14:w="6584" w14:cap="flat" w14:cmpd="sng">
                <w14:solidFill>
                  <w14:srgbClr w14:val="000000"/>
                </w14:solidFill>
                <w14:prstDash w14:val="solid"/>
                <w14:miter w14:val="0"/>
              </w14:textOutline>
            </w:rPr>
            <w:t>目录</w:t>
          </w:r>
        </w:p>
        <w:p w14:paraId="5782AAC2">
          <w:pPr>
            <w:pStyle w:val="13"/>
            <w:tabs>
              <w:tab w:val="right" w:leader="dot" w:pos="8299"/>
            </w:tabs>
          </w:pPr>
          <w:r>
            <w:fldChar w:fldCharType="begin"/>
          </w:r>
          <w:r>
            <w:instrText xml:space="preserve">TOC \o "1-1" \h \u </w:instrText>
          </w:r>
          <w:r>
            <w:fldChar w:fldCharType="separate"/>
          </w:r>
        </w:p>
        <w:p w14:paraId="30446717">
          <w:pPr>
            <w:pStyle w:val="13"/>
            <w:tabs>
              <w:tab w:val="right" w:leader="dot" w:pos="8299"/>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_Toc29254 </w:instrText>
          </w:r>
          <w:r>
            <w:rPr>
              <w:rFonts w:hint="eastAsia" w:ascii="仿宋" w:hAnsi="仿宋" w:eastAsia="仿宋" w:cs="仿宋"/>
              <w:b w:val="0"/>
              <w:bCs w:val="0"/>
              <w:sz w:val="28"/>
              <w:szCs w:val="28"/>
            </w:rPr>
            <w:fldChar w:fldCharType="separate"/>
          </w:r>
          <w:r>
            <w:rPr>
              <w:rFonts w:hint="eastAsia" w:ascii="仿宋" w:hAnsi="仿宋" w:eastAsia="仿宋" w:cs="仿宋"/>
              <w:b/>
              <w:bCs/>
              <w:spacing w:val="7"/>
              <w:sz w:val="28"/>
              <w:szCs w:val="28"/>
              <w14:textOutline w14:w="5835" w14:cap="flat" w14:cmpd="sng">
                <w14:solidFill>
                  <w14:srgbClr w14:val="000000"/>
                </w14:solidFill>
                <w14:prstDash w14:val="solid"/>
                <w14:miter w14:val="0"/>
              </w14:textOutline>
            </w:rPr>
            <w:t>第一章采购邀请</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_Toc29254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3195875C">
          <w:pPr>
            <w:pStyle w:val="13"/>
            <w:tabs>
              <w:tab w:val="right" w:leader="dot" w:pos="8299"/>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_Toc11015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7"/>
              <w:sz w:val="28"/>
              <w:szCs w:val="28"/>
              <w14:textOutline w14:w="5835" w14:cap="flat" w14:cmpd="sng">
                <w14:solidFill>
                  <w14:srgbClr w14:val="000000"/>
                </w14:solidFill>
                <w14:prstDash w14:val="solid"/>
                <w14:miter w14:val="0"/>
              </w14:textOutline>
            </w:rPr>
            <w:t>第二章磋商须知</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_Toc11015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678EC7F8">
          <w:pPr>
            <w:pStyle w:val="13"/>
            <w:tabs>
              <w:tab w:val="right" w:leader="dot" w:pos="8299"/>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_Toc8706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9"/>
              <w:sz w:val="28"/>
              <w:szCs w:val="36"/>
              <w14:textOutline w14:w="5835" w14:cap="flat" w14:cmpd="sng">
                <w14:solidFill>
                  <w14:srgbClr w14:val="000000"/>
                </w14:solidFill>
                <w14:prstDash w14:val="solid"/>
                <w14:miter w14:val="0"/>
              </w14:textOutline>
            </w:rPr>
            <w:t>第三章技术参数、规格及要求</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_Toc8706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064A5AB1">
          <w:pPr>
            <w:pStyle w:val="13"/>
            <w:tabs>
              <w:tab w:val="right" w:leader="dot" w:pos="8299"/>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_Toc7435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9"/>
              <w:sz w:val="28"/>
              <w:szCs w:val="40"/>
              <w14:textOutline w14:w="5835" w14:cap="flat" w14:cmpd="sng">
                <w14:solidFill>
                  <w14:srgbClr w14:val="000000"/>
                </w14:solidFill>
                <w14:prstDash w14:val="solid"/>
                <w14:miter w14:val="0"/>
              </w14:textOutline>
            </w:rPr>
            <w:t>第四章评审办法及评分标准</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_Toc7435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72488027">
          <w:pPr>
            <w:pStyle w:val="13"/>
            <w:tabs>
              <w:tab w:val="right" w:leader="dot" w:pos="8299"/>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_Toc245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8"/>
              <w:sz w:val="28"/>
              <w:szCs w:val="40"/>
              <w14:textOutline w14:w="5835" w14:cap="flat" w14:cmpd="sng">
                <w14:solidFill>
                  <w14:srgbClr w14:val="000000"/>
                </w14:solidFill>
                <w14:prstDash w14:val="solid"/>
                <w14:miter w14:val="0"/>
              </w14:textOutline>
            </w:rPr>
            <w:t>第五章合同主要条款</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_Toc245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50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128A8DCE">
          <w:pPr>
            <w:pStyle w:val="13"/>
            <w:tabs>
              <w:tab w:val="right" w:leader="dot" w:pos="8299"/>
            </w:tabs>
            <w:spacing w:line="480" w:lineRule="auto"/>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_Toc14164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6"/>
              <w:sz w:val="28"/>
              <w:szCs w:val="28"/>
              <w14:textOutline w14:w="5835" w14:cap="flat" w14:cmpd="sng">
                <w14:solidFill>
                  <w14:srgbClr w14:val="000000"/>
                </w14:solidFill>
                <w14:prstDash w14:val="solid"/>
                <w14:miter w14:val="0"/>
              </w14:textOutline>
            </w:rPr>
            <w:t>第六章响应文件格式</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_Toc14164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100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14:paraId="6F462F91">
          <w:r>
            <w:fldChar w:fldCharType="end"/>
          </w:r>
        </w:p>
      </w:sdtContent>
    </w:sdt>
    <w:p w14:paraId="7B1D9A3A"/>
    <w:p w14:paraId="1DBBD377">
      <w:pPr>
        <w:rPr>
          <w:rFonts w:hint="eastAsia" w:ascii="仿宋" w:hAnsi="仿宋" w:eastAsia="仿宋" w:cs="仿宋"/>
          <w:b/>
          <w:bCs/>
          <w:spacing w:val="7"/>
          <w14:textOutline w14:w="5835" w14:cap="flat" w14:cmpd="sng">
            <w14:solidFill>
              <w14:srgbClr w14:val="000000"/>
            </w14:solidFill>
            <w14:prstDash w14:val="solid"/>
            <w14:miter w14:val="0"/>
          </w14:textOutline>
        </w:rPr>
      </w:pPr>
      <w:r>
        <w:rPr>
          <w:rFonts w:hint="eastAsia" w:ascii="仿宋" w:hAnsi="仿宋" w:eastAsia="仿宋" w:cs="仿宋"/>
          <w:b/>
          <w:bCs/>
          <w:spacing w:val="7"/>
          <w14:textOutline w14:w="5835" w14:cap="flat" w14:cmpd="sng">
            <w14:solidFill>
              <w14:srgbClr w14:val="000000"/>
            </w14:solidFill>
            <w14:prstDash w14:val="solid"/>
            <w14:miter w14:val="0"/>
          </w14:textOutline>
        </w:rPr>
        <w:br w:type="page"/>
      </w:r>
    </w:p>
    <w:p w14:paraId="52A52A54">
      <w:pPr>
        <w:pStyle w:val="5"/>
        <w:pageBreakBefore w:val="0"/>
        <w:kinsoku w:val="0"/>
        <w:overflowPunct/>
        <w:topLinePunct w:val="0"/>
        <w:autoSpaceDE w:val="0"/>
        <w:autoSpaceDN w:val="0"/>
        <w:bidi w:val="0"/>
        <w:adjustRightInd w:val="0"/>
        <w:snapToGrid w:val="0"/>
        <w:spacing w:before="64" w:line="360" w:lineRule="auto"/>
        <w:ind w:right="0"/>
        <w:jc w:val="center"/>
        <w:textAlignment w:val="baseline"/>
        <w:outlineLvl w:val="0"/>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pPr>
      <w:bookmarkStart w:id="3" w:name="_Toc29254"/>
      <w:r>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t>第一章采购邀请</w:t>
      </w:r>
      <w:bookmarkEnd w:id="3"/>
    </w:p>
    <w:p w14:paraId="7253892C">
      <w:pPr>
        <w:pageBreakBefore w:val="0"/>
        <w:kinsoku w:val="0"/>
        <w:overflowPunct/>
        <w:topLinePunct w:val="0"/>
        <w:autoSpaceDE w:val="0"/>
        <w:autoSpaceDN w:val="0"/>
        <w:bidi w:val="0"/>
        <w:adjustRightInd w:val="0"/>
        <w:snapToGrid w:val="0"/>
        <w:spacing w:line="314" w:lineRule="auto"/>
        <w:ind w:right="0"/>
        <w:textAlignment w:val="baseline"/>
        <w:rPr>
          <w:rFonts w:hint="eastAsia" w:ascii="仿宋" w:hAnsi="仿宋" w:eastAsia="仿宋" w:cs="仿宋"/>
          <w:sz w:val="21"/>
        </w:rPr>
      </w:pPr>
    </w:p>
    <w:p w14:paraId="140D9CF9">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b w:val="0"/>
          <w:bCs w:val="0"/>
          <w:sz w:val="28"/>
          <w:szCs w:val="28"/>
          <w:lang w:eastAsia="zh-CN"/>
          <w14:textOutline w14:w="5137" w14:cap="flat" w14:cmpd="sng">
            <w14:solidFill>
              <w14:srgbClr w14:val="000000"/>
            </w14:solidFill>
            <w14:prstDash w14:val="solid"/>
            <w14:miter w14:val="0"/>
          </w14:textOutline>
        </w:rPr>
      </w:pPr>
      <w:r>
        <w:rPr>
          <w:rFonts w:hint="eastAsia" w:ascii="仿宋" w:hAnsi="仿宋" w:eastAsia="仿宋" w:cs="仿宋"/>
          <w:b w:val="0"/>
          <w:bCs w:val="0"/>
          <w:sz w:val="28"/>
          <w:szCs w:val="28"/>
          <w:lang w:eastAsia="zh-CN"/>
          <w14:textOutline w14:w="5137" w14:cap="flat" w14:cmpd="sng">
            <w14:solidFill>
              <w14:srgbClr w14:val="000000"/>
            </w14:solidFill>
            <w14:prstDash w14:val="solid"/>
            <w14:miter w14:val="0"/>
          </w14:textOutline>
        </w:rPr>
        <w:t>新疆农业职业技术大学校史馆建设项目</w:t>
      </w:r>
    </w:p>
    <w:p w14:paraId="35DF2D0B">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val="0"/>
          <w:bCs w:val="0"/>
          <w:sz w:val="28"/>
          <w:szCs w:val="28"/>
        </w:rPr>
      </w:pPr>
      <w:r>
        <w:rPr>
          <w:rFonts w:hint="eastAsia" w:ascii="仿宋" w:hAnsi="仿宋" w:eastAsia="仿宋" w:cs="仿宋"/>
          <w:b w:val="0"/>
          <w:bCs w:val="0"/>
          <w:spacing w:val="-1"/>
          <w:sz w:val="28"/>
          <w:szCs w:val="28"/>
          <w14:textOutline w14:w="5137" w14:cap="flat" w14:cmpd="sng">
            <w14:solidFill>
              <w14:srgbClr w14:val="000000"/>
            </w14:solidFill>
            <w14:prstDash w14:val="solid"/>
            <w14:miter w14:val="0"/>
          </w14:textOutline>
        </w:rPr>
        <w:t>竞争性磋商公告</w:t>
      </w:r>
    </w:p>
    <w:p w14:paraId="03AB59EA">
      <w:pPr>
        <w:pStyle w:val="6"/>
        <w:rPr>
          <w:rFonts w:hint="eastAsia"/>
          <w:lang w:eastAsia="zh-CN"/>
        </w:rPr>
      </w:pPr>
    </w:p>
    <w:p w14:paraId="690E0016">
      <w:pPr>
        <w:pStyle w:val="5"/>
        <w:pageBreakBefore w:val="0"/>
        <w:kinsoku w:val="0"/>
        <w:overflowPunct/>
        <w:topLinePunct w:val="0"/>
        <w:autoSpaceDE w:val="0"/>
        <w:autoSpaceDN w:val="0"/>
        <w:bidi w:val="0"/>
        <w:adjustRightInd w:val="0"/>
        <w:snapToGrid w:val="0"/>
        <w:spacing w:before="24" w:line="360" w:lineRule="auto"/>
        <w:ind w:right="0" w:firstLine="484"/>
        <w:jc w:val="both"/>
        <w:textAlignment w:val="baseline"/>
        <w:rPr>
          <w:rFonts w:hint="eastAsia" w:ascii="仿宋" w:hAnsi="仿宋" w:eastAsia="仿宋" w:cs="仿宋"/>
          <w:b/>
          <w:bCs/>
          <w:spacing w:val="29"/>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828800" cy="1828800"/>
                <wp:effectExtent l="4445" t="4445" r="10795" b="10795"/>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369095">
                            <w:pPr>
                              <w:pStyle w:val="5"/>
                              <w:spacing w:before="24" w:line="360" w:lineRule="auto"/>
                              <w:ind w:right="2" w:firstLine="484"/>
                              <w:jc w:val="left"/>
                              <w:rPr>
                                <w:rFonts w:hint="eastAsia" w:ascii="仿宋" w:hAnsi="仿宋" w:eastAsia="仿宋" w:cs="仿宋"/>
                                <w:spacing w:val="29"/>
                                <w:sz w:val="24"/>
                                <w:szCs w:val="24"/>
                              </w:rPr>
                            </w:pPr>
                            <w:r>
                              <w:rPr>
                                <w:rFonts w:hint="eastAsia" w:ascii="仿宋" w:hAnsi="仿宋" w:eastAsia="仿宋" w:cs="仿宋"/>
                                <w:spacing w:val="14"/>
                                <w:sz w:val="24"/>
                                <w:szCs w:val="24"/>
                              </w:rPr>
                              <w:t>项目概况：</w:t>
                            </w:r>
                            <w:r>
                              <w:rPr>
                                <w:rFonts w:hint="eastAsia" w:ascii="仿宋" w:hAnsi="仿宋" w:eastAsia="仿宋" w:cs="仿宋"/>
                                <w:spacing w:val="14"/>
                                <w:sz w:val="24"/>
                                <w:szCs w:val="24"/>
                                <w:lang w:eastAsia="zh-CN"/>
                              </w:rPr>
                              <w:t>新疆农业职业技术大学校史馆建设项目</w:t>
                            </w:r>
                            <w:r>
                              <w:rPr>
                                <w:rFonts w:hint="eastAsia" w:ascii="仿宋" w:hAnsi="仿宋" w:eastAsia="仿宋" w:cs="仿宋"/>
                                <w:spacing w:val="14"/>
                                <w:sz w:val="24"/>
                                <w:szCs w:val="24"/>
                              </w:rPr>
                              <w:t>的潜在供应商在</w:t>
                            </w:r>
                            <w:r>
                              <w:rPr>
                                <w:rFonts w:hint="eastAsia" w:ascii="仿宋" w:hAnsi="仿宋" w:eastAsia="仿宋" w:cs="仿宋"/>
                                <w:spacing w:val="-5"/>
                                <w:sz w:val="24"/>
                                <w:szCs w:val="24"/>
                              </w:rPr>
                              <w:t>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pacing w:val="-5"/>
                                <w:sz w:val="24"/>
                                <w:szCs w:val="24"/>
                              </w:rPr>
                              <w:t>https://www.zcygov.cn/</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rPr>
                              <w:t>）获取采购文</w:t>
                            </w:r>
                            <w:r>
                              <w:rPr>
                                <w:rFonts w:hint="eastAsia" w:ascii="仿宋" w:hAnsi="仿宋" w:eastAsia="仿宋" w:cs="仿宋"/>
                                <w:spacing w:val="29"/>
                                <w:sz w:val="24"/>
                                <w:szCs w:val="24"/>
                              </w:rPr>
                              <w:t>件，并于</w:t>
                            </w:r>
                            <w:r>
                              <w:rPr>
                                <w:rFonts w:hint="eastAsia" w:ascii="仿宋" w:hAnsi="仿宋" w:eastAsia="仿宋" w:cs="仿宋"/>
                                <w:spacing w:val="29"/>
                                <w:sz w:val="24"/>
                                <w:szCs w:val="24"/>
                                <w:lang w:eastAsia="zh-CN"/>
                              </w:rPr>
                              <w:t>2025年07月11日</w:t>
                            </w:r>
                            <w:r>
                              <w:rPr>
                                <w:rFonts w:hint="eastAsia" w:ascii="仿宋" w:hAnsi="仿宋" w:eastAsia="仿宋" w:cs="仿宋"/>
                                <w:spacing w:val="29"/>
                                <w:sz w:val="24"/>
                                <w:szCs w:val="24"/>
                              </w:rPr>
                              <w:t>11:00（北京时间）前提交响应文件。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distance-bottom:0pt;mso-wrap-distance-top:0pt;mso-wrap-style:none;z-index:251664384;mso-width-relative:page;mso-height-relative:pag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ypHvc8AAAAFAQAADwAAAAAAAAAB&#10;ACAAAAAiAAAAZHJzL2Rvd25yZXYueG1sUEsBAhQAFAAAAAgAh07iQIz8ZXlSAgAAtgQAAA4AAAAA&#10;AAAAAQAgAAAAHgEAAGRycy9lMm9Eb2MueG1sUEsFBgAAAAAGAAYAWQEAAOIFAAAAAA==&#10;">
                <v:fill on="t" focussize="0,0"/>
                <v:stroke weight="0.5pt" color="#000000 [3204]" joinstyle="round"/>
                <v:imagedata o:title=""/>
                <o:lock v:ext="edit" aspectratio="f"/>
                <v:textbox style="mso-fit-shape-to-text:t;">
                  <w:txbxContent>
                    <w:p w14:paraId="37369095">
                      <w:pPr>
                        <w:pStyle w:val="5"/>
                        <w:spacing w:before="24" w:line="360" w:lineRule="auto"/>
                        <w:ind w:right="2" w:firstLine="484"/>
                        <w:jc w:val="left"/>
                        <w:rPr>
                          <w:rFonts w:hint="eastAsia" w:ascii="仿宋" w:hAnsi="仿宋" w:eastAsia="仿宋" w:cs="仿宋"/>
                          <w:spacing w:val="29"/>
                          <w:sz w:val="24"/>
                          <w:szCs w:val="24"/>
                        </w:rPr>
                      </w:pPr>
                      <w:r>
                        <w:rPr>
                          <w:rFonts w:hint="eastAsia" w:ascii="仿宋" w:hAnsi="仿宋" w:eastAsia="仿宋" w:cs="仿宋"/>
                          <w:spacing w:val="14"/>
                          <w:sz w:val="24"/>
                          <w:szCs w:val="24"/>
                        </w:rPr>
                        <w:t>项目概况：</w:t>
                      </w:r>
                      <w:r>
                        <w:rPr>
                          <w:rFonts w:hint="eastAsia" w:ascii="仿宋" w:hAnsi="仿宋" w:eastAsia="仿宋" w:cs="仿宋"/>
                          <w:spacing w:val="14"/>
                          <w:sz w:val="24"/>
                          <w:szCs w:val="24"/>
                          <w:lang w:eastAsia="zh-CN"/>
                        </w:rPr>
                        <w:t>新疆农业职业技术大学校史馆建设项目</w:t>
                      </w:r>
                      <w:r>
                        <w:rPr>
                          <w:rFonts w:hint="eastAsia" w:ascii="仿宋" w:hAnsi="仿宋" w:eastAsia="仿宋" w:cs="仿宋"/>
                          <w:spacing w:val="14"/>
                          <w:sz w:val="24"/>
                          <w:szCs w:val="24"/>
                        </w:rPr>
                        <w:t>的潜在供应商在</w:t>
                      </w:r>
                      <w:r>
                        <w:rPr>
                          <w:rFonts w:hint="eastAsia" w:ascii="仿宋" w:hAnsi="仿宋" w:eastAsia="仿宋" w:cs="仿宋"/>
                          <w:spacing w:val="-5"/>
                          <w:sz w:val="24"/>
                          <w:szCs w:val="24"/>
                        </w:rPr>
                        <w:t>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pacing w:val="-5"/>
                          <w:sz w:val="24"/>
                          <w:szCs w:val="24"/>
                        </w:rPr>
                        <w:t>https://www.zcygov.cn/</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rPr>
                        <w:t>）获取采购文</w:t>
                      </w:r>
                      <w:r>
                        <w:rPr>
                          <w:rFonts w:hint="eastAsia" w:ascii="仿宋" w:hAnsi="仿宋" w:eastAsia="仿宋" w:cs="仿宋"/>
                          <w:spacing w:val="29"/>
                          <w:sz w:val="24"/>
                          <w:szCs w:val="24"/>
                        </w:rPr>
                        <w:t>件，并于</w:t>
                      </w:r>
                      <w:r>
                        <w:rPr>
                          <w:rFonts w:hint="eastAsia" w:ascii="仿宋" w:hAnsi="仿宋" w:eastAsia="仿宋" w:cs="仿宋"/>
                          <w:spacing w:val="29"/>
                          <w:sz w:val="24"/>
                          <w:szCs w:val="24"/>
                          <w:lang w:eastAsia="zh-CN"/>
                        </w:rPr>
                        <w:t>2025年07月11日</w:t>
                      </w:r>
                      <w:r>
                        <w:rPr>
                          <w:rFonts w:hint="eastAsia" w:ascii="仿宋" w:hAnsi="仿宋" w:eastAsia="仿宋" w:cs="仿宋"/>
                          <w:spacing w:val="29"/>
                          <w:sz w:val="24"/>
                          <w:szCs w:val="24"/>
                        </w:rPr>
                        <w:t>11:00（北京时间）前提交响应文件。</w:t>
                      </w:r>
                    </w:p>
                  </w:txbxContent>
                </v:textbox>
                <w10:wrap type="topAndBottom"/>
              </v:shape>
            </w:pict>
          </mc:Fallback>
        </mc:AlternateContent>
      </w:r>
      <w:r>
        <w:rPr>
          <w:rFonts w:hint="eastAsia" w:ascii="仿宋" w:hAnsi="仿宋" w:eastAsia="仿宋" w:cs="仿宋"/>
          <w:b/>
          <w:bCs/>
          <w:spacing w:val="29"/>
          <w:sz w:val="24"/>
          <w:szCs w:val="24"/>
        </w:rPr>
        <w:t>一、项目基本情况</w:t>
      </w:r>
    </w:p>
    <w:p w14:paraId="26D3AE0A">
      <w:pPr>
        <w:pStyle w:val="5"/>
        <w:pageBreakBefore w:val="0"/>
        <w:kinsoku w:val="0"/>
        <w:overflowPunct/>
        <w:topLinePunct w:val="0"/>
        <w:autoSpaceDE w:val="0"/>
        <w:autoSpaceDN w:val="0"/>
        <w:bidi w:val="0"/>
        <w:adjustRightInd w:val="0"/>
        <w:snapToGrid w:val="0"/>
        <w:spacing w:before="3" w:line="360" w:lineRule="auto"/>
        <w:ind w:left="484" w:right="0"/>
        <w:textAlignment w:val="baseline"/>
        <w:rPr>
          <w:rFonts w:hint="eastAsia" w:ascii="仿宋" w:hAnsi="仿宋" w:eastAsia="仿宋" w:cs="仿宋"/>
          <w:spacing w:val="-14"/>
          <w:sz w:val="24"/>
          <w:szCs w:val="24"/>
          <w:lang w:eastAsia="zh-CN"/>
        </w:rPr>
      </w:pPr>
      <w:r>
        <w:rPr>
          <w:rFonts w:hint="eastAsia" w:ascii="仿宋" w:hAnsi="仿宋" w:eastAsia="仿宋" w:cs="仿宋"/>
          <w:spacing w:val="-14"/>
          <w:sz w:val="24"/>
          <w:szCs w:val="24"/>
        </w:rPr>
        <w:t>项目编号：</w:t>
      </w:r>
      <w:r>
        <w:rPr>
          <w:rFonts w:hint="eastAsia" w:ascii="仿宋" w:hAnsi="仿宋" w:eastAsia="仿宋" w:cs="仿宋"/>
          <w:spacing w:val="-14"/>
          <w:sz w:val="24"/>
          <w:szCs w:val="24"/>
          <w:lang w:eastAsia="zh-CN"/>
        </w:rPr>
        <w:t>XJJY-GC-250708</w:t>
      </w:r>
    </w:p>
    <w:p w14:paraId="57A7D59E">
      <w:pPr>
        <w:pStyle w:val="5"/>
        <w:pageBreakBefore w:val="0"/>
        <w:kinsoku w:val="0"/>
        <w:overflowPunct/>
        <w:topLinePunct w:val="0"/>
        <w:autoSpaceDE w:val="0"/>
        <w:autoSpaceDN w:val="0"/>
        <w:bidi w:val="0"/>
        <w:adjustRightInd w:val="0"/>
        <w:snapToGrid w:val="0"/>
        <w:spacing w:before="28" w:line="360" w:lineRule="auto"/>
        <w:ind w:left="484" w:right="0"/>
        <w:textAlignment w:val="baseline"/>
        <w:rPr>
          <w:rFonts w:hint="eastAsia" w:ascii="仿宋" w:hAnsi="仿宋" w:eastAsia="仿宋" w:cs="仿宋"/>
          <w:spacing w:val="3"/>
          <w:sz w:val="24"/>
          <w:szCs w:val="24"/>
          <w:lang w:eastAsia="zh-CN"/>
        </w:rPr>
      </w:pPr>
      <w:r>
        <w:rPr>
          <w:rFonts w:hint="eastAsia" w:ascii="仿宋" w:hAnsi="仿宋" w:eastAsia="仿宋" w:cs="仿宋"/>
          <w:spacing w:val="3"/>
          <w:sz w:val="24"/>
          <w:szCs w:val="24"/>
        </w:rPr>
        <w:t>项目名称：</w:t>
      </w:r>
      <w:r>
        <w:rPr>
          <w:rFonts w:hint="eastAsia" w:ascii="仿宋" w:hAnsi="仿宋" w:eastAsia="仿宋" w:cs="仿宋"/>
          <w:spacing w:val="3"/>
          <w:sz w:val="24"/>
          <w:szCs w:val="24"/>
          <w:lang w:eastAsia="zh-CN"/>
        </w:rPr>
        <w:t>新疆农业职业技术大学校史馆建设项目</w:t>
      </w:r>
    </w:p>
    <w:p w14:paraId="57FF4468">
      <w:pPr>
        <w:pStyle w:val="5"/>
        <w:pageBreakBefore w:val="0"/>
        <w:kinsoku w:val="0"/>
        <w:overflowPunct/>
        <w:topLinePunct w:val="0"/>
        <w:autoSpaceDE w:val="0"/>
        <w:autoSpaceDN w:val="0"/>
        <w:bidi w:val="0"/>
        <w:adjustRightInd w:val="0"/>
        <w:snapToGrid w:val="0"/>
        <w:spacing w:before="1" w:line="360" w:lineRule="auto"/>
        <w:ind w:left="479" w:right="0"/>
        <w:textAlignment w:val="baseline"/>
        <w:rPr>
          <w:rFonts w:hint="eastAsia" w:ascii="仿宋" w:hAnsi="仿宋" w:eastAsia="仿宋" w:cs="仿宋"/>
          <w:sz w:val="24"/>
          <w:szCs w:val="24"/>
        </w:rPr>
      </w:pPr>
      <w:r>
        <w:rPr>
          <w:rFonts w:hint="eastAsia" w:ascii="仿宋" w:hAnsi="仿宋" w:eastAsia="仿宋" w:cs="仿宋"/>
          <w:spacing w:val="-10"/>
          <w:sz w:val="24"/>
          <w:szCs w:val="24"/>
        </w:rPr>
        <w:t>采购方式：竞争性磋商</w:t>
      </w:r>
    </w:p>
    <w:p w14:paraId="561F7C5F">
      <w:pPr>
        <w:pStyle w:val="5"/>
        <w:pageBreakBefore w:val="0"/>
        <w:kinsoku w:val="0"/>
        <w:overflowPunct/>
        <w:topLinePunct w:val="0"/>
        <w:autoSpaceDE w:val="0"/>
        <w:autoSpaceDN w:val="0"/>
        <w:bidi w:val="0"/>
        <w:adjustRightInd w:val="0"/>
        <w:snapToGrid w:val="0"/>
        <w:spacing w:before="26" w:line="360" w:lineRule="auto"/>
        <w:ind w:left="482" w:right="0"/>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rPr>
        <w:t>预算金额（元）：</w:t>
      </w:r>
      <w:r>
        <w:rPr>
          <w:rFonts w:hint="eastAsia" w:ascii="仿宋" w:hAnsi="仿宋" w:eastAsia="仿宋" w:cs="仿宋"/>
          <w:spacing w:val="-7"/>
          <w:sz w:val="24"/>
          <w:szCs w:val="24"/>
          <w:lang w:val="en-US" w:eastAsia="zh-CN"/>
        </w:rPr>
        <w:t>3910000.00元</w:t>
      </w:r>
    </w:p>
    <w:p w14:paraId="6D9CEE28">
      <w:pPr>
        <w:pStyle w:val="5"/>
        <w:pageBreakBefore w:val="0"/>
        <w:kinsoku w:val="0"/>
        <w:overflowPunct/>
        <w:topLinePunct w:val="0"/>
        <w:autoSpaceDE w:val="0"/>
        <w:autoSpaceDN w:val="0"/>
        <w:bidi w:val="0"/>
        <w:adjustRightInd w:val="0"/>
        <w:snapToGrid w:val="0"/>
        <w:spacing w:before="26" w:line="360" w:lineRule="auto"/>
        <w:ind w:left="482" w:right="0"/>
        <w:textAlignment w:val="baseline"/>
        <w:rPr>
          <w:rFonts w:hint="default" w:ascii="仿宋" w:hAnsi="仿宋" w:eastAsia="仿宋" w:cs="仿宋"/>
          <w:spacing w:val="-7"/>
          <w:sz w:val="24"/>
          <w:szCs w:val="24"/>
          <w:lang w:val="en-US" w:eastAsia="zh-CN"/>
        </w:rPr>
      </w:pPr>
      <w:r>
        <w:rPr>
          <w:rFonts w:hint="eastAsia" w:ascii="仿宋" w:hAnsi="仿宋" w:eastAsia="仿宋" w:cs="仿宋"/>
          <w:spacing w:val="-7"/>
          <w:sz w:val="24"/>
          <w:szCs w:val="24"/>
        </w:rPr>
        <w:t>最高限价（元）：</w:t>
      </w:r>
      <w:r>
        <w:rPr>
          <w:rFonts w:hint="eastAsia" w:ascii="仿宋" w:hAnsi="仿宋" w:eastAsia="仿宋" w:cs="仿宋"/>
          <w:spacing w:val="-7"/>
          <w:sz w:val="24"/>
          <w:szCs w:val="24"/>
          <w:lang w:val="en-US" w:eastAsia="zh-CN"/>
        </w:rPr>
        <w:t>3910000.00元</w:t>
      </w:r>
    </w:p>
    <w:p w14:paraId="36ED3CC6">
      <w:pPr>
        <w:pStyle w:val="5"/>
        <w:pageBreakBefore w:val="0"/>
        <w:kinsoku w:val="0"/>
        <w:overflowPunct/>
        <w:topLinePunct w:val="0"/>
        <w:autoSpaceDE w:val="0"/>
        <w:autoSpaceDN w:val="0"/>
        <w:bidi w:val="0"/>
        <w:adjustRightInd w:val="0"/>
        <w:snapToGrid w:val="0"/>
        <w:spacing w:before="31" w:line="360" w:lineRule="auto"/>
        <w:ind w:left="479" w:right="0"/>
        <w:textAlignment w:val="baseline"/>
        <w:rPr>
          <w:rFonts w:hint="eastAsia" w:ascii="仿宋" w:hAnsi="仿宋" w:eastAsia="仿宋" w:cs="仿宋"/>
          <w:sz w:val="24"/>
          <w:szCs w:val="24"/>
        </w:rPr>
      </w:pPr>
      <w:r>
        <w:rPr>
          <w:rFonts w:hint="eastAsia" w:ascii="仿宋" w:hAnsi="仿宋" w:eastAsia="仿宋" w:cs="仿宋"/>
          <w:spacing w:val="-3"/>
          <w:sz w:val="24"/>
          <w:szCs w:val="24"/>
        </w:rPr>
        <w:t>采购需求：</w:t>
      </w:r>
    </w:p>
    <w:p w14:paraId="6FF2F64B">
      <w:pPr>
        <w:pStyle w:val="5"/>
        <w:pageBreakBefore w:val="0"/>
        <w:kinsoku w:val="0"/>
        <w:overflowPunct/>
        <w:topLinePunct w:val="0"/>
        <w:autoSpaceDE w:val="0"/>
        <w:autoSpaceDN w:val="0"/>
        <w:bidi w:val="0"/>
        <w:adjustRightInd w:val="0"/>
        <w:snapToGrid w:val="0"/>
        <w:spacing w:before="25" w:line="360" w:lineRule="auto"/>
        <w:ind w:left="485" w:right="0"/>
        <w:textAlignment w:val="baseline"/>
        <w:rPr>
          <w:rFonts w:hint="eastAsia" w:ascii="仿宋" w:hAnsi="仿宋" w:eastAsia="仿宋" w:cs="仿宋"/>
          <w:sz w:val="24"/>
          <w:szCs w:val="24"/>
          <w:highlight w:val="none"/>
          <w:lang w:val="en-US" w:eastAsia="zh-CN"/>
        </w:rPr>
      </w:pPr>
      <w:r>
        <w:rPr>
          <w:rFonts w:hint="eastAsia" w:ascii="仿宋" w:hAnsi="仿宋" w:eastAsia="仿宋" w:cs="仿宋"/>
          <w:spacing w:val="-6"/>
          <w:sz w:val="24"/>
          <w:szCs w:val="24"/>
        </w:rPr>
        <w:t>简要规格描述：</w:t>
      </w:r>
      <w:r>
        <w:rPr>
          <w:rFonts w:hint="eastAsia" w:ascii="仿宋" w:hAnsi="仿宋" w:eastAsia="仿宋" w:cs="仿宋"/>
          <w:spacing w:val="-6"/>
          <w:sz w:val="24"/>
          <w:szCs w:val="24"/>
          <w:highlight w:val="none"/>
          <w:lang w:val="en-US" w:eastAsia="zh-CN"/>
        </w:rPr>
        <w:t>新疆农业职业技术大学校史馆项目（深化设计与布展）建筑与装饰、电气设备安装工程、通风工程、智能化设备、多媒体程序开发及软件制作视频制作等。</w:t>
      </w:r>
    </w:p>
    <w:p w14:paraId="4A86774C">
      <w:pPr>
        <w:pStyle w:val="5"/>
        <w:pageBreakBefore w:val="0"/>
        <w:kinsoku w:val="0"/>
        <w:overflowPunct/>
        <w:topLinePunct w:val="0"/>
        <w:autoSpaceDE w:val="0"/>
        <w:autoSpaceDN w:val="0"/>
        <w:bidi w:val="0"/>
        <w:adjustRightInd w:val="0"/>
        <w:snapToGrid w:val="0"/>
        <w:spacing w:before="26" w:line="360" w:lineRule="auto"/>
        <w:ind w:left="481" w:right="0"/>
        <w:textAlignment w:val="baseline"/>
        <w:rPr>
          <w:rFonts w:hint="eastAsia" w:ascii="仿宋" w:hAnsi="仿宋" w:eastAsia="仿宋" w:cs="仿宋"/>
          <w:spacing w:val="-13"/>
          <w:sz w:val="24"/>
          <w:szCs w:val="24"/>
          <w:highlight w:val="yellow"/>
          <w:lang w:val="en-US" w:eastAsia="zh-CN"/>
        </w:rPr>
      </w:pPr>
      <w:r>
        <w:rPr>
          <w:rFonts w:hint="eastAsia" w:ascii="仿宋" w:hAnsi="仿宋" w:eastAsia="仿宋" w:cs="仿宋"/>
          <w:spacing w:val="-13"/>
          <w:sz w:val="24"/>
          <w:szCs w:val="24"/>
        </w:rPr>
        <w:t>合同履约期限：</w:t>
      </w:r>
      <w:r>
        <w:rPr>
          <w:rFonts w:hint="eastAsia" w:ascii="仿宋" w:hAnsi="仿宋" w:eastAsia="仿宋" w:cs="仿宋"/>
          <w:spacing w:val="-13"/>
          <w:sz w:val="24"/>
          <w:szCs w:val="24"/>
          <w:highlight w:val="none"/>
          <w:lang w:val="en-US" w:eastAsia="zh-CN"/>
        </w:rPr>
        <w:t>自合同签订之日起90日历天</w:t>
      </w:r>
    </w:p>
    <w:p w14:paraId="19CBA68D">
      <w:pPr>
        <w:pStyle w:val="5"/>
        <w:pageBreakBefore w:val="0"/>
        <w:kinsoku w:val="0"/>
        <w:overflowPunct/>
        <w:topLinePunct w:val="0"/>
        <w:autoSpaceDE w:val="0"/>
        <w:autoSpaceDN w:val="0"/>
        <w:bidi w:val="0"/>
        <w:adjustRightInd w:val="0"/>
        <w:snapToGrid w:val="0"/>
        <w:spacing w:before="26" w:line="360" w:lineRule="auto"/>
        <w:ind w:left="481" w:right="0"/>
        <w:textAlignment w:val="baseline"/>
        <w:rPr>
          <w:rFonts w:hint="eastAsia" w:ascii="仿宋" w:hAnsi="仿宋" w:eastAsia="仿宋" w:cs="仿宋"/>
          <w:sz w:val="24"/>
          <w:szCs w:val="24"/>
        </w:rPr>
      </w:pPr>
      <w:r>
        <w:rPr>
          <w:rFonts w:hint="eastAsia" w:ascii="仿宋" w:hAnsi="仿宋" w:eastAsia="仿宋" w:cs="仿宋"/>
          <w:spacing w:val="5"/>
          <w:sz w:val="24"/>
          <w:szCs w:val="24"/>
        </w:rPr>
        <w:t>本项目（否）接受联合体投标。</w:t>
      </w:r>
    </w:p>
    <w:p w14:paraId="779CDD0A">
      <w:pPr>
        <w:pStyle w:val="5"/>
        <w:pageBreakBefore w:val="0"/>
        <w:kinsoku w:val="0"/>
        <w:overflowPunct/>
        <w:topLinePunct w:val="0"/>
        <w:autoSpaceDE w:val="0"/>
        <w:autoSpaceDN w:val="0"/>
        <w:bidi w:val="0"/>
        <w:adjustRightInd w:val="0"/>
        <w:snapToGrid w:val="0"/>
        <w:spacing w:before="24" w:line="360" w:lineRule="auto"/>
        <w:ind w:right="0" w:firstLine="484"/>
        <w:jc w:val="both"/>
        <w:textAlignment w:val="baseline"/>
        <w:rPr>
          <w:rFonts w:hint="eastAsia" w:ascii="仿宋" w:hAnsi="仿宋" w:eastAsia="仿宋" w:cs="仿宋"/>
          <w:sz w:val="24"/>
          <w:szCs w:val="24"/>
        </w:rPr>
      </w:pPr>
      <w:r>
        <w:rPr>
          <w:rFonts w:hint="eastAsia" w:ascii="仿宋" w:hAnsi="仿宋" w:eastAsia="仿宋" w:cs="仿宋"/>
          <w:b/>
          <w:bCs/>
          <w:spacing w:val="29"/>
          <w:sz w:val="24"/>
          <w:szCs w:val="24"/>
        </w:rPr>
        <w:t>二、申请人的资格要求：</w:t>
      </w:r>
    </w:p>
    <w:p w14:paraId="01181DCF">
      <w:pPr>
        <w:pStyle w:val="5"/>
        <w:pageBreakBefore w:val="0"/>
        <w:kinsoku w:val="0"/>
        <w:overflowPunct/>
        <w:topLinePunct w:val="0"/>
        <w:autoSpaceDE w:val="0"/>
        <w:autoSpaceDN w:val="0"/>
        <w:bidi w:val="0"/>
        <w:adjustRightInd w:val="0"/>
        <w:snapToGrid w:val="0"/>
        <w:spacing w:before="2" w:line="360" w:lineRule="auto"/>
        <w:ind w:left="498" w:right="0"/>
        <w:textAlignment w:val="baseline"/>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1.满足《中华人民共和国政府采购法》第</w:t>
      </w:r>
      <w:r>
        <w:rPr>
          <w:rFonts w:hint="eastAsia" w:ascii="仿宋" w:hAnsi="仿宋" w:eastAsia="仿宋" w:cs="仿宋"/>
          <w:spacing w:val="7"/>
          <w:sz w:val="24"/>
          <w:szCs w:val="24"/>
          <w:highlight w:val="none"/>
        </w:rPr>
        <w:t>二十二条规定；</w:t>
      </w:r>
    </w:p>
    <w:p w14:paraId="04CEBBCA">
      <w:pPr>
        <w:pStyle w:val="5"/>
        <w:pageBreakBefore w:val="0"/>
        <w:kinsoku w:val="0"/>
        <w:overflowPunct/>
        <w:topLinePunct w:val="0"/>
        <w:autoSpaceDE w:val="0"/>
        <w:autoSpaceDN w:val="0"/>
        <w:bidi w:val="0"/>
        <w:adjustRightInd w:val="0"/>
        <w:snapToGrid w:val="0"/>
        <w:spacing w:before="28" w:line="360" w:lineRule="auto"/>
        <w:ind w:left="1" w:right="0" w:firstLine="483"/>
        <w:textAlignment w:val="baseline"/>
        <w:rPr>
          <w:rFonts w:hint="eastAsia" w:ascii="仿宋" w:hAnsi="仿宋" w:eastAsia="仿宋" w:cs="仿宋"/>
          <w:spacing w:val="13"/>
          <w:sz w:val="24"/>
          <w:szCs w:val="24"/>
          <w:highlight w:val="none"/>
          <w:lang w:val="en-US" w:eastAsia="zh-CN"/>
        </w:rPr>
      </w:pPr>
      <w:r>
        <w:rPr>
          <w:rFonts w:hint="eastAsia" w:ascii="仿宋" w:hAnsi="仿宋" w:eastAsia="仿宋" w:cs="仿宋"/>
          <w:spacing w:val="13"/>
          <w:sz w:val="24"/>
          <w:szCs w:val="24"/>
          <w:highlight w:val="none"/>
        </w:rPr>
        <w:t>2.落实政府采购政策需满足的资格要求：本项目专门面向中小企业（中型、小型、微型）采购</w:t>
      </w:r>
      <w:r>
        <w:rPr>
          <w:rFonts w:hint="eastAsia" w:ascii="仿宋" w:hAnsi="仿宋" w:eastAsia="仿宋" w:cs="仿宋"/>
          <w:spacing w:val="13"/>
          <w:sz w:val="24"/>
          <w:szCs w:val="24"/>
          <w:highlight w:val="none"/>
          <w:lang w:val="en-US" w:eastAsia="zh-CN"/>
        </w:rPr>
        <w:t>；</w:t>
      </w:r>
    </w:p>
    <w:p w14:paraId="469A6F88">
      <w:pPr>
        <w:pStyle w:val="5"/>
        <w:pageBreakBefore w:val="0"/>
        <w:kinsoku w:val="0"/>
        <w:overflowPunct/>
        <w:topLinePunct w:val="0"/>
        <w:autoSpaceDE w:val="0"/>
        <w:autoSpaceDN w:val="0"/>
        <w:bidi w:val="0"/>
        <w:adjustRightInd w:val="0"/>
        <w:snapToGrid w:val="0"/>
        <w:spacing w:before="28" w:line="360" w:lineRule="auto"/>
        <w:ind w:left="1" w:right="0" w:firstLine="483"/>
        <w:textAlignment w:val="baseline"/>
        <w:rPr>
          <w:rFonts w:hint="eastAsia" w:ascii="仿宋" w:hAnsi="仿宋" w:eastAsia="仿宋" w:cs="仿宋"/>
          <w:color w:val="FF0000"/>
          <w:spacing w:val="12"/>
          <w:sz w:val="24"/>
          <w:szCs w:val="24"/>
          <w:highlight w:val="none"/>
        </w:rPr>
      </w:pPr>
      <w:r>
        <w:rPr>
          <w:rFonts w:hint="eastAsia" w:ascii="仿宋" w:hAnsi="仿宋" w:eastAsia="仿宋" w:cs="仿宋"/>
          <w:spacing w:val="13"/>
          <w:sz w:val="24"/>
          <w:szCs w:val="24"/>
          <w:highlight w:val="none"/>
        </w:rPr>
        <w:t>3.本项目的特定资格要求：</w:t>
      </w:r>
      <w:r>
        <w:rPr>
          <w:rFonts w:hint="eastAsia" w:ascii="仿宋" w:hAnsi="仿宋" w:eastAsia="仿宋" w:cs="仿宋"/>
          <w:spacing w:val="-29"/>
          <w:sz w:val="24"/>
          <w:szCs w:val="24"/>
          <w:highlight w:val="none"/>
          <w:lang w:eastAsia="zh-CN"/>
        </w:rPr>
        <w:t>（</w:t>
      </w:r>
      <w:r>
        <w:rPr>
          <w:rFonts w:hint="eastAsia" w:ascii="仿宋" w:hAnsi="仿宋" w:eastAsia="仿宋" w:cs="仿宋"/>
          <w:color w:val="auto"/>
          <w:spacing w:val="-29"/>
          <w:sz w:val="24"/>
          <w:szCs w:val="24"/>
          <w:highlight w:val="none"/>
          <w:lang w:val="en-US" w:eastAsia="zh-CN"/>
        </w:rPr>
        <w:t>1</w:t>
      </w:r>
      <w:r>
        <w:rPr>
          <w:rFonts w:hint="eastAsia" w:ascii="仿宋" w:hAnsi="仿宋" w:eastAsia="仿宋" w:cs="仿宋"/>
          <w:color w:val="auto"/>
          <w:spacing w:val="-29"/>
          <w:sz w:val="24"/>
          <w:szCs w:val="24"/>
          <w:highlight w:val="none"/>
          <w:lang w:eastAsia="zh-CN"/>
        </w:rPr>
        <w:t>）</w:t>
      </w:r>
      <w:r>
        <w:rPr>
          <w:rFonts w:hint="eastAsia" w:ascii="仿宋" w:hAnsi="仿宋" w:eastAsia="仿宋" w:cs="仿宋"/>
          <w:color w:val="auto"/>
          <w:spacing w:val="13"/>
          <w:sz w:val="24"/>
          <w:szCs w:val="24"/>
          <w:highlight w:val="none"/>
        </w:rPr>
        <w:t>供应商须具备建筑工程施工总承包叁级（含）以上资</w:t>
      </w:r>
      <w:r>
        <w:rPr>
          <w:rFonts w:hint="eastAsia" w:ascii="仿宋" w:hAnsi="仿宋" w:eastAsia="仿宋" w:cs="仿宋"/>
          <w:color w:val="auto"/>
          <w:spacing w:val="12"/>
          <w:sz w:val="24"/>
          <w:szCs w:val="24"/>
          <w:highlight w:val="none"/>
        </w:rPr>
        <w:t>质</w:t>
      </w:r>
      <w:r>
        <w:rPr>
          <w:rFonts w:hint="eastAsia" w:ascii="仿宋" w:hAnsi="仿宋" w:eastAsia="仿宋" w:cs="仿宋"/>
          <w:color w:val="auto"/>
          <w:spacing w:val="12"/>
          <w:sz w:val="24"/>
          <w:szCs w:val="24"/>
          <w:highlight w:val="none"/>
          <w:lang w:val="en-US" w:eastAsia="zh-CN"/>
        </w:rPr>
        <w:t>或</w:t>
      </w:r>
      <w:r>
        <w:rPr>
          <w:rFonts w:hint="eastAsia" w:ascii="仿宋" w:hAnsi="仿宋" w:eastAsia="仿宋" w:cs="仿宋"/>
          <w:color w:val="auto"/>
          <w:spacing w:val="13"/>
          <w:sz w:val="24"/>
          <w:szCs w:val="24"/>
          <w:highlight w:val="none"/>
        </w:rPr>
        <w:t>建筑装修装饰工程专业承包二级及以上资质和建筑装饰工程设计专项乙级及以上资质，</w:t>
      </w:r>
      <w:r>
        <w:rPr>
          <w:rFonts w:hint="eastAsia" w:ascii="仿宋" w:hAnsi="仿宋" w:eastAsia="仿宋" w:cs="仿宋"/>
          <w:color w:val="auto"/>
          <w:spacing w:val="12"/>
          <w:sz w:val="24"/>
          <w:szCs w:val="24"/>
          <w:highlight w:val="none"/>
        </w:rPr>
        <w:t>并在人员、设备、资金等方面具有相应的施工能力，</w:t>
      </w:r>
      <w:r>
        <w:rPr>
          <w:rFonts w:hint="eastAsia" w:ascii="仿宋" w:hAnsi="仿宋" w:eastAsia="仿宋" w:cs="仿宋"/>
          <w:color w:val="auto"/>
          <w:spacing w:val="-36"/>
          <w:sz w:val="24"/>
          <w:szCs w:val="24"/>
          <w:highlight w:val="none"/>
          <w:lang w:val="en-US" w:eastAsia="zh-CN"/>
        </w:rPr>
        <w:t>具</w:t>
      </w:r>
      <w:r>
        <w:rPr>
          <w:rFonts w:hint="eastAsia" w:ascii="仿宋" w:hAnsi="仿宋" w:eastAsia="仿宋" w:cs="仿宋"/>
          <w:color w:val="auto"/>
          <w:spacing w:val="12"/>
          <w:sz w:val="24"/>
          <w:szCs w:val="24"/>
          <w:highlight w:val="none"/>
        </w:rPr>
        <w:t>有</w:t>
      </w:r>
      <w:r>
        <w:rPr>
          <w:rFonts w:hint="eastAsia" w:ascii="仿宋" w:hAnsi="仿宋" w:eastAsia="仿宋" w:cs="仿宋"/>
          <w:color w:val="auto"/>
          <w:spacing w:val="12"/>
          <w:sz w:val="24"/>
          <w:szCs w:val="24"/>
          <w:highlight w:val="none"/>
          <w:lang w:val="en-US" w:eastAsia="zh-CN"/>
        </w:rPr>
        <w:t>有效的</w:t>
      </w:r>
      <w:r>
        <w:rPr>
          <w:rFonts w:hint="eastAsia" w:ascii="仿宋" w:hAnsi="仿宋" w:eastAsia="仿宋" w:cs="仿宋"/>
          <w:color w:val="auto"/>
          <w:spacing w:val="12"/>
          <w:sz w:val="24"/>
          <w:szCs w:val="24"/>
          <w:highlight w:val="none"/>
        </w:rPr>
        <w:t>安全生产许可证；</w:t>
      </w:r>
    </w:p>
    <w:p w14:paraId="49C66BC2">
      <w:pPr>
        <w:pStyle w:val="5"/>
        <w:pageBreakBefore w:val="0"/>
        <w:kinsoku w:val="0"/>
        <w:overflowPunct/>
        <w:topLinePunct w:val="0"/>
        <w:autoSpaceDE w:val="0"/>
        <w:autoSpaceDN w:val="0"/>
        <w:bidi w:val="0"/>
        <w:adjustRightInd w:val="0"/>
        <w:snapToGrid w:val="0"/>
        <w:spacing w:before="28" w:line="360" w:lineRule="auto"/>
        <w:ind w:left="1" w:right="0" w:firstLine="483"/>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lang w:val="en-US" w:eastAsia="zh-CN"/>
        </w:rPr>
        <w:t>2</w:t>
      </w: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rPr>
        <w:t>项目负</w:t>
      </w:r>
      <w:r>
        <w:rPr>
          <w:rFonts w:hint="eastAsia" w:ascii="仿宋" w:hAnsi="仿宋" w:eastAsia="仿宋" w:cs="仿宋"/>
          <w:spacing w:val="13"/>
          <w:sz w:val="24"/>
          <w:szCs w:val="24"/>
          <w:highlight w:val="none"/>
        </w:rPr>
        <w:t>责人须具</w:t>
      </w:r>
      <w:r>
        <w:rPr>
          <w:rFonts w:hint="eastAsia" w:ascii="仿宋" w:hAnsi="仿宋" w:eastAsia="仿宋" w:cs="仿宋"/>
          <w:color w:val="auto"/>
          <w:spacing w:val="13"/>
          <w:sz w:val="24"/>
          <w:szCs w:val="24"/>
          <w:highlight w:val="none"/>
        </w:rPr>
        <w:t>备</w:t>
      </w:r>
      <w:r>
        <w:rPr>
          <w:rFonts w:hint="eastAsia" w:ascii="仿宋" w:hAnsi="仿宋" w:eastAsia="仿宋" w:cs="仿宋"/>
          <w:spacing w:val="13"/>
          <w:sz w:val="24"/>
          <w:szCs w:val="24"/>
          <w:highlight w:val="none"/>
          <w:lang w:eastAsia="zh-CN"/>
        </w:rPr>
        <w:t>建筑装饰类中级及以上职称或建筑工程专业贰级建造师（含）及以上执业资格</w:t>
      </w:r>
      <w:r>
        <w:rPr>
          <w:rFonts w:hint="eastAsia" w:ascii="仿宋" w:hAnsi="仿宋" w:eastAsia="仿宋" w:cs="仿宋"/>
          <w:spacing w:val="13"/>
          <w:sz w:val="24"/>
          <w:szCs w:val="24"/>
          <w:highlight w:val="none"/>
        </w:rPr>
        <w:t>，在本单位注册</w:t>
      </w:r>
      <w:r>
        <w:rPr>
          <w:rFonts w:hint="eastAsia" w:ascii="仿宋" w:hAnsi="仿宋" w:eastAsia="仿宋" w:cs="仿宋"/>
          <w:spacing w:val="13"/>
          <w:sz w:val="24"/>
          <w:szCs w:val="24"/>
          <w:highlight w:val="none"/>
          <w:lang w:eastAsia="zh-CN"/>
        </w:rPr>
        <w:t>，</w:t>
      </w:r>
      <w:r>
        <w:rPr>
          <w:rFonts w:hint="eastAsia" w:ascii="仿宋" w:hAnsi="仿宋" w:eastAsia="仿宋" w:cs="仿宋"/>
          <w:spacing w:val="13"/>
          <w:sz w:val="24"/>
          <w:szCs w:val="24"/>
          <w:highlight w:val="none"/>
        </w:rPr>
        <w:t>具备有效的安全生产考</w:t>
      </w:r>
      <w:r>
        <w:rPr>
          <w:rFonts w:hint="eastAsia" w:ascii="仿宋" w:hAnsi="仿宋" w:eastAsia="仿宋" w:cs="仿宋"/>
          <w:spacing w:val="1"/>
          <w:sz w:val="24"/>
          <w:szCs w:val="24"/>
          <w:highlight w:val="none"/>
        </w:rPr>
        <w:t>核合格证书</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lang w:val="en-US" w:eastAsia="zh-CN"/>
        </w:rPr>
        <w:t>B证</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t>，且未担任其他在建建设工程项目的项目负责人。</w:t>
      </w:r>
    </w:p>
    <w:p w14:paraId="1449A43C">
      <w:pPr>
        <w:pStyle w:val="5"/>
        <w:pageBreakBefore w:val="0"/>
        <w:kinsoku w:val="0"/>
        <w:overflowPunct/>
        <w:topLinePunct w:val="0"/>
        <w:autoSpaceDE w:val="0"/>
        <w:autoSpaceDN w:val="0"/>
        <w:bidi w:val="0"/>
        <w:adjustRightInd w:val="0"/>
        <w:snapToGrid w:val="0"/>
        <w:spacing w:before="24" w:line="360" w:lineRule="auto"/>
        <w:ind w:right="0" w:firstLine="484"/>
        <w:jc w:val="both"/>
        <w:textAlignment w:val="baseline"/>
        <w:rPr>
          <w:rFonts w:hint="eastAsia" w:ascii="仿宋" w:hAnsi="仿宋" w:eastAsia="仿宋" w:cs="仿宋"/>
          <w:b/>
          <w:bCs/>
          <w:spacing w:val="29"/>
          <w:sz w:val="24"/>
          <w:szCs w:val="24"/>
        </w:rPr>
      </w:pPr>
      <w:r>
        <w:rPr>
          <w:rFonts w:hint="eastAsia" w:ascii="仿宋" w:hAnsi="仿宋" w:eastAsia="仿宋" w:cs="仿宋"/>
          <w:b/>
          <w:bCs/>
          <w:spacing w:val="29"/>
          <w:sz w:val="24"/>
          <w:szCs w:val="24"/>
        </w:rPr>
        <w:t>三、获取招标文件</w:t>
      </w:r>
    </w:p>
    <w:p w14:paraId="7A869883">
      <w:pPr>
        <w:pStyle w:val="5"/>
        <w:pageBreakBefore w:val="0"/>
        <w:kinsoku w:val="0"/>
        <w:overflowPunct/>
        <w:topLinePunct w:val="0"/>
        <w:autoSpaceDE w:val="0"/>
        <w:autoSpaceDN w:val="0"/>
        <w:bidi w:val="0"/>
        <w:adjustRightInd w:val="0"/>
        <w:snapToGrid w:val="0"/>
        <w:spacing w:before="3" w:line="360" w:lineRule="auto"/>
        <w:ind w:left="18" w:right="0" w:firstLine="473"/>
        <w:textAlignment w:val="baseline"/>
        <w:rPr>
          <w:rFonts w:hint="eastAsia" w:ascii="仿宋" w:hAnsi="仿宋" w:eastAsia="仿宋" w:cs="仿宋"/>
          <w:sz w:val="24"/>
          <w:szCs w:val="24"/>
        </w:rPr>
      </w:pPr>
      <w:r>
        <w:rPr>
          <w:rFonts w:hint="eastAsia" w:ascii="仿宋" w:hAnsi="仿宋" w:eastAsia="仿宋" w:cs="仿宋"/>
          <w:spacing w:val="-9"/>
          <w:sz w:val="24"/>
          <w:szCs w:val="24"/>
        </w:rPr>
        <w:t>时间：</w:t>
      </w:r>
      <w:r>
        <w:rPr>
          <w:rFonts w:hint="eastAsia" w:ascii="仿宋" w:hAnsi="仿宋" w:eastAsia="仿宋" w:cs="仿宋"/>
          <w:spacing w:val="-8"/>
          <w:sz w:val="24"/>
          <w:szCs w:val="24"/>
          <w:lang w:val="en-US" w:eastAsia="zh-CN"/>
        </w:rPr>
        <w:t>2025</w:t>
      </w:r>
      <w:r>
        <w:rPr>
          <w:rFonts w:hint="eastAsia" w:ascii="仿宋" w:hAnsi="仿宋" w:eastAsia="仿宋" w:cs="仿宋"/>
          <w:spacing w:val="-8"/>
          <w:sz w:val="24"/>
          <w:szCs w:val="24"/>
        </w:rPr>
        <w:t>年</w:t>
      </w:r>
      <w:r>
        <w:rPr>
          <w:rFonts w:hint="eastAsia" w:ascii="仿宋" w:hAnsi="仿宋" w:eastAsia="仿宋" w:cs="仿宋"/>
          <w:spacing w:val="-8"/>
          <w:sz w:val="24"/>
          <w:szCs w:val="24"/>
          <w:lang w:val="en-US" w:eastAsia="zh-CN"/>
        </w:rPr>
        <w:t>07</w:t>
      </w:r>
      <w:r>
        <w:rPr>
          <w:rFonts w:hint="eastAsia" w:ascii="仿宋" w:hAnsi="仿宋" w:eastAsia="仿宋" w:cs="仿宋"/>
          <w:spacing w:val="-8"/>
          <w:sz w:val="24"/>
          <w:szCs w:val="24"/>
        </w:rPr>
        <w:t>月</w:t>
      </w:r>
      <w:r>
        <w:rPr>
          <w:rFonts w:hint="eastAsia" w:ascii="仿宋" w:hAnsi="仿宋" w:eastAsia="仿宋" w:cs="仿宋"/>
          <w:spacing w:val="-8"/>
          <w:sz w:val="24"/>
          <w:szCs w:val="24"/>
          <w:lang w:val="en-US" w:eastAsia="zh-CN"/>
        </w:rPr>
        <w:t>01</w:t>
      </w:r>
      <w:r>
        <w:rPr>
          <w:rFonts w:hint="eastAsia" w:ascii="仿宋" w:hAnsi="仿宋" w:eastAsia="仿宋" w:cs="仿宋"/>
          <w:spacing w:val="-8"/>
          <w:sz w:val="24"/>
          <w:szCs w:val="24"/>
        </w:rPr>
        <w:t>日至202</w:t>
      </w: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年</w:t>
      </w:r>
      <w:r>
        <w:rPr>
          <w:rFonts w:hint="eastAsia" w:ascii="仿宋" w:hAnsi="仿宋" w:eastAsia="仿宋" w:cs="仿宋"/>
          <w:spacing w:val="-8"/>
          <w:sz w:val="24"/>
          <w:szCs w:val="24"/>
          <w:lang w:val="en-US" w:eastAsia="zh-CN"/>
        </w:rPr>
        <w:t>07</w:t>
      </w:r>
      <w:r>
        <w:rPr>
          <w:rFonts w:hint="eastAsia" w:ascii="仿宋" w:hAnsi="仿宋" w:eastAsia="仿宋" w:cs="仿宋"/>
          <w:spacing w:val="-8"/>
          <w:sz w:val="24"/>
          <w:szCs w:val="24"/>
        </w:rPr>
        <w:t>月</w:t>
      </w:r>
      <w:r>
        <w:rPr>
          <w:rFonts w:hint="eastAsia" w:ascii="仿宋" w:hAnsi="仿宋" w:eastAsia="仿宋" w:cs="仿宋"/>
          <w:spacing w:val="-8"/>
          <w:sz w:val="24"/>
          <w:szCs w:val="24"/>
          <w:lang w:val="en-US" w:eastAsia="zh-CN"/>
        </w:rPr>
        <w:t>08</w:t>
      </w:r>
      <w:r>
        <w:rPr>
          <w:rFonts w:hint="eastAsia" w:ascii="仿宋" w:hAnsi="仿宋" w:eastAsia="仿宋" w:cs="仿宋"/>
          <w:spacing w:val="-8"/>
          <w:sz w:val="24"/>
          <w:szCs w:val="24"/>
        </w:rPr>
        <w:t>日，每天上午10:00至</w:t>
      </w:r>
      <w:r>
        <w:rPr>
          <w:rFonts w:hint="eastAsia" w:ascii="仿宋" w:hAnsi="仿宋" w:eastAsia="仿宋" w:cs="仿宋"/>
          <w:spacing w:val="-9"/>
          <w:sz w:val="24"/>
          <w:szCs w:val="24"/>
          <w:lang w:val="en-US" w:eastAsia="zh-CN"/>
        </w:rPr>
        <w:t>13</w:t>
      </w:r>
      <w:r>
        <w:rPr>
          <w:rFonts w:hint="eastAsia" w:ascii="仿宋" w:hAnsi="仿宋" w:eastAsia="仿宋" w:cs="仿宋"/>
          <w:spacing w:val="-9"/>
          <w:sz w:val="24"/>
          <w:szCs w:val="24"/>
        </w:rPr>
        <w:t>:</w:t>
      </w:r>
      <w:r>
        <w:rPr>
          <w:rFonts w:hint="eastAsia" w:ascii="仿宋" w:hAnsi="仿宋" w:eastAsia="仿宋" w:cs="仿宋"/>
          <w:spacing w:val="-9"/>
          <w:sz w:val="24"/>
          <w:szCs w:val="24"/>
          <w:lang w:val="en-US" w:eastAsia="zh-CN"/>
        </w:rPr>
        <w:t>3</w:t>
      </w:r>
      <w:r>
        <w:rPr>
          <w:rFonts w:hint="eastAsia" w:ascii="仿宋" w:hAnsi="仿宋" w:eastAsia="仿宋" w:cs="仿宋"/>
          <w:spacing w:val="-9"/>
          <w:sz w:val="24"/>
          <w:szCs w:val="24"/>
        </w:rPr>
        <w:t>0，下</w:t>
      </w:r>
      <w:r>
        <w:rPr>
          <w:rFonts w:hint="eastAsia" w:ascii="仿宋" w:hAnsi="仿宋" w:eastAsia="仿宋" w:cs="仿宋"/>
          <w:spacing w:val="-6"/>
          <w:sz w:val="24"/>
          <w:szCs w:val="24"/>
        </w:rPr>
        <w:t>午</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0至</w:t>
      </w:r>
      <w:r>
        <w:rPr>
          <w:rFonts w:hint="eastAsia" w:ascii="仿宋" w:hAnsi="仿宋" w:eastAsia="仿宋" w:cs="仿宋"/>
          <w:sz w:val="24"/>
          <w:szCs w:val="24"/>
          <w:lang w:val="en-US" w:eastAsia="zh-CN"/>
        </w:rPr>
        <w:t>19</w:t>
      </w:r>
      <w:r>
        <w:rPr>
          <w:rFonts w:hint="eastAsia" w:ascii="仿宋" w:hAnsi="仿宋" w:eastAsia="仿宋" w:cs="仿宋"/>
          <w:sz w:val="24"/>
          <w:szCs w:val="24"/>
        </w:rPr>
        <w:t>:</w:t>
      </w:r>
      <w:r>
        <w:rPr>
          <w:rFonts w:hint="eastAsia" w:ascii="仿宋" w:hAnsi="仿宋" w:eastAsia="仿宋" w:cs="仿宋"/>
          <w:spacing w:val="-8"/>
          <w:sz w:val="24"/>
          <w:szCs w:val="24"/>
          <w:lang w:val="en-US" w:eastAsia="zh-CN"/>
        </w:rPr>
        <w:t>00</w:t>
      </w:r>
      <w:r>
        <w:rPr>
          <w:rFonts w:hint="eastAsia" w:ascii="仿宋" w:hAnsi="仿宋" w:eastAsia="仿宋" w:cs="仿宋"/>
          <w:sz w:val="24"/>
          <w:szCs w:val="24"/>
        </w:rPr>
        <w:t>（北京时间）</w:t>
      </w:r>
    </w:p>
    <w:p w14:paraId="1349F881">
      <w:pPr>
        <w:pStyle w:val="5"/>
        <w:pageBreakBefore w:val="0"/>
        <w:kinsoku w:val="0"/>
        <w:overflowPunct/>
        <w:topLinePunct w:val="0"/>
        <w:autoSpaceDE w:val="0"/>
        <w:autoSpaceDN w:val="0"/>
        <w:bidi w:val="0"/>
        <w:adjustRightInd w:val="0"/>
        <w:snapToGrid w:val="0"/>
        <w:spacing w:before="31" w:line="360" w:lineRule="auto"/>
        <w:ind w:left="480" w:right="0"/>
        <w:textAlignment w:val="baseline"/>
        <w:rPr>
          <w:rFonts w:hint="eastAsia" w:ascii="仿宋" w:hAnsi="仿宋" w:eastAsia="仿宋" w:cs="仿宋"/>
          <w:sz w:val="24"/>
          <w:szCs w:val="24"/>
        </w:rPr>
      </w:pPr>
      <w:r>
        <w:rPr>
          <w:rFonts w:hint="eastAsia" w:ascii="仿宋" w:hAnsi="仿宋" w:eastAsia="仿宋" w:cs="仿宋"/>
          <w:spacing w:val="-2"/>
          <w:sz w:val="24"/>
          <w:szCs w:val="24"/>
        </w:rPr>
        <w:t>地点：政采云平台线上获取</w:t>
      </w:r>
    </w:p>
    <w:p w14:paraId="38CEAF6A">
      <w:pPr>
        <w:pStyle w:val="5"/>
        <w:pageBreakBefore w:val="0"/>
        <w:kinsoku w:val="0"/>
        <w:overflowPunct/>
        <w:topLinePunct w:val="0"/>
        <w:autoSpaceDE w:val="0"/>
        <w:autoSpaceDN w:val="0"/>
        <w:bidi w:val="0"/>
        <w:adjustRightInd w:val="0"/>
        <w:snapToGrid w:val="0"/>
        <w:spacing w:before="26" w:line="360" w:lineRule="auto"/>
        <w:ind w:left="14" w:right="0" w:firstLine="467"/>
        <w:textAlignment w:val="baseline"/>
        <w:rPr>
          <w:rFonts w:hint="eastAsia" w:ascii="仿宋" w:hAnsi="仿宋" w:eastAsia="仿宋" w:cs="仿宋"/>
          <w:sz w:val="24"/>
          <w:szCs w:val="24"/>
        </w:rPr>
      </w:pPr>
      <w:r>
        <w:rPr>
          <w:rFonts w:hint="eastAsia" w:ascii="仿宋" w:hAnsi="仿宋" w:eastAsia="仿宋" w:cs="仿宋"/>
          <w:spacing w:val="18"/>
          <w:sz w:val="24"/>
          <w:szCs w:val="24"/>
        </w:rPr>
        <w:t>方式：供应商登录政采云平台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8"/>
          <w:sz w:val="24"/>
          <w:szCs w:val="24"/>
        </w:rPr>
        <w:t>://</w:t>
      </w:r>
      <w:r>
        <w:rPr>
          <w:rFonts w:hint="eastAsia" w:ascii="仿宋" w:hAnsi="仿宋" w:eastAsia="仿宋" w:cs="仿宋"/>
          <w:sz w:val="24"/>
          <w:szCs w:val="24"/>
        </w:rPr>
        <w:t>www</w:t>
      </w:r>
      <w:r>
        <w:rPr>
          <w:rFonts w:hint="eastAsia" w:ascii="仿宋" w:hAnsi="仿宋" w:eastAsia="仿宋" w:cs="仿宋"/>
          <w:spacing w:val="18"/>
          <w:sz w:val="24"/>
          <w:szCs w:val="24"/>
        </w:rPr>
        <w:t>.</w:t>
      </w:r>
      <w:r>
        <w:rPr>
          <w:rFonts w:hint="eastAsia" w:ascii="仿宋" w:hAnsi="仿宋" w:eastAsia="仿宋" w:cs="仿宋"/>
          <w:sz w:val="24"/>
          <w:szCs w:val="24"/>
        </w:rPr>
        <w:t>zcygov</w:t>
      </w:r>
      <w:r>
        <w:rPr>
          <w:rFonts w:hint="eastAsia" w:ascii="仿宋" w:hAnsi="仿宋" w:eastAsia="仿宋" w:cs="仿宋"/>
          <w:spacing w:val="18"/>
          <w:sz w:val="24"/>
          <w:szCs w:val="24"/>
        </w:rPr>
        <w:t>.</w:t>
      </w:r>
      <w:r>
        <w:rPr>
          <w:rFonts w:hint="eastAsia" w:ascii="仿宋" w:hAnsi="仿宋" w:eastAsia="仿宋" w:cs="仿宋"/>
          <w:sz w:val="24"/>
          <w:szCs w:val="24"/>
        </w:rPr>
        <w:t>cn</w:t>
      </w:r>
      <w:r>
        <w:rPr>
          <w:rFonts w:hint="eastAsia" w:ascii="仿宋" w:hAnsi="仿宋" w:eastAsia="仿宋" w:cs="仿宋"/>
          <w:spacing w:val="18"/>
          <w:sz w:val="24"/>
          <w:szCs w:val="24"/>
        </w:rPr>
        <w:t>/</w:t>
      </w:r>
      <w:r>
        <w:rPr>
          <w:rFonts w:hint="eastAsia" w:ascii="仿宋" w:hAnsi="仿宋" w:eastAsia="仿宋" w:cs="仿宋"/>
          <w:spacing w:val="18"/>
          <w:sz w:val="24"/>
          <w:szCs w:val="24"/>
        </w:rPr>
        <w:fldChar w:fldCharType="end"/>
      </w:r>
      <w:r>
        <w:rPr>
          <w:rFonts w:hint="eastAsia" w:ascii="仿宋" w:hAnsi="仿宋" w:eastAsia="仿宋" w:cs="仿宋"/>
          <w:spacing w:val="18"/>
          <w:sz w:val="24"/>
          <w:szCs w:val="24"/>
        </w:rPr>
        <w:t>在线申请获取采购文件</w:t>
      </w:r>
      <w:r>
        <w:rPr>
          <w:rFonts w:hint="eastAsia" w:ascii="仿宋" w:hAnsi="仿宋" w:eastAsia="仿宋" w:cs="仿宋"/>
          <w:spacing w:val="-1"/>
          <w:sz w:val="24"/>
          <w:szCs w:val="24"/>
        </w:rPr>
        <w:t>（进入“项目采购”应用，在获取采购文件菜单中选择项目</w:t>
      </w:r>
      <w:r>
        <w:rPr>
          <w:rFonts w:hint="eastAsia" w:ascii="仿宋" w:hAnsi="仿宋" w:eastAsia="仿宋" w:cs="仿宋"/>
          <w:spacing w:val="-2"/>
          <w:sz w:val="24"/>
          <w:szCs w:val="24"/>
        </w:rPr>
        <w:t>，申请获取采购文件）</w:t>
      </w:r>
    </w:p>
    <w:p w14:paraId="3EC287D8">
      <w:pPr>
        <w:pStyle w:val="5"/>
        <w:pageBreakBefore w:val="0"/>
        <w:kinsoku w:val="0"/>
        <w:overflowPunct/>
        <w:topLinePunct w:val="0"/>
        <w:autoSpaceDE w:val="0"/>
        <w:autoSpaceDN w:val="0"/>
        <w:bidi w:val="0"/>
        <w:adjustRightInd w:val="0"/>
        <w:snapToGrid w:val="0"/>
        <w:spacing w:before="31" w:line="360" w:lineRule="auto"/>
        <w:ind w:left="480" w:right="0"/>
        <w:textAlignment w:val="baseline"/>
        <w:rPr>
          <w:rFonts w:hint="eastAsia" w:ascii="仿宋" w:hAnsi="仿宋" w:eastAsia="仿宋" w:cs="仿宋"/>
          <w:sz w:val="24"/>
          <w:szCs w:val="24"/>
        </w:rPr>
      </w:pPr>
      <w:r>
        <w:rPr>
          <w:rFonts w:hint="eastAsia" w:ascii="仿宋" w:hAnsi="仿宋" w:eastAsia="仿宋" w:cs="仿宋"/>
          <w:spacing w:val="-11"/>
          <w:sz w:val="24"/>
          <w:szCs w:val="24"/>
        </w:rPr>
        <w:t>售价（元</w:t>
      </w:r>
      <w:r>
        <w:rPr>
          <w:rFonts w:hint="eastAsia" w:ascii="仿宋" w:hAnsi="仿宋" w:eastAsia="仿宋" w:cs="仿宋"/>
          <w:sz w:val="24"/>
          <w:szCs w:val="24"/>
        </w:rPr>
        <w:t>）：</w:t>
      </w:r>
      <w:r>
        <w:rPr>
          <w:rFonts w:hint="eastAsia" w:ascii="仿宋" w:hAnsi="仿宋" w:eastAsia="仿宋" w:cs="仿宋"/>
          <w:spacing w:val="-11"/>
          <w:sz w:val="24"/>
          <w:szCs w:val="24"/>
        </w:rPr>
        <w:t>0</w:t>
      </w:r>
    </w:p>
    <w:p w14:paraId="141710FE">
      <w:pPr>
        <w:pStyle w:val="5"/>
        <w:pageBreakBefore w:val="0"/>
        <w:kinsoku w:val="0"/>
        <w:overflowPunct/>
        <w:topLinePunct w:val="0"/>
        <w:autoSpaceDE w:val="0"/>
        <w:autoSpaceDN w:val="0"/>
        <w:bidi w:val="0"/>
        <w:adjustRightInd w:val="0"/>
        <w:snapToGrid w:val="0"/>
        <w:spacing w:before="24" w:line="360" w:lineRule="auto"/>
        <w:ind w:right="0" w:firstLine="484"/>
        <w:jc w:val="both"/>
        <w:textAlignment w:val="baseline"/>
        <w:rPr>
          <w:rFonts w:hint="eastAsia" w:ascii="仿宋" w:hAnsi="仿宋" w:eastAsia="仿宋" w:cs="仿宋"/>
          <w:b/>
          <w:bCs/>
          <w:spacing w:val="29"/>
          <w:sz w:val="24"/>
          <w:szCs w:val="24"/>
        </w:rPr>
      </w:pPr>
      <w:r>
        <w:rPr>
          <w:rFonts w:hint="eastAsia" w:ascii="仿宋" w:hAnsi="仿宋" w:eastAsia="仿宋" w:cs="仿宋"/>
          <w:b/>
          <w:bCs/>
          <w:spacing w:val="29"/>
          <w:sz w:val="24"/>
          <w:szCs w:val="24"/>
        </w:rPr>
        <w:t>四、响应文件提交</w:t>
      </w:r>
    </w:p>
    <w:p w14:paraId="4C1E13BF">
      <w:pPr>
        <w:pStyle w:val="5"/>
        <w:pageBreakBefore w:val="0"/>
        <w:kinsoku w:val="0"/>
        <w:overflowPunct/>
        <w:topLinePunct w:val="0"/>
        <w:autoSpaceDE w:val="0"/>
        <w:autoSpaceDN w:val="0"/>
        <w:bidi w:val="0"/>
        <w:adjustRightInd w:val="0"/>
        <w:snapToGrid w:val="0"/>
        <w:spacing w:before="4" w:line="360" w:lineRule="auto"/>
        <w:ind w:left="479" w:right="0"/>
        <w:textAlignment w:val="baseline"/>
        <w:rPr>
          <w:rFonts w:hint="eastAsia" w:ascii="仿宋" w:hAnsi="仿宋" w:eastAsia="仿宋" w:cs="仿宋"/>
          <w:sz w:val="24"/>
          <w:szCs w:val="24"/>
        </w:rPr>
      </w:pPr>
      <w:r>
        <w:rPr>
          <w:rFonts w:hint="eastAsia" w:ascii="仿宋" w:hAnsi="仿宋" w:eastAsia="仿宋" w:cs="仿宋"/>
          <w:spacing w:val="-10"/>
          <w:sz w:val="24"/>
          <w:szCs w:val="24"/>
        </w:rPr>
        <w:t>截止时间：</w:t>
      </w:r>
      <w:r>
        <w:rPr>
          <w:rFonts w:hint="eastAsia" w:ascii="仿宋" w:hAnsi="仿宋" w:eastAsia="仿宋" w:cs="仿宋"/>
          <w:spacing w:val="-10"/>
          <w:sz w:val="24"/>
          <w:szCs w:val="24"/>
          <w:lang w:eastAsia="zh-CN"/>
        </w:rPr>
        <w:t>2025年07月11日</w:t>
      </w:r>
      <w:r>
        <w:rPr>
          <w:rFonts w:hint="eastAsia" w:ascii="仿宋" w:hAnsi="仿宋" w:eastAsia="仿宋" w:cs="仿宋"/>
          <w:spacing w:val="-10"/>
          <w:sz w:val="24"/>
          <w:szCs w:val="24"/>
        </w:rPr>
        <w:t>11:00（北京时间）</w:t>
      </w:r>
    </w:p>
    <w:p w14:paraId="442CEED8">
      <w:pPr>
        <w:pStyle w:val="5"/>
        <w:pageBreakBefore w:val="0"/>
        <w:kinsoku w:val="0"/>
        <w:overflowPunct/>
        <w:topLinePunct w:val="0"/>
        <w:autoSpaceDE w:val="0"/>
        <w:autoSpaceDN w:val="0"/>
        <w:bidi w:val="0"/>
        <w:adjustRightInd w:val="0"/>
        <w:snapToGrid w:val="0"/>
        <w:spacing w:before="31" w:line="360" w:lineRule="auto"/>
        <w:ind w:left="480" w:right="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地点：请登录政采云投标客户端投标</w:t>
      </w:r>
    </w:p>
    <w:p w14:paraId="5B592D06">
      <w:pPr>
        <w:pStyle w:val="5"/>
        <w:pageBreakBefore w:val="0"/>
        <w:kinsoku w:val="0"/>
        <w:overflowPunct/>
        <w:topLinePunct w:val="0"/>
        <w:autoSpaceDE w:val="0"/>
        <w:autoSpaceDN w:val="0"/>
        <w:bidi w:val="0"/>
        <w:adjustRightInd w:val="0"/>
        <w:snapToGrid w:val="0"/>
        <w:spacing w:before="24" w:line="360" w:lineRule="auto"/>
        <w:ind w:right="0" w:firstLine="484"/>
        <w:jc w:val="both"/>
        <w:textAlignment w:val="baseline"/>
        <w:rPr>
          <w:rFonts w:hint="eastAsia" w:ascii="仿宋" w:hAnsi="仿宋" w:eastAsia="仿宋" w:cs="仿宋"/>
          <w:b/>
          <w:bCs/>
          <w:spacing w:val="29"/>
          <w:sz w:val="24"/>
          <w:szCs w:val="24"/>
        </w:rPr>
      </w:pPr>
      <w:r>
        <w:rPr>
          <w:rFonts w:hint="eastAsia" w:ascii="仿宋" w:hAnsi="仿宋" w:eastAsia="仿宋" w:cs="仿宋"/>
          <w:b/>
          <w:bCs/>
          <w:spacing w:val="29"/>
          <w:sz w:val="24"/>
          <w:szCs w:val="24"/>
        </w:rPr>
        <w:t>五、响应文件开启</w:t>
      </w:r>
    </w:p>
    <w:p w14:paraId="24CF628F">
      <w:pPr>
        <w:pStyle w:val="5"/>
        <w:pageBreakBefore w:val="0"/>
        <w:kinsoku w:val="0"/>
        <w:overflowPunct/>
        <w:topLinePunct w:val="0"/>
        <w:autoSpaceDE w:val="0"/>
        <w:autoSpaceDN w:val="0"/>
        <w:bidi w:val="0"/>
        <w:adjustRightInd w:val="0"/>
        <w:snapToGrid w:val="0"/>
        <w:spacing w:before="31" w:line="360" w:lineRule="auto"/>
        <w:ind w:left="480" w:right="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开启时间：</w:t>
      </w:r>
      <w:r>
        <w:rPr>
          <w:rFonts w:hint="eastAsia" w:ascii="仿宋" w:hAnsi="仿宋" w:eastAsia="仿宋" w:cs="仿宋"/>
          <w:spacing w:val="2"/>
          <w:sz w:val="24"/>
          <w:szCs w:val="24"/>
          <w:lang w:eastAsia="zh-CN"/>
        </w:rPr>
        <w:t>2025年07月11日</w:t>
      </w:r>
      <w:r>
        <w:rPr>
          <w:rFonts w:hint="eastAsia" w:ascii="仿宋" w:hAnsi="仿宋" w:eastAsia="仿宋" w:cs="仿宋"/>
          <w:spacing w:val="2"/>
          <w:sz w:val="24"/>
          <w:szCs w:val="24"/>
        </w:rPr>
        <w:t>11:00（北京时间）</w:t>
      </w:r>
    </w:p>
    <w:p w14:paraId="5142BBF2">
      <w:pPr>
        <w:pStyle w:val="5"/>
        <w:pageBreakBefore w:val="0"/>
        <w:kinsoku w:val="0"/>
        <w:overflowPunct/>
        <w:topLinePunct w:val="0"/>
        <w:autoSpaceDE w:val="0"/>
        <w:autoSpaceDN w:val="0"/>
        <w:bidi w:val="0"/>
        <w:adjustRightInd w:val="0"/>
        <w:snapToGrid w:val="0"/>
        <w:spacing w:before="31" w:line="360" w:lineRule="auto"/>
        <w:ind w:left="480" w:right="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地点：登录政采云平台https://www.zcygov.cn/，进入“项目采购-开标评标-右边选择对应项目点击“进入项目”进入开标大厅</w:t>
      </w:r>
    </w:p>
    <w:p w14:paraId="1E68D353">
      <w:pPr>
        <w:pStyle w:val="5"/>
        <w:pageBreakBefore w:val="0"/>
        <w:kinsoku w:val="0"/>
        <w:overflowPunct/>
        <w:topLinePunct w:val="0"/>
        <w:autoSpaceDE w:val="0"/>
        <w:autoSpaceDN w:val="0"/>
        <w:bidi w:val="0"/>
        <w:adjustRightInd w:val="0"/>
        <w:snapToGrid w:val="0"/>
        <w:spacing w:before="24" w:line="360" w:lineRule="auto"/>
        <w:ind w:right="0" w:firstLine="484"/>
        <w:jc w:val="both"/>
        <w:textAlignment w:val="baseline"/>
        <w:rPr>
          <w:rFonts w:hint="eastAsia" w:ascii="仿宋" w:hAnsi="仿宋" w:eastAsia="仿宋" w:cs="仿宋"/>
          <w:b/>
          <w:bCs/>
          <w:spacing w:val="29"/>
          <w:sz w:val="24"/>
          <w:szCs w:val="24"/>
        </w:rPr>
      </w:pPr>
      <w:r>
        <w:rPr>
          <w:rFonts w:hint="eastAsia" w:ascii="仿宋" w:hAnsi="仿宋" w:eastAsia="仿宋" w:cs="仿宋"/>
          <w:b/>
          <w:bCs/>
          <w:spacing w:val="29"/>
          <w:sz w:val="24"/>
          <w:szCs w:val="24"/>
        </w:rPr>
        <w:t>六、公告期限</w:t>
      </w:r>
    </w:p>
    <w:p w14:paraId="0BCCB4DF">
      <w:pPr>
        <w:pStyle w:val="5"/>
        <w:pageBreakBefore w:val="0"/>
        <w:kinsoku w:val="0"/>
        <w:overflowPunct/>
        <w:topLinePunct w:val="0"/>
        <w:autoSpaceDE w:val="0"/>
        <w:autoSpaceDN w:val="0"/>
        <w:bidi w:val="0"/>
        <w:adjustRightInd w:val="0"/>
        <w:snapToGrid w:val="0"/>
        <w:spacing w:before="31" w:line="360" w:lineRule="auto"/>
        <w:ind w:left="480" w:right="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自本公告发布之日起5个工作日。</w:t>
      </w:r>
    </w:p>
    <w:p w14:paraId="643C4CDB">
      <w:pPr>
        <w:pStyle w:val="5"/>
        <w:pageBreakBefore w:val="0"/>
        <w:kinsoku w:val="0"/>
        <w:overflowPunct/>
        <w:topLinePunct w:val="0"/>
        <w:autoSpaceDE w:val="0"/>
        <w:autoSpaceDN w:val="0"/>
        <w:bidi w:val="0"/>
        <w:adjustRightInd w:val="0"/>
        <w:snapToGrid w:val="0"/>
        <w:spacing w:before="47" w:line="360" w:lineRule="auto"/>
        <w:ind w:left="1" w:right="0" w:firstLine="497"/>
        <w:jc w:val="left"/>
        <w:textAlignment w:val="baseline"/>
        <w:rPr>
          <w:rFonts w:hint="eastAsia" w:ascii="仿宋" w:hAnsi="仿宋" w:eastAsia="仿宋" w:cs="仿宋"/>
          <w:b/>
          <w:bCs/>
          <w:spacing w:val="29"/>
          <w:sz w:val="24"/>
          <w:szCs w:val="24"/>
        </w:rPr>
      </w:pPr>
      <w:r>
        <w:rPr>
          <w:rFonts w:hint="eastAsia" w:ascii="仿宋" w:hAnsi="仿宋" w:eastAsia="仿宋" w:cs="仿宋"/>
          <w:b/>
          <w:bCs/>
          <w:spacing w:val="29"/>
          <w:sz w:val="24"/>
          <w:szCs w:val="24"/>
        </w:rPr>
        <w:t>七、其他补充事宜</w:t>
      </w:r>
    </w:p>
    <w:p w14:paraId="23328E61">
      <w:pPr>
        <w:pStyle w:val="5"/>
        <w:pageBreakBefore w:val="0"/>
        <w:kinsoku w:val="0"/>
        <w:overflowPunct/>
        <w:topLinePunct w:val="0"/>
        <w:autoSpaceDE w:val="0"/>
        <w:autoSpaceDN w:val="0"/>
        <w:bidi w:val="0"/>
        <w:adjustRightInd w:val="0"/>
        <w:snapToGrid w:val="0"/>
        <w:spacing w:before="47" w:line="360" w:lineRule="auto"/>
        <w:ind w:left="1" w:right="0" w:firstLine="497"/>
        <w:jc w:val="left"/>
        <w:textAlignment w:val="baseline"/>
        <w:rPr>
          <w:rFonts w:hint="eastAsia" w:ascii="仿宋" w:hAnsi="仿宋" w:eastAsia="仿宋" w:cs="仿宋"/>
          <w:sz w:val="24"/>
          <w:szCs w:val="24"/>
        </w:rPr>
      </w:pPr>
      <w:r>
        <w:rPr>
          <w:rFonts w:hint="eastAsia" w:ascii="仿宋" w:hAnsi="仿宋" w:eastAsia="仿宋" w:cs="仿宋"/>
          <w:spacing w:val="-8"/>
          <w:sz w:val="24"/>
          <w:szCs w:val="24"/>
        </w:rPr>
        <w:t>1、本项</w:t>
      </w:r>
      <w:r>
        <w:rPr>
          <w:rFonts w:hint="eastAsia" w:ascii="仿宋" w:hAnsi="仿宋" w:eastAsia="仿宋" w:cs="仿宋"/>
          <w:spacing w:val="-7"/>
          <w:sz w:val="24"/>
          <w:szCs w:val="24"/>
        </w:rPr>
        <w:t>目实行电子招投标，电子交易平台为“政府采购云平</w:t>
      </w:r>
      <w:r>
        <w:rPr>
          <w:rFonts w:hint="eastAsia" w:ascii="仿宋" w:hAnsi="仿宋" w:eastAsia="仿宋" w:cs="仿宋"/>
          <w:spacing w:val="-2"/>
          <w:sz w:val="24"/>
          <w:szCs w:val="24"/>
        </w:rPr>
        <w:t>台</w:t>
      </w:r>
      <w:r>
        <w:rPr>
          <w:rFonts w:hint="eastAsia" w:ascii="仿宋" w:hAnsi="仿宋" w:eastAsia="仿宋" w:cs="仿宋"/>
          <w:spacing w:val="6"/>
          <w:sz w:val="24"/>
          <w:szCs w:val="24"/>
        </w:rPr>
        <w:t>（</w:t>
      </w:r>
      <w:r>
        <w:rPr>
          <w:rFonts w:hint="eastAsia" w:ascii="仿宋" w:hAnsi="仿宋" w:eastAsia="仿宋" w:cs="仿宋"/>
          <w:sz w:val="24"/>
          <w:szCs w:val="24"/>
        </w:rPr>
        <w:t>www</w:t>
      </w:r>
      <w:r>
        <w:rPr>
          <w:rFonts w:hint="eastAsia" w:ascii="仿宋" w:hAnsi="仿宋" w:eastAsia="仿宋" w:cs="仿宋"/>
          <w:spacing w:val="6"/>
          <w:sz w:val="24"/>
          <w:szCs w:val="24"/>
        </w:rPr>
        <w:t>.</w:t>
      </w:r>
      <w:r>
        <w:rPr>
          <w:rFonts w:hint="eastAsia" w:ascii="仿宋" w:hAnsi="仿宋" w:eastAsia="仿宋" w:cs="仿宋"/>
          <w:sz w:val="24"/>
          <w:szCs w:val="24"/>
        </w:rPr>
        <w:t>zcygov</w:t>
      </w:r>
      <w:r>
        <w:rPr>
          <w:rFonts w:hint="eastAsia" w:ascii="仿宋" w:hAnsi="仿宋" w:eastAsia="仿宋" w:cs="仿宋"/>
          <w:spacing w:val="6"/>
          <w:sz w:val="24"/>
          <w:szCs w:val="24"/>
        </w:rPr>
        <w:t>.</w:t>
      </w:r>
      <w:r>
        <w:rPr>
          <w:rFonts w:hint="eastAsia" w:ascii="仿宋" w:hAnsi="仿宋" w:eastAsia="仿宋" w:cs="仿宋"/>
          <w:sz w:val="24"/>
          <w:szCs w:val="24"/>
        </w:rPr>
        <w:t>cn</w:t>
      </w:r>
      <w:r>
        <w:rPr>
          <w:rFonts w:hint="eastAsia" w:ascii="仿宋" w:hAnsi="仿宋" w:eastAsia="仿宋" w:cs="仿宋"/>
          <w:spacing w:val="6"/>
          <w:sz w:val="24"/>
          <w:szCs w:val="24"/>
        </w:rPr>
        <w:t>）”，各供应商应在开标前确保是新疆维吾尔自治区政府采购网正式</w:t>
      </w:r>
      <w:r>
        <w:rPr>
          <w:rFonts w:hint="eastAsia" w:ascii="仿宋" w:hAnsi="仿宋" w:eastAsia="仿宋" w:cs="仿宋"/>
          <w:spacing w:val="8"/>
          <w:sz w:val="24"/>
          <w:szCs w:val="24"/>
        </w:rPr>
        <w:t>注册入库的供应商，并完成</w:t>
      </w:r>
      <w:r>
        <w:rPr>
          <w:rFonts w:hint="eastAsia" w:ascii="仿宋" w:hAnsi="仿宋" w:eastAsia="仿宋" w:cs="仿宋"/>
          <w:sz w:val="24"/>
          <w:szCs w:val="24"/>
        </w:rPr>
        <w:t>CA</w:t>
      </w:r>
      <w:r>
        <w:rPr>
          <w:rFonts w:hint="eastAsia" w:ascii="仿宋" w:hAnsi="仿宋" w:eastAsia="仿宋" w:cs="仿宋"/>
          <w:spacing w:val="8"/>
          <w:sz w:val="24"/>
          <w:szCs w:val="24"/>
        </w:rPr>
        <w:t>数字证书申领。因未注册入库、未办理</w:t>
      </w:r>
      <w:r>
        <w:rPr>
          <w:rFonts w:hint="eastAsia" w:ascii="仿宋" w:hAnsi="仿宋" w:eastAsia="仿宋" w:cs="仿宋"/>
          <w:sz w:val="24"/>
          <w:szCs w:val="24"/>
        </w:rPr>
        <w:t>CA</w:t>
      </w:r>
      <w:r>
        <w:rPr>
          <w:rFonts w:hint="eastAsia" w:ascii="仿宋" w:hAnsi="仿宋" w:eastAsia="仿宋" w:cs="仿宋"/>
          <w:spacing w:val="8"/>
          <w:sz w:val="24"/>
          <w:szCs w:val="24"/>
        </w:rPr>
        <w:t>数</w:t>
      </w:r>
      <w:r>
        <w:rPr>
          <w:rFonts w:hint="eastAsia" w:ascii="仿宋" w:hAnsi="仿宋" w:eastAsia="仿宋" w:cs="仿宋"/>
          <w:spacing w:val="7"/>
          <w:sz w:val="24"/>
          <w:szCs w:val="24"/>
        </w:rPr>
        <w:t>字证书等</w:t>
      </w:r>
      <w:r>
        <w:rPr>
          <w:rFonts w:hint="eastAsia" w:ascii="仿宋" w:hAnsi="仿宋" w:eastAsia="仿宋" w:cs="仿宋"/>
          <w:spacing w:val="8"/>
          <w:sz w:val="24"/>
          <w:szCs w:val="24"/>
        </w:rPr>
        <w:t>原因造成无法投标或投标失败等后果的由供应商自行承担。</w:t>
      </w:r>
    </w:p>
    <w:p w14:paraId="68314868">
      <w:pPr>
        <w:pStyle w:val="5"/>
        <w:pageBreakBefore w:val="0"/>
        <w:kinsoku w:val="0"/>
        <w:overflowPunct/>
        <w:topLinePunct w:val="0"/>
        <w:autoSpaceDE w:val="0"/>
        <w:autoSpaceDN w:val="0"/>
        <w:bidi w:val="0"/>
        <w:adjustRightInd w:val="0"/>
        <w:snapToGrid w:val="0"/>
        <w:spacing w:before="21" w:line="360" w:lineRule="auto"/>
        <w:ind w:left="3" w:right="0" w:firstLine="48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2、投标供应商应当在投标截止时间前，将生成的“电子加密投标文件”上传递交</w:t>
      </w:r>
      <w:r>
        <w:rPr>
          <w:rFonts w:hint="eastAsia" w:ascii="仿宋" w:hAnsi="仿宋" w:eastAsia="仿宋" w:cs="仿宋"/>
          <w:spacing w:val="13"/>
          <w:sz w:val="24"/>
          <w:szCs w:val="24"/>
        </w:rPr>
        <w:t>至“政府采购云平台”，投标截止时间以后上传递交的投标文件将被“政府采购云平</w:t>
      </w:r>
      <w:r>
        <w:rPr>
          <w:rFonts w:hint="eastAsia" w:ascii="仿宋" w:hAnsi="仿宋" w:eastAsia="仿宋" w:cs="仿宋"/>
          <w:spacing w:val="-7"/>
          <w:sz w:val="24"/>
          <w:szCs w:val="24"/>
        </w:rPr>
        <w:t>台”拒收。</w:t>
      </w:r>
    </w:p>
    <w:p w14:paraId="43F8F45B">
      <w:pPr>
        <w:pStyle w:val="5"/>
        <w:pageBreakBefore w:val="0"/>
        <w:kinsoku w:val="0"/>
        <w:overflowPunct/>
        <w:topLinePunct w:val="0"/>
        <w:autoSpaceDE w:val="0"/>
        <w:autoSpaceDN w:val="0"/>
        <w:bidi w:val="0"/>
        <w:adjustRightInd w:val="0"/>
        <w:snapToGrid w:val="0"/>
        <w:spacing w:before="24" w:line="360" w:lineRule="auto"/>
        <w:ind w:right="0" w:firstLine="484"/>
        <w:jc w:val="both"/>
        <w:textAlignment w:val="baseline"/>
        <w:rPr>
          <w:rFonts w:hint="eastAsia" w:ascii="仿宋" w:hAnsi="仿宋" w:eastAsia="仿宋" w:cs="仿宋"/>
          <w:b/>
          <w:bCs/>
          <w:spacing w:val="29"/>
          <w:sz w:val="24"/>
          <w:szCs w:val="24"/>
        </w:rPr>
      </w:pPr>
      <w:r>
        <w:rPr>
          <w:rFonts w:hint="eastAsia" w:ascii="仿宋" w:hAnsi="仿宋" w:eastAsia="仿宋" w:cs="仿宋"/>
          <w:b/>
          <w:bCs/>
          <w:spacing w:val="29"/>
          <w:sz w:val="24"/>
          <w:szCs w:val="24"/>
        </w:rPr>
        <w:t>特别提示：</w:t>
      </w:r>
    </w:p>
    <w:p w14:paraId="01C09AF2">
      <w:pPr>
        <w:pStyle w:val="5"/>
        <w:keepNext w:val="0"/>
        <w:keepLines w:val="0"/>
        <w:pageBreakBefore w:val="0"/>
        <w:widowControl/>
        <w:kinsoku w:val="0"/>
        <w:wordWrap w:val="0"/>
        <w:overflowPunct/>
        <w:topLinePunct w:val="0"/>
        <w:autoSpaceDE w:val="0"/>
        <w:autoSpaceDN w:val="0"/>
        <w:bidi w:val="0"/>
        <w:adjustRightInd w:val="0"/>
        <w:snapToGrid w:val="0"/>
        <w:spacing w:before="4" w:line="360" w:lineRule="auto"/>
        <w:ind w:right="0"/>
        <w:jc w:val="left"/>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1、采购限额标准以上，200万元以下的货物和服务采购项目、400万元以下的工程采购项目，适宜由中小企业提供的，采购人应当专门面向中小企业采购。</w:t>
      </w:r>
    </w:p>
    <w:p w14:paraId="4350F87B">
      <w:pPr>
        <w:pStyle w:val="5"/>
        <w:pageBreakBefore w:val="0"/>
        <w:kinsoku w:val="0"/>
        <w:overflowPunct/>
        <w:topLinePunct w:val="0"/>
        <w:autoSpaceDE w:val="0"/>
        <w:autoSpaceDN w:val="0"/>
        <w:bidi w:val="0"/>
        <w:adjustRightInd w:val="0"/>
        <w:snapToGrid w:val="0"/>
        <w:spacing w:before="25" w:line="360" w:lineRule="auto"/>
        <w:ind w:left="4" w:right="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2、超过200万元的货物和服务采购项目、超过400万元的</w:t>
      </w:r>
      <w:r>
        <w:rPr>
          <w:rFonts w:hint="eastAsia" w:ascii="仿宋" w:hAnsi="仿宋" w:eastAsia="仿宋" w:cs="仿宋"/>
          <w:spacing w:val="5"/>
          <w:sz w:val="24"/>
          <w:szCs w:val="24"/>
        </w:rPr>
        <w:t>工程采购项目中适宜由中小</w:t>
      </w:r>
      <w:r>
        <w:rPr>
          <w:rFonts w:hint="eastAsia" w:ascii="仿宋" w:hAnsi="仿宋" w:eastAsia="仿宋" w:cs="仿宋"/>
          <w:spacing w:val="1"/>
          <w:sz w:val="24"/>
          <w:szCs w:val="24"/>
        </w:rPr>
        <w:t>企业提供的，预留该部分采购项目预算总额的30%以</w:t>
      </w:r>
      <w:r>
        <w:rPr>
          <w:rFonts w:hint="eastAsia" w:ascii="仿宋" w:hAnsi="仿宋" w:eastAsia="仿宋" w:cs="仿宋"/>
          <w:sz w:val="24"/>
          <w:szCs w:val="24"/>
        </w:rPr>
        <w:t>上专门面向中小企业采购，其中预留给小微企业的比例不低于60%。</w:t>
      </w:r>
    </w:p>
    <w:p w14:paraId="03369882">
      <w:pPr>
        <w:pStyle w:val="5"/>
        <w:pageBreakBefore w:val="0"/>
        <w:kinsoku w:val="0"/>
        <w:overflowPunct/>
        <w:topLinePunct w:val="0"/>
        <w:autoSpaceDE w:val="0"/>
        <w:autoSpaceDN w:val="0"/>
        <w:bidi w:val="0"/>
        <w:adjustRightInd w:val="0"/>
        <w:snapToGrid w:val="0"/>
        <w:spacing w:before="21" w:line="360" w:lineRule="auto"/>
        <w:ind w:right="0" w:firstLine="6"/>
        <w:jc w:val="both"/>
        <w:textAlignment w:val="baseline"/>
        <w:rPr>
          <w:rFonts w:hint="eastAsia" w:ascii="仿宋" w:hAnsi="仿宋" w:eastAsia="仿宋" w:cs="仿宋"/>
          <w:sz w:val="24"/>
          <w:szCs w:val="24"/>
        </w:rPr>
      </w:pPr>
      <w:r>
        <w:rPr>
          <w:rFonts w:hint="eastAsia" w:ascii="仿宋" w:hAnsi="仿宋" w:eastAsia="仿宋" w:cs="仿宋"/>
          <w:spacing w:val="9"/>
          <w:sz w:val="24"/>
          <w:szCs w:val="24"/>
        </w:rPr>
        <w:t>3、对于未预留份额专门面向中小企业的采购项目，以及预留份额项目中的非预留部分</w:t>
      </w:r>
      <w:r>
        <w:rPr>
          <w:rFonts w:hint="eastAsia" w:ascii="仿宋" w:hAnsi="仿宋" w:eastAsia="仿宋" w:cs="仿宋"/>
          <w:spacing w:val="-3"/>
          <w:sz w:val="24"/>
          <w:szCs w:val="24"/>
        </w:rPr>
        <w:t>采购包，采购人、采购代理机构应当对符合规定</w:t>
      </w:r>
      <w:r>
        <w:rPr>
          <w:rFonts w:hint="eastAsia" w:ascii="仿宋" w:hAnsi="仿宋" w:eastAsia="仿宋" w:cs="仿宋"/>
          <w:spacing w:val="-4"/>
          <w:sz w:val="24"/>
          <w:szCs w:val="24"/>
        </w:rPr>
        <w:t>的小微企业报价给予10%~20%（工程项</w:t>
      </w:r>
      <w:r>
        <w:rPr>
          <w:rFonts w:hint="eastAsia" w:ascii="仿宋" w:hAnsi="仿宋" w:eastAsia="仿宋" w:cs="仿宋"/>
          <w:spacing w:val="1"/>
          <w:sz w:val="24"/>
          <w:szCs w:val="24"/>
        </w:rPr>
        <w:t>目为3%~5%）的扣除，用扣除后的价格参加评审。适用</w:t>
      </w:r>
      <w:r>
        <w:rPr>
          <w:rFonts w:hint="eastAsia" w:ascii="仿宋" w:hAnsi="仿宋" w:eastAsia="仿宋" w:cs="仿宋"/>
          <w:sz w:val="24"/>
          <w:szCs w:val="24"/>
        </w:rPr>
        <w:t>招标投标法的政府采购工程建设</w:t>
      </w:r>
      <w:r>
        <w:rPr>
          <w:rFonts w:hint="eastAsia" w:ascii="仿宋" w:hAnsi="仿宋" w:eastAsia="仿宋" w:cs="仿宋"/>
          <w:spacing w:val="13"/>
          <w:sz w:val="24"/>
          <w:szCs w:val="24"/>
        </w:rPr>
        <w:t>项目，采用综合评估法但未采用低价优先法计算价格分的，评标时应当在采用原报价</w:t>
      </w:r>
      <w:r>
        <w:rPr>
          <w:rFonts w:hint="eastAsia" w:ascii="仿宋" w:hAnsi="仿宋" w:eastAsia="仿宋" w:cs="仿宋"/>
          <w:spacing w:val="-3"/>
          <w:sz w:val="24"/>
          <w:szCs w:val="24"/>
        </w:rPr>
        <w:t>进行评分的基础上增加其价格得分的3%~5%作为其价格分。</w:t>
      </w:r>
    </w:p>
    <w:p w14:paraId="3249AE33">
      <w:pPr>
        <w:pStyle w:val="5"/>
        <w:pageBreakBefore w:val="0"/>
        <w:kinsoku w:val="0"/>
        <w:overflowPunct/>
        <w:topLinePunct w:val="0"/>
        <w:autoSpaceDE w:val="0"/>
        <w:autoSpaceDN w:val="0"/>
        <w:bidi w:val="0"/>
        <w:adjustRightInd w:val="0"/>
        <w:snapToGrid w:val="0"/>
        <w:spacing w:before="29" w:line="360" w:lineRule="auto"/>
        <w:ind w:right="0"/>
        <w:jc w:val="both"/>
        <w:textAlignment w:val="baseline"/>
        <w:rPr>
          <w:rFonts w:hint="eastAsia" w:ascii="仿宋" w:hAnsi="仿宋" w:eastAsia="仿宋" w:cs="仿宋"/>
          <w:sz w:val="24"/>
          <w:szCs w:val="24"/>
        </w:rPr>
      </w:pPr>
      <w:r>
        <w:rPr>
          <w:rFonts w:hint="eastAsia" w:ascii="仿宋" w:hAnsi="仿宋" w:eastAsia="仿宋" w:cs="仿宋"/>
          <w:spacing w:val="11"/>
          <w:sz w:val="24"/>
          <w:szCs w:val="24"/>
        </w:rPr>
        <w:t>4、接受大中型企业与小微企业组成联合体或者允许大中型企业向一家或者多家小微企</w:t>
      </w:r>
      <w:r>
        <w:rPr>
          <w:rFonts w:hint="eastAsia" w:ascii="仿宋" w:hAnsi="仿宋" w:eastAsia="仿宋" w:cs="仿宋"/>
          <w:spacing w:val="14"/>
          <w:sz w:val="24"/>
          <w:szCs w:val="24"/>
        </w:rPr>
        <w:t>业分包的采购项目，对于联合协议或者分包意向协议约定小微企业的合同份额占到合</w:t>
      </w:r>
      <w:r>
        <w:rPr>
          <w:rFonts w:hint="eastAsia" w:ascii="仿宋" w:hAnsi="仿宋" w:eastAsia="仿宋" w:cs="仿宋"/>
          <w:spacing w:val="2"/>
          <w:sz w:val="24"/>
          <w:szCs w:val="24"/>
        </w:rPr>
        <w:t>同总金额30%以上的，采购人、采购代理机构应</w:t>
      </w:r>
      <w:r>
        <w:rPr>
          <w:rFonts w:hint="eastAsia" w:ascii="仿宋" w:hAnsi="仿宋" w:eastAsia="仿宋" w:cs="仿宋"/>
          <w:spacing w:val="1"/>
          <w:sz w:val="24"/>
          <w:szCs w:val="24"/>
        </w:rPr>
        <w:t>当对联合体或者大中型企业的报价给予</w:t>
      </w:r>
      <w:r>
        <w:rPr>
          <w:rFonts w:hint="eastAsia" w:ascii="仿宋" w:hAnsi="仿宋" w:eastAsia="仿宋" w:cs="仿宋"/>
          <w:spacing w:val="-4"/>
          <w:sz w:val="24"/>
          <w:szCs w:val="24"/>
        </w:rPr>
        <w:t>4%~6%（工程项目为1%~2%）的扣除，用扣除后的价格参加评审。适用招标投标法的政</w:t>
      </w:r>
      <w:r>
        <w:rPr>
          <w:rFonts w:hint="eastAsia" w:ascii="仿宋" w:hAnsi="仿宋" w:eastAsia="仿宋" w:cs="仿宋"/>
          <w:spacing w:val="13"/>
          <w:sz w:val="24"/>
          <w:szCs w:val="24"/>
        </w:rPr>
        <w:t>府采购工程建设项目，采用综合评估法但未采用低价优先法计算价格分的，评标时应</w:t>
      </w:r>
      <w:r>
        <w:rPr>
          <w:rFonts w:hint="eastAsia" w:ascii="仿宋" w:hAnsi="仿宋" w:eastAsia="仿宋" w:cs="仿宋"/>
          <w:spacing w:val="-1"/>
          <w:sz w:val="24"/>
          <w:szCs w:val="24"/>
        </w:rPr>
        <w:t>当在采用原报价进行评分的基础上增加其价格得分的1%~2%作为其价格分。</w:t>
      </w:r>
    </w:p>
    <w:p w14:paraId="552E31FF">
      <w:pPr>
        <w:pStyle w:val="5"/>
        <w:pageBreakBefore w:val="0"/>
        <w:kinsoku w:val="0"/>
        <w:overflowPunct/>
        <w:topLinePunct w:val="0"/>
        <w:autoSpaceDE w:val="0"/>
        <w:autoSpaceDN w:val="0"/>
        <w:bidi w:val="0"/>
        <w:adjustRightInd w:val="0"/>
        <w:snapToGrid w:val="0"/>
        <w:spacing w:before="24" w:line="360" w:lineRule="auto"/>
        <w:ind w:right="0" w:firstLine="484"/>
        <w:jc w:val="both"/>
        <w:textAlignment w:val="baseline"/>
        <w:rPr>
          <w:rFonts w:hint="eastAsia" w:ascii="仿宋" w:hAnsi="仿宋" w:eastAsia="仿宋" w:cs="仿宋"/>
          <w:b/>
          <w:bCs/>
          <w:spacing w:val="29"/>
          <w:sz w:val="24"/>
          <w:szCs w:val="24"/>
        </w:rPr>
      </w:pPr>
      <w:r>
        <w:rPr>
          <w:rFonts w:hint="eastAsia" w:ascii="仿宋" w:hAnsi="仿宋" w:eastAsia="仿宋" w:cs="仿宋"/>
          <w:b/>
          <w:bCs/>
          <w:spacing w:val="29"/>
          <w:sz w:val="24"/>
          <w:szCs w:val="24"/>
        </w:rPr>
        <w:t>八、凡对本次招标提出询问，请按以下方式联系</w:t>
      </w:r>
    </w:p>
    <w:p w14:paraId="07D7728D">
      <w:pPr>
        <w:pStyle w:val="5"/>
        <w:pageBreakBefore w:val="0"/>
        <w:kinsoku w:val="0"/>
        <w:overflowPunct/>
        <w:topLinePunct w:val="0"/>
        <w:autoSpaceDE w:val="0"/>
        <w:autoSpaceDN w:val="0"/>
        <w:bidi w:val="0"/>
        <w:adjustRightInd w:val="0"/>
        <w:snapToGrid w:val="0"/>
        <w:spacing w:before="29" w:line="360" w:lineRule="auto"/>
        <w:ind w:right="0"/>
        <w:jc w:val="both"/>
        <w:textAlignment w:val="baseline"/>
        <w:rPr>
          <w:rFonts w:hint="eastAsia" w:ascii="仿宋" w:hAnsi="仿宋" w:eastAsia="仿宋" w:cs="仿宋"/>
          <w:spacing w:val="13"/>
          <w:sz w:val="24"/>
          <w:szCs w:val="24"/>
        </w:rPr>
      </w:pPr>
      <w:r>
        <w:rPr>
          <w:rFonts w:hint="eastAsia" w:ascii="仿宋" w:hAnsi="仿宋" w:eastAsia="仿宋" w:cs="仿宋"/>
          <w:spacing w:val="13"/>
          <w:sz w:val="24"/>
          <w:szCs w:val="24"/>
        </w:rPr>
        <w:t>1.采购人信息</w:t>
      </w:r>
    </w:p>
    <w:p w14:paraId="0A517A10">
      <w:pPr>
        <w:pStyle w:val="5"/>
        <w:pageBreakBefore w:val="0"/>
        <w:kinsoku w:val="0"/>
        <w:overflowPunct/>
        <w:topLinePunct w:val="0"/>
        <w:autoSpaceDE w:val="0"/>
        <w:autoSpaceDN w:val="0"/>
        <w:bidi w:val="0"/>
        <w:adjustRightInd w:val="0"/>
        <w:snapToGrid w:val="0"/>
        <w:spacing w:before="29" w:line="360" w:lineRule="auto"/>
        <w:ind w:right="0"/>
        <w:jc w:val="both"/>
        <w:textAlignment w:val="baseline"/>
        <w:rPr>
          <w:rFonts w:hint="eastAsia" w:ascii="仿宋" w:hAnsi="仿宋" w:eastAsia="仿宋" w:cs="仿宋"/>
          <w:spacing w:val="13"/>
          <w:sz w:val="24"/>
          <w:szCs w:val="24"/>
          <w:lang w:eastAsia="zh-CN"/>
        </w:rPr>
      </w:pPr>
      <w:r>
        <w:rPr>
          <w:rFonts w:hint="eastAsia" w:ascii="仿宋" w:hAnsi="仿宋" w:eastAsia="仿宋" w:cs="仿宋"/>
          <w:spacing w:val="13"/>
          <w:sz w:val="24"/>
          <w:szCs w:val="24"/>
        </w:rPr>
        <w:t>名称：</w:t>
      </w:r>
      <w:r>
        <w:rPr>
          <w:rFonts w:hint="eastAsia" w:ascii="仿宋" w:hAnsi="仿宋" w:eastAsia="仿宋" w:cs="仿宋"/>
          <w:spacing w:val="13"/>
          <w:sz w:val="24"/>
          <w:szCs w:val="24"/>
          <w:lang w:eastAsia="zh-CN"/>
        </w:rPr>
        <w:t>新疆农业职业技术大学</w:t>
      </w:r>
    </w:p>
    <w:p w14:paraId="7C9AD576">
      <w:pPr>
        <w:pStyle w:val="5"/>
        <w:pageBreakBefore w:val="0"/>
        <w:kinsoku w:val="0"/>
        <w:overflowPunct/>
        <w:topLinePunct w:val="0"/>
        <w:autoSpaceDE w:val="0"/>
        <w:autoSpaceDN w:val="0"/>
        <w:bidi w:val="0"/>
        <w:adjustRightInd w:val="0"/>
        <w:snapToGrid w:val="0"/>
        <w:spacing w:before="29" w:line="360" w:lineRule="auto"/>
        <w:ind w:right="0"/>
        <w:jc w:val="both"/>
        <w:textAlignment w:val="baseline"/>
        <w:rPr>
          <w:rFonts w:hint="eastAsia" w:ascii="仿宋" w:hAnsi="仿宋" w:eastAsia="仿宋" w:cs="仿宋"/>
          <w:spacing w:val="13"/>
          <w:sz w:val="24"/>
          <w:szCs w:val="24"/>
          <w:lang w:eastAsia="zh-CN"/>
        </w:rPr>
      </w:pPr>
      <w:r>
        <w:rPr>
          <w:rFonts w:hint="eastAsia" w:ascii="仿宋" w:hAnsi="仿宋" w:eastAsia="仿宋" w:cs="仿宋"/>
          <w:spacing w:val="13"/>
          <w:sz w:val="24"/>
          <w:szCs w:val="24"/>
        </w:rPr>
        <w:t>地址：</w:t>
      </w:r>
      <w:r>
        <w:rPr>
          <w:rFonts w:hint="eastAsia" w:ascii="仿宋" w:hAnsi="仿宋" w:eastAsia="仿宋" w:cs="仿宋"/>
          <w:spacing w:val="13"/>
          <w:sz w:val="24"/>
          <w:szCs w:val="24"/>
          <w:lang w:eastAsia="zh-CN"/>
        </w:rPr>
        <w:t>新疆昌吉市文化东路29号</w:t>
      </w:r>
    </w:p>
    <w:p w14:paraId="40877A79">
      <w:pPr>
        <w:pStyle w:val="5"/>
        <w:pageBreakBefore w:val="0"/>
        <w:kinsoku w:val="0"/>
        <w:overflowPunct/>
        <w:topLinePunct w:val="0"/>
        <w:autoSpaceDE w:val="0"/>
        <w:autoSpaceDN w:val="0"/>
        <w:bidi w:val="0"/>
        <w:adjustRightInd w:val="0"/>
        <w:snapToGrid w:val="0"/>
        <w:spacing w:before="29" w:line="360" w:lineRule="auto"/>
        <w:ind w:right="0"/>
        <w:jc w:val="both"/>
        <w:textAlignment w:val="baseline"/>
        <w:rPr>
          <w:rFonts w:hint="default" w:ascii="仿宋" w:hAnsi="仿宋" w:eastAsia="仿宋" w:cs="仿宋"/>
          <w:spacing w:val="13"/>
          <w:sz w:val="24"/>
          <w:szCs w:val="24"/>
          <w:lang w:val="en-US" w:eastAsia="zh-CN"/>
        </w:rPr>
      </w:pPr>
      <w:r>
        <w:rPr>
          <w:rFonts w:hint="eastAsia" w:ascii="仿宋" w:hAnsi="仿宋" w:eastAsia="仿宋" w:cs="仿宋"/>
          <w:spacing w:val="13"/>
          <w:sz w:val="24"/>
          <w:szCs w:val="24"/>
        </w:rPr>
        <w:t>联系</w:t>
      </w:r>
      <w:r>
        <w:rPr>
          <w:rFonts w:hint="eastAsia" w:ascii="仿宋" w:hAnsi="仿宋" w:eastAsia="仿宋" w:cs="仿宋"/>
          <w:spacing w:val="13"/>
          <w:sz w:val="24"/>
          <w:szCs w:val="24"/>
          <w:lang w:eastAsia="zh-CN"/>
        </w:rPr>
        <w:t>人：</w:t>
      </w:r>
      <w:r>
        <w:rPr>
          <w:rFonts w:hint="eastAsia" w:ascii="仿宋" w:hAnsi="仿宋" w:eastAsia="仿宋" w:cs="仿宋"/>
          <w:spacing w:val="13"/>
          <w:sz w:val="24"/>
          <w:szCs w:val="24"/>
          <w:lang w:val="en-US" w:eastAsia="zh-CN"/>
        </w:rPr>
        <w:t>李雪娜</w:t>
      </w:r>
    </w:p>
    <w:p w14:paraId="45EDC407">
      <w:pPr>
        <w:pStyle w:val="5"/>
        <w:pageBreakBefore w:val="0"/>
        <w:kinsoku w:val="0"/>
        <w:overflowPunct/>
        <w:topLinePunct w:val="0"/>
        <w:autoSpaceDE w:val="0"/>
        <w:autoSpaceDN w:val="0"/>
        <w:bidi w:val="0"/>
        <w:adjustRightInd w:val="0"/>
        <w:snapToGrid w:val="0"/>
        <w:spacing w:before="29" w:line="360" w:lineRule="auto"/>
        <w:ind w:right="0"/>
        <w:jc w:val="both"/>
        <w:textAlignment w:val="baseline"/>
        <w:rPr>
          <w:rFonts w:hint="eastAsia" w:ascii="仿宋" w:hAnsi="仿宋" w:eastAsia="仿宋" w:cs="仿宋"/>
          <w:spacing w:val="13"/>
          <w:sz w:val="24"/>
          <w:szCs w:val="24"/>
          <w:lang w:eastAsia="zh-CN"/>
        </w:rPr>
      </w:pPr>
      <w:r>
        <w:rPr>
          <w:rFonts w:hint="eastAsia" w:ascii="仿宋" w:hAnsi="仿宋" w:eastAsia="仿宋" w:cs="仿宋"/>
          <w:spacing w:val="13"/>
          <w:sz w:val="24"/>
          <w:szCs w:val="24"/>
          <w:lang w:eastAsia="zh-CN"/>
        </w:rPr>
        <w:t>联系方式：18690139425</w:t>
      </w:r>
    </w:p>
    <w:p w14:paraId="1277AB00">
      <w:pPr>
        <w:pStyle w:val="5"/>
        <w:pageBreakBefore w:val="0"/>
        <w:kinsoku w:val="0"/>
        <w:overflowPunct/>
        <w:topLinePunct w:val="0"/>
        <w:autoSpaceDE w:val="0"/>
        <w:autoSpaceDN w:val="0"/>
        <w:bidi w:val="0"/>
        <w:adjustRightInd w:val="0"/>
        <w:snapToGrid w:val="0"/>
        <w:spacing w:before="29" w:line="360" w:lineRule="auto"/>
        <w:ind w:right="0"/>
        <w:jc w:val="both"/>
        <w:textAlignment w:val="baseline"/>
        <w:rPr>
          <w:rFonts w:hint="eastAsia" w:ascii="仿宋" w:hAnsi="仿宋" w:eastAsia="仿宋" w:cs="仿宋"/>
          <w:spacing w:val="13"/>
          <w:sz w:val="24"/>
          <w:szCs w:val="24"/>
        </w:rPr>
      </w:pPr>
      <w:r>
        <w:rPr>
          <w:rFonts w:hint="eastAsia" w:ascii="仿宋" w:hAnsi="仿宋" w:eastAsia="仿宋" w:cs="仿宋"/>
          <w:spacing w:val="13"/>
          <w:sz w:val="24"/>
          <w:szCs w:val="24"/>
        </w:rPr>
        <w:t>2.采购代理机构信息</w:t>
      </w:r>
    </w:p>
    <w:p w14:paraId="5E4419CA">
      <w:pPr>
        <w:pStyle w:val="5"/>
        <w:pageBreakBefore w:val="0"/>
        <w:kinsoku w:val="0"/>
        <w:overflowPunct/>
        <w:topLinePunct w:val="0"/>
        <w:autoSpaceDE w:val="0"/>
        <w:autoSpaceDN w:val="0"/>
        <w:bidi w:val="0"/>
        <w:adjustRightInd w:val="0"/>
        <w:snapToGrid w:val="0"/>
        <w:spacing w:before="29" w:line="360" w:lineRule="auto"/>
        <w:ind w:right="0"/>
        <w:jc w:val="both"/>
        <w:textAlignment w:val="baseline"/>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rPr>
        <w:t>名称：</w:t>
      </w:r>
      <w:r>
        <w:rPr>
          <w:rFonts w:hint="eastAsia" w:ascii="仿宋" w:hAnsi="仿宋" w:eastAsia="仿宋" w:cs="仿宋"/>
          <w:spacing w:val="13"/>
          <w:sz w:val="24"/>
          <w:szCs w:val="24"/>
          <w:lang w:val="en-US" w:eastAsia="zh-CN"/>
        </w:rPr>
        <w:t>新疆玖一建设项目管理咨询有限公司</w:t>
      </w:r>
    </w:p>
    <w:p w14:paraId="78B9D3E9">
      <w:pPr>
        <w:pStyle w:val="5"/>
        <w:pageBreakBefore w:val="0"/>
        <w:kinsoku w:val="0"/>
        <w:overflowPunct/>
        <w:topLinePunct w:val="0"/>
        <w:autoSpaceDE w:val="0"/>
        <w:autoSpaceDN w:val="0"/>
        <w:bidi w:val="0"/>
        <w:adjustRightInd w:val="0"/>
        <w:snapToGrid w:val="0"/>
        <w:spacing w:before="29" w:line="360" w:lineRule="auto"/>
        <w:ind w:right="0"/>
        <w:jc w:val="both"/>
        <w:textAlignment w:val="baseline"/>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地址：新疆乌鲁木齐高新区（新市区）高新街258号数码港大厦19层整层</w:t>
      </w:r>
    </w:p>
    <w:p w14:paraId="0DDB7970">
      <w:pPr>
        <w:pStyle w:val="5"/>
        <w:pageBreakBefore w:val="0"/>
        <w:kinsoku w:val="0"/>
        <w:overflowPunct/>
        <w:topLinePunct w:val="0"/>
        <w:autoSpaceDE w:val="0"/>
        <w:autoSpaceDN w:val="0"/>
        <w:bidi w:val="0"/>
        <w:adjustRightInd w:val="0"/>
        <w:snapToGrid w:val="0"/>
        <w:spacing w:before="29" w:line="360" w:lineRule="auto"/>
        <w:ind w:right="0"/>
        <w:jc w:val="both"/>
        <w:textAlignment w:val="baseline"/>
        <w:rPr>
          <w:rFonts w:hint="eastAsia" w:ascii="仿宋" w:hAnsi="仿宋" w:eastAsia="仿宋" w:cs="仿宋"/>
          <w:spacing w:val="13"/>
          <w:sz w:val="24"/>
          <w:szCs w:val="24"/>
          <w:lang w:val="en-US" w:eastAsia="zh-CN"/>
        </w:rPr>
        <w:sectPr>
          <w:footerReference r:id="rId7" w:type="default"/>
          <w:pgSz w:w="11905" w:h="16838"/>
          <w:pgMar w:top="1440" w:right="1803" w:bottom="1440" w:left="1803" w:header="0" w:footer="567" w:gutter="0"/>
          <w:pgNumType w:fmt="decimal" w:start="1"/>
          <w:cols w:space="0" w:num="1"/>
          <w:rtlGutter w:val="0"/>
          <w:docGrid w:linePitch="0" w:charSpace="0"/>
        </w:sectPr>
      </w:pPr>
      <w:r>
        <w:rPr>
          <w:rFonts w:hint="eastAsia" w:ascii="仿宋" w:hAnsi="仿宋" w:eastAsia="仿宋" w:cs="仿宋"/>
          <w:spacing w:val="13"/>
          <w:sz w:val="24"/>
          <w:szCs w:val="24"/>
        </w:rPr>
        <w:t>联系人：</w:t>
      </w:r>
      <w:r>
        <w:rPr>
          <w:rFonts w:hint="eastAsia" w:ascii="仿宋" w:hAnsi="仿宋" w:eastAsia="仿宋" w:cs="仿宋"/>
          <w:spacing w:val="13"/>
          <w:sz w:val="24"/>
          <w:szCs w:val="24"/>
          <w:lang w:val="en-US" w:eastAsia="zh-CN"/>
        </w:rPr>
        <w:t>王荣荣</w:t>
      </w:r>
      <w:r>
        <w:rPr>
          <w:rFonts w:hint="eastAsia" w:ascii="仿宋" w:hAnsi="仿宋" w:eastAsia="仿宋" w:cs="仿宋"/>
          <w:spacing w:val="13"/>
          <w:sz w:val="24"/>
          <w:szCs w:val="24"/>
        </w:rPr>
        <w:t>联系方式：</w:t>
      </w:r>
      <w:r>
        <w:rPr>
          <w:rFonts w:hint="eastAsia" w:ascii="仿宋" w:hAnsi="仿宋" w:eastAsia="仿宋" w:cs="仿宋"/>
          <w:spacing w:val="13"/>
          <w:sz w:val="24"/>
          <w:szCs w:val="24"/>
          <w:lang w:val="en-US" w:eastAsia="zh-CN"/>
        </w:rPr>
        <w:t>0991-3836791</w:t>
      </w:r>
    </w:p>
    <w:p w14:paraId="44D8BEB0">
      <w:pPr>
        <w:pStyle w:val="5"/>
        <w:pageBreakBefore w:val="0"/>
        <w:kinsoku w:val="0"/>
        <w:overflowPunct/>
        <w:topLinePunct w:val="0"/>
        <w:autoSpaceDE w:val="0"/>
        <w:autoSpaceDN w:val="0"/>
        <w:bidi w:val="0"/>
        <w:adjustRightInd w:val="0"/>
        <w:snapToGrid w:val="0"/>
        <w:spacing w:before="64" w:line="360" w:lineRule="auto"/>
        <w:ind w:right="0"/>
        <w:jc w:val="center"/>
        <w:textAlignment w:val="baseline"/>
        <w:outlineLvl w:val="0"/>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pPr>
      <w:bookmarkStart w:id="4" w:name="_Toc11015"/>
      <w:r>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t>第二章磋商须知</w:t>
      </w:r>
      <w:bookmarkEnd w:id="4"/>
    </w:p>
    <w:p w14:paraId="503029A6">
      <w:pPr>
        <w:pStyle w:val="6"/>
        <w:outlineLvl w:val="9"/>
        <w:rPr>
          <w:rFonts w:hint="eastAsia"/>
        </w:rPr>
      </w:pPr>
    </w:p>
    <w:p w14:paraId="027F29D1">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7"/>
          <w:position w:val="40"/>
          <w:sz w:val="32"/>
          <w:szCs w:val="32"/>
          <w14:textOutline w14:w="5835" w14:cap="flat" w14:cmpd="sng">
            <w14:solidFill>
              <w14:srgbClr w14:val="000000"/>
            </w14:solidFill>
            <w14:prstDash w14:val="solid"/>
            <w14:miter w14:val="0"/>
          </w14:textOutline>
        </w:rPr>
      </w:pPr>
      <w:r>
        <w:rPr>
          <w:rFonts w:hint="eastAsia" w:ascii="仿宋" w:hAnsi="仿宋" w:eastAsia="仿宋" w:cs="仿宋"/>
          <w:spacing w:val="7"/>
          <w:position w:val="40"/>
          <w:sz w:val="32"/>
          <w:szCs w:val="32"/>
          <w14:textOutline w14:w="5835" w14:cap="flat" w14:cmpd="sng">
            <w14:solidFill>
              <w14:srgbClr w14:val="000000"/>
            </w14:solidFill>
            <w14:prstDash w14:val="solid"/>
            <w14:miter w14:val="0"/>
          </w14:textOutline>
        </w:rPr>
        <w:t>一、供应商须知前附表</w:t>
      </w:r>
    </w:p>
    <w:tbl>
      <w:tblPr>
        <w:tblStyle w:val="26"/>
        <w:tblW w:w="9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920"/>
        <w:gridCol w:w="6480"/>
      </w:tblGrid>
      <w:tr w14:paraId="0B997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85" w:type="dxa"/>
            <w:vAlign w:val="center"/>
          </w:tcPr>
          <w:p w14:paraId="524963A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06"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14:textOutline w14:w="4388" w14:cap="flat" w14:cmpd="sng">
                  <w14:solidFill>
                    <w14:srgbClr w14:val="000000"/>
                  </w14:solidFill>
                  <w14:prstDash w14:val="solid"/>
                  <w14:miter w14:val="0"/>
                </w14:textOutline>
              </w:rPr>
              <w:t>序号</w:t>
            </w:r>
          </w:p>
        </w:tc>
        <w:tc>
          <w:tcPr>
            <w:tcW w:w="1920" w:type="dxa"/>
            <w:vAlign w:val="center"/>
          </w:tcPr>
          <w:p w14:paraId="1D28223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937"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14:textOutline w14:w="4388" w14:cap="flat" w14:cmpd="sng">
                  <w14:solidFill>
                    <w14:srgbClr w14:val="000000"/>
                  </w14:solidFill>
                  <w14:prstDash w14:val="solid"/>
                  <w14:miter w14:val="0"/>
                </w14:textOutline>
              </w:rPr>
              <w:t>名称</w:t>
            </w:r>
          </w:p>
        </w:tc>
        <w:tc>
          <w:tcPr>
            <w:tcW w:w="6480" w:type="dxa"/>
            <w:vAlign w:val="center"/>
          </w:tcPr>
          <w:p w14:paraId="4F70072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554"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14:textOutline w14:w="4388" w14:cap="flat" w14:cmpd="sng">
                  <w14:solidFill>
                    <w14:srgbClr w14:val="000000"/>
                  </w14:solidFill>
                  <w14:prstDash w14:val="solid"/>
                  <w14:miter w14:val="0"/>
                </w14:textOutline>
              </w:rPr>
              <w:t>编列内容</w:t>
            </w:r>
          </w:p>
        </w:tc>
      </w:tr>
      <w:tr w14:paraId="01E54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685" w:type="dxa"/>
            <w:vAlign w:val="center"/>
          </w:tcPr>
          <w:p w14:paraId="0D9597F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307"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w:t>
            </w:r>
          </w:p>
        </w:tc>
        <w:tc>
          <w:tcPr>
            <w:tcW w:w="1920" w:type="dxa"/>
            <w:vAlign w:val="center"/>
          </w:tcPr>
          <w:p w14:paraId="3B8C2B0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采购人</w:t>
            </w:r>
          </w:p>
        </w:tc>
        <w:tc>
          <w:tcPr>
            <w:tcW w:w="6480" w:type="dxa"/>
            <w:vAlign w:val="center"/>
          </w:tcPr>
          <w:p w14:paraId="7BAE1609">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rPr>
              <w:t>名</w:t>
            </w:r>
            <w:r>
              <w:rPr>
                <w:rFonts w:hint="eastAsia" w:ascii="仿宋" w:hAnsi="仿宋" w:eastAsia="仿宋" w:cs="仿宋"/>
                <w:spacing w:val="0"/>
                <w:w w:val="100"/>
                <w:sz w:val="24"/>
                <w:szCs w:val="24"/>
                <w:lang w:val="en-US" w:eastAsia="zh-CN"/>
              </w:rPr>
              <w:t>称：新疆农业职业技术大学</w:t>
            </w:r>
          </w:p>
          <w:p w14:paraId="314FB88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lang w:val="en-US" w:eastAsia="zh-CN"/>
              </w:rPr>
              <w:t>地址：新疆昌吉市文化东路29号</w:t>
            </w:r>
          </w:p>
          <w:p w14:paraId="55EBD69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default" w:ascii="仿宋" w:hAnsi="仿宋" w:eastAsia="仿宋" w:cs="仿宋"/>
                <w:spacing w:val="0"/>
                <w:w w:val="100"/>
                <w:sz w:val="24"/>
                <w:szCs w:val="24"/>
                <w:lang w:val="en-US" w:eastAsia="zh-CN"/>
              </w:rPr>
            </w:pPr>
            <w:r>
              <w:rPr>
                <w:rFonts w:hint="eastAsia" w:ascii="仿宋" w:hAnsi="仿宋" w:eastAsia="仿宋" w:cs="仿宋"/>
                <w:spacing w:val="0"/>
                <w:w w:val="100"/>
                <w:sz w:val="24"/>
                <w:szCs w:val="24"/>
              </w:rPr>
              <w:t>联</w:t>
            </w:r>
            <w:r>
              <w:rPr>
                <w:rFonts w:hint="eastAsia" w:ascii="仿宋" w:hAnsi="仿宋" w:eastAsia="仿宋" w:cs="仿宋"/>
                <w:spacing w:val="0"/>
                <w:w w:val="100"/>
                <w:sz w:val="24"/>
                <w:szCs w:val="24"/>
                <w:lang w:val="en-US" w:eastAsia="zh-CN"/>
              </w:rPr>
              <w:t>系人：李雪娜</w:t>
            </w:r>
          </w:p>
          <w:p w14:paraId="092F0D0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val="en-US" w:eastAsia="zh-CN"/>
              </w:rPr>
              <w:t>联系方式：18690139425</w:t>
            </w:r>
          </w:p>
        </w:tc>
      </w:tr>
      <w:tr w14:paraId="52581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685" w:type="dxa"/>
            <w:vAlign w:val="center"/>
          </w:tcPr>
          <w:p w14:paraId="04E316C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9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w:t>
            </w:r>
          </w:p>
        </w:tc>
        <w:tc>
          <w:tcPr>
            <w:tcW w:w="1920" w:type="dxa"/>
            <w:vAlign w:val="center"/>
          </w:tcPr>
          <w:p w14:paraId="5C3B6F3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p>
          <w:p w14:paraId="319BBE5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p>
          <w:p w14:paraId="5D587649">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采购代理机构</w:t>
            </w:r>
          </w:p>
        </w:tc>
        <w:tc>
          <w:tcPr>
            <w:tcW w:w="6480" w:type="dxa"/>
            <w:vAlign w:val="center"/>
          </w:tcPr>
          <w:p w14:paraId="7AF1842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名称：</w:t>
            </w:r>
            <w:r>
              <w:rPr>
                <w:rFonts w:hint="eastAsia" w:ascii="仿宋" w:hAnsi="仿宋" w:eastAsia="仿宋" w:cs="仿宋"/>
                <w:spacing w:val="0"/>
                <w:w w:val="100"/>
                <w:sz w:val="24"/>
                <w:szCs w:val="24"/>
                <w:lang w:val="en-US" w:eastAsia="zh-CN"/>
              </w:rPr>
              <w:t>新疆玖一建设项目管理咨询有限公司</w:t>
            </w:r>
          </w:p>
          <w:p w14:paraId="622CD35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rPr>
              <w:t>地址：</w:t>
            </w:r>
            <w:r>
              <w:rPr>
                <w:rFonts w:hint="eastAsia" w:ascii="仿宋" w:hAnsi="仿宋" w:eastAsia="仿宋" w:cs="仿宋"/>
                <w:spacing w:val="0"/>
                <w:w w:val="100"/>
                <w:sz w:val="24"/>
                <w:szCs w:val="24"/>
                <w:lang w:val="en-US" w:eastAsia="zh-CN"/>
              </w:rPr>
              <w:t>新疆乌鲁木齐高新区（新市区）高新街258号数码港大厦19层整层</w:t>
            </w:r>
          </w:p>
          <w:p w14:paraId="74A6EF1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lang w:val="en-US" w:eastAsia="zh-CN"/>
              </w:rPr>
            </w:pPr>
            <w:r>
              <w:rPr>
                <w:rFonts w:hint="eastAsia" w:ascii="仿宋" w:hAnsi="仿宋" w:eastAsia="仿宋" w:cs="仿宋"/>
                <w:spacing w:val="0"/>
                <w:w w:val="100"/>
                <w:sz w:val="24"/>
                <w:szCs w:val="24"/>
              </w:rPr>
              <w:t>联系人：</w:t>
            </w:r>
            <w:r>
              <w:rPr>
                <w:rFonts w:hint="eastAsia" w:ascii="仿宋" w:hAnsi="仿宋" w:eastAsia="仿宋" w:cs="仿宋"/>
                <w:spacing w:val="0"/>
                <w:w w:val="100"/>
                <w:sz w:val="24"/>
                <w:szCs w:val="24"/>
                <w:lang w:val="en-US" w:eastAsia="zh-CN"/>
              </w:rPr>
              <w:t>王荣荣</w:t>
            </w:r>
          </w:p>
          <w:p w14:paraId="77A7794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lang w:val="en-US" w:eastAsia="zh-CN"/>
              </w:rPr>
            </w:pPr>
            <w:r>
              <w:rPr>
                <w:rFonts w:hint="eastAsia" w:ascii="仿宋" w:hAnsi="仿宋" w:eastAsia="仿宋" w:cs="仿宋"/>
                <w:spacing w:val="56"/>
                <w:w w:val="100"/>
                <w:kern w:val="0"/>
                <w:sz w:val="24"/>
                <w:szCs w:val="24"/>
                <w:fitText w:val="1128" w:id="100537781"/>
              </w:rPr>
              <w:t>联系方</w:t>
            </w:r>
            <w:r>
              <w:rPr>
                <w:rFonts w:hint="eastAsia" w:ascii="仿宋" w:hAnsi="仿宋" w:eastAsia="仿宋" w:cs="仿宋"/>
                <w:spacing w:val="0"/>
                <w:w w:val="100"/>
                <w:kern w:val="0"/>
                <w:sz w:val="24"/>
                <w:szCs w:val="24"/>
                <w:fitText w:val="1128" w:id="100537781"/>
              </w:rPr>
              <w:t>式</w:t>
            </w:r>
            <w:r>
              <w:rPr>
                <w:rFonts w:hint="eastAsia" w:ascii="仿宋" w:hAnsi="仿宋" w:eastAsia="仿宋" w:cs="仿宋"/>
                <w:spacing w:val="0"/>
                <w:w w:val="100"/>
                <w:sz w:val="24"/>
                <w:szCs w:val="24"/>
              </w:rPr>
              <w:t>：</w:t>
            </w:r>
            <w:r>
              <w:rPr>
                <w:rFonts w:hint="eastAsia" w:ascii="仿宋" w:hAnsi="仿宋" w:eastAsia="仿宋" w:cs="仿宋"/>
                <w:spacing w:val="0"/>
                <w:w w:val="100"/>
                <w:sz w:val="24"/>
                <w:szCs w:val="24"/>
                <w:lang w:val="en-US" w:eastAsia="zh-CN"/>
              </w:rPr>
              <w:t>0991-3836791</w:t>
            </w:r>
          </w:p>
        </w:tc>
      </w:tr>
      <w:tr w14:paraId="10D59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85" w:type="dxa"/>
            <w:vAlign w:val="center"/>
          </w:tcPr>
          <w:p w14:paraId="36DECA7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94"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3</w:t>
            </w:r>
          </w:p>
        </w:tc>
        <w:tc>
          <w:tcPr>
            <w:tcW w:w="1920" w:type="dxa"/>
            <w:vAlign w:val="center"/>
          </w:tcPr>
          <w:p w14:paraId="3ECFD36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项目名称</w:t>
            </w:r>
          </w:p>
        </w:tc>
        <w:tc>
          <w:tcPr>
            <w:tcW w:w="6480" w:type="dxa"/>
            <w:vAlign w:val="center"/>
          </w:tcPr>
          <w:p w14:paraId="4141507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新疆农业职业技术大学校史馆建设项目</w:t>
            </w:r>
          </w:p>
        </w:tc>
      </w:tr>
      <w:tr w14:paraId="4CD96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85" w:type="dxa"/>
            <w:vAlign w:val="center"/>
          </w:tcPr>
          <w:p w14:paraId="4F654AC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88"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4</w:t>
            </w:r>
          </w:p>
        </w:tc>
        <w:tc>
          <w:tcPr>
            <w:tcW w:w="1920" w:type="dxa"/>
            <w:vAlign w:val="center"/>
          </w:tcPr>
          <w:p w14:paraId="221FA4D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项目编号</w:t>
            </w:r>
          </w:p>
        </w:tc>
        <w:tc>
          <w:tcPr>
            <w:tcW w:w="6480" w:type="dxa"/>
            <w:vAlign w:val="center"/>
          </w:tcPr>
          <w:p w14:paraId="1A6FDC0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56" w:right="0"/>
              <w:jc w:val="both"/>
              <w:textAlignment w:val="baseline"/>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lang w:eastAsia="zh-CN"/>
              </w:rPr>
              <w:t>XJJY-GC-250708</w:t>
            </w:r>
          </w:p>
        </w:tc>
      </w:tr>
      <w:tr w14:paraId="63C19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685" w:type="dxa"/>
            <w:vAlign w:val="center"/>
          </w:tcPr>
          <w:p w14:paraId="2D258EE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94"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5</w:t>
            </w:r>
          </w:p>
        </w:tc>
        <w:tc>
          <w:tcPr>
            <w:tcW w:w="1920" w:type="dxa"/>
            <w:vAlign w:val="center"/>
          </w:tcPr>
          <w:p w14:paraId="79B18DA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采购方式</w:t>
            </w:r>
          </w:p>
        </w:tc>
        <w:tc>
          <w:tcPr>
            <w:tcW w:w="6480" w:type="dxa"/>
            <w:vAlign w:val="center"/>
          </w:tcPr>
          <w:p w14:paraId="00F27A6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竞争性磋商</w:t>
            </w:r>
          </w:p>
        </w:tc>
      </w:tr>
      <w:tr w14:paraId="73F25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85" w:type="dxa"/>
            <w:vAlign w:val="center"/>
          </w:tcPr>
          <w:p w14:paraId="6CB15E3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91"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6</w:t>
            </w:r>
          </w:p>
        </w:tc>
        <w:tc>
          <w:tcPr>
            <w:tcW w:w="1920" w:type="dxa"/>
            <w:vAlign w:val="center"/>
          </w:tcPr>
          <w:p w14:paraId="6731E34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项目实施地点</w:t>
            </w:r>
          </w:p>
        </w:tc>
        <w:tc>
          <w:tcPr>
            <w:tcW w:w="6480" w:type="dxa"/>
            <w:vAlign w:val="center"/>
          </w:tcPr>
          <w:p w14:paraId="62506FA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default" w:ascii="仿宋" w:hAnsi="仿宋" w:eastAsia="仿宋" w:cs="仿宋"/>
                <w:spacing w:val="0"/>
                <w:w w:val="100"/>
                <w:sz w:val="24"/>
                <w:szCs w:val="24"/>
                <w:lang w:val="en-US"/>
              </w:rPr>
            </w:pPr>
            <w:r>
              <w:rPr>
                <w:rFonts w:hint="eastAsia" w:ascii="仿宋" w:hAnsi="仿宋" w:eastAsia="仿宋" w:cs="仿宋"/>
                <w:spacing w:val="0"/>
                <w:w w:val="100"/>
                <w:sz w:val="24"/>
                <w:szCs w:val="24"/>
                <w:lang w:val="en-US" w:eastAsia="zh-CN"/>
              </w:rPr>
              <w:t>新疆农业职业技术大学本部</w:t>
            </w:r>
          </w:p>
        </w:tc>
      </w:tr>
      <w:tr w14:paraId="3C474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685" w:type="dxa"/>
            <w:vAlign w:val="center"/>
          </w:tcPr>
          <w:p w14:paraId="0F23D87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95"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7</w:t>
            </w:r>
          </w:p>
        </w:tc>
        <w:tc>
          <w:tcPr>
            <w:tcW w:w="1920" w:type="dxa"/>
            <w:vAlign w:val="center"/>
          </w:tcPr>
          <w:p w14:paraId="2A31431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预算金额及采购最高限价</w:t>
            </w:r>
          </w:p>
        </w:tc>
        <w:tc>
          <w:tcPr>
            <w:tcW w:w="6480" w:type="dxa"/>
            <w:vAlign w:val="center"/>
          </w:tcPr>
          <w:p w14:paraId="5646720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3"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预算金额：</w:t>
            </w:r>
            <w:r>
              <w:rPr>
                <w:rFonts w:hint="eastAsia" w:ascii="仿宋" w:hAnsi="仿宋" w:eastAsia="仿宋" w:cs="仿宋"/>
                <w:spacing w:val="0"/>
                <w:w w:val="100"/>
                <w:sz w:val="24"/>
                <w:szCs w:val="24"/>
                <w:lang w:val="en-US" w:eastAsia="zh-CN"/>
              </w:rPr>
              <w:t>3910000.00</w:t>
            </w:r>
            <w:r>
              <w:rPr>
                <w:rFonts w:hint="eastAsia" w:ascii="仿宋" w:hAnsi="仿宋" w:eastAsia="仿宋" w:cs="仿宋"/>
                <w:spacing w:val="0"/>
                <w:w w:val="100"/>
                <w:sz w:val="24"/>
                <w:szCs w:val="24"/>
              </w:rPr>
              <w:t>元</w:t>
            </w:r>
          </w:p>
          <w:p w14:paraId="1D4CC25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最高限价：</w:t>
            </w:r>
            <w:r>
              <w:rPr>
                <w:rFonts w:hint="eastAsia" w:ascii="仿宋" w:hAnsi="仿宋" w:eastAsia="仿宋" w:cs="仿宋"/>
                <w:spacing w:val="0"/>
                <w:w w:val="100"/>
                <w:sz w:val="24"/>
                <w:szCs w:val="24"/>
                <w:lang w:val="en-US" w:eastAsia="zh-CN"/>
              </w:rPr>
              <w:t>3910000.00</w:t>
            </w:r>
            <w:r>
              <w:rPr>
                <w:rFonts w:hint="eastAsia" w:ascii="仿宋" w:hAnsi="仿宋" w:eastAsia="仿宋" w:cs="仿宋"/>
                <w:spacing w:val="0"/>
                <w:w w:val="100"/>
                <w:sz w:val="24"/>
                <w:szCs w:val="24"/>
              </w:rPr>
              <w:t>元</w:t>
            </w:r>
          </w:p>
          <w:p w14:paraId="515922E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14:textOutline w14:w="4388" w14:cap="flat" w14:cmpd="sng">
                  <w14:solidFill>
                    <w14:srgbClr w14:val="000000"/>
                  </w14:solidFill>
                  <w14:prstDash w14:val="solid"/>
                  <w14:miter w14:val="0"/>
                </w14:textOutline>
              </w:rPr>
              <w:t>投标报价高于最高限价按废标处理，敬请投标人注意</w:t>
            </w:r>
          </w:p>
        </w:tc>
      </w:tr>
      <w:tr w14:paraId="36868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85" w:type="dxa"/>
            <w:vAlign w:val="center"/>
          </w:tcPr>
          <w:p w14:paraId="35E1854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9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8</w:t>
            </w:r>
          </w:p>
        </w:tc>
        <w:tc>
          <w:tcPr>
            <w:tcW w:w="1920" w:type="dxa"/>
            <w:vAlign w:val="center"/>
          </w:tcPr>
          <w:p w14:paraId="2A412E1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采购内容</w:t>
            </w:r>
          </w:p>
        </w:tc>
        <w:tc>
          <w:tcPr>
            <w:tcW w:w="6480" w:type="dxa"/>
            <w:vAlign w:val="center"/>
          </w:tcPr>
          <w:p w14:paraId="5B5C43A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新疆农业职业技术大学校史馆项目（深化设计与布展）建筑与装饰、电气设备安装工程、通风工程、智能化设备、多媒体程序开发及软件制作视频制作等</w:t>
            </w:r>
          </w:p>
        </w:tc>
      </w:tr>
      <w:tr w14:paraId="54F80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85" w:type="dxa"/>
            <w:vAlign w:val="center"/>
          </w:tcPr>
          <w:p w14:paraId="79329A1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9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9</w:t>
            </w:r>
          </w:p>
        </w:tc>
        <w:tc>
          <w:tcPr>
            <w:tcW w:w="1920" w:type="dxa"/>
            <w:vAlign w:val="center"/>
          </w:tcPr>
          <w:p w14:paraId="2456068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项目完成时间</w:t>
            </w:r>
          </w:p>
        </w:tc>
        <w:tc>
          <w:tcPr>
            <w:tcW w:w="6480" w:type="dxa"/>
            <w:vAlign w:val="center"/>
          </w:tcPr>
          <w:p w14:paraId="75AAC65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1" w:right="0"/>
              <w:jc w:val="both"/>
              <w:textAlignment w:val="baseline"/>
              <w:rPr>
                <w:rFonts w:hint="default" w:ascii="仿宋" w:hAnsi="仿宋" w:eastAsia="仿宋" w:cs="仿宋"/>
                <w:spacing w:val="0"/>
                <w:w w:val="100"/>
                <w:sz w:val="24"/>
                <w:szCs w:val="24"/>
                <w:highlight w:val="none"/>
                <w:lang w:val="en-US"/>
              </w:rPr>
            </w:pPr>
            <w:r>
              <w:rPr>
                <w:rFonts w:hint="eastAsia" w:ascii="仿宋" w:hAnsi="仿宋" w:eastAsia="仿宋" w:cs="仿宋"/>
                <w:spacing w:val="0"/>
                <w:w w:val="100"/>
                <w:sz w:val="24"/>
                <w:szCs w:val="24"/>
                <w:highlight w:val="none"/>
                <w:lang w:val="en-US" w:eastAsia="zh-CN"/>
              </w:rPr>
              <w:t>自合同签订之日起90日历天</w:t>
            </w:r>
          </w:p>
        </w:tc>
      </w:tr>
      <w:tr w14:paraId="5FF14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685" w:type="dxa"/>
            <w:vAlign w:val="center"/>
          </w:tcPr>
          <w:p w14:paraId="37AB189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47"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10</w:t>
            </w:r>
          </w:p>
        </w:tc>
        <w:tc>
          <w:tcPr>
            <w:tcW w:w="1920" w:type="dxa"/>
            <w:vAlign w:val="center"/>
          </w:tcPr>
          <w:p w14:paraId="29DB74F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质量要求</w:t>
            </w:r>
          </w:p>
        </w:tc>
        <w:tc>
          <w:tcPr>
            <w:tcW w:w="6480" w:type="dxa"/>
            <w:vAlign w:val="center"/>
          </w:tcPr>
          <w:p w14:paraId="21FF7CB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合格</w:t>
            </w:r>
          </w:p>
        </w:tc>
      </w:tr>
      <w:tr w14:paraId="05224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85" w:type="dxa"/>
            <w:vAlign w:val="center"/>
          </w:tcPr>
          <w:p w14:paraId="7E7AF91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47" w:leftChars="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11</w:t>
            </w:r>
          </w:p>
        </w:tc>
        <w:tc>
          <w:tcPr>
            <w:tcW w:w="1920" w:type="dxa"/>
            <w:vAlign w:val="center"/>
          </w:tcPr>
          <w:p w14:paraId="332DB8B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政府采购政策</w:t>
            </w:r>
          </w:p>
        </w:tc>
        <w:tc>
          <w:tcPr>
            <w:tcW w:w="6480" w:type="dxa"/>
            <w:vAlign w:val="center"/>
          </w:tcPr>
          <w:p w14:paraId="2665261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落实的政府采购政策：</w:t>
            </w:r>
          </w:p>
          <w:p w14:paraId="053AF4A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1、符合促进中小企业（监狱企业、残疾人福利性单位）发展政策；</w:t>
            </w:r>
          </w:p>
          <w:p w14:paraId="5E2E3F5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2、依据《关于印发&lt;政府采购促进中小企业发展管理办法&gt;的通知》（财库〔2020〕46号）、关于印发《新疆维吾尔自治区政府采购促进中小企业发展管理实施办法》的通知（新财规〔2021〕6号）；</w:t>
            </w:r>
          </w:p>
          <w:p w14:paraId="58C726D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3、根据《关于进一步加大政府采购支持中小企业力度的通知》财库〔2022〕19号、《关于落实好政府采购支持中小企业发展的通知》新财购〔2022〕22号、《关于促进残疾人就业政府采购政策的通知》（财库[2017]141号）、《关于政府采购支持监狱企业发展有关问题的通知》（财库[2014]68号文）等规定给予评审优惠。</w:t>
            </w:r>
          </w:p>
          <w:p w14:paraId="530A3FD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本项目为专门面向中小企业（含中型、小型、微型企业）采购项目，不再执行价格评审优惠的扶持政策，残疾人福利性单位视同为中小企业。</w:t>
            </w:r>
          </w:p>
          <w:p w14:paraId="39B4B6D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①《中小企业声明函》（可选）；</w:t>
            </w:r>
          </w:p>
          <w:p w14:paraId="662E18C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59"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②残疾人福利性单位声明函（可选）</w:t>
            </w:r>
          </w:p>
          <w:p w14:paraId="664B717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3" w:leftChars="0" w:right="0" w:rightChars="0" w:hanging="4" w:firstLineChars="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③省级以上监狱管理局、戒毒管理局（含新疆生产建设兵团）出具的属于监狱企业的证明文件（可选）</w:t>
            </w:r>
          </w:p>
        </w:tc>
      </w:tr>
      <w:tr w14:paraId="11C64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5" w:type="dxa"/>
            <w:vAlign w:val="center"/>
          </w:tcPr>
          <w:p w14:paraId="5E1EC97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47" w:leftChars="0" w:right="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pacing w:val="0"/>
                <w:w w:val="100"/>
                <w:sz w:val="24"/>
                <w:szCs w:val="24"/>
              </w:rPr>
              <w:t>12</w:t>
            </w:r>
          </w:p>
        </w:tc>
        <w:tc>
          <w:tcPr>
            <w:tcW w:w="1920" w:type="dxa"/>
            <w:vAlign w:val="center"/>
          </w:tcPr>
          <w:p w14:paraId="16CEB2C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00" w:right="0"/>
              <w:jc w:val="center"/>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pacing w:val="0"/>
                <w:w w:val="100"/>
                <w:sz w:val="24"/>
                <w:szCs w:val="24"/>
              </w:rPr>
              <w:t>项目采购标的对应的中小企业划分标准所属行业</w:t>
            </w:r>
          </w:p>
        </w:tc>
        <w:tc>
          <w:tcPr>
            <w:tcW w:w="6480" w:type="dxa"/>
            <w:vAlign w:val="center"/>
          </w:tcPr>
          <w:p w14:paraId="499F9BB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leftChars="0" w:right="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pacing w:val="0"/>
                <w:w w:val="100"/>
                <w:sz w:val="24"/>
                <w:szCs w:val="24"/>
              </w:rPr>
              <w:t>建筑业</w:t>
            </w:r>
          </w:p>
        </w:tc>
      </w:tr>
      <w:tr w14:paraId="732CD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5" w:type="dxa"/>
            <w:vAlign w:val="center"/>
          </w:tcPr>
          <w:p w14:paraId="26A2D56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47" w:leftChars="0" w:right="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pacing w:val="0"/>
                <w:w w:val="100"/>
                <w:sz w:val="24"/>
                <w:szCs w:val="24"/>
              </w:rPr>
              <w:t>13</w:t>
            </w:r>
          </w:p>
        </w:tc>
        <w:tc>
          <w:tcPr>
            <w:tcW w:w="1920" w:type="dxa"/>
            <w:vAlign w:val="center"/>
          </w:tcPr>
          <w:p w14:paraId="3E2BBBD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pacing w:val="0"/>
                <w:w w:val="100"/>
                <w:sz w:val="24"/>
                <w:szCs w:val="24"/>
              </w:rPr>
              <w:t>现场踏勘</w:t>
            </w:r>
          </w:p>
        </w:tc>
        <w:tc>
          <w:tcPr>
            <w:tcW w:w="6480" w:type="dxa"/>
            <w:vAlign w:val="center"/>
          </w:tcPr>
          <w:p w14:paraId="1BF6ACF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0" w:leftChars="0" w:right="0" w:rightChars="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pacing w:val="0"/>
                <w:w w:val="100"/>
                <w:sz w:val="24"/>
                <w:szCs w:val="24"/>
              </w:rPr>
              <w:t>供应商自行踏勘，无论供应商对现场考察与否，都将被视为熟悉履行合同有关的一切情况。</w:t>
            </w:r>
          </w:p>
        </w:tc>
      </w:tr>
      <w:tr w14:paraId="2C774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685" w:type="dxa"/>
            <w:vAlign w:val="center"/>
          </w:tcPr>
          <w:p w14:paraId="74CBC09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47" w:leftChars="0" w:right="0"/>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pacing w:val="0"/>
                <w:w w:val="100"/>
                <w:sz w:val="24"/>
                <w:szCs w:val="24"/>
              </w:rPr>
              <w:t>14</w:t>
            </w:r>
          </w:p>
        </w:tc>
        <w:tc>
          <w:tcPr>
            <w:tcW w:w="1920" w:type="dxa"/>
            <w:vAlign w:val="center"/>
          </w:tcPr>
          <w:p w14:paraId="75617E8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pacing w:val="0"/>
                <w:w w:val="100"/>
                <w:sz w:val="24"/>
                <w:szCs w:val="24"/>
              </w:rPr>
              <w:t>供应商资格要求</w:t>
            </w:r>
          </w:p>
        </w:tc>
        <w:tc>
          <w:tcPr>
            <w:tcW w:w="6480" w:type="dxa"/>
            <w:vAlign w:val="center"/>
          </w:tcPr>
          <w:p w14:paraId="3A97026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7" w:right="0" w:firstLine="11"/>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1、满足《中华人民共和国政府采购法》第二十二条规定；</w:t>
            </w:r>
          </w:p>
          <w:p w14:paraId="3822F5A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7" w:right="0" w:hanging="3"/>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2、落实政府采购政策需满足的资格要求：本项目专门面向中小企业（中型、小型、微型）采购。</w:t>
            </w:r>
          </w:p>
          <w:p w14:paraId="72CA1F2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1" w:right="0" w:firstLine="4"/>
              <w:jc w:val="both"/>
              <w:textAlignment w:val="baseline"/>
              <w:rPr>
                <w:rFonts w:hint="eastAsia" w:ascii="仿宋" w:hAnsi="仿宋" w:eastAsia="仿宋" w:cs="仿宋"/>
                <w:snapToGrid w:val="0"/>
                <w:color w:val="000000"/>
                <w:spacing w:val="0"/>
                <w:w w:val="100"/>
                <w:kern w:val="0"/>
                <w:sz w:val="24"/>
                <w:szCs w:val="24"/>
                <w:lang w:val="en-US" w:eastAsia="en-US" w:bidi="ar-SA"/>
              </w:rPr>
            </w:pPr>
            <w:r>
              <w:rPr>
                <w:rFonts w:hint="eastAsia" w:ascii="仿宋" w:hAnsi="仿宋" w:eastAsia="仿宋" w:cs="仿宋"/>
                <w:spacing w:val="0"/>
                <w:w w:val="100"/>
                <w:sz w:val="24"/>
                <w:szCs w:val="24"/>
              </w:rPr>
              <w:t>3、本项目特定资质：（1）供应商须具备建筑工程施工总承包叁级（含）以上资质或建筑装修装饰工程专业承包二级及以上资质和建筑装饰工程设计专项乙级及以上资质，并在人员、设备、资金等方面具有相应的施工能力，具有有效的安全生产许可证；（2）项目负责人须具备</w:t>
            </w:r>
            <w:r>
              <w:rPr>
                <w:rFonts w:hint="eastAsia" w:ascii="仿宋" w:hAnsi="仿宋" w:eastAsia="仿宋" w:cs="仿宋"/>
                <w:spacing w:val="0"/>
                <w:w w:val="100"/>
                <w:sz w:val="24"/>
                <w:szCs w:val="24"/>
                <w:lang w:eastAsia="zh-CN"/>
              </w:rPr>
              <w:t>建筑装饰类中级及以上职称或建筑工程专业贰级建造师（含）及以上执业资格</w:t>
            </w:r>
            <w:r>
              <w:rPr>
                <w:rFonts w:hint="eastAsia" w:ascii="仿宋" w:hAnsi="仿宋" w:eastAsia="仿宋" w:cs="仿宋"/>
                <w:spacing w:val="0"/>
                <w:w w:val="100"/>
                <w:sz w:val="24"/>
                <w:szCs w:val="24"/>
              </w:rPr>
              <w:t>，在本单位注册，具备有效的安全生产考核合格证书</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B证</w:t>
            </w:r>
            <w:r>
              <w:rPr>
                <w:rFonts w:hint="eastAsia" w:ascii="仿宋" w:hAnsi="仿宋" w:eastAsia="仿宋" w:cs="仿宋"/>
                <w:spacing w:val="0"/>
                <w:w w:val="100"/>
                <w:sz w:val="24"/>
                <w:szCs w:val="24"/>
                <w:lang w:eastAsia="zh-CN"/>
              </w:rPr>
              <w:t>）</w:t>
            </w:r>
            <w:r>
              <w:rPr>
                <w:rFonts w:hint="eastAsia" w:ascii="仿宋" w:hAnsi="仿宋" w:eastAsia="仿宋" w:cs="仿宋"/>
                <w:spacing w:val="0"/>
                <w:w w:val="100"/>
                <w:sz w:val="24"/>
                <w:szCs w:val="24"/>
              </w:rPr>
              <w:t>，且未担任其他在建建设工程项目的项目负责人。</w:t>
            </w:r>
          </w:p>
        </w:tc>
      </w:tr>
      <w:tr w14:paraId="44DE9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685" w:type="dxa"/>
            <w:vAlign w:val="center"/>
          </w:tcPr>
          <w:p w14:paraId="3B5FCC6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47"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15</w:t>
            </w:r>
          </w:p>
        </w:tc>
        <w:tc>
          <w:tcPr>
            <w:tcW w:w="1920" w:type="dxa"/>
            <w:vAlign w:val="center"/>
          </w:tcPr>
          <w:p w14:paraId="22509C7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供应商信用情况</w:t>
            </w:r>
          </w:p>
        </w:tc>
        <w:tc>
          <w:tcPr>
            <w:tcW w:w="6480" w:type="dxa"/>
            <w:vAlign w:val="center"/>
          </w:tcPr>
          <w:p w14:paraId="3642DDCC">
            <w:pPr>
              <w:pStyle w:val="27"/>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0CBE944B">
            <w:pPr>
              <w:pStyle w:val="27"/>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2、查询渠道：由审查小组在“政采云”平台“信用中国”网站(www.creditchina.gov.cn)、中国政府采购网(www.ccgp.gov.cn)链接入口查询。</w:t>
            </w:r>
          </w:p>
          <w:p w14:paraId="5712B20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3、信用查询截止时点：资格审查结束前。</w:t>
            </w:r>
          </w:p>
          <w:p w14:paraId="6220C68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4、查询记录和证据留存方式：在查询网站中直接打印查询记录。</w:t>
            </w:r>
          </w:p>
        </w:tc>
      </w:tr>
      <w:tr w14:paraId="5F894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85" w:type="dxa"/>
            <w:vAlign w:val="center"/>
          </w:tcPr>
          <w:p w14:paraId="1E778E8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47"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16</w:t>
            </w:r>
          </w:p>
        </w:tc>
        <w:tc>
          <w:tcPr>
            <w:tcW w:w="1920" w:type="dxa"/>
            <w:vAlign w:val="center"/>
          </w:tcPr>
          <w:p w14:paraId="392D7F0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95"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磋商响应文件有效期</w:t>
            </w:r>
          </w:p>
        </w:tc>
        <w:tc>
          <w:tcPr>
            <w:tcW w:w="6480" w:type="dxa"/>
            <w:vAlign w:val="center"/>
          </w:tcPr>
          <w:p w14:paraId="35BC823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01"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自磋商开始之日起</w:t>
            </w:r>
            <w:r>
              <w:rPr>
                <w:rFonts w:hint="eastAsia" w:ascii="仿宋" w:hAnsi="仿宋" w:eastAsia="仿宋" w:cs="仿宋"/>
                <w:spacing w:val="0"/>
                <w:w w:val="100"/>
                <w:sz w:val="24"/>
                <w:szCs w:val="24"/>
                <w:lang w:val="en-US" w:eastAsia="zh-CN"/>
              </w:rPr>
              <w:t>6</w:t>
            </w:r>
            <w:r>
              <w:rPr>
                <w:rFonts w:hint="eastAsia" w:ascii="仿宋" w:hAnsi="仿宋" w:eastAsia="仿宋" w:cs="仿宋"/>
                <w:spacing w:val="0"/>
                <w:w w:val="100"/>
                <w:sz w:val="24"/>
                <w:szCs w:val="24"/>
              </w:rPr>
              <w:t>0天</w:t>
            </w:r>
          </w:p>
        </w:tc>
      </w:tr>
      <w:tr w14:paraId="46C4D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85" w:type="dxa"/>
            <w:vAlign w:val="center"/>
          </w:tcPr>
          <w:p w14:paraId="4982E5F9">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47"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17</w:t>
            </w:r>
          </w:p>
        </w:tc>
        <w:tc>
          <w:tcPr>
            <w:tcW w:w="1920" w:type="dxa"/>
            <w:vAlign w:val="center"/>
          </w:tcPr>
          <w:p w14:paraId="5AE3269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磋商保证金</w:t>
            </w:r>
          </w:p>
        </w:tc>
        <w:tc>
          <w:tcPr>
            <w:tcW w:w="6480" w:type="dxa"/>
            <w:vAlign w:val="center"/>
          </w:tcPr>
          <w:p w14:paraId="290F2D0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磋商保证金金额：</w:t>
            </w:r>
            <w:r>
              <w:rPr>
                <w:rFonts w:hint="eastAsia" w:ascii="仿宋" w:hAnsi="仿宋" w:eastAsia="仿宋" w:cs="仿宋"/>
                <w:spacing w:val="0"/>
                <w:w w:val="100"/>
                <w:sz w:val="24"/>
                <w:szCs w:val="24"/>
                <w:highlight w:val="none"/>
                <w:lang w:val="en-US" w:eastAsia="zh-CN"/>
              </w:rPr>
              <w:t>2</w:t>
            </w:r>
            <w:r>
              <w:rPr>
                <w:rFonts w:hint="eastAsia" w:ascii="仿宋" w:hAnsi="仿宋" w:eastAsia="仿宋" w:cs="仿宋"/>
                <w:spacing w:val="0"/>
                <w:w w:val="100"/>
                <w:sz w:val="24"/>
                <w:szCs w:val="24"/>
                <w:highlight w:val="none"/>
              </w:rPr>
              <w:t>0000.00元（大写：</w:t>
            </w:r>
            <w:r>
              <w:rPr>
                <w:rFonts w:hint="eastAsia" w:ascii="仿宋" w:hAnsi="仿宋" w:eastAsia="仿宋" w:cs="仿宋"/>
                <w:spacing w:val="0"/>
                <w:w w:val="100"/>
                <w:sz w:val="24"/>
                <w:szCs w:val="24"/>
                <w:highlight w:val="none"/>
                <w:lang w:val="en-US" w:eastAsia="zh-CN"/>
              </w:rPr>
              <w:t>贰</w:t>
            </w:r>
            <w:r>
              <w:rPr>
                <w:rFonts w:hint="eastAsia" w:ascii="仿宋" w:hAnsi="仿宋" w:eastAsia="仿宋" w:cs="仿宋"/>
                <w:spacing w:val="0"/>
                <w:w w:val="100"/>
                <w:sz w:val="24"/>
                <w:szCs w:val="24"/>
                <w:highlight w:val="none"/>
              </w:rPr>
              <w:t>万元整）</w:t>
            </w:r>
          </w:p>
          <w:p w14:paraId="121BE3F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磋商保证金缴纳方式：银行汇票、银行电汇、转账、本票或者金融机构、担保机构出具的保函等非现金形式提交。</w:t>
            </w:r>
          </w:p>
          <w:p w14:paraId="447EBEC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投标保证金到账截止时间：响应文件的递交截止时间（以到账时间为准）</w:t>
            </w:r>
          </w:p>
          <w:p w14:paraId="7327050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投标保证金有效期：投标截止时间后90天</w:t>
            </w:r>
          </w:p>
          <w:p w14:paraId="3751A21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1.</w:t>
            </w:r>
            <w:r>
              <w:rPr>
                <w:rFonts w:hint="eastAsia" w:ascii="仿宋" w:hAnsi="仿宋" w:eastAsia="仿宋" w:cs="仿宋"/>
                <w:spacing w:val="0"/>
                <w:w w:val="100"/>
                <w:sz w:val="24"/>
                <w:szCs w:val="24"/>
                <w:highlight w:val="none"/>
                <w:lang w:val="en-US" w:eastAsia="zh-CN"/>
              </w:rPr>
              <w:t>电汇、转账</w:t>
            </w:r>
            <w:r>
              <w:rPr>
                <w:rFonts w:hint="eastAsia" w:ascii="仿宋" w:hAnsi="仿宋" w:eastAsia="仿宋" w:cs="仿宋"/>
                <w:spacing w:val="0"/>
                <w:w w:val="100"/>
                <w:sz w:val="24"/>
                <w:szCs w:val="24"/>
                <w:highlight w:val="none"/>
              </w:rPr>
              <w:t>形式</w:t>
            </w:r>
          </w:p>
          <w:p w14:paraId="06A3FF4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户名：新疆玖一建设项目管理咨询有限公司</w:t>
            </w:r>
          </w:p>
          <w:p w14:paraId="51AC4F0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开户行：交通银行股份有限公司乌鲁木齐北京路支行</w:t>
            </w:r>
          </w:p>
          <w:p w14:paraId="7F8B9E6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账号：651100849018150166953</w:t>
            </w:r>
          </w:p>
          <w:p w14:paraId="6DD5FE8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lang w:val="en-US" w:eastAsia="zh-CN"/>
              </w:rPr>
              <w:t>行</w:t>
            </w:r>
            <w:r>
              <w:rPr>
                <w:rFonts w:hint="eastAsia" w:ascii="仿宋" w:hAnsi="仿宋" w:eastAsia="仿宋" w:cs="仿宋"/>
                <w:spacing w:val="0"/>
                <w:w w:val="100"/>
                <w:sz w:val="24"/>
                <w:szCs w:val="24"/>
                <w:highlight w:val="none"/>
              </w:rPr>
              <w:t>号：301881000219</w:t>
            </w:r>
          </w:p>
          <w:p w14:paraId="797676D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注：①磋商保证金的缴付时间以电汇凭证和网银对账单上的时间为准，超过缴纳的时限缴纳磋商保证金视为响应无效。</w:t>
            </w:r>
          </w:p>
          <w:p w14:paraId="3BE428F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②磋商保证金必须从供应商基本账户转出，不得以现金形式缴纳，不得以分公司、办事处或其他机构名义缴纳，供应商在缴纳磋商保证金时，需在进账凭证上明确资金用途、项目名称，并注明联系人及电话，以便查对核实。否则，因款项用途不明导致报价无效等后果由供应商自行承担</w:t>
            </w:r>
          </w:p>
          <w:p w14:paraId="76CC4A6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2.保函形式</w:t>
            </w:r>
          </w:p>
          <w:p w14:paraId="4FE4687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须将有效期内的保函上传至政采云平台并将扫描件加盖电子章附入响应文件中，如保函的有效期少于响应有效期，其保函无效且响应文件作无效处理。</w:t>
            </w:r>
          </w:p>
        </w:tc>
      </w:tr>
      <w:tr w14:paraId="40F7E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685" w:type="dxa"/>
            <w:vAlign w:val="center"/>
          </w:tcPr>
          <w:p w14:paraId="32B61BA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47" w:right="0"/>
              <w:jc w:val="both"/>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18</w:t>
            </w:r>
          </w:p>
        </w:tc>
        <w:tc>
          <w:tcPr>
            <w:tcW w:w="1920" w:type="dxa"/>
            <w:vAlign w:val="center"/>
          </w:tcPr>
          <w:p w14:paraId="3E30C7F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highlight w:val="none"/>
              </w:rPr>
            </w:pPr>
            <w:r>
              <w:rPr>
                <w:rFonts w:hint="eastAsia" w:ascii="仿宋" w:hAnsi="仿宋" w:eastAsia="仿宋" w:cs="仿宋"/>
                <w:spacing w:val="0"/>
                <w:w w:val="100"/>
                <w:sz w:val="24"/>
                <w:szCs w:val="24"/>
                <w:highlight w:val="none"/>
              </w:rPr>
              <w:t>履约保证金</w:t>
            </w:r>
          </w:p>
        </w:tc>
        <w:tc>
          <w:tcPr>
            <w:tcW w:w="6480" w:type="dxa"/>
            <w:vAlign w:val="center"/>
          </w:tcPr>
          <w:p w14:paraId="72052E7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default" w:ascii="仿宋" w:hAnsi="仿宋" w:eastAsia="仿宋" w:cs="仿宋"/>
                <w:spacing w:val="0"/>
                <w:w w:val="100"/>
                <w:sz w:val="24"/>
                <w:szCs w:val="24"/>
                <w:highlight w:val="none"/>
                <w:lang w:val="en-US" w:eastAsia="zh-CN"/>
              </w:rPr>
            </w:pPr>
            <w:r>
              <w:rPr>
                <w:rFonts w:hint="eastAsia" w:ascii="仿宋" w:hAnsi="仿宋" w:eastAsia="仿宋" w:cs="仿宋"/>
                <w:spacing w:val="0"/>
                <w:w w:val="100"/>
                <w:sz w:val="24"/>
                <w:szCs w:val="24"/>
                <w:highlight w:val="none"/>
                <w:lang w:val="en-US" w:eastAsia="zh-CN"/>
              </w:rPr>
              <w:t>合同价款的3％</w:t>
            </w:r>
            <w:r>
              <w:rPr>
                <w:rFonts w:hint="eastAsia" w:ascii="仿宋" w:hAnsi="仿宋" w:eastAsia="仿宋" w:cs="仿宋"/>
                <w:spacing w:val="0"/>
                <w:w w:val="100"/>
                <w:sz w:val="24"/>
                <w:szCs w:val="24"/>
                <w:highlight w:val="none"/>
                <w:lang w:eastAsia="zh-CN"/>
              </w:rPr>
              <w:t>，</w:t>
            </w:r>
            <w:r>
              <w:rPr>
                <w:rFonts w:hint="eastAsia" w:ascii="仿宋" w:hAnsi="仿宋" w:eastAsia="仿宋" w:cs="仿宋"/>
                <w:spacing w:val="0"/>
                <w:w w:val="100"/>
                <w:sz w:val="24"/>
                <w:szCs w:val="24"/>
                <w:highlight w:val="none"/>
                <w:lang w:val="en-US" w:eastAsia="zh-CN"/>
              </w:rPr>
              <w:t>以银行保函的形式缴纳。</w:t>
            </w:r>
          </w:p>
        </w:tc>
      </w:tr>
      <w:tr w14:paraId="1BFB8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685" w:type="dxa"/>
            <w:vAlign w:val="center"/>
          </w:tcPr>
          <w:p w14:paraId="55421C1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1E967CA9">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47"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19</w:t>
            </w:r>
          </w:p>
        </w:tc>
        <w:tc>
          <w:tcPr>
            <w:tcW w:w="1920" w:type="dxa"/>
            <w:vAlign w:val="center"/>
          </w:tcPr>
          <w:p w14:paraId="3293E2E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首次响应文件递交截止时间及开标地点</w:t>
            </w:r>
          </w:p>
        </w:tc>
        <w:tc>
          <w:tcPr>
            <w:tcW w:w="6480" w:type="dxa"/>
            <w:vAlign w:val="center"/>
          </w:tcPr>
          <w:p w14:paraId="13EE739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4" w:right="0" w:hanging="9"/>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首次响应文件递交截止时间：</w:t>
            </w:r>
            <w:r>
              <w:rPr>
                <w:rFonts w:hint="eastAsia" w:ascii="仿宋" w:hAnsi="仿宋" w:eastAsia="仿宋" w:cs="仿宋"/>
                <w:spacing w:val="0"/>
                <w:w w:val="100"/>
                <w:sz w:val="24"/>
                <w:szCs w:val="24"/>
                <w:lang w:eastAsia="zh-CN"/>
              </w:rPr>
              <w:t>2025年07月11日</w:t>
            </w:r>
            <w:r>
              <w:rPr>
                <w:rFonts w:hint="eastAsia" w:ascii="仿宋" w:hAnsi="仿宋" w:eastAsia="仿宋" w:cs="仿宋"/>
                <w:spacing w:val="0"/>
                <w:w w:val="100"/>
                <w:sz w:val="24"/>
                <w:szCs w:val="24"/>
              </w:rPr>
              <w:t>11时00分（北京时间）</w:t>
            </w:r>
          </w:p>
          <w:p w14:paraId="63384A5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jc w:val="both"/>
              <w:textAlignment w:val="baseline"/>
              <w:rPr>
                <w:rFonts w:hint="eastAsia" w:ascii="仿宋" w:hAnsi="仿宋" w:eastAsia="仿宋" w:cs="仿宋"/>
                <w:spacing w:val="0"/>
                <w:w w:val="100"/>
                <w:sz w:val="24"/>
                <w:szCs w:val="24"/>
                <w:lang w:eastAsia="zh-CN"/>
              </w:rPr>
            </w:pPr>
            <w:r>
              <w:rPr>
                <w:rFonts w:hint="eastAsia" w:ascii="仿宋" w:hAnsi="仿宋" w:eastAsia="仿宋" w:cs="仿宋"/>
                <w:spacing w:val="0"/>
                <w:w w:val="100"/>
                <w:sz w:val="24"/>
                <w:szCs w:val="24"/>
              </w:rPr>
              <w:t>开标地点：政采云平台</w:t>
            </w:r>
            <w:r>
              <w:rPr>
                <w:rFonts w:hint="eastAsia" w:ascii="仿宋" w:hAnsi="仿宋" w:eastAsia="仿宋" w:cs="仿宋"/>
                <w:spacing w:val="0"/>
                <w:w w:val="100"/>
                <w:sz w:val="24"/>
                <w:szCs w:val="24"/>
              </w:rPr>
              <w:fldChar w:fldCharType="begin"/>
            </w:r>
            <w:r>
              <w:rPr>
                <w:rFonts w:hint="eastAsia" w:ascii="仿宋" w:hAnsi="仿宋" w:eastAsia="仿宋" w:cs="仿宋"/>
                <w:spacing w:val="0"/>
                <w:w w:val="100"/>
                <w:sz w:val="24"/>
                <w:szCs w:val="24"/>
              </w:rPr>
              <w:instrText xml:space="preserve"> HYPERLINK "https://www.zcygov.cn/" </w:instrText>
            </w:r>
            <w:r>
              <w:rPr>
                <w:rFonts w:hint="eastAsia" w:ascii="仿宋" w:hAnsi="仿宋" w:eastAsia="仿宋" w:cs="仿宋"/>
                <w:spacing w:val="0"/>
                <w:w w:val="100"/>
                <w:sz w:val="24"/>
                <w:szCs w:val="24"/>
              </w:rPr>
              <w:fldChar w:fldCharType="separate"/>
            </w:r>
            <w:r>
              <w:rPr>
                <w:rFonts w:hint="eastAsia" w:ascii="仿宋" w:hAnsi="仿宋" w:eastAsia="仿宋" w:cs="仿宋"/>
                <w:spacing w:val="0"/>
                <w:w w:val="100"/>
                <w:sz w:val="24"/>
                <w:szCs w:val="24"/>
              </w:rPr>
              <w:t>https://www.zcygov.cn/</w:t>
            </w:r>
            <w:r>
              <w:rPr>
                <w:rFonts w:hint="eastAsia" w:ascii="仿宋" w:hAnsi="仿宋" w:eastAsia="仿宋" w:cs="仿宋"/>
                <w:spacing w:val="0"/>
                <w:w w:val="100"/>
                <w:sz w:val="24"/>
                <w:szCs w:val="24"/>
              </w:rPr>
              <w:fldChar w:fldCharType="end"/>
            </w:r>
            <w:r>
              <w:rPr>
                <w:rFonts w:hint="eastAsia" w:ascii="仿宋" w:hAnsi="仿宋" w:eastAsia="仿宋" w:cs="仿宋"/>
                <w:spacing w:val="0"/>
                <w:w w:val="100"/>
                <w:sz w:val="24"/>
                <w:szCs w:val="24"/>
                <w:lang w:eastAsia="zh-CN"/>
              </w:rPr>
              <w:t>。</w:t>
            </w:r>
          </w:p>
        </w:tc>
      </w:tr>
      <w:tr w14:paraId="25C26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85" w:type="dxa"/>
            <w:vAlign w:val="center"/>
          </w:tcPr>
          <w:p w14:paraId="54AC109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3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20</w:t>
            </w:r>
          </w:p>
        </w:tc>
        <w:tc>
          <w:tcPr>
            <w:tcW w:w="1920" w:type="dxa"/>
            <w:vAlign w:val="center"/>
          </w:tcPr>
          <w:p w14:paraId="65AA9CC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响应文件加密要求</w:t>
            </w:r>
          </w:p>
        </w:tc>
        <w:tc>
          <w:tcPr>
            <w:tcW w:w="6480" w:type="dxa"/>
            <w:vAlign w:val="center"/>
          </w:tcPr>
          <w:p w14:paraId="00B851F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hanging="1"/>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加密电子响应文件请于响应文件开启时间截止之前上传至供应商登录政采云平台</w:t>
            </w:r>
            <w:r>
              <w:rPr>
                <w:rFonts w:hint="eastAsia" w:ascii="仿宋" w:hAnsi="仿宋" w:eastAsia="仿宋" w:cs="仿宋"/>
                <w:spacing w:val="0"/>
                <w:w w:val="100"/>
                <w:sz w:val="24"/>
                <w:szCs w:val="24"/>
              </w:rPr>
              <w:fldChar w:fldCharType="begin"/>
            </w:r>
            <w:r>
              <w:rPr>
                <w:rFonts w:hint="eastAsia" w:ascii="仿宋" w:hAnsi="仿宋" w:eastAsia="仿宋" w:cs="仿宋"/>
                <w:spacing w:val="0"/>
                <w:w w:val="100"/>
                <w:sz w:val="24"/>
                <w:szCs w:val="24"/>
              </w:rPr>
              <w:instrText xml:space="preserve"> HYPERLINK "https://www.zcygov.cn/" </w:instrText>
            </w:r>
            <w:r>
              <w:rPr>
                <w:rFonts w:hint="eastAsia" w:ascii="仿宋" w:hAnsi="仿宋" w:eastAsia="仿宋" w:cs="仿宋"/>
                <w:spacing w:val="0"/>
                <w:w w:val="100"/>
                <w:sz w:val="24"/>
                <w:szCs w:val="24"/>
              </w:rPr>
              <w:fldChar w:fldCharType="separate"/>
            </w:r>
            <w:r>
              <w:rPr>
                <w:rFonts w:hint="eastAsia" w:ascii="仿宋" w:hAnsi="仿宋" w:eastAsia="仿宋" w:cs="仿宋"/>
                <w:spacing w:val="0"/>
                <w:w w:val="100"/>
                <w:sz w:val="24"/>
                <w:szCs w:val="24"/>
              </w:rPr>
              <w:t>https://www.zcygov.cn/</w:t>
            </w:r>
            <w:r>
              <w:rPr>
                <w:rFonts w:hint="eastAsia" w:ascii="仿宋" w:hAnsi="仿宋" w:eastAsia="仿宋" w:cs="仿宋"/>
                <w:spacing w:val="0"/>
                <w:w w:val="100"/>
                <w:sz w:val="24"/>
                <w:szCs w:val="24"/>
              </w:rPr>
              <w:fldChar w:fldCharType="end"/>
            </w:r>
            <w:r>
              <w:rPr>
                <w:rFonts w:hint="eastAsia" w:ascii="仿宋" w:hAnsi="仿宋" w:eastAsia="仿宋" w:cs="仿宋"/>
                <w:spacing w:val="0"/>
                <w:w w:val="100"/>
                <w:sz w:val="24"/>
                <w:szCs w:val="24"/>
              </w:rPr>
              <w:t>；</w:t>
            </w:r>
          </w:p>
          <w:p w14:paraId="3F8DE66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hanging="1"/>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备注：加密的电子响应文件为使用政采云投标工具制作生成的加密版响应文件，未加密的电子响应文件应与加密的电子响应文件为同时生成的版本，请供应商开标时使用生成响应文件的CA锁参加开标解密。若因供应商自身原因导致解密失败的，将导致其投标被拒绝且响应文件被退回；但因网上招标系统故障导致所有供应商均解密失败时，允许供应商使用未加密的电子响应文件进行开评标。</w:t>
            </w:r>
          </w:p>
        </w:tc>
      </w:tr>
      <w:tr w14:paraId="2A29B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8" w:hRule="atLeast"/>
        </w:trPr>
        <w:tc>
          <w:tcPr>
            <w:tcW w:w="685" w:type="dxa"/>
            <w:vAlign w:val="center"/>
          </w:tcPr>
          <w:p w14:paraId="2262E64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2F1F9D5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0B8FD5F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3A1058D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3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21</w:t>
            </w:r>
          </w:p>
        </w:tc>
        <w:tc>
          <w:tcPr>
            <w:tcW w:w="1920" w:type="dxa"/>
            <w:vAlign w:val="center"/>
          </w:tcPr>
          <w:p w14:paraId="48CFF32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p>
          <w:p w14:paraId="62AA7AA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p>
          <w:p w14:paraId="3580786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响应文件电子版要求</w:t>
            </w:r>
          </w:p>
        </w:tc>
        <w:tc>
          <w:tcPr>
            <w:tcW w:w="6480" w:type="dxa"/>
            <w:vAlign w:val="center"/>
          </w:tcPr>
          <w:p w14:paraId="305EAAD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3" w:right="0" w:firstLine="15"/>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1.响应文件电子版要求：按照本采购文件“第六章响应文件格式”编写(第六章未附格式的，由供应商自行拟定)，不可涂改并在规定加盖公章处加盖电子公章，否则响应文件按无效响应处理。</w:t>
            </w:r>
          </w:p>
          <w:p w14:paraId="55248A3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59" w:right="0" w:firstLine="14"/>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响应文件电子版密封方式：电子响应文件通过平台有效CA加密后在“政采云”平台递交。</w:t>
            </w:r>
          </w:p>
        </w:tc>
      </w:tr>
      <w:tr w14:paraId="57DCA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8" w:hRule="atLeast"/>
        </w:trPr>
        <w:tc>
          <w:tcPr>
            <w:tcW w:w="685" w:type="dxa"/>
            <w:vAlign w:val="center"/>
          </w:tcPr>
          <w:p w14:paraId="49DE1FE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74B8B70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7806899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3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22</w:t>
            </w:r>
          </w:p>
        </w:tc>
        <w:tc>
          <w:tcPr>
            <w:tcW w:w="1920" w:type="dxa"/>
            <w:vAlign w:val="center"/>
          </w:tcPr>
          <w:p w14:paraId="7DA9764D">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p>
          <w:p w14:paraId="6FCAC7AD">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p>
          <w:p w14:paraId="774D95F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低于成本价</w:t>
            </w:r>
          </w:p>
        </w:tc>
        <w:tc>
          <w:tcPr>
            <w:tcW w:w="6480" w:type="dxa"/>
            <w:vAlign w:val="center"/>
          </w:tcPr>
          <w:p w14:paraId="6824D3A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供应商的报价明显低于其他通过符合性审查供应商的报价，有可能影响工程质量或者不能诚信履约的，供应商应在评标现场合理的时间内提供书面说明，必要时提交相关证明材料；供应商不能证明其报价合理性的，评标委员会应当将其作为无效投标处理。</w:t>
            </w:r>
          </w:p>
        </w:tc>
      </w:tr>
      <w:tr w14:paraId="129AD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85" w:type="dxa"/>
            <w:vAlign w:val="center"/>
          </w:tcPr>
          <w:p w14:paraId="6889687C">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3B9C448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04C5C6E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26080B5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7B80195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0EAE316C">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148850A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3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23</w:t>
            </w:r>
          </w:p>
        </w:tc>
        <w:tc>
          <w:tcPr>
            <w:tcW w:w="1920" w:type="dxa"/>
            <w:vAlign w:val="center"/>
          </w:tcPr>
          <w:p w14:paraId="7203F59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p>
          <w:p w14:paraId="5A1AA82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96"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供应商提出问题或要求澄清招标文件的截止时间</w:t>
            </w:r>
          </w:p>
        </w:tc>
        <w:tc>
          <w:tcPr>
            <w:tcW w:w="6480" w:type="dxa"/>
            <w:vAlign w:val="center"/>
          </w:tcPr>
          <w:p w14:paraId="4CCAB5D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59" w:right="0" w:firstLine="14"/>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响应文件递交截止时间前，因交易系统实行封闭运行，供应商信息保密，因此标书质疑答疑均在政采云平台中进行，不接受标书书面质疑。请领取招标文件的供应商严格按规定时间进行标书质疑和查看答疑回复。</w:t>
            </w:r>
          </w:p>
          <w:p w14:paraId="7205918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0" w:right="0" w:firstLine="1"/>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提疑问时间：响应文件递交截止时间前；请供应商在已下载招标文件项目中网上提问环节一次性提出针对同一采购程序环节的质疑，逾期不接受书面标书质疑。</w:t>
            </w:r>
          </w:p>
          <w:p w14:paraId="7DFCC75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9" w:right="0" w:hanging="18"/>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答疑时间：响应文件递交截止时间5日前（北京时间）；请供应商及时登陆政采云平台注意查看网上提问回复。</w:t>
            </w:r>
          </w:p>
        </w:tc>
      </w:tr>
      <w:tr w14:paraId="412C1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685" w:type="dxa"/>
            <w:vAlign w:val="center"/>
          </w:tcPr>
          <w:p w14:paraId="43337F1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7C32283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313BAF5A">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p>
          <w:p w14:paraId="6CE8774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3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24</w:t>
            </w:r>
          </w:p>
        </w:tc>
        <w:tc>
          <w:tcPr>
            <w:tcW w:w="1920" w:type="dxa"/>
            <w:vAlign w:val="center"/>
          </w:tcPr>
          <w:p w14:paraId="14463CC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磋商小组的组建</w:t>
            </w:r>
          </w:p>
        </w:tc>
        <w:tc>
          <w:tcPr>
            <w:tcW w:w="6480" w:type="dxa"/>
            <w:vAlign w:val="center"/>
          </w:tcPr>
          <w:p w14:paraId="094D229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hanging="2"/>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评标委员会构成：</w:t>
            </w:r>
            <w:r>
              <w:rPr>
                <w:rFonts w:hint="eastAsia" w:ascii="仿宋" w:hAnsi="仿宋" w:eastAsia="仿宋" w:cs="仿宋"/>
                <w:spacing w:val="0"/>
                <w:w w:val="100"/>
                <w:sz w:val="24"/>
                <w:szCs w:val="24"/>
                <w:lang w:val="en-US" w:eastAsia="zh-CN"/>
              </w:rPr>
              <w:t>3</w:t>
            </w:r>
            <w:r>
              <w:rPr>
                <w:rFonts w:hint="eastAsia" w:ascii="仿宋" w:hAnsi="仿宋" w:eastAsia="仿宋" w:cs="仿宋"/>
                <w:spacing w:val="0"/>
                <w:w w:val="100"/>
                <w:sz w:val="24"/>
                <w:szCs w:val="24"/>
              </w:rPr>
              <w:t>人，其中</w:t>
            </w:r>
            <w:r>
              <w:rPr>
                <w:rFonts w:hint="eastAsia" w:ascii="仿宋" w:hAnsi="仿宋" w:eastAsia="仿宋" w:cs="仿宋"/>
                <w:color w:val="auto"/>
                <w:spacing w:val="0"/>
                <w:w w:val="100"/>
                <w:sz w:val="24"/>
                <w:szCs w:val="24"/>
                <w:highlight w:val="none"/>
              </w:rPr>
              <w:t>采购人代表</w:t>
            </w:r>
            <w:r>
              <w:rPr>
                <w:rFonts w:hint="eastAsia" w:ascii="仿宋" w:hAnsi="仿宋" w:eastAsia="仿宋" w:cs="仿宋"/>
                <w:color w:val="auto"/>
                <w:spacing w:val="0"/>
                <w:w w:val="100"/>
                <w:sz w:val="24"/>
                <w:szCs w:val="24"/>
                <w:highlight w:val="none"/>
                <w:lang w:val="en-US" w:eastAsia="zh-CN"/>
              </w:rPr>
              <w:t>1</w:t>
            </w:r>
            <w:r>
              <w:rPr>
                <w:rFonts w:hint="eastAsia" w:ascii="仿宋" w:hAnsi="仿宋" w:eastAsia="仿宋" w:cs="仿宋"/>
                <w:color w:val="auto"/>
                <w:spacing w:val="0"/>
                <w:w w:val="100"/>
                <w:sz w:val="24"/>
                <w:szCs w:val="24"/>
                <w:highlight w:val="none"/>
              </w:rPr>
              <w:t>人，经济、技术专家</w:t>
            </w:r>
            <w:r>
              <w:rPr>
                <w:rFonts w:hint="eastAsia" w:ascii="仿宋" w:hAnsi="仿宋" w:eastAsia="仿宋" w:cs="仿宋"/>
                <w:color w:val="auto"/>
                <w:spacing w:val="0"/>
                <w:w w:val="100"/>
                <w:sz w:val="24"/>
                <w:szCs w:val="24"/>
                <w:highlight w:val="none"/>
                <w:lang w:val="en-US" w:eastAsia="zh-CN"/>
              </w:rPr>
              <w:t>2</w:t>
            </w:r>
            <w:r>
              <w:rPr>
                <w:rFonts w:hint="eastAsia" w:ascii="仿宋" w:hAnsi="仿宋" w:eastAsia="仿宋" w:cs="仿宋"/>
                <w:color w:val="auto"/>
                <w:spacing w:val="0"/>
                <w:w w:val="100"/>
                <w:sz w:val="24"/>
                <w:szCs w:val="24"/>
                <w:highlight w:val="none"/>
              </w:rPr>
              <w:t>人。</w:t>
            </w:r>
          </w:p>
          <w:p w14:paraId="1C95B82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3" w:right="0" w:hanging="3"/>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评标专家确定方式：经济、技术专家不少于评标委员会组成人员的三分之二，按相关规定从政府采购专家库中随机抽取。</w:t>
            </w:r>
          </w:p>
        </w:tc>
      </w:tr>
      <w:tr w14:paraId="1DBC2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85" w:type="dxa"/>
            <w:vAlign w:val="center"/>
          </w:tcPr>
          <w:p w14:paraId="6576954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3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25</w:t>
            </w:r>
          </w:p>
        </w:tc>
        <w:tc>
          <w:tcPr>
            <w:tcW w:w="1920" w:type="dxa"/>
            <w:vAlign w:val="center"/>
          </w:tcPr>
          <w:p w14:paraId="40EAB31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付款方式</w:t>
            </w:r>
          </w:p>
        </w:tc>
        <w:tc>
          <w:tcPr>
            <w:tcW w:w="6480" w:type="dxa"/>
            <w:vAlign w:val="center"/>
          </w:tcPr>
          <w:p w14:paraId="4A9E5BE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3" w:right="0"/>
              <w:jc w:val="both"/>
              <w:textAlignment w:val="baseline"/>
              <w:rPr>
                <w:rFonts w:hint="default" w:ascii="仿宋" w:hAnsi="仿宋" w:eastAsia="仿宋" w:cs="仿宋"/>
                <w:color w:val="auto"/>
                <w:spacing w:val="0"/>
                <w:w w:val="100"/>
                <w:sz w:val="24"/>
                <w:szCs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合同签订后7日内支付合同价的30%预付款，完工验收合格后支付至合同价的80%，审计完成后支付至审计价的100%（具体以合同约定为准）</w:t>
            </w:r>
          </w:p>
        </w:tc>
      </w:tr>
      <w:tr w14:paraId="2B3E8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85" w:type="dxa"/>
            <w:vAlign w:val="center"/>
          </w:tcPr>
          <w:p w14:paraId="0DF40BD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3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26</w:t>
            </w:r>
          </w:p>
        </w:tc>
        <w:tc>
          <w:tcPr>
            <w:tcW w:w="1920" w:type="dxa"/>
            <w:vAlign w:val="center"/>
          </w:tcPr>
          <w:p w14:paraId="0920CC5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评标办法</w:t>
            </w:r>
          </w:p>
        </w:tc>
        <w:tc>
          <w:tcPr>
            <w:tcW w:w="6480" w:type="dxa"/>
            <w:vAlign w:val="center"/>
          </w:tcPr>
          <w:p w14:paraId="5A33C21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综合评分法</w:t>
            </w:r>
          </w:p>
        </w:tc>
      </w:tr>
      <w:tr w14:paraId="77C86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85" w:type="dxa"/>
            <w:vAlign w:val="center"/>
          </w:tcPr>
          <w:p w14:paraId="04CF976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3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27</w:t>
            </w:r>
          </w:p>
        </w:tc>
        <w:tc>
          <w:tcPr>
            <w:tcW w:w="1920" w:type="dxa"/>
            <w:vAlign w:val="center"/>
          </w:tcPr>
          <w:p w14:paraId="6DCF929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公告发布媒体</w:t>
            </w:r>
          </w:p>
        </w:tc>
        <w:tc>
          <w:tcPr>
            <w:tcW w:w="6480" w:type="dxa"/>
            <w:vAlign w:val="center"/>
          </w:tcPr>
          <w:p w14:paraId="0AD332E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7"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《新疆政府采购网》</w:t>
            </w:r>
          </w:p>
          <w:p w14:paraId="5B3FC30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04"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fldChar w:fldCharType="begin"/>
            </w:r>
            <w:r>
              <w:rPr>
                <w:rFonts w:hint="eastAsia" w:ascii="仿宋" w:hAnsi="仿宋" w:eastAsia="仿宋" w:cs="仿宋"/>
                <w:spacing w:val="0"/>
                <w:w w:val="100"/>
                <w:sz w:val="24"/>
                <w:szCs w:val="24"/>
              </w:rPr>
              <w:instrText xml:space="preserve"> HYPERLINK "http://www.xjzfcg.gov.cn-" </w:instrText>
            </w:r>
            <w:r>
              <w:rPr>
                <w:rFonts w:hint="eastAsia" w:ascii="仿宋" w:hAnsi="仿宋" w:eastAsia="仿宋" w:cs="仿宋"/>
                <w:spacing w:val="0"/>
                <w:w w:val="100"/>
                <w:sz w:val="24"/>
                <w:szCs w:val="24"/>
              </w:rPr>
              <w:fldChar w:fldCharType="separate"/>
            </w:r>
            <w:r>
              <w:rPr>
                <w:rFonts w:hint="eastAsia" w:ascii="仿宋" w:hAnsi="仿宋" w:eastAsia="仿宋" w:cs="仿宋"/>
                <w:spacing w:val="0"/>
                <w:w w:val="100"/>
                <w:sz w:val="24"/>
                <w:szCs w:val="24"/>
              </w:rPr>
              <w:t>(http://www.ccgp-xinjiang.gov.cn</w:t>
            </w:r>
            <w:r>
              <w:rPr>
                <w:rFonts w:hint="eastAsia" w:ascii="仿宋" w:hAnsi="仿宋" w:eastAsia="仿宋" w:cs="仿宋"/>
                <w:spacing w:val="0"/>
                <w:w w:val="100"/>
                <w:sz w:val="24"/>
                <w:szCs w:val="24"/>
              </w:rPr>
              <w:fldChar w:fldCharType="end"/>
            </w:r>
            <w:r>
              <w:rPr>
                <w:rFonts w:hint="eastAsia" w:ascii="仿宋" w:hAnsi="仿宋" w:eastAsia="仿宋" w:cs="仿宋"/>
                <w:spacing w:val="0"/>
                <w:w w:val="100"/>
                <w:sz w:val="24"/>
                <w:szCs w:val="24"/>
              </w:rPr>
              <w:t>)</w:t>
            </w:r>
          </w:p>
        </w:tc>
      </w:tr>
      <w:tr w14:paraId="7D110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685" w:type="dxa"/>
            <w:vAlign w:val="center"/>
          </w:tcPr>
          <w:p w14:paraId="7BFE65B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3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28</w:t>
            </w:r>
          </w:p>
        </w:tc>
        <w:tc>
          <w:tcPr>
            <w:tcW w:w="1920" w:type="dxa"/>
            <w:vAlign w:val="center"/>
          </w:tcPr>
          <w:p w14:paraId="5AD02A0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ascii="仿宋" w:hAnsi="仿宋" w:eastAsia="仿宋" w:cs="仿宋"/>
                <w:spacing w:val="0"/>
                <w:w w:val="100"/>
                <w:sz w:val="24"/>
                <w:szCs w:val="24"/>
                <w:lang w:val="en-US"/>
              </w:rPr>
            </w:pPr>
            <w:r>
              <w:rPr>
                <w:rFonts w:hint="eastAsia" w:ascii="仿宋" w:hAnsi="仿宋" w:eastAsia="仿宋" w:cs="仿宋"/>
                <w:spacing w:val="0"/>
                <w:w w:val="100"/>
                <w:sz w:val="24"/>
                <w:szCs w:val="24"/>
              </w:rPr>
              <w:t>招标代理服务费</w:t>
            </w:r>
            <w:r>
              <w:rPr>
                <w:rFonts w:hint="eastAsia" w:ascii="仿宋" w:hAnsi="仿宋" w:eastAsia="仿宋" w:cs="仿宋"/>
                <w:spacing w:val="0"/>
                <w:w w:val="100"/>
                <w:sz w:val="24"/>
                <w:szCs w:val="24"/>
                <w:lang w:val="en-US" w:eastAsia="zh-CN"/>
              </w:rPr>
              <w:t>及相关费用</w:t>
            </w:r>
          </w:p>
        </w:tc>
        <w:tc>
          <w:tcPr>
            <w:tcW w:w="6480" w:type="dxa"/>
            <w:vAlign w:val="center"/>
          </w:tcPr>
          <w:p w14:paraId="3405B6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right="0"/>
              <w:jc w:val="both"/>
              <w:textAlignment w:val="baseline"/>
              <w:rPr>
                <w:rFonts w:hint="eastAsia" w:ascii="仿宋" w:hAnsi="仿宋" w:eastAsia="仿宋" w:cs="仿宋"/>
                <w:spacing w:val="0"/>
                <w:w w:val="100"/>
                <w:sz w:val="24"/>
                <w:szCs w:val="24"/>
              </w:rPr>
            </w:pPr>
            <w:r>
              <w:rPr>
                <w:rFonts w:hint="eastAsia" w:ascii="仿宋" w:hAnsi="仿宋" w:eastAsia="仿宋" w:cs="仿宋"/>
                <w:snapToGrid w:val="0"/>
                <w:color w:val="000000"/>
                <w:spacing w:val="0"/>
                <w:w w:val="100"/>
                <w:kern w:val="0"/>
                <w:sz w:val="24"/>
                <w:szCs w:val="24"/>
                <w:lang w:val="en-US" w:eastAsia="zh-CN" w:bidi="ar"/>
              </w:rPr>
              <w:t>代理服务费：50万元以上项目依照国家发展计划委员会文件（计价格[2002]1980号文）和（发改办价格[2003]857号文件）计算的收费金额下浮60%；50万元及以下项目依照国家发展计划委员会文件（计价格[2002]1980号文）和（发改办价格[2003]857号文件）计算的收费金额下浮40%。由中标供应商在领取中标通知书同时向采购代理机构一次性支付。</w:t>
            </w:r>
          </w:p>
        </w:tc>
      </w:tr>
      <w:tr w14:paraId="02E2B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85" w:type="dxa"/>
            <w:vAlign w:val="center"/>
          </w:tcPr>
          <w:p w14:paraId="019ED19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3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29</w:t>
            </w:r>
          </w:p>
        </w:tc>
        <w:tc>
          <w:tcPr>
            <w:tcW w:w="1920" w:type="dxa"/>
            <w:vAlign w:val="center"/>
          </w:tcPr>
          <w:p w14:paraId="0027379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注意事项</w:t>
            </w:r>
          </w:p>
        </w:tc>
        <w:tc>
          <w:tcPr>
            <w:tcW w:w="6480" w:type="dxa"/>
            <w:vAlign w:val="center"/>
          </w:tcPr>
          <w:p w14:paraId="009FBDF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59" w:right="0" w:firstLine="19"/>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1、本项目实行电子招投标，供应商须登录政采云平台申请获取采购文件，并需要使用CA锁，登录政采云电子投标客户端制作投标文件，若供应商参与投标,自行承担与投标有关的一切费用。</w:t>
            </w:r>
          </w:p>
          <w:p w14:paraId="4288F2B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59" w:right="0" w:firstLine="4"/>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1FA69BE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firstLine="3"/>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3、供应商将政采云电子交易客户端下载、安装完成后，可通过账号密码或CA登录客户端进行响应文件制作。在使用政采云投标客户端时，建议使用WIN7及以上操作系统。客户端请至政采云平</w:t>
            </w:r>
          </w:p>
          <w:p w14:paraId="3E85F47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2" w:right="0" w:firstLine="12"/>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w:t>
            </w:r>
            <w:r>
              <w:rPr>
                <w:rFonts w:hint="eastAsia" w:ascii="仿宋" w:hAnsi="仿宋" w:eastAsia="仿宋" w:cs="仿宋"/>
                <w:spacing w:val="0"/>
                <w:w w:val="100"/>
                <w:sz w:val="24"/>
                <w:szCs w:val="24"/>
              </w:rPr>
              <w:fldChar w:fldCharType="begin"/>
            </w:r>
            <w:r>
              <w:rPr>
                <w:rFonts w:hint="eastAsia" w:ascii="仿宋" w:hAnsi="仿宋" w:eastAsia="仿宋" w:cs="仿宋"/>
                <w:spacing w:val="0"/>
                <w:w w:val="100"/>
                <w:sz w:val="24"/>
                <w:szCs w:val="24"/>
              </w:rPr>
              <w:instrText xml:space="preserve"> HYPERLINK "https://login.zcygov.cn/user-login/#/login" </w:instrText>
            </w:r>
            <w:r>
              <w:rPr>
                <w:rFonts w:hint="eastAsia" w:ascii="仿宋" w:hAnsi="仿宋" w:eastAsia="仿宋" w:cs="仿宋"/>
                <w:spacing w:val="0"/>
                <w:w w:val="100"/>
                <w:sz w:val="24"/>
                <w:szCs w:val="24"/>
              </w:rPr>
              <w:fldChar w:fldCharType="separate"/>
            </w:r>
            <w:r>
              <w:rPr>
                <w:rFonts w:hint="eastAsia" w:ascii="仿宋" w:hAnsi="仿宋" w:eastAsia="仿宋" w:cs="仿宋"/>
                <w:spacing w:val="0"/>
                <w:w w:val="100"/>
                <w:sz w:val="24"/>
                <w:szCs w:val="24"/>
              </w:rPr>
              <w:t>https://login.zcygov.cn/user-login/#/login</w:t>
            </w:r>
            <w:r>
              <w:rPr>
                <w:rFonts w:hint="eastAsia" w:ascii="仿宋" w:hAnsi="仿宋" w:eastAsia="仿宋" w:cs="仿宋"/>
                <w:spacing w:val="0"/>
                <w:w w:val="100"/>
                <w:sz w:val="24"/>
                <w:szCs w:val="24"/>
              </w:rPr>
              <w:fldChar w:fldCharType="end"/>
            </w:r>
            <w:r>
              <w:rPr>
                <w:rFonts w:hint="eastAsia" w:ascii="仿宋" w:hAnsi="仿宋" w:eastAsia="仿宋" w:cs="仿宋"/>
                <w:spacing w:val="0"/>
                <w:w w:val="100"/>
                <w:sz w:val="24"/>
                <w:szCs w:val="24"/>
              </w:rPr>
              <w:t>）下载专区查看，如有问题可拨打政采云客户服务热线400-881-7190进行咨询。</w:t>
            </w:r>
          </w:p>
          <w:p w14:paraId="660EC36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0"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4、供应商在开标时须使用制作加密电子响应文件所使用的CA锁及电脑，电脑须提前配置好浏览器，以便开标时解锁、磋商报价。如因供应商自身原因导致在规定时间内无法正常解密的（如：浏览器故障、未安装相关驱动、网络故障、加密CA与解密CA不一致等），因以上原因影响开标的，造成的后果由供应商自行承担。</w:t>
            </w:r>
          </w:p>
          <w:p w14:paraId="2EFB849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80" w:right="0" w:hanging="14"/>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5、投标供应商应当在响应文件开启时间截止前，将生成的“电子加密响应文件”上传递交至“政府采购云平台”，响应文件开启时间以后上传递交的响应文件将被“政府采购云平台”拒收。</w:t>
            </w:r>
          </w:p>
        </w:tc>
      </w:tr>
      <w:tr w14:paraId="5475B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085" w:type="dxa"/>
            <w:gridSpan w:val="3"/>
            <w:vAlign w:val="center"/>
          </w:tcPr>
          <w:p w14:paraId="71B6565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3482"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需要补充的其他内容</w:t>
            </w:r>
          </w:p>
        </w:tc>
      </w:tr>
      <w:tr w14:paraId="49BE7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9085" w:type="dxa"/>
            <w:gridSpan w:val="3"/>
            <w:vAlign w:val="center"/>
          </w:tcPr>
          <w:p w14:paraId="2B786E4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84"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1、为落实优化营商环境，外省企业可以先投标后进行进疆建筑企业信息登记报送，</w:t>
            </w:r>
          </w:p>
          <w:p w14:paraId="184D901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4" w:right="0" w:firstLine="1"/>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且项目负责人须为企业进疆信息报送管理系统中登记人员，投标时无需提交进疆信息报送。</w:t>
            </w:r>
          </w:p>
          <w:p w14:paraId="585060B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9"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2、本次招标如有变更、澄清或其他通知将在发布竞争性磋商公告的网站上公布。</w:t>
            </w:r>
          </w:p>
          <w:p w14:paraId="065E2F0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1"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3、发布竞争性磋商公告的网址为“新疆政府采购网政采云平台”（www.zcygov.cn）</w:t>
            </w:r>
          </w:p>
          <w:p w14:paraId="3513DF1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1" w:right="0"/>
              <w:jc w:val="both"/>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4</w:t>
            </w:r>
            <w:r>
              <w:rPr>
                <w:rFonts w:hint="eastAsia" w:ascii="仿宋" w:hAnsi="仿宋" w:eastAsia="仿宋" w:cs="仿宋"/>
                <w:spacing w:val="0"/>
                <w:w w:val="100"/>
                <w:sz w:val="24"/>
                <w:szCs w:val="24"/>
              </w:rPr>
              <w:t>、如磋商文件正文内容与磋商须知前附表不一致时，以磋商须知前附表为准。</w:t>
            </w:r>
          </w:p>
        </w:tc>
      </w:tr>
    </w:tbl>
    <w:p w14:paraId="36327E8D">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p w14:paraId="14480172">
      <w:pPr>
        <w:pageBreakBefore w:val="0"/>
        <w:kinsoku w:val="0"/>
        <w:overflowPunct/>
        <w:topLinePunct w:val="0"/>
        <w:autoSpaceDE w:val="0"/>
        <w:autoSpaceDN w:val="0"/>
        <w:bidi w:val="0"/>
        <w:adjustRightInd w:val="0"/>
        <w:snapToGrid w:val="0"/>
        <w:ind w:right="0"/>
        <w:textAlignment w:val="baseline"/>
        <w:rPr>
          <w:rFonts w:ascii="Arial" w:hAnsi="Arial" w:eastAsia="Arial" w:cs="Arial"/>
          <w:sz w:val="21"/>
          <w:szCs w:val="21"/>
        </w:rPr>
        <w:sectPr>
          <w:footerReference r:id="rId8" w:type="default"/>
          <w:pgSz w:w="11905" w:h="16838"/>
          <w:pgMar w:top="1440" w:right="1803" w:bottom="1440" w:left="1803" w:header="0" w:footer="567" w:gutter="0"/>
          <w:pgNumType w:fmt="decimal"/>
          <w:cols w:space="0" w:num="1"/>
          <w:rtlGutter w:val="0"/>
          <w:docGrid w:linePitch="0" w:charSpace="0"/>
        </w:sectPr>
      </w:pPr>
    </w:p>
    <w:p w14:paraId="33F306DE">
      <w:pPr>
        <w:pStyle w:val="5"/>
        <w:pageBreakBefore w:val="0"/>
        <w:kinsoku w:val="0"/>
        <w:overflowPunct/>
        <w:topLinePunct w:val="0"/>
        <w:autoSpaceDE w:val="0"/>
        <w:autoSpaceDN w:val="0"/>
        <w:bidi w:val="0"/>
        <w:adjustRightInd w:val="0"/>
        <w:snapToGrid w:val="0"/>
        <w:spacing w:before="55" w:line="186" w:lineRule="auto"/>
        <w:ind w:left="3843" w:right="0"/>
        <w:textAlignment w:val="baseline"/>
        <w:outlineLvl w:val="1"/>
        <w:rPr>
          <w:rFonts w:hint="eastAsia" w:ascii="仿宋" w:hAnsi="仿宋" w:eastAsia="仿宋" w:cs="仿宋"/>
          <w:sz w:val="28"/>
          <w:szCs w:val="28"/>
        </w:rPr>
      </w:pPr>
      <w:r>
        <w:rPr>
          <w:rFonts w:hint="eastAsia" w:ascii="仿宋" w:hAnsi="仿宋" w:eastAsia="仿宋" w:cs="仿宋"/>
          <w:spacing w:val="-8"/>
          <w:sz w:val="28"/>
          <w:szCs w:val="28"/>
          <w14:textOutline w14:w="5137" w14:cap="flat" w14:cmpd="sng">
            <w14:solidFill>
              <w14:srgbClr w14:val="000000"/>
            </w14:solidFill>
            <w14:prstDash w14:val="solid"/>
            <w14:miter w14:val="0"/>
          </w14:textOutline>
        </w:rPr>
        <w:t>二、总则</w:t>
      </w:r>
    </w:p>
    <w:p w14:paraId="40A46B50">
      <w:pPr>
        <w:pStyle w:val="5"/>
        <w:pageBreakBefore w:val="0"/>
        <w:kinsoku w:val="0"/>
        <w:overflowPunct/>
        <w:topLinePunct w:val="0"/>
        <w:autoSpaceDE w:val="0"/>
        <w:autoSpaceDN w:val="0"/>
        <w:bidi w:val="0"/>
        <w:adjustRightInd w:val="0"/>
        <w:snapToGrid w:val="0"/>
        <w:spacing w:before="61" w:line="360" w:lineRule="auto"/>
        <w:ind w:left="499" w:right="0"/>
        <w:textAlignment w:val="baseline"/>
        <w:rPr>
          <w:rFonts w:hint="eastAsia" w:ascii="仿宋" w:hAnsi="仿宋" w:eastAsia="仿宋" w:cs="仿宋"/>
          <w:sz w:val="24"/>
          <w:szCs w:val="24"/>
        </w:rPr>
      </w:pPr>
      <w:r>
        <w:rPr>
          <w:rFonts w:hint="eastAsia" w:ascii="仿宋" w:hAnsi="仿宋" w:eastAsia="仿宋" w:cs="仿宋"/>
          <w:spacing w:val="9"/>
          <w:sz w:val="24"/>
          <w:szCs w:val="24"/>
          <w14:textOutline w14:w="4388" w14:cap="flat" w14:cmpd="sng">
            <w14:solidFill>
              <w14:srgbClr w14:val="000000"/>
            </w14:solidFill>
            <w14:prstDash w14:val="solid"/>
            <w14:miter w14:val="0"/>
          </w14:textOutline>
        </w:rPr>
        <w:t>1.适用范围</w:t>
      </w:r>
    </w:p>
    <w:p w14:paraId="4455BF8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1.1适用法律：本项目采购人、采购代理机构、供应商、磋商小组的</w:t>
      </w:r>
      <w:r>
        <w:rPr>
          <w:rFonts w:hint="eastAsia" w:ascii="仿宋" w:hAnsi="仿宋" w:eastAsia="仿宋" w:cs="仿宋"/>
          <w:spacing w:val="3"/>
          <w:sz w:val="24"/>
          <w:szCs w:val="24"/>
        </w:rPr>
        <w:t>相关行为均</w:t>
      </w:r>
      <w:r>
        <w:rPr>
          <w:rFonts w:hint="eastAsia" w:ascii="仿宋" w:hAnsi="仿宋" w:eastAsia="仿宋" w:cs="仿宋"/>
          <w:spacing w:val="10"/>
          <w:sz w:val="24"/>
          <w:szCs w:val="24"/>
        </w:rPr>
        <w:t>受《中华人民共和国政府采购法》《中华人民共和国政府采购法</w:t>
      </w:r>
      <w:r>
        <w:rPr>
          <w:rFonts w:hint="eastAsia" w:ascii="仿宋" w:hAnsi="仿宋" w:eastAsia="仿宋" w:cs="仿宋"/>
          <w:spacing w:val="9"/>
          <w:sz w:val="24"/>
          <w:szCs w:val="24"/>
        </w:rPr>
        <w:t>实施条例》《政府采</w:t>
      </w:r>
      <w:r>
        <w:rPr>
          <w:rFonts w:hint="eastAsia" w:ascii="仿宋" w:hAnsi="仿宋" w:eastAsia="仿宋" w:cs="仿宋"/>
          <w:spacing w:val="10"/>
          <w:sz w:val="24"/>
          <w:szCs w:val="24"/>
        </w:rPr>
        <w:t>购非招标采购方式管理办法》及本项目本级和上级财政部门政府</w:t>
      </w:r>
      <w:r>
        <w:rPr>
          <w:rFonts w:hint="eastAsia" w:ascii="仿宋" w:hAnsi="仿宋" w:eastAsia="仿宋" w:cs="仿宋"/>
          <w:spacing w:val="9"/>
          <w:sz w:val="24"/>
          <w:szCs w:val="24"/>
        </w:rPr>
        <w:t>采购有关规定的约束</w:t>
      </w:r>
      <w:r>
        <w:rPr>
          <w:rFonts w:hint="eastAsia" w:ascii="仿宋" w:hAnsi="仿宋" w:eastAsia="仿宋" w:cs="仿宋"/>
          <w:spacing w:val="-2"/>
          <w:sz w:val="24"/>
          <w:szCs w:val="24"/>
        </w:rPr>
        <w:t>和保护。</w:t>
      </w:r>
    </w:p>
    <w:p w14:paraId="3D558A73">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44" w:right="0" w:firstLine="455"/>
        <w:textAlignment w:val="baseline"/>
        <w:rPr>
          <w:rFonts w:hint="eastAsia" w:ascii="仿宋" w:hAnsi="仿宋" w:eastAsia="仿宋" w:cs="仿宋"/>
          <w:sz w:val="24"/>
          <w:szCs w:val="24"/>
        </w:rPr>
      </w:pPr>
      <w:r>
        <w:rPr>
          <w:rFonts w:hint="eastAsia" w:ascii="仿宋" w:hAnsi="仿宋" w:eastAsia="仿宋" w:cs="仿宋"/>
          <w:spacing w:val="11"/>
          <w:sz w:val="24"/>
          <w:szCs w:val="24"/>
        </w:rPr>
        <w:t>1.2本竞争性磋商文件(以下简称磋商文件</w:t>
      </w:r>
      <w:r>
        <w:rPr>
          <w:rFonts w:hint="eastAsia" w:ascii="仿宋" w:hAnsi="仿宋" w:eastAsia="仿宋" w:cs="仿宋"/>
          <w:spacing w:val="10"/>
          <w:sz w:val="24"/>
          <w:szCs w:val="24"/>
        </w:rPr>
        <w:t>)适用于本项目的所有采购程序和环节</w:t>
      </w:r>
      <w:r>
        <w:rPr>
          <w:rFonts w:hint="eastAsia" w:ascii="仿宋" w:hAnsi="仿宋" w:eastAsia="仿宋" w:cs="仿宋"/>
          <w:sz w:val="24"/>
          <w:szCs w:val="24"/>
        </w:rPr>
        <w:t>(法律、法规另有规定的，从其规定)。</w:t>
      </w:r>
    </w:p>
    <w:p w14:paraId="599A0CAE">
      <w:pPr>
        <w:pStyle w:val="5"/>
        <w:pageBreakBefore w:val="0"/>
        <w:kinsoku w:val="0"/>
        <w:overflowPunct/>
        <w:topLinePunct w:val="0"/>
        <w:autoSpaceDE w:val="0"/>
        <w:autoSpaceDN w:val="0"/>
        <w:bidi w:val="0"/>
        <w:adjustRightInd w:val="0"/>
        <w:snapToGrid w:val="0"/>
        <w:spacing w:before="93" w:line="360" w:lineRule="auto"/>
        <w:ind w:left="484" w:right="0"/>
        <w:textAlignment w:val="baseline"/>
        <w:rPr>
          <w:rFonts w:hint="eastAsia" w:ascii="仿宋" w:hAnsi="仿宋" w:eastAsia="仿宋" w:cs="仿宋"/>
          <w:sz w:val="24"/>
          <w:szCs w:val="24"/>
        </w:rPr>
      </w:pPr>
      <w:r>
        <w:rPr>
          <w:rFonts w:hint="eastAsia" w:ascii="仿宋" w:hAnsi="仿宋" w:eastAsia="仿宋" w:cs="仿宋"/>
          <w:spacing w:val="11"/>
          <w:sz w:val="24"/>
          <w:szCs w:val="24"/>
          <w14:textOutline w14:w="4388" w14:cap="flat" w14:cmpd="sng">
            <w14:solidFill>
              <w14:srgbClr w14:val="000000"/>
            </w14:solidFill>
            <w14:prstDash w14:val="solid"/>
            <w14:miter w14:val="0"/>
          </w14:textOutline>
        </w:rPr>
        <w:t>2.有关定义</w:t>
      </w:r>
    </w:p>
    <w:p w14:paraId="5EE8AB2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2.1“采购人”系指依法进行政府采购的国家机关、事业单位、团体组织。本次招标的采购人是</w:t>
      </w:r>
      <w:r>
        <w:rPr>
          <w:rFonts w:hint="eastAsia" w:ascii="仿宋" w:hAnsi="仿宋" w:eastAsia="仿宋" w:cs="仿宋"/>
          <w:spacing w:val="4"/>
          <w:sz w:val="24"/>
          <w:szCs w:val="24"/>
          <w:lang w:eastAsia="zh-CN"/>
        </w:rPr>
        <w:t>新疆农业职业技术大学</w:t>
      </w:r>
      <w:r>
        <w:rPr>
          <w:rFonts w:hint="eastAsia" w:ascii="仿宋" w:hAnsi="仿宋" w:eastAsia="仿宋" w:cs="仿宋"/>
          <w:spacing w:val="4"/>
          <w:sz w:val="24"/>
          <w:szCs w:val="24"/>
        </w:rPr>
        <w:t>。</w:t>
      </w:r>
    </w:p>
    <w:p w14:paraId="3045789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2.2“采购代理机构”系指根据采购人的委托依法办理招标事宜的采购机构。本次招标的采购代理机构是</w:t>
      </w:r>
      <w:r>
        <w:rPr>
          <w:rFonts w:hint="eastAsia" w:ascii="仿宋" w:hAnsi="仿宋" w:eastAsia="仿宋" w:cs="仿宋"/>
          <w:spacing w:val="4"/>
          <w:sz w:val="24"/>
          <w:szCs w:val="24"/>
          <w:lang w:eastAsia="zh-CN"/>
        </w:rPr>
        <w:t>新疆玖一建设项目管理咨询有限公司</w:t>
      </w:r>
      <w:r>
        <w:rPr>
          <w:rFonts w:hint="eastAsia" w:ascii="仿宋" w:hAnsi="仿宋" w:eastAsia="仿宋" w:cs="仿宋"/>
          <w:spacing w:val="4"/>
          <w:sz w:val="24"/>
          <w:szCs w:val="24"/>
        </w:rPr>
        <w:t>。</w:t>
      </w:r>
    </w:p>
    <w:p w14:paraId="2B65649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2.3“招标采购单位”系指“采购人”和“采购代理机构”的统称。</w:t>
      </w:r>
    </w:p>
    <w:p w14:paraId="2127CA4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2.4“供应商”是指向采购人提供货物、工程或者服务的法人、其他组织或者自然人。</w:t>
      </w:r>
    </w:p>
    <w:p w14:paraId="2A60EA21">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2.5“工程”是指除货物和服务以外的其他政府采购对象。</w:t>
      </w:r>
    </w:p>
    <w:p w14:paraId="09D841E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2.6“投标”是指按照本项目竞争性磋商公告或者邀请函规定的方式供应商获取磋商文件、提交响应文件并希望获得标的的行为。</w:t>
      </w:r>
    </w:p>
    <w:p w14:paraId="658145D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2.7“书面形式”是指合同书、信件和数据电文(包括电报、电传、传真、电子数据交换和电子邮件)等可以有形地表现所载内容的形式。</w:t>
      </w:r>
    </w:p>
    <w:p w14:paraId="21FD31B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2.8“响应文件”是指：供应商根据本文件要求，编制包含报价、技术和服务等所有内容的文件。</w:t>
      </w:r>
    </w:p>
    <w:p w14:paraId="236D505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2.9“实质性要求”是指不能负偏离的条款或者已经指明不满足按响应文件作无效处理的条款。</w:t>
      </w:r>
    </w:p>
    <w:p w14:paraId="1D42B7C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2.10“正偏离”，是指响应文件对磋商文件“采购需求”中有关条款作出优于条款要求并有利于采购人的响应情形；</w:t>
      </w:r>
    </w:p>
    <w:p w14:paraId="20B552B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2.11“负偏离”，是指响应文件对磋商文件“采购需求”中有关条款作出的响应不满足条款要求，导致采购人要求不能得到满足的情形。</w:t>
      </w:r>
    </w:p>
    <w:p w14:paraId="1D707B8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2.12“允许负偏离的条款”是指采购需求中的不属于“实质性要求”的条款。</w:t>
      </w:r>
    </w:p>
    <w:p w14:paraId="0C5F85D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2.13“首次报价”是指供应商提交的首次响应文件中的投标报价。</w:t>
      </w:r>
    </w:p>
    <w:p w14:paraId="1637FD49">
      <w:pPr>
        <w:pStyle w:val="5"/>
        <w:pageBreakBefore w:val="0"/>
        <w:kinsoku w:val="0"/>
        <w:overflowPunct/>
        <w:topLinePunct w:val="0"/>
        <w:autoSpaceDE w:val="0"/>
        <w:autoSpaceDN w:val="0"/>
        <w:bidi w:val="0"/>
        <w:adjustRightInd w:val="0"/>
        <w:snapToGrid w:val="0"/>
        <w:spacing w:before="83" w:line="360" w:lineRule="auto"/>
        <w:ind w:left="486" w:right="0"/>
        <w:textAlignment w:val="baseline"/>
        <w:rPr>
          <w:rFonts w:hint="eastAsia" w:ascii="仿宋" w:hAnsi="仿宋" w:eastAsia="仿宋" w:cs="仿宋"/>
          <w:sz w:val="24"/>
          <w:szCs w:val="24"/>
        </w:rPr>
      </w:pPr>
      <w:r>
        <w:rPr>
          <w:rFonts w:hint="eastAsia" w:ascii="仿宋" w:hAnsi="仿宋" w:eastAsia="仿宋" w:cs="仿宋"/>
          <w:spacing w:val="11"/>
          <w:sz w:val="24"/>
          <w:szCs w:val="24"/>
          <w14:textOutline w14:w="4388" w14:cap="flat" w14:cmpd="sng">
            <w14:solidFill>
              <w14:srgbClr w14:val="000000"/>
            </w14:solidFill>
            <w14:prstDash w14:val="solid"/>
            <w14:miter w14:val="0"/>
          </w14:textOutline>
        </w:rPr>
        <w:t>3.合格的供应商</w:t>
      </w:r>
    </w:p>
    <w:p w14:paraId="0CFEA11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合格的供应商应具备以下条件：</w:t>
      </w:r>
    </w:p>
    <w:p w14:paraId="0C808B2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（1）本磋商文件“竞争性磋商公告”第二条申请人的资格要求规定的条件；</w:t>
      </w:r>
    </w:p>
    <w:p w14:paraId="12B6E82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（2）遵守国家有关的法律、法规、规章和其他政策制度；</w:t>
      </w:r>
    </w:p>
    <w:p w14:paraId="6D30836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（3）在“新疆政府采购网政采云平台（www.zcygov.cn）领取了磋商文件的供应商。</w:t>
      </w:r>
    </w:p>
    <w:p w14:paraId="695627A4">
      <w:pPr>
        <w:pStyle w:val="5"/>
        <w:pageBreakBefore w:val="0"/>
        <w:kinsoku w:val="0"/>
        <w:overflowPunct/>
        <w:topLinePunct w:val="0"/>
        <w:autoSpaceDE w:val="0"/>
        <w:autoSpaceDN w:val="0"/>
        <w:bidi w:val="0"/>
        <w:adjustRightInd w:val="0"/>
        <w:snapToGrid w:val="0"/>
        <w:spacing w:before="84" w:line="360" w:lineRule="auto"/>
        <w:ind w:left="479" w:right="0"/>
        <w:textAlignment w:val="baseline"/>
        <w:rPr>
          <w:rFonts w:hint="eastAsia" w:ascii="仿宋" w:hAnsi="仿宋" w:eastAsia="仿宋" w:cs="仿宋"/>
          <w:sz w:val="24"/>
          <w:szCs w:val="24"/>
        </w:rPr>
      </w:pPr>
      <w:r>
        <w:rPr>
          <w:rFonts w:hint="eastAsia" w:ascii="仿宋" w:hAnsi="仿宋" w:eastAsia="仿宋" w:cs="仿宋"/>
          <w:spacing w:val="12"/>
          <w:sz w:val="24"/>
          <w:szCs w:val="24"/>
          <w14:textOutline w14:w="4388" w14:cap="flat" w14:cmpd="sng">
            <w14:solidFill>
              <w14:srgbClr w14:val="000000"/>
            </w14:solidFill>
            <w14:prstDash w14:val="solid"/>
            <w14:miter w14:val="0"/>
          </w14:textOutline>
        </w:rPr>
        <w:t>4.磋商费用</w:t>
      </w:r>
    </w:p>
    <w:p w14:paraId="00FD630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供应商应承担参与本次采购活动有关的所有费用，包括但不限于、勘查现场、编制和提交响应文件、参加磋商与应答、签订合同等，不论投标结果如何，均应自行承担。</w:t>
      </w:r>
    </w:p>
    <w:p w14:paraId="5B98A9FD">
      <w:pPr>
        <w:pStyle w:val="5"/>
        <w:pageBreakBefore w:val="0"/>
        <w:kinsoku w:val="0"/>
        <w:overflowPunct/>
        <w:topLinePunct w:val="0"/>
        <w:autoSpaceDE w:val="0"/>
        <w:autoSpaceDN w:val="0"/>
        <w:bidi w:val="0"/>
        <w:adjustRightInd w:val="0"/>
        <w:snapToGrid w:val="0"/>
        <w:spacing w:before="81" w:line="360" w:lineRule="auto"/>
        <w:ind w:left="485" w:right="0"/>
        <w:textAlignment w:val="baseline"/>
        <w:rPr>
          <w:rFonts w:hint="eastAsia" w:ascii="仿宋" w:hAnsi="仿宋" w:eastAsia="仿宋" w:cs="仿宋"/>
          <w:sz w:val="24"/>
          <w:szCs w:val="24"/>
        </w:rPr>
      </w:pPr>
      <w:r>
        <w:rPr>
          <w:rFonts w:hint="eastAsia" w:ascii="仿宋" w:hAnsi="仿宋" w:eastAsia="仿宋" w:cs="仿宋"/>
          <w:spacing w:val="12"/>
          <w:sz w:val="24"/>
          <w:szCs w:val="24"/>
          <w14:textOutline w14:w="4388" w14:cap="flat" w14:cmpd="sng">
            <w14:solidFill>
              <w14:srgbClr w14:val="000000"/>
            </w14:solidFill>
            <w14:prstDash w14:val="solid"/>
            <w14:miter w14:val="0"/>
          </w14:textOutline>
        </w:rPr>
        <w:t>5.响应文件内容的真实性</w:t>
      </w:r>
    </w:p>
    <w:p w14:paraId="5C866E6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5.1供应商应保证其响应文件中所提供的所有有关投标的资料、信息是真实的、并且来源于合法的渠道。因响应文件中所提供的有关投标的资料、信息不真实、或者其来源不合法而导致的所有法律责任，由供应商自行承担。</w:t>
      </w:r>
    </w:p>
    <w:p w14:paraId="5BFF32F3">
      <w:pPr>
        <w:pStyle w:val="5"/>
        <w:pageBreakBefore w:val="0"/>
        <w:kinsoku w:val="0"/>
        <w:overflowPunct/>
        <w:topLinePunct w:val="0"/>
        <w:autoSpaceDE w:val="0"/>
        <w:autoSpaceDN w:val="0"/>
        <w:bidi w:val="0"/>
        <w:adjustRightInd w:val="0"/>
        <w:snapToGrid w:val="0"/>
        <w:spacing w:before="83" w:line="360" w:lineRule="auto"/>
        <w:ind w:left="482" w:right="0"/>
        <w:textAlignment w:val="baseline"/>
        <w:rPr>
          <w:rFonts w:hint="eastAsia" w:ascii="仿宋" w:hAnsi="仿宋" w:eastAsia="仿宋" w:cs="仿宋"/>
          <w:sz w:val="24"/>
          <w:szCs w:val="24"/>
        </w:rPr>
      </w:pPr>
      <w:r>
        <w:rPr>
          <w:rFonts w:hint="eastAsia" w:ascii="仿宋" w:hAnsi="仿宋" w:eastAsia="仿宋" w:cs="仿宋"/>
          <w:spacing w:val="13"/>
          <w:sz w:val="24"/>
          <w:szCs w:val="24"/>
          <w14:textOutline w14:w="4388" w14:cap="flat" w14:cmpd="sng">
            <w14:solidFill>
              <w14:srgbClr w14:val="000000"/>
            </w14:solidFill>
            <w14:prstDash w14:val="solid"/>
            <w14:miter w14:val="0"/>
          </w14:textOutline>
        </w:rPr>
        <w:t>6.特别说明</w:t>
      </w:r>
    </w:p>
    <w:p w14:paraId="082CEDC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6.1如果本磋商文件要求提供供应商的资格、信誉、荣誉、业绩与企业认证等材料的，资格、信誉、荣誉、业绩与企业认证等必须为供应商所拥有或自身获得。</w:t>
      </w:r>
    </w:p>
    <w:p w14:paraId="6433B29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6.2供应商应仔细阅读磋商文件的所有内容，按照磋商文件的要求提交响应文件，并对所提供的全部资料的真实性承担法律责任。</w:t>
      </w:r>
    </w:p>
    <w:p w14:paraId="10481E3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6.3供应商在投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1D853AA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6.4在政府采购活动中，采购人员及相关人员与供应商有下列利害关系之一的，应当回避：</w:t>
      </w:r>
    </w:p>
    <w:p w14:paraId="5B2A79C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(1)参加采购活动前3年内与供应商存在劳动关系；</w:t>
      </w:r>
    </w:p>
    <w:p w14:paraId="3F0D8B4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(2)参加采购活动前3年内担任供应商的董事、监事；</w:t>
      </w:r>
    </w:p>
    <w:p w14:paraId="57D5066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(3)参加采购活动前3年内是供应商的控股股东或者实际控制人；</w:t>
      </w:r>
    </w:p>
    <w:p w14:paraId="703FB12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(4)与供应商的法定代表人或者负责人有夫妻、直系血亲、三代以内旁系血亲或者近姻亲关系；</w:t>
      </w:r>
    </w:p>
    <w:p w14:paraId="4938BFD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(5)与供应商有其他可能影响政府采购活动公平、公正进行的关系。</w:t>
      </w:r>
    </w:p>
    <w:p w14:paraId="75527CF1">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0B7F0D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6.5有下列情形之一的视为供应商相互串通投标，响应文件将被视为无效：</w:t>
      </w:r>
    </w:p>
    <w:p w14:paraId="327660A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(1)不同供应商的响应文件由同一单位或者个人编制；或者不同供应商报名的IP地址一致的；或者编制响应文件硬件设备CPU编号、硬盘编号、网卡地址一致的情况。</w:t>
      </w:r>
    </w:p>
    <w:p w14:paraId="11E70D21">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(2)不同供应商委托同一单位或者个人办理投标事宜；</w:t>
      </w:r>
    </w:p>
    <w:p w14:paraId="2AD3983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(3)不同的供应商的响应文件载明的项目管理员为同一个人；</w:t>
      </w:r>
    </w:p>
    <w:p w14:paraId="5043C47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(4)不同供应商的响应文件异常一致或者报价呈规律性差异；</w:t>
      </w:r>
    </w:p>
    <w:p w14:paraId="4542005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(5)不同供应商的响应文件相互混装；</w:t>
      </w:r>
    </w:p>
    <w:p w14:paraId="0C4A6E1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(6)不同供应商的投标保证金从同一单位或者个人账户转出。</w:t>
      </w:r>
    </w:p>
    <w:p w14:paraId="73A1243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6.6供应商有下列情形之一的，属于恶意串通行为，将报同级监督管理部门：</w:t>
      </w:r>
    </w:p>
    <w:p w14:paraId="59E60F4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(1)供应商直接或者间接从采购人或者采购代理机构处获得其他供应商的相关信息并修改其响应文件；</w:t>
      </w:r>
    </w:p>
    <w:p w14:paraId="1067A86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(2)供应商按照采购人或者采购代理机构的授意撤换、修改响应文件；</w:t>
      </w:r>
    </w:p>
    <w:p w14:paraId="3E7B460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(3)供应商之间协商报价、技术方案等响应文件或者响应文件的实质性内容；</w:t>
      </w:r>
    </w:p>
    <w:p w14:paraId="5AE44E3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(4)属于同一集团、协会、商会等组织成员的供应商按照该组织要求协同参加政府采购活动；</w:t>
      </w:r>
    </w:p>
    <w:p w14:paraId="6A890A66">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(5)供应商之间事先约定一致抬高或者压低报价,或者在政府采购活动中事先约定轮流以高价位或者低价位成交,或者事先约定由某一特定供应商成交,然后再参加投标；</w:t>
      </w:r>
    </w:p>
    <w:p w14:paraId="0A582B6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(6)供应商之间商定部分供应商放弃参加政府采购活动或者放弃成交；</w:t>
      </w:r>
    </w:p>
    <w:p w14:paraId="5D42E00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(7)供应商与采购人或者采购代理机构之间、供应商相互之间，为谋求特定供应商成交或者排斥其他供应商的其他串通行为。</w:t>
      </w:r>
    </w:p>
    <w:p w14:paraId="558991A4">
      <w:pPr>
        <w:pStyle w:val="5"/>
        <w:pageBreakBefore w:val="0"/>
        <w:kinsoku w:val="0"/>
        <w:overflowPunct/>
        <w:topLinePunct w:val="0"/>
        <w:autoSpaceDE w:val="0"/>
        <w:autoSpaceDN w:val="0"/>
        <w:bidi w:val="0"/>
        <w:adjustRightInd w:val="0"/>
        <w:snapToGrid w:val="0"/>
        <w:spacing w:before="121" w:line="360" w:lineRule="auto"/>
        <w:ind w:left="3974" w:right="0"/>
        <w:textAlignment w:val="baseline"/>
        <w:outlineLvl w:val="1"/>
        <w:rPr>
          <w:rFonts w:hint="eastAsia" w:ascii="仿宋" w:hAnsi="仿宋" w:eastAsia="仿宋" w:cs="仿宋"/>
          <w:sz w:val="24"/>
          <w:szCs w:val="24"/>
        </w:rPr>
      </w:pPr>
      <w:r>
        <w:rPr>
          <w:rFonts w:hint="eastAsia" w:ascii="仿宋" w:hAnsi="仿宋" w:eastAsia="仿宋" w:cs="仿宋"/>
          <w:spacing w:val="-1"/>
          <w:sz w:val="24"/>
          <w:szCs w:val="24"/>
          <w14:textOutline w14:w="5137" w14:cap="flat" w14:cmpd="sng">
            <w14:solidFill>
              <w14:srgbClr w14:val="000000"/>
            </w14:solidFill>
            <w14:prstDash w14:val="solid"/>
            <w14:miter w14:val="0"/>
          </w14:textOutline>
        </w:rPr>
        <w:t>三、磋商文件</w:t>
      </w:r>
    </w:p>
    <w:p w14:paraId="383FE668">
      <w:pPr>
        <w:pStyle w:val="5"/>
        <w:pageBreakBefore w:val="0"/>
        <w:kinsoku w:val="0"/>
        <w:overflowPunct/>
        <w:topLinePunct w:val="0"/>
        <w:autoSpaceDE w:val="0"/>
        <w:autoSpaceDN w:val="0"/>
        <w:bidi w:val="0"/>
        <w:adjustRightInd w:val="0"/>
        <w:snapToGrid w:val="0"/>
        <w:spacing w:before="61" w:line="360" w:lineRule="auto"/>
        <w:ind w:left="486" w:right="0"/>
        <w:textAlignment w:val="baseline"/>
        <w:rPr>
          <w:rFonts w:hint="eastAsia" w:ascii="仿宋" w:hAnsi="仿宋" w:eastAsia="仿宋" w:cs="仿宋"/>
          <w:sz w:val="24"/>
          <w:szCs w:val="24"/>
        </w:rPr>
      </w:pPr>
      <w:r>
        <w:rPr>
          <w:rFonts w:hint="eastAsia" w:ascii="仿宋" w:hAnsi="仿宋" w:eastAsia="仿宋" w:cs="仿宋"/>
          <w:spacing w:val="12"/>
          <w:sz w:val="24"/>
          <w:szCs w:val="24"/>
          <w14:textOutline w14:w="4388" w14:cap="flat" w14:cmpd="sng">
            <w14:solidFill>
              <w14:srgbClr w14:val="000000"/>
            </w14:solidFill>
            <w14:prstDash w14:val="solid"/>
            <w14:miter w14:val="0"/>
          </w14:textOutline>
        </w:rPr>
        <w:t>7.磋商文件的构成</w:t>
      </w:r>
    </w:p>
    <w:p w14:paraId="1191F1B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7.1磋商文件是供应商准备磋商响应文件和参加磋商的依据，同时也是评标的重要依据，具有准法律文件性质。磋商文件用以阐明招标项目所需的资质、技术、服务及报价等要求、招标投标程序、有关规定和注意事项以及合同主要条款等。本磋商文件包括以下内容：</w:t>
      </w:r>
    </w:p>
    <w:p w14:paraId="253B634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（1）磋商邀请函</w:t>
      </w:r>
    </w:p>
    <w:p w14:paraId="7598E4C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（2）磋商须知</w:t>
      </w:r>
    </w:p>
    <w:p w14:paraId="7B35A63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（3）技术参数、规格及要求</w:t>
      </w:r>
    </w:p>
    <w:p w14:paraId="6F8BE9F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（4）评审办法及评分标准；</w:t>
      </w:r>
    </w:p>
    <w:p w14:paraId="250A24D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（5）合同书（参考格式）</w:t>
      </w:r>
    </w:p>
    <w:p w14:paraId="42D2EA3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（6）响应文件格式</w:t>
      </w:r>
    </w:p>
    <w:p w14:paraId="3F95786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7.2供应商应认真阅读和充分理解磋商文件中所有的事项、格式条款和规范要求。供应商没有对磋商文件全面做出实质性响应是供应商的风险。没有按照磋商文件要求作出实质性响应的磋商响应文件将被拒绝。</w:t>
      </w:r>
    </w:p>
    <w:p w14:paraId="5A9AAA28">
      <w:pPr>
        <w:pStyle w:val="5"/>
        <w:pageBreakBefore w:val="0"/>
        <w:kinsoku w:val="0"/>
        <w:overflowPunct/>
        <w:topLinePunct w:val="0"/>
        <w:autoSpaceDE w:val="0"/>
        <w:autoSpaceDN w:val="0"/>
        <w:bidi w:val="0"/>
        <w:adjustRightInd w:val="0"/>
        <w:snapToGrid w:val="0"/>
        <w:spacing w:before="86" w:line="360" w:lineRule="auto"/>
        <w:ind w:left="481" w:right="0"/>
        <w:textAlignment w:val="baseline"/>
        <w:rPr>
          <w:rFonts w:hint="eastAsia" w:ascii="仿宋" w:hAnsi="仿宋" w:eastAsia="仿宋" w:cs="仿宋"/>
          <w:sz w:val="24"/>
          <w:szCs w:val="24"/>
        </w:rPr>
      </w:pPr>
      <w:r>
        <w:rPr>
          <w:rFonts w:hint="eastAsia" w:ascii="仿宋" w:hAnsi="仿宋" w:eastAsia="仿宋" w:cs="仿宋"/>
          <w:spacing w:val="11"/>
          <w:sz w:val="24"/>
          <w:szCs w:val="24"/>
          <w14:textOutline w14:w="4388" w14:cap="flat" w14:cmpd="sng">
            <w14:solidFill>
              <w14:srgbClr w14:val="000000"/>
            </w14:solidFill>
            <w14:prstDash w14:val="solid"/>
            <w14:miter w14:val="0"/>
          </w14:textOutline>
        </w:rPr>
        <w:t>8.磋商文件的澄清和修改</w:t>
      </w:r>
    </w:p>
    <w:p w14:paraId="16976B3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8.1已获取磋商文件的潜在供应商，若有问题需要澄清，应于应标截止时间前，以书面形式向采购代理机构提出，采购代理机构与采购人研究后，对认为有必要回答的问题，按照本章8.3的内容处理。</w:t>
      </w:r>
    </w:p>
    <w:p w14:paraId="10A0AED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8.2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290716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8.3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5960933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8.4采购人和采购代理机构可以视采购具体情况，变更提交首次响应文件截止时间和竞谈时间</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变更时间将在“发布采购公告”的政府采购信息发布媒体上发布更正公告。</w:t>
      </w:r>
    </w:p>
    <w:p w14:paraId="28DE4BBA">
      <w:pPr>
        <w:pStyle w:val="5"/>
        <w:pageBreakBefore w:val="0"/>
        <w:kinsoku w:val="0"/>
        <w:overflowPunct/>
        <w:topLinePunct w:val="0"/>
        <w:autoSpaceDE w:val="0"/>
        <w:autoSpaceDN w:val="0"/>
        <w:bidi w:val="0"/>
        <w:adjustRightInd w:val="0"/>
        <w:snapToGrid w:val="0"/>
        <w:spacing w:before="84" w:line="360" w:lineRule="auto"/>
        <w:ind w:left="481" w:right="0"/>
        <w:textAlignment w:val="baseline"/>
        <w:rPr>
          <w:rFonts w:hint="eastAsia" w:ascii="仿宋" w:hAnsi="仿宋" w:eastAsia="仿宋" w:cs="仿宋"/>
          <w:sz w:val="24"/>
          <w:szCs w:val="24"/>
        </w:rPr>
      </w:pPr>
      <w:r>
        <w:rPr>
          <w:rFonts w:hint="eastAsia" w:ascii="仿宋" w:hAnsi="仿宋" w:eastAsia="仿宋" w:cs="仿宋"/>
          <w:spacing w:val="11"/>
          <w:sz w:val="24"/>
          <w:szCs w:val="24"/>
          <w14:textOutline w14:w="4388" w14:cap="flat" w14:cmpd="sng">
            <w14:solidFill>
              <w14:srgbClr w14:val="000000"/>
            </w14:solidFill>
            <w14:prstDash w14:val="solid"/>
            <w14:miter w14:val="0"/>
          </w14:textOutline>
        </w:rPr>
        <w:t>9.答疑会和现场考察</w:t>
      </w:r>
    </w:p>
    <w:p w14:paraId="1592840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9.1根据采购项目和具体情况，招标采购单位认为有必要，可以组织召开标前答疑会或组织供应商对项目现场进行考察。答疑会或进行现场考察的时间，招标采购单位将以书面形式通知所有下载了磋商文件的供应商，具体详见“投标人须知前附表”。</w:t>
      </w:r>
    </w:p>
    <w:p w14:paraId="5535EAB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9.2供应商考察现场所发生的一切费用由供应商自己承担。</w:t>
      </w:r>
    </w:p>
    <w:p w14:paraId="6DA9C1B8">
      <w:pPr>
        <w:pStyle w:val="5"/>
        <w:pageBreakBefore w:val="0"/>
        <w:kinsoku w:val="0"/>
        <w:overflowPunct/>
        <w:topLinePunct w:val="0"/>
        <w:autoSpaceDE w:val="0"/>
        <w:autoSpaceDN w:val="0"/>
        <w:bidi w:val="0"/>
        <w:adjustRightInd w:val="0"/>
        <w:snapToGrid w:val="0"/>
        <w:spacing w:before="121" w:line="360" w:lineRule="auto"/>
        <w:ind w:left="4000" w:right="0"/>
        <w:textAlignment w:val="baseline"/>
        <w:outlineLvl w:val="1"/>
        <w:rPr>
          <w:rFonts w:hint="eastAsia" w:ascii="仿宋" w:hAnsi="仿宋" w:eastAsia="仿宋" w:cs="仿宋"/>
          <w:sz w:val="24"/>
          <w:szCs w:val="24"/>
        </w:rPr>
      </w:pPr>
      <w:r>
        <w:rPr>
          <w:rFonts w:hint="eastAsia" w:ascii="仿宋" w:hAnsi="仿宋" w:eastAsia="仿宋" w:cs="仿宋"/>
          <w:spacing w:val="-21"/>
          <w:sz w:val="24"/>
          <w:szCs w:val="24"/>
          <w14:textOutline w14:w="5137" w14:cap="flat" w14:cmpd="sng">
            <w14:solidFill>
              <w14:srgbClr w14:val="000000"/>
            </w14:solidFill>
            <w14:prstDash w14:val="solid"/>
            <w14:miter w14:val="0"/>
          </w14:textOutline>
        </w:rPr>
        <w:t>四、响应文件</w:t>
      </w:r>
    </w:p>
    <w:p w14:paraId="7BF2A18B">
      <w:pPr>
        <w:pStyle w:val="5"/>
        <w:pageBreakBefore w:val="0"/>
        <w:kinsoku w:val="0"/>
        <w:overflowPunct/>
        <w:topLinePunct w:val="0"/>
        <w:autoSpaceDE w:val="0"/>
        <w:autoSpaceDN w:val="0"/>
        <w:bidi w:val="0"/>
        <w:adjustRightInd w:val="0"/>
        <w:snapToGrid w:val="0"/>
        <w:spacing w:before="61" w:line="360" w:lineRule="auto"/>
        <w:ind w:left="498" w:right="0"/>
        <w:textAlignment w:val="baseline"/>
        <w:rPr>
          <w:rFonts w:hint="eastAsia" w:ascii="仿宋" w:hAnsi="仿宋" w:eastAsia="仿宋" w:cs="仿宋"/>
          <w:sz w:val="24"/>
          <w:szCs w:val="24"/>
        </w:rPr>
      </w:pPr>
      <w:r>
        <w:rPr>
          <w:rFonts w:hint="eastAsia" w:ascii="仿宋" w:hAnsi="仿宋" w:eastAsia="仿宋" w:cs="仿宋"/>
          <w:spacing w:val="8"/>
          <w:sz w:val="24"/>
          <w:szCs w:val="24"/>
          <w14:textOutline w14:w="4388" w14:cap="flat" w14:cmpd="sng">
            <w14:solidFill>
              <w14:srgbClr w14:val="000000"/>
            </w14:solidFill>
            <w14:prstDash w14:val="solid"/>
            <w14:miter w14:val="0"/>
          </w14:textOutline>
        </w:rPr>
        <w:t>10.响应文件的编制原则</w:t>
      </w:r>
    </w:p>
    <w:p w14:paraId="1E31792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供应商必须按照磋商文件的要求编制响应文件，并对其提交的响应文件的真实性、合法性承担法律责任。响应文件必须对磋商文件作出实质性响应。</w:t>
      </w:r>
    </w:p>
    <w:p w14:paraId="55C42F99">
      <w:pPr>
        <w:pStyle w:val="5"/>
        <w:pageBreakBefore w:val="0"/>
        <w:kinsoku w:val="0"/>
        <w:overflowPunct/>
        <w:topLinePunct w:val="0"/>
        <w:autoSpaceDE w:val="0"/>
        <w:autoSpaceDN w:val="0"/>
        <w:bidi w:val="0"/>
        <w:adjustRightInd w:val="0"/>
        <w:snapToGrid w:val="0"/>
        <w:spacing w:before="84" w:line="360" w:lineRule="auto"/>
        <w:ind w:left="498" w:right="0"/>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88" w14:cap="flat" w14:cmpd="sng">
            <w14:solidFill>
              <w14:srgbClr w14:val="000000"/>
            </w14:solidFill>
            <w14:prstDash w14:val="solid"/>
            <w14:miter w14:val="0"/>
          </w14:textOutline>
        </w:rPr>
        <w:t>11．响应文件的语言</w:t>
      </w:r>
    </w:p>
    <w:p w14:paraId="1BD5DDE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11.1供应商提交的响应文件以及供应商与招标采购单位就有关投标的所有来往书面文件均须使用中文。磋商响应文件中如附有外文资料，必须逐一对应翻译成中文并加盖供应商公章后附在相关外文资料后面，否则，供应商的磋商响应文件将作为无效投标处理。</w:t>
      </w:r>
    </w:p>
    <w:p w14:paraId="3132AAF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11.2翻译的中文资料与外文资料如果出现差异和矛盾时，以中文为准。但不能故意错误翻译，否则供应商的磋商响应文件将作为无效投标处理。</w:t>
      </w:r>
    </w:p>
    <w:p w14:paraId="152E1DC3">
      <w:pPr>
        <w:pStyle w:val="5"/>
        <w:pageBreakBefore w:val="0"/>
        <w:kinsoku w:val="0"/>
        <w:overflowPunct/>
        <w:topLinePunct w:val="0"/>
        <w:autoSpaceDE w:val="0"/>
        <w:autoSpaceDN w:val="0"/>
        <w:bidi w:val="0"/>
        <w:adjustRightInd w:val="0"/>
        <w:snapToGrid w:val="0"/>
        <w:spacing w:before="86" w:line="360" w:lineRule="auto"/>
        <w:ind w:left="498" w:right="0"/>
        <w:textAlignment w:val="baseline"/>
        <w:rPr>
          <w:rFonts w:hint="eastAsia" w:ascii="仿宋" w:hAnsi="仿宋" w:eastAsia="仿宋" w:cs="仿宋"/>
          <w:sz w:val="24"/>
          <w:szCs w:val="24"/>
        </w:rPr>
      </w:pPr>
      <w:r>
        <w:rPr>
          <w:rFonts w:hint="eastAsia" w:ascii="仿宋" w:hAnsi="仿宋" w:eastAsia="仿宋" w:cs="仿宋"/>
          <w:spacing w:val="8"/>
          <w:sz w:val="24"/>
          <w:szCs w:val="24"/>
          <w14:textOutline w14:w="4388" w14:cap="flat" w14:cmpd="sng">
            <w14:solidFill>
              <w14:srgbClr w14:val="000000"/>
            </w14:solidFill>
            <w14:prstDash w14:val="solid"/>
            <w14:miter w14:val="0"/>
          </w14:textOutline>
        </w:rPr>
        <w:t>12.响应文件的编制</w:t>
      </w:r>
    </w:p>
    <w:p w14:paraId="36D799C8">
      <w:pPr>
        <w:pStyle w:val="5"/>
        <w:keepNext w:val="0"/>
        <w:keepLines w:val="0"/>
        <w:pageBreakBefore w:val="0"/>
        <w:widowControl/>
        <w:kinsoku w:val="0"/>
        <w:wordWrap/>
        <w:overflowPunct/>
        <w:topLinePunct w:val="0"/>
        <w:autoSpaceDE w:val="0"/>
        <w:autoSpaceDN w:val="0"/>
        <w:bidi w:val="0"/>
        <w:adjustRightInd w:val="0"/>
        <w:snapToGrid w:val="0"/>
        <w:spacing w:line="300" w:lineRule="auto"/>
        <w:ind w:left="479" w:leftChars="228" w:right="0" w:firstLine="0" w:firstLineChars="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12.1响应文件由资格证明文件、报价文件、商务和技术文件三部分组成</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12.1.1资格证明文件：</w:t>
      </w:r>
    </w:p>
    <w:p w14:paraId="160B9391">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lang w:eastAsia="zh-CN"/>
        </w:rPr>
      </w:pPr>
      <w:r>
        <w:rPr>
          <w:rFonts w:hint="eastAsia" w:ascii="仿宋" w:hAnsi="仿宋" w:eastAsia="仿宋" w:cs="仿宋"/>
          <w:spacing w:val="4"/>
          <w:sz w:val="24"/>
          <w:szCs w:val="24"/>
        </w:rPr>
        <w:t>①满足《中华人民共和国政府采购法》第二十二条规定</w:t>
      </w:r>
      <w:r>
        <w:rPr>
          <w:rFonts w:hint="eastAsia" w:ascii="仿宋" w:hAnsi="仿宋" w:eastAsia="仿宋" w:cs="仿宋"/>
          <w:spacing w:val="4"/>
          <w:sz w:val="24"/>
          <w:szCs w:val="24"/>
          <w:lang w:eastAsia="zh-CN"/>
        </w:rPr>
        <w:t>：</w:t>
      </w:r>
    </w:p>
    <w:p w14:paraId="1E8243A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1</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具有独立承担民事责任的能力；【提供有效营业执照副本原件扫描件】</w:t>
      </w:r>
    </w:p>
    <w:p w14:paraId="3137E47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具有良好的商业信誉和健全的财务会计制度；【提供近两年度（任意一年）经审计的财务审计报告</w:t>
      </w:r>
      <w:r>
        <w:rPr>
          <w:rFonts w:hint="eastAsia" w:ascii="仿宋" w:hAnsi="仿宋" w:eastAsia="仿宋" w:cs="仿宋"/>
          <w:spacing w:val="4"/>
          <w:sz w:val="24"/>
          <w:szCs w:val="24"/>
          <w:lang w:val="en-US" w:eastAsia="zh-CN"/>
        </w:rPr>
        <w:t>扫描件</w:t>
      </w:r>
      <w:r>
        <w:rPr>
          <w:rFonts w:hint="eastAsia" w:ascii="仿宋" w:hAnsi="仿宋" w:eastAsia="仿宋" w:cs="仿宋"/>
          <w:spacing w:val="4"/>
          <w:sz w:val="24"/>
          <w:szCs w:val="24"/>
        </w:rPr>
        <w:t>（报告中须包括资产负债表、利润表、现金流量表等）或银行在开标日期前三个月内开具的资信证明】</w:t>
      </w:r>
    </w:p>
    <w:p w14:paraId="4E8797A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具有履行合同所必需的设备和专业技术能力；【</w:t>
      </w:r>
      <w:r>
        <w:rPr>
          <w:rFonts w:hint="eastAsia" w:ascii="仿宋" w:hAnsi="仿宋" w:eastAsia="仿宋" w:cs="仿宋"/>
          <w:spacing w:val="4"/>
          <w:sz w:val="24"/>
          <w:szCs w:val="24"/>
          <w:lang w:val="en-US" w:eastAsia="zh-CN"/>
        </w:rPr>
        <w:t>提供</w:t>
      </w:r>
      <w:r>
        <w:rPr>
          <w:rFonts w:hint="eastAsia" w:ascii="仿宋" w:hAnsi="仿宋" w:eastAsia="仿宋" w:cs="仿宋"/>
          <w:spacing w:val="4"/>
          <w:sz w:val="24"/>
          <w:szCs w:val="24"/>
        </w:rPr>
        <w:t>具备履行合同所必需的设备和专业技术能力的书面声明】</w:t>
      </w:r>
    </w:p>
    <w:p w14:paraId="2AAA279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有依法缴纳税收和社会保障资金的良好记录；【依法缴纳税收和社会保障资金的证明材料，须提供开标前六个月内任意三个月的依法缴税凭据和缴纳社会保险的凭据复印件（依法免税的应提供相应文件说明）】</w:t>
      </w:r>
    </w:p>
    <w:p w14:paraId="47C4F4A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5</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参加政府采购活动前三年内，在经营活动中没有重大违法记录；【提供参加政府采购活动近</w:t>
      </w:r>
      <w:r>
        <w:rPr>
          <w:rFonts w:hint="eastAsia" w:ascii="仿宋" w:hAnsi="仿宋" w:eastAsia="仿宋" w:cs="仿宋"/>
          <w:spacing w:val="4"/>
          <w:sz w:val="24"/>
          <w:szCs w:val="24"/>
          <w:lang w:val="en-US" w:eastAsia="zh-CN"/>
        </w:rPr>
        <w:t>三</w:t>
      </w:r>
      <w:r>
        <w:rPr>
          <w:rFonts w:hint="eastAsia" w:ascii="仿宋" w:hAnsi="仿宋" w:eastAsia="仿宋" w:cs="仿宋"/>
          <w:spacing w:val="4"/>
          <w:sz w:val="24"/>
          <w:szCs w:val="24"/>
        </w:rPr>
        <w:t>年内，在经营活动中没有重大违法记录书面声明】</w:t>
      </w:r>
    </w:p>
    <w:p w14:paraId="20D2AD7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lang w:eastAsia="zh-CN"/>
        </w:rPr>
      </w:pP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法律、行政法规规定的其他条件</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提供承诺函</w:t>
      </w:r>
      <w:r>
        <w:rPr>
          <w:rFonts w:hint="eastAsia" w:ascii="仿宋" w:hAnsi="仿宋" w:eastAsia="仿宋" w:cs="仿宋"/>
          <w:spacing w:val="4"/>
          <w:sz w:val="24"/>
          <w:szCs w:val="24"/>
        </w:rPr>
        <w:t>】</w:t>
      </w:r>
    </w:p>
    <w:p w14:paraId="293BC5E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②法定代表人身份证明或授权委托书及代理人身份证；【提供相关证明材料】</w:t>
      </w:r>
    </w:p>
    <w:p w14:paraId="6C25783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lang w:eastAsia="zh-CN"/>
        </w:rPr>
      </w:pPr>
      <w:r>
        <w:rPr>
          <w:rFonts w:hint="eastAsia" w:ascii="仿宋" w:hAnsi="仿宋" w:eastAsia="仿宋" w:cs="仿宋"/>
          <w:spacing w:val="4"/>
          <w:sz w:val="24"/>
          <w:szCs w:val="24"/>
        </w:rPr>
        <w:t>③特定资质</w:t>
      </w:r>
      <w:r>
        <w:rPr>
          <w:rFonts w:hint="eastAsia" w:ascii="仿宋" w:hAnsi="仿宋" w:eastAsia="仿宋" w:cs="仿宋"/>
          <w:spacing w:val="4"/>
          <w:sz w:val="24"/>
          <w:szCs w:val="24"/>
          <w:lang w:eastAsia="zh-CN"/>
        </w:rPr>
        <w:t>：</w:t>
      </w:r>
    </w:p>
    <w:p w14:paraId="15919E6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供应商须具备建筑工程施工总承包叁级（含）以上资质或建筑装修装饰工程专业承包二级及以上资质和建筑装饰工程设计专项乙级及以上资质，并在人员、设备、资金等方面具有相应的施工能力，具有有效的安全生产许可证；【提供相关证明材料】</w:t>
      </w:r>
    </w:p>
    <w:p w14:paraId="56EE44C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lang w:eastAsia="zh-CN"/>
        </w:rPr>
      </w:pPr>
      <w:r>
        <w:rPr>
          <w:rFonts w:hint="eastAsia" w:ascii="仿宋" w:hAnsi="仿宋" w:eastAsia="仿宋" w:cs="仿宋"/>
          <w:spacing w:val="4"/>
          <w:sz w:val="24"/>
          <w:szCs w:val="24"/>
        </w:rPr>
        <w:t>（2）项目负责人须具备</w:t>
      </w:r>
      <w:r>
        <w:rPr>
          <w:rFonts w:hint="eastAsia" w:ascii="仿宋" w:hAnsi="仿宋" w:eastAsia="仿宋" w:cs="仿宋"/>
          <w:spacing w:val="4"/>
          <w:sz w:val="24"/>
          <w:szCs w:val="24"/>
          <w:lang w:eastAsia="zh-CN"/>
        </w:rPr>
        <w:t>建筑装饰类中级及以上职称或建筑工程专业贰级建造师（含）及以上执业资格</w:t>
      </w:r>
      <w:r>
        <w:rPr>
          <w:rFonts w:hint="eastAsia" w:ascii="仿宋" w:hAnsi="仿宋" w:eastAsia="仿宋" w:cs="仿宋"/>
          <w:spacing w:val="4"/>
          <w:sz w:val="24"/>
          <w:szCs w:val="24"/>
        </w:rPr>
        <w:t>，在本单位注册，具备有效的安全生产考核合格证书</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B证</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，且未担任其他在建建设工程项目的项目负责人</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【提供无在建承诺、注册证书和B证等相关证明材料】</w:t>
      </w:r>
    </w:p>
    <w:p w14:paraId="677BC72B">
      <w:pPr>
        <w:pStyle w:val="5"/>
        <w:keepNext w:val="0"/>
        <w:keepLines w:val="0"/>
        <w:pageBreakBefore w:val="0"/>
        <w:widowControl/>
        <w:kinsoku w:val="0"/>
        <w:wordWrap w:val="0"/>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④供应商未被“信用中国”(www.creditchina.gov.cn)</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中国政府采购网(www.ccgp.gov.cn)</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国家企业信用信息公示系统(</w:t>
      </w:r>
      <w:r>
        <w:rPr>
          <w:rFonts w:hint="eastAsia" w:ascii="仿宋" w:hAnsi="仿宋" w:eastAsia="仿宋" w:cs="仿宋"/>
          <w:spacing w:val="4"/>
          <w:sz w:val="24"/>
          <w:szCs w:val="24"/>
        </w:rPr>
        <w:fldChar w:fldCharType="begin"/>
      </w:r>
      <w:r>
        <w:rPr>
          <w:rFonts w:hint="eastAsia" w:ascii="仿宋" w:hAnsi="仿宋" w:eastAsia="仿宋" w:cs="仿宋"/>
          <w:spacing w:val="4"/>
          <w:sz w:val="24"/>
          <w:szCs w:val="24"/>
        </w:rPr>
        <w:instrText xml:space="preserve"> HYPERLINK "http://www.gsxt.gov.cn" </w:instrText>
      </w:r>
      <w:r>
        <w:rPr>
          <w:rFonts w:hint="eastAsia" w:ascii="仿宋" w:hAnsi="仿宋" w:eastAsia="仿宋" w:cs="仿宋"/>
          <w:spacing w:val="4"/>
          <w:sz w:val="24"/>
          <w:szCs w:val="24"/>
        </w:rPr>
        <w:fldChar w:fldCharType="separate"/>
      </w:r>
      <w:r>
        <w:rPr>
          <w:rFonts w:hint="eastAsia" w:ascii="仿宋" w:hAnsi="仿宋" w:eastAsia="仿宋" w:cs="仿宋"/>
          <w:spacing w:val="4"/>
          <w:sz w:val="24"/>
          <w:szCs w:val="24"/>
        </w:rPr>
        <w:t>http://www.gsxt.gov.cn</w:t>
      </w:r>
      <w:r>
        <w:rPr>
          <w:rFonts w:hint="eastAsia" w:ascii="仿宋" w:hAnsi="仿宋" w:eastAsia="仿宋" w:cs="仿宋"/>
          <w:spacing w:val="4"/>
          <w:sz w:val="24"/>
          <w:szCs w:val="24"/>
        </w:rPr>
        <w:fldChar w:fldCharType="end"/>
      </w:r>
      <w:r>
        <w:rPr>
          <w:rFonts w:hint="eastAsia" w:ascii="仿宋" w:hAnsi="仿宋" w:eastAsia="仿宋" w:cs="仿宋"/>
          <w:spacing w:val="4"/>
          <w:sz w:val="24"/>
          <w:szCs w:val="24"/>
        </w:rPr>
        <w:t>)列入失信被执行人、重大税收违法案件当事人名单、政府采购严重违法失信行为记录名单(尚在处罚期内的)</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将拒绝其参加本次政府采购活动；【投标人自行登录网站进行查询并打印完整查询结果加盖投标单位公章（扫描件）</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查询时间为公告发布之日之后</w:t>
      </w:r>
      <w:r>
        <w:rPr>
          <w:rFonts w:hint="eastAsia" w:ascii="仿宋" w:hAnsi="仿宋" w:eastAsia="仿宋" w:cs="仿宋"/>
          <w:spacing w:val="4"/>
          <w:sz w:val="24"/>
          <w:szCs w:val="24"/>
        </w:rPr>
        <w:t>】</w:t>
      </w:r>
    </w:p>
    <w:p w14:paraId="3797CB2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⑤本项目专门面向中小微企业；【供应商需提供《中小微企业声明函》原件扫描件】</w:t>
      </w:r>
    </w:p>
    <w:p w14:paraId="5C18690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⑥单位负责人为同一人或者存在直接控股、管理关系的不同供应商，得参加同一合同项下的政府采购活动。【供应商直接控股、管理关系信息表】</w:t>
      </w:r>
    </w:p>
    <w:p w14:paraId="536330E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说明：以上①-⑥内容为资格审查时的必备条件，供应商必须加盖供应商电子公章，如果提供不全或未按要求提供则视为对采购文件资格审查内容的不响应，磋商将被拒绝（不接受二次提供）。</w:t>
      </w:r>
    </w:p>
    <w:p w14:paraId="1436C6D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12.1.2商务技术文件：</w:t>
      </w:r>
    </w:p>
    <w:p w14:paraId="75A6C8D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①无串通投标行为的承诺函；</w:t>
      </w:r>
    </w:p>
    <w:p w14:paraId="72BB245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②法定代表人身份证明书及法定代表人有效身份证正反面复印件；(除自然人投标外必须提供，否则响应文件按无效响应处理)</w:t>
      </w:r>
    </w:p>
    <w:p w14:paraId="1199A8C6">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③法定代表人授权委托书及委托代理人有效身份证正反面复印件；(委托时必须提供，否则响应文件按无效响应处理)</w:t>
      </w:r>
    </w:p>
    <w:p w14:paraId="1D6900C6">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④供应商情况介绍</w:t>
      </w:r>
    </w:p>
    <w:p w14:paraId="425CA6D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⑤供应商类似业绩的证明文件(如有)</w:t>
      </w:r>
    </w:p>
    <w:p w14:paraId="5CC0376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⑥项目管理机构组成表</w:t>
      </w:r>
    </w:p>
    <w:p w14:paraId="60D3595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⑦投标廉政承诺书；</w:t>
      </w:r>
    </w:p>
    <w:p w14:paraId="1F1A030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⑧施工组织设计；</w:t>
      </w:r>
    </w:p>
    <w:p w14:paraId="32FD8FA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⑨各分部分项的主要施工方法</w:t>
      </w:r>
    </w:p>
    <w:p w14:paraId="718DE5A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⑩主要机械设备投入情况及进场计划</w:t>
      </w:r>
    </w:p>
    <w:p w14:paraId="3A7B33D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⑾劳动力安排计划；</w:t>
      </w:r>
    </w:p>
    <w:p w14:paraId="052A4F6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⑿工程质量保证措施</w:t>
      </w:r>
    </w:p>
    <w:p w14:paraId="7A610DD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⒀安全生产措施</w:t>
      </w:r>
    </w:p>
    <w:p w14:paraId="0CC7066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⒁除了磋商文件要求必须提供的，供应商认为需要提供的其他有关资料</w:t>
      </w:r>
    </w:p>
    <w:p w14:paraId="38DABA31">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注：1.法定代表人授权委托书必须由法定代表人及委托代理人签字，并加盖供应商公章，否则响应文件按无效响应处理。</w:t>
      </w:r>
    </w:p>
    <w:p w14:paraId="4295899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12.1.3报价文件：</w:t>
      </w:r>
    </w:p>
    <w:p w14:paraId="11254C6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①响应函</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（必须提供，否则作无效响应处理）</w:t>
      </w:r>
    </w:p>
    <w:p w14:paraId="0314363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②响应报价表；（必须提供，否则响应文件按无效响应处理）</w:t>
      </w:r>
    </w:p>
    <w:p w14:paraId="4630A05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③中小企业声明函。</w:t>
      </w:r>
    </w:p>
    <w:p w14:paraId="1434928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12.2响应文件电子版：详见须知前附表</w:t>
      </w:r>
    </w:p>
    <w:p w14:paraId="4A7B1A6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12.3各供应商在编制响应文件时请按照磋商文件“第六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6FB7AB7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12.4响应文件应按资格证明、报价分别编制，商务技术文件合并编制，本磋商只接受电子版响应文件，要求见本章“12.2响应文件电子版要求”。</w:t>
      </w:r>
    </w:p>
    <w:p w14:paraId="76910D1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12.5响应文件须由供应商在“第六章响应文件格式”规定位置进行签署、盖章，否则其响应文件按无效响应处理。骑缝盖公章不视为在规定位置盖章。</w:t>
      </w:r>
    </w:p>
    <w:p w14:paraId="05237A1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12.6响应文件中标注的供应商名称应与营业执照（事业单位法人证书、执业许可证、自然人身份证）及电子公章一致，否则其响应文件按无效响应处理。</w:t>
      </w:r>
    </w:p>
    <w:p w14:paraId="53D998A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12.7响应文件应避免涂改、行间插字或者删除，否则其响应文件按无效响应处理。</w:t>
      </w:r>
    </w:p>
    <w:p w14:paraId="122BA039">
      <w:pPr>
        <w:pStyle w:val="5"/>
        <w:pageBreakBefore w:val="0"/>
        <w:kinsoku w:val="0"/>
        <w:overflowPunct/>
        <w:topLinePunct w:val="0"/>
        <w:autoSpaceDE w:val="0"/>
        <w:autoSpaceDN w:val="0"/>
        <w:bidi w:val="0"/>
        <w:adjustRightInd w:val="0"/>
        <w:snapToGrid w:val="0"/>
        <w:spacing w:before="81" w:line="360" w:lineRule="auto"/>
        <w:ind w:left="498" w:right="0"/>
        <w:textAlignment w:val="baseline"/>
        <w:rPr>
          <w:rFonts w:hint="eastAsia" w:ascii="仿宋" w:hAnsi="仿宋" w:eastAsia="仿宋" w:cs="仿宋"/>
          <w:sz w:val="24"/>
          <w:szCs w:val="24"/>
        </w:rPr>
      </w:pPr>
      <w:r>
        <w:rPr>
          <w:rFonts w:hint="eastAsia" w:ascii="仿宋" w:hAnsi="仿宋" w:eastAsia="仿宋" w:cs="仿宋"/>
          <w:b/>
          <w:bCs/>
          <w:spacing w:val="-7"/>
          <w:sz w:val="24"/>
          <w:szCs w:val="24"/>
          <w14:textOutline w14:w="4388" w14:cap="flat" w14:cmpd="sng">
            <w14:solidFill>
              <w14:srgbClr w14:val="000000"/>
            </w14:solidFill>
            <w14:prstDash w14:val="solid"/>
            <w14:miter w14:val="0"/>
          </w14:textOutline>
        </w:rPr>
        <w:t>13．计量单位</w:t>
      </w:r>
    </w:p>
    <w:p w14:paraId="6652B601">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除技术规格及要求中另有规定外，本采购项下的投标均采用国家法定的计量单位。</w:t>
      </w:r>
    </w:p>
    <w:p w14:paraId="232BA458">
      <w:pPr>
        <w:pStyle w:val="5"/>
        <w:pageBreakBefore w:val="0"/>
        <w:kinsoku w:val="0"/>
        <w:overflowPunct/>
        <w:topLinePunct w:val="0"/>
        <w:autoSpaceDE w:val="0"/>
        <w:autoSpaceDN w:val="0"/>
        <w:bidi w:val="0"/>
        <w:adjustRightInd w:val="0"/>
        <w:snapToGrid w:val="0"/>
        <w:spacing w:before="84" w:line="360" w:lineRule="auto"/>
        <w:ind w:left="498" w:right="0"/>
        <w:textAlignment w:val="baseline"/>
        <w:rPr>
          <w:rFonts w:hint="eastAsia" w:ascii="仿宋" w:hAnsi="仿宋" w:eastAsia="仿宋" w:cs="仿宋"/>
          <w:sz w:val="24"/>
          <w:szCs w:val="24"/>
        </w:rPr>
      </w:pPr>
      <w:r>
        <w:rPr>
          <w:rFonts w:hint="eastAsia" w:ascii="仿宋" w:hAnsi="仿宋" w:eastAsia="仿宋" w:cs="仿宋"/>
          <w:b/>
          <w:bCs/>
          <w:spacing w:val="1"/>
          <w:sz w:val="24"/>
          <w:szCs w:val="24"/>
          <w14:textOutline w14:w="4388" w14:cap="flat" w14:cmpd="sng">
            <w14:solidFill>
              <w14:srgbClr w14:val="000000"/>
            </w14:solidFill>
            <w14:prstDash w14:val="solid"/>
            <w14:miter w14:val="0"/>
          </w14:textOutline>
        </w:rPr>
        <w:t>14.投标货币</w:t>
      </w:r>
    </w:p>
    <w:p w14:paraId="46B2D2D6">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本次招标项目的磋商均以人民币报价。</w:t>
      </w:r>
    </w:p>
    <w:p w14:paraId="009BB21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14.1投标人对投标报价若有说明应在投标文件中显著处注明。</w:t>
      </w:r>
    </w:p>
    <w:p w14:paraId="2BF9C86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14.2除政策性文件规定以外，投标人所报价格在合同实施期间不因市场变化因素而变动。</w:t>
      </w:r>
    </w:p>
    <w:p w14:paraId="1D92780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14.3此次投标报价(须标明各项报价及合计报价，否则视为无效投标)。投标价格应包括完成招标文件规定的招标范围全部内容所需的全部费用。除非招标文件另有规定，投标报价应包括本项目所需的全部费用、保险、利润、税金、政策性文件规定及合同包含的所有风险、优惠率、责任等各项应有费用。</w:t>
      </w:r>
    </w:p>
    <w:p w14:paraId="702ADA5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14.4在磋商过程中，如有供应商故意抬高报价或有其他不正当行为，按废标处理，本项目最高限价为</w:t>
      </w:r>
      <w:r>
        <w:rPr>
          <w:rFonts w:hint="eastAsia" w:ascii="仿宋" w:hAnsi="仿宋" w:eastAsia="仿宋" w:cs="仿宋"/>
          <w:spacing w:val="4"/>
          <w:sz w:val="24"/>
          <w:szCs w:val="24"/>
          <w:lang w:val="en-US" w:eastAsia="zh-CN"/>
        </w:rPr>
        <w:t>3910000.00</w:t>
      </w:r>
      <w:r>
        <w:rPr>
          <w:rFonts w:hint="eastAsia" w:ascii="仿宋" w:hAnsi="仿宋" w:eastAsia="仿宋" w:cs="仿宋"/>
          <w:spacing w:val="4"/>
          <w:sz w:val="24"/>
          <w:szCs w:val="24"/>
        </w:rPr>
        <w:t>元（人民币），对高于最高限价的磋商响应文件，视为超出采购人的支付能力，按废标处理。</w:t>
      </w:r>
    </w:p>
    <w:p w14:paraId="32DC356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14.5最低报价不能作为中标的保证。</w:t>
      </w:r>
    </w:p>
    <w:p w14:paraId="28680A2A">
      <w:pPr>
        <w:pStyle w:val="5"/>
        <w:pageBreakBefore w:val="0"/>
        <w:kinsoku w:val="0"/>
        <w:overflowPunct/>
        <w:topLinePunct w:val="0"/>
        <w:autoSpaceDE w:val="0"/>
        <w:autoSpaceDN w:val="0"/>
        <w:bidi w:val="0"/>
        <w:adjustRightInd w:val="0"/>
        <w:snapToGrid w:val="0"/>
        <w:spacing w:before="48" w:line="360" w:lineRule="auto"/>
        <w:ind w:left="499" w:right="0"/>
        <w:textAlignment w:val="baseline"/>
        <w:rPr>
          <w:rFonts w:hint="eastAsia" w:ascii="仿宋" w:hAnsi="仿宋" w:eastAsia="仿宋" w:cs="仿宋"/>
          <w:sz w:val="24"/>
          <w:szCs w:val="24"/>
        </w:rPr>
      </w:pPr>
      <w:r>
        <w:rPr>
          <w:rFonts w:hint="eastAsia" w:ascii="仿宋" w:hAnsi="仿宋" w:eastAsia="仿宋" w:cs="仿宋"/>
          <w:spacing w:val="8"/>
          <w:sz w:val="24"/>
          <w:szCs w:val="24"/>
          <w14:textOutline w14:w="4388" w14:cap="flat" w14:cmpd="sng">
            <w14:solidFill>
              <w14:srgbClr w14:val="000000"/>
            </w14:solidFill>
            <w14:prstDash w14:val="solid"/>
            <w14:miter w14:val="0"/>
          </w14:textOutline>
        </w:rPr>
        <w:t>15.竞标的风险</w:t>
      </w:r>
    </w:p>
    <w:p w14:paraId="1C51510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供应商没有按照磋商文件要求提供全部资料，或者供应商没有对磋商文件在各方作出实质性响应可能导致其响应无效，是供应商应当考虑的风险。</w:t>
      </w:r>
    </w:p>
    <w:p w14:paraId="0AAD3693">
      <w:pPr>
        <w:pStyle w:val="5"/>
        <w:pageBreakBefore w:val="0"/>
        <w:kinsoku w:val="0"/>
        <w:overflowPunct/>
        <w:topLinePunct w:val="0"/>
        <w:autoSpaceDE w:val="0"/>
        <w:autoSpaceDN w:val="0"/>
        <w:bidi w:val="0"/>
        <w:adjustRightInd w:val="0"/>
        <w:snapToGrid w:val="0"/>
        <w:spacing w:before="86" w:line="360" w:lineRule="auto"/>
        <w:ind w:left="499" w:right="0"/>
        <w:textAlignment w:val="baseline"/>
        <w:rPr>
          <w:rFonts w:hint="eastAsia" w:ascii="仿宋" w:hAnsi="仿宋" w:eastAsia="仿宋" w:cs="仿宋"/>
          <w:sz w:val="24"/>
          <w:szCs w:val="24"/>
        </w:rPr>
      </w:pPr>
      <w:r>
        <w:rPr>
          <w:rFonts w:hint="eastAsia" w:ascii="仿宋" w:hAnsi="仿宋" w:eastAsia="仿宋" w:cs="仿宋"/>
          <w:spacing w:val="8"/>
          <w:sz w:val="24"/>
          <w:szCs w:val="24"/>
          <w14:textOutline w14:w="4388" w14:cap="flat" w14:cmpd="sng">
            <w14:solidFill>
              <w14:srgbClr w14:val="000000"/>
            </w14:solidFill>
            <w14:prstDash w14:val="solid"/>
            <w14:miter w14:val="0"/>
          </w14:textOutline>
        </w:rPr>
        <w:t>16.响应报价要求和构成</w:t>
      </w:r>
    </w:p>
    <w:p w14:paraId="4112B04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16.1响应报价应按“第六章响应文件格式”中“响应报价表”格式填写。</w:t>
      </w:r>
    </w:p>
    <w:p w14:paraId="17F7A08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16.2响应报价的价格构成见“供应商须知前附表”。</w:t>
      </w:r>
    </w:p>
    <w:p w14:paraId="6530C81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16.3响应报价要求</w:t>
      </w:r>
    </w:p>
    <w:p w14:paraId="2CD54AE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16.3.1供应商的响应报价应符合以下要求，否则响应文件按无效响应处理：</w:t>
      </w:r>
    </w:p>
    <w:p w14:paraId="49105AE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（1）供应商必须就“采购需求”中所竞标的每个分标的全部内容分别作完整唯一总价报价，不得存在漏项报价；</w:t>
      </w:r>
    </w:p>
    <w:p w14:paraId="621D3CA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（2）供应商必须就所竞标的分标的单项内容作唯一报价。</w:t>
      </w:r>
    </w:p>
    <w:p w14:paraId="3DD7A80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16.3.2响应报价（包含首次报价、最后报价）超过磋商文件规定的最高限价的其响应文件将作无效处理。</w:t>
      </w:r>
    </w:p>
    <w:p w14:paraId="007AE620">
      <w:pPr>
        <w:pStyle w:val="5"/>
        <w:pageBreakBefore w:val="0"/>
        <w:kinsoku w:val="0"/>
        <w:overflowPunct/>
        <w:topLinePunct w:val="0"/>
        <w:autoSpaceDE w:val="0"/>
        <w:autoSpaceDN w:val="0"/>
        <w:bidi w:val="0"/>
        <w:adjustRightInd w:val="0"/>
        <w:snapToGrid w:val="0"/>
        <w:spacing w:before="84" w:line="360" w:lineRule="auto"/>
        <w:ind w:left="499" w:right="0"/>
        <w:textAlignment w:val="baseline"/>
        <w:rPr>
          <w:rFonts w:hint="eastAsia" w:ascii="仿宋" w:hAnsi="仿宋" w:eastAsia="仿宋" w:cs="仿宋"/>
          <w:sz w:val="24"/>
          <w:szCs w:val="24"/>
        </w:rPr>
      </w:pPr>
      <w:r>
        <w:rPr>
          <w:rFonts w:hint="eastAsia" w:ascii="仿宋" w:hAnsi="仿宋" w:eastAsia="仿宋" w:cs="仿宋"/>
          <w:spacing w:val="6"/>
          <w:sz w:val="24"/>
          <w:szCs w:val="24"/>
          <w14:textOutline w14:w="4388" w14:cap="flat" w14:cmpd="sng">
            <w14:solidFill>
              <w14:srgbClr w14:val="000000"/>
            </w14:solidFill>
            <w14:prstDash w14:val="solid"/>
            <w14:miter w14:val="0"/>
          </w14:textOutline>
        </w:rPr>
        <w:t>17.联合体投标</w:t>
      </w:r>
    </w:p>
    <w:p w14:paraId="7DB89A1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详见供应商须知前附表</w:t>
      </w:r>
    </w:p>
    <w:p w14:paraId="3AF115F1">
      <w:pPr>
        <w:pStyle w:val="5"/>
        <w:pageBreakBefore w:val="0"/>
        <w:kinsoku w:val="0"/>
        <w:overflowPunct/>
        <w:topLinePunct w:val="0"/>
        <w:autoSpaceDE w:val="0"/>
        <w:autoSpaceDN w:val="0"/>
        <w:bidi w:val="0"/>
        <w:adjustRightInd w:val="0"/>
        <w:snapToGrid w:val="0"/>
        <w:spacing w:before="86" w:line="360" w:lineRule="auto"/>
        <w:ind w:left="499" w:right="0"/>
        <w:textAlignment w:val="baseline"/>
        <w:rPr>
          <w:rFonts w:hint="eastAsia" w:ascii="仿宋" w:hAnsi="仿宋" w:eastAsia="仿宋" w:cs="仿宋"/>
          <w:sz w:val="24"/>
          <w:szCs w:val="24"/>
        </w:rPr>
      </w:pPr>
      <w:r>
        <w:rPr>
          <w:rFonts w:hint="eastAsia" w:ascii="仿宋" w:hAnsi="仿宋" w:eastAsia="仿宋" w:cs="仿宋"/>
          <w:spacing w:val="5"/>
          <w:sz w:val="24"/>
          <w:szCs w:val="24"/>
          <w14:textOutline w14:w="4388" w14:cap="flat" w14:cmpd="sng">
            <w14:solidFill>
              <w14:srgbClr w14:val="000000"/>
            </w14:solidFill>
            <w14:prstDash w14:val="solid"/>
            <w14:miter w14:val="0"/>
          </w14:textOutline>
        </w:rPr>
        <w:t>18.知识产权</w:t>
      </w:r>
    </w:p>
    <w:p w14:paraId="60C7359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18.1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24CB7E1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18.2采购人享有本项目实施过程中产生的知识成果及知识产权。</w:t>
      </w:r>
    </w:p>
    <w:p w14:paraId="77DF567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18.3供应商如欲在项目实施过程中采用自有知识成果，需在磋商响应文件中声明，并提供相关知识产权证明文件。使用该知识成果后，供应商需提供开发接口和开发手册等技术文档，并承诺提供无限期技术支持，采购人享有永久使用权。</w:t>
      </w:r>
    </w:p>
    <w:p w14:paraId="50F36B7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18.4如采用供应商所不拥有的知识产权，则在投标报价中必须包括合法获取该知识产权的相关费用。</w:t>
      </w:r>
    </w:p>
    <w:p w14:paraId="10C2961E">
      <w:pPr>
        <w:pStyle w:val="5"/>
        <w:pageBreakBefore w:val="0"/>
        <w:kinsoku w:val="0"/>
        <w:overflowPunct/>
        <w:topLinePunct w:val="0"/>
        <w:autoSpaceDE w:val="0"/>
        <w:autoSpaceDN w:val="0"/>
        <w:bidi w:val="0"/>
        <w:adjustRightInd w:val="0"/>
        <w:snapToGrid w:val="0"/>
        <w:spacing w:before="86" w:line="360" w:lineRule="auto"/>
        <w:ind w:left="499" w:right="0"/>
        <w:textAlignment w:val="baseline"/>
        <w:rPr>
          <w:rFonts w:hint="eastAsia" w:ascii="仿宋" w:hAnsi="仿宋" w:eastAsia="仿宋" w:cs="仿宋"/>
          <w:sz w:val="24"/>
          <w:szCs w:val="24"/>
        </w:rPr>
      </w:pPr>
      <w:r>
        <w:rPr>
          <w:rFonts w:hint="eastAsia" w:ascii="仿宋" w:hAnsi="仿宋" w:eastAsia="仿宋" w:cs="仿宋"/>
          <w:spacing w:val="9"/>
          <w:sz w:val="24"/>
          <w:szCs w:val="24"/>
          <w14:textOutline w14:w="4388" w14:cap="flat" w14:cmpd="sng">
            <w14:solidFill>
              <w14:srgbClr w14:val="000000"/>
            </w14:solidFill>
            <w14:prstDash w14:val="solid"/>
            <w14:miter w14:val="0"/>
          </w14:textOutline>
        </w:rPr>
        <w:t>19.响应文件的密封和标记</w:t>
      </w:r>
    </w:p>
    <w:p w14:paraId="4CB0D7D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19.1供应商进行电子交易应安装客户端软件—“政采云电子交易客户端”，并按照磋商文件和电子交易平台的要求编制并加密响应文件。供应商未按规定加密的响应文件，电子交易平台将拒收并提示。</w:t>
      </w:r>
    </w:p>
    <w:p w14:paraId="67F3CCF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19.2使用“政采云电子交易客户端”需要提前申领CA数字证书。</w:t>
      </w:r>
    </w:p>
    <w:p w14:paraId="2768D78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19.3为确保网上操作合法、有效和安全，供应商应当在响应文件提交截止时间前完成在“政府采购云平台”的身份认证，确保在电子交易过程中能够对相关数据电文进行加密和使用电子签名。</w:t>
      </w:r>
    </w:p>
    <w:p w14:paraId="1D0FB0EC">
      <w:pPr>
        <w:pStyle w:val="5"/>
        <w:pageBreakBefore w:val="0"/>
        <w:kinsoku w:val="0"/>
        <w:overflowPunct/>
        <w:topLinePunct w:val="0"/>
        <w:autoSpaceDE w:val="0"/>
        <w:autoSpaceDN w:val="0"/>
        <w:bidi w:val="0"/>
        <w:adjustRightInd w:val="0"/>
        <w:snapToGrid w:val="0"/>
        <w:spacing w:before="84" w:line="360" w:lineRule="auto"/>
        <w:ind w:left="484" w:right="0"/>
        <w:textAlignment w:val="baseline"/>
        <w:rPr>
          <w:rFonts w:hint="eastAsia" w:ascii="仿宋" w:hAnsi="仿宋" w:eastAsia="仿宋" w:cs="仿宋"/>
          <w:sz w:val="24"/>
          <w:szCs w:val="24"/>
        </w:rPr>
      </w:pPr>
      <w:r>
        <w:rPr>
          <w:rFonts w:hint="eastAsia" w:ascii="仿宋" w:hAnsi="仿宋" w:eastAsia="仿宋" w:cs="仿宋"/>
          <w:spacing w:val="9"/>
          <w:sz w:val="24"/>
          <w:szCs w:val="24"/>
          <w14:textOutline w14:w="4388" w14:cap="flat" w14:cmpd="sng">
            <w14:solidFill>
              <w14:srgbClr w14:val="000000"/>
            </w14:solidFill>
            <w14:prstDash w14:val="solid"/>
            <w14:miter w14:val="0"/>
          </w14:textOutline>
        </w:rPr>
        <w:t>20.响应文件的递交</w:t>
      </w:r>
    </w:p>
    <w:p w14:paraId="2702E64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20.1供应商必须在“供应商须知前附表”规定的时间和地点提交响应文件。</w:t>
      </w:r>
    </w:p>
    <w:p w14:paraId="73599A7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lang w:eastAsia="zh-CN"/>
        </w:rPr>
      </w:pPr>
      <w:r>
        <w:rPr>
          <w:rFonts w:hint="eastAsia" w:ascii="仿宋" w:hAnsi="仿宋" w:eastAsia="仿宋" w:cs="仿宋"/>
          <w:spacing w:val="4"/>
          <w:sz w:val="24"/>
          <w:szCs w:val="24"/>
        </w:rPr>
        <w:t>20.2在响应文件提交截止时间以后，不能补充、修改响应文件</w:t>
      </w:r>
      <w:r>
        <w:rPr>
          <w:rFonts w:hint="eastAsia" w:ascii="仿宋" w:hAnsi="仿宋" w:eastAsia="仿宋" w:cs="仿宋"/>
          <w:spacing w:val="4"/>
          <w:sz w:val="24"/>
          <w:szCs w:val="24"/>
          <w:lang w:eastAsia="zh-CN"/>
        </w:rPr>
        <w:t>。</w:t>
      </w:r>
    </w:p>
    <w:p w14:paraId="2D3793F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20.3在提交“最后报价”后，供应商不能退出磋商。</w:t>
      </w:r>
    </w:p>
    <w:p w14:paraId="70DFFF31">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20.4电子交易平台收到响应文件，将妥善保存并即时向供应商发出确认回执通知。在响应文件提交截止时间前，除供应商补充、修改或者撤回响应文件外，任何单位和个人不得解密或提取响应文件。</w:t>
      </w:r>
    </w:p>
    <w:p w14:paraId="2CC098E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20.5备份响应文件要求。详见在“供应商须知前附表”。</w:t>
      </w:r>
    </w:p>
    <w:p w14:paraId="118F2CB3">
      <w:pPr>
        <w:pStyle w:val="5"/>
        <w:pageBreakBefore w:val="0"/>
        <w:kinsoku w:val="0"/>
        <w:overflowPunct/>
        <w:topLinePunct w:val="0"/>
        <w:autoSpaceDE w:val="0"/>
        <w:autoSpaceDN w:val="0"/>
        <w:bidi w:val="0"/>
        <w:adjustRightInd w:val="0"/>
        <w:snapToGrid w:val="0"/>
        <w:spacing w:before="87" w:line="360" w:lineRule="auto"/>
        <w:ind w:left="493" w:right="0"/>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88" w14:cap="flat" w14:cmpd="sng">
            <w14:solidFill>
              <w14:srgbClr w14:val="000000"/>
            </w14:solidFill>
            <w14:prstDash w14:val="solid"/>
            <w14:miter w14:val="0"/>
          </w14:textOutline>
        </w:rPr>
        <w:t>21．响应文件的修改和撤回</w:t>
      </w:r>
    </w:p>
    <w:p w14:paraId="0467A02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21.1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未在规定时间内提交或者未按照招标文件要求密封或者标记的电子投标文件，“政采云”平台将拒收。</w:t>
      </w:r>
    </w:p>
    <w:p w14:paraId="3B53946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21.2在磋商截止时间之后，供应商不得对其递交的响应文件做任何修改或撤回投标。</w:t>
      </w:r>
    </w:p>
    <w:p w14:paraId="406F91A6">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21.3响应文件中如果出现计算上或累加上的算术错误，可按以下原则进行修改：</w:t>
      </w:r>
    </w:p>
    <w:p w14:paraId="0A0AEBA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（1）用数字表示的金额和用文字表示的金额不一致，应以文字表示的金额为准。</w:t>
      </w:r>
    </w:p>
    <w:p w14:paraId="31E4C99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（2）单价和数量的乘积与总价不一致时，以单价为准，并修正总价。</w:t>
      </w:r>
    </w:p>
    <w:p w14:paraId="7D72A971">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（3）单价金额小数点有明显错误的，以总价为准，修正单价。</w:t>
      </w:r>
    </w:p>
    <w:p w14:paraId="09C097E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按上述修正错误的方法调整的投标报价应对供应商具有约束力。如果供应商不接受修正后的价格，其投标将被拒绝。对不同文字文本响应文件的解释发生异议的，以中文文本为准。招标人不接受任何有选择性的报价。</w:t>
      </w:r>
    </w:p>
    <w:p w14:paraId="49799582">
      <w:pPr>
        <w:pStyle w:val="5"/>
        <w:pageBreakBefore w:val="0"/>
        <w:kinsoku w:val="0"/>
        <w:overflowPunct/>
        <w:topLinePunct w:val="0"/>
        <w:autoSpaceDE w:val="0"/>
        <w:autoSpaceDN w:val="0"/>
        <w:bidi w:val="0"/>
        <w:adjustRightInd w:val="0"/>
        <w:snapToGrid w:val="0"/>
        <w:spacing w:before="87" w:line="360" w:lineRule="auto"/>
        <w:ind w:left="493" w:right="0"/>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88" w14:cap="flat" w14:cmpd="sng">
            <w14:solidFill>
              <w14:srgbClr w14:val="000000"/>
            </w14:solidFill>
            <w14:prstDash w14:val="solid"/>
            <w14:miter w14:val="0"/>
          </w14:textOutline>
        </w:rPr>
        <w:t>22．投标保证金</w:t>
      </w:r>
    </w:p>
    <w:p w14:paraId="36AB1A6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详见供应商须知前附表</w:t>
      </w:r>
    </w:p>
    <w:p w14:paraId="3B5C3C38">
      <w:pPr>
        <w:pStyle w:val="5"/>
        <w:pageBreakBefore w:val="0"/>
        <w:kinsoku w:val="0"/>
        <w:overflowPunct/>
        <w:topLinePunct w:val="0"/>
        <w:autoSpaceDE w:val="0"/>
        <w:autoSpaceDN w:val="0"/>
        <w:bidi w:val="0"/>
        <w:adjustRightInd w:val="0"/>
        <w:snapToGrid w:val="0"/>
        <w:spacing w:before="88" w:line="360" w:lineRule="auto"/>
        <w:ind w:left="493" w:right="0"/>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88" w14:cap="flat" w14:cmpd="sng">
            <w14:solidFill>
              <w14:srgbClr w14:val="000000"/>
            </w14:solidFill>
            <w14:prstDash w14:val="solid"/>
            <w14:miter w14:val="0"/>
          </w14:textOutline>
        </w:rPr>
        <w:t>23．投标有效期</w:t>
      </w:r>
    </w:p>
    <w:p w14:paraId="60EBB9C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23.1投标有效期详见供应商须知前附表。投标有效期短于此规定期限的投标，将被拒绝。</w:t>
      </w:r>
    </w:p>
    <w:p w14:paraId="1DB6A1D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23.2特殊情况下，采购人可于投标有效期满之前要求供应商同意延长有效期，要求与答复均应为书面形式。供应商可以拒绝上述要求，其投标保证金不被没收。拒绝延长投标有效期的供应商不得再参与该项目后续采购活动。同意延长投标有效期的供应商不能修改其磋商响应文件，关于投标保证金的有关规定在延长的投标有效期内继续有效。</w:t>
      </w:r>
    </w:p>
    <w:p w14:paraId="4C987758">
      <w:pPr>
        <w:pStyle w:val="5"/>
        <w:pageBreakBefore w:val="0"/>
        <w:kinsoku w:val="0"/>
        <w:overflowPunct/>
        <w:topLinePunct w:val="0"/>
        <w:autoSpaceDE w:val="0"/>
        <w:autoSpaceDN w:val="0"/>
        <w:bidi w:val="0"/>
        <w:adjustRightInd w:val="0"/>
        <w:snapToGrid w:val="0"/>
        <w:spacing w:before="56" w:line="360" w:lineRule="auto"/>
        <w:ind w:left="3839" w:right="0"/>
        <w:textAlignment w:val="baseline"/>
        <w:outlineLvl w:val="1"/>
        <w:rPr>
          <w:rFonts w:hint="eastAsia" w:ascii="仿宋" w:hAnsi="仿宋" w:eastAsia="仿宋" w:cs="仿宋"/>
          <w:sz w:val="24"/>
          <w:szCs w:val="24"/>
        </w:rPr>
      </w:pPr>
      <w:r>
        <w:rPr>
          <w:rFonts w:hint="eastAsia" w:ascii="仿宋" w:hAnsi="仿宋" w:eastAsia="仿宋" w:cs="仿宋"/>
          <w:spacing w:val="-2"/>
          <w:sz w:val="24"/>
          <w:szCs w:val="24"/>
          <w14:textOutline w14:w="5137" w14:cap="flat" w14:cmpd="sng">
            <w14:solidFill>
              <w14:srgbClr w14:val="000000"/>
            </w14:solidFill>
            <w14:prstDash w14:val="solid"/>
            <w14:miter w14:val="0"/>
          </w14:textOutline>
        </w:rPr>
        <w:t>五、开标和中标</w:t>
      </w:r>
    </w:p>
    <w:p w14:paraId="2928C4DA">
      <w:pPr>
        <w:pStyle w:val="5"/>
        <w:pageBreakBefore w:val="0"/>
        <w:kinsoku w:val="0"/>
        <w:overflowPunct/>
        <w:topLinePunct w:val="0"/>
        <w:autoSpaceDE w:val="0"/>
        <w:autoSpaceDN w:val="0"/>
        <w:bidi w:val="0"/>
        <w:adjustRightInd w:val="0"/>
        <w:snapToGrid w:val="0"/>
        <w:spacing w:before="60" w:line="360" w:lineRule="auto"/>
        <w:ind w:left="483" w:right="0"/>
        <w:textAlignment w:val="baseline"/>
        <w:rPr>
          <w:rFonts w:hint="eastAsia" w:ascii="仿宋" w:hAnsi="仿宋" w:eastAsia="仿宋" w:cs="仿宋"/>
          <w:sz w:val="24"/>
          <w:szCs w:val="24"/>
        </w:rPr>
      </w:pPr>
      <w:r>
        <w:rPr>
          <w:rFonts w:hint="eastAsia" w:ascii="仿宋" w:hAnsi="仿宋" w:eastAsia="仿宋" w:cs="仿宋"/>
          <w:spacing w:val="-7"/>
          <w:sz w:val="24"/>
          <w:szCs w:val="24"/>
          <w14:textOutline w14:w="4388" w14:cap="flat" w14:cmpd="sng">
            <w14:solidFill>
              <w14:srgbClr w14:val="000000"/>
            </w14:solidFill>
            <w14:prstDash w14:val="solid"/>
            <w14:miter w14:val="0"/>
          </w14:textOutline>
        </w:rPr>
        <w:t>24．开标</w:t>
      </w:r>
    </w:p>
    <w:p w14:paraId="5731818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24.1采购代理机构在磋商文件规定的时间和地点组织公开开标，采购人、供应商须派代表参加并签到以证明其出席。</w:t>
      </w:r>
    </w:p>
    <w:p w14:paraId="5C7BC73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24.2开标时，采购代理机构可以邀请有关监督管理部门对开标进行现场监督，也可以（非必须）申请公证机构对整个开标程序进行现场公证。</w:t>
      </w:r>
    </w:p>
    <w:p w14:paraId="2A8694E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24.3开标时，采购代理机构应让供应商对其磋商响应文件的进行解密，或申请公证机构检查磋商响应文件的密封情况并公证。经确认无误后，由招标工作人员或公证人员将供应商单独递交的“开标一览表”当众拆封，并由唱标人员按照磋商文件规定的内容进行宣读。</w:t>
      </w:r>
    </w:p>
    <w:p w14:paraId="63E999D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24.4开标时，“开标一览表”中的大写金额与小写金额不一致的，以大写金额为准；总价金额与按单价计算的汇总金额不一致的，以单价计算的汇总金额为准；单价金额有明显小数点错误的，以总价为准，并修改单价。</w:t>
      </w:r>
    </w:p>
    <w:p w14:paraId="0C51E9A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24.5磋商响应文件中有关明细表内容与“开标一览表”不一致的，以“开标一览表”为准。对不同文字文本磋商响应文件的解释发生异议的，以中文文本为准。</w:t>
      </w:r>
    </w:p>
    <w:p w14:paraId="151590E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24.6所有投标唱标完毕，如供应商代表对宣读的“开标一览表”上的内容有异议的，应在获得开标会主持人同意后当场提出。如确实属于唱标人员宣读错了的，经现场监督人员或公证人员核实后，当场予以更正。</w:t>
      </w:r>
    </w:p>
    <w:p w14:paraId="00F90759">
      <w:pPr>
        <w:pStyle w:val="5"/>
        <w:pageBreakBefore w:val="0"/>
        <w:kinsoku w:val="0"/>
        <w:overflowPunct/>
        <w:topLinePunct w:val="0"/>
        <w:autoSpaceDE w:val="0"/>
        <w:autoSpaceDN w:val="0"/>
        <w:bidi w:val="0"/>
        <w:adjustRightInd w:val="0"/>
        <w:snapToGrid w:val="0"/>
        <w:spacing w:before="86" w:line="360" w:lineRule="auto"/>
        <w:ind w:left="483" w:right="0"/>
        <w:textAlignment w:val="baseline"/>
        <w:rPr>
          <w:rFonts w:hint="eastAsia" w:ascii="仿宋" w:hAnsi="仿宋" w:eastAsia="仿宋" w:cs="仿宋"/>
          <w:sz w:val="24"/>
          <w:szCs w:val="24"/>
        </w:rPr>
      </w:pPr>
      <w:r>
        <w:rPr>
          <w:rFonts w:hint="eastAsia" w:ascii="仿宋" w:hAnsi="仿宋" w:eastAsia="仿宋" w:cs="仿宋"/>
          <w:spacing w:val="7"/>
          <w:sz w:val="24"/>
          <w:szCs w:val="24"/>
          <w14:textOutline w14:w="4388" w14:cap="flat" w14:cmpd="sng">
            <w14:solidFill>
              <w14:srgbClr w14:val="000000"/>
            </w14:solidFill>
            <w14:prstDash w14:val="solid"/>
            <w14:miter w14:val="0"/>
          </w14:textOutline>
        </w:rPr>
        <w:t>25.开标程序</w:t>
      </w:r>
    </w:p>
    <w:p w14:paraId="2950B96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采购代理机构在招标文件规定的时间和地点组织招标活动，邀请下载招标文件并参与竞争的投标人参加开标，投标人未参加开标的，视同认可开标结果。</w:t>
      </w:r>
    </w:p>
    <w:p w14:paraId="736C706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供应商不足3家的，不得开标。</w:t>
      </w:r>
    </w:p>
    <w:p w14:paraId="18A2B4F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（1）首次响应文件的开启，首次响应文件由磋商小组或者采购代理机构在“供应商须知前附表”规定的时间开启。</w:t>
      </w:r>
    </w:p>
    <w:p w14:paraId="44BB419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（2）响应文件解密</w:t>
      </w:r>
    </w:p>
    <w:p w14:paraId="25D8B32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w:t>
      </w:r>
    </w:p>
    <w:p w14:paraId="63CBB95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如供应商成功解密响应文件，但未在“政采云”电子开标大厅参加磋商的，视同认可磋商过程和结果，由此产生的后果由供应商自行负责。参与磋商的供应商不足3家的，不得评审。</w:t>
      </w:r>
    </w:p>
    <w:p w14:paraId="5EB6F9F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（3）开标时，供应商完成在线解密后，由工作人员开始唱标。</w:t>
      </w:r>
    </w:p>
    <w:p w14:paraId="71E6D54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（4）唱标完毕后，如果投标人对所唱“报价一览表”内容有异议，应当立即提出。经现场监标人员确认，认为有必要重新唱标的，由唱标人员重新唱标。</w:t>
      </w:r>
    </w:p>
    <w:p w14:paraId="4C02D65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（5）资格审查的组建。</w:t>
      </w:r>
    </w:p>
    <w:p w14:paraId="5F56959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（6）资格性审查，采购人或者采购代理机依法对供应商进行资格审查。合格供应商不足3家的，不得评标。</w:t>
      </w:r>
    </w:p>
    <w:p w14:paraId="5F956E71">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（7）开标结束</w:t>
      </w:r>
    </w:p>
    <w:p w14:paraId="43291EA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（8）</w:t>
      </w:r>
      <w:r>
        <w:rPr>
          <w:rFonts w:hint="eastAsia" w:ascii="仿宋" w:hAnsi="仿宋" w:eastAsia="仿宋" w:cs="仿宋"/>
          <w:spacing w:val="4"/>
          <w:sz w:val="24"/>
          <w:szCs w:val="24"/>
          <w:lang w:val="en-US" w:eastAsia="zh-CN"/>
        </w:rPr>
        <w:t>磋</w:t>
      </w:r>
      <w:r>
        <w:rPr>
          <w:rFonts w:hint="eastAsia" w:ascii="仿宋" w:hAnsi="仿宋" w:eastAsia="仿宋" w:cs="仿宋"/>
          <w:spacing w:val="4"/>
          <w:sz w:val="24"/>
          <w:szCs w:val="24"/>
        </w:rPr>
        <w:t>商小组组建</w:t>
      </w:r>
    </w:p>
    <w:p w14:paraId="572459C6">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磋商小组按照“第四章评审程序、评审方法和评审标准”规定的方法、评审因素、标准和程序对响应文件进行评审。</w:t>
      </w:r>
    </w:p>
    <w:p w14:paraId="0ACEDCC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9</w:t>
      </w:r>
      <w:r>
        <w:rPr>
          <w:rFonts w:hint="eastAsia" w:ascii="仿宋" w:hAnsi="仿宋" w:eastAsia="仿宋" w:cs="仿宋"/>
          <w:spacing w:val="4"/>
          <w:sz w:val="24"/>
          <w:szCs w:val="24"/>
        </w:rPr>
        <w:t>）符合性审查。符合性审查是指依据磋商文件的规定，从商务和技术角度对响应文件的有效性和完整性进行审查，以确定是否对磋商文件的实质性要求做出响应。</w:t>
      </w:r>
    </w:p>
    <w:p w14:paraId="1EC1CBC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10</w:t>
      </w:r>
      <w:r>
        <w:rPr>
          <w:rFonts w:hint="eastAsia" w:ascii="仿宋" w:hAnsi="仿宋" w:eastAsia="仿宋" w:cs="仿宋"/>
          <w:spacing w:val="4"/>
          <w:sz w:val="24"/>
          <w:szCs w:val="24"/>
        </w:rPr>
        <w:t>）磋商小组会采用综合评分法对满足招标文件全部实质性要求的响应文件和投标报价进行综合评分。</w:t>
      </w:r>
    </w:p>
    <w:p w14:paraId="7187F8B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11</w:t>
      </w:r>
      <w:r>
        <w:rPr>
          <w:rFonts w:hint="eastAsia" w:ascii="仿宋" w:hAnsi="仿宋" w:eastAsia="仿宋" w:cs="仿宋"/>
          <w:spacing w:val="4"/>
          <w:sz w:val="24"/>
          <w:szCs w:val="24"/>
        </w:rPr>
        <w:t>）评标委员会根据综合评分情况，按照评标得分由高到低顺序推荐3名中标候选人，并编写评标报告。得分相同的，按投标报价由低到高顺序排列。得分且投标报价相同的，按照技术指标优劣顺序推荐。</w:t>
      </w:r>
    </w:p>
    <w:p w14:paraId="74A1B11D">
      <w:pPr>
        <w:pStyle w:val="5"/>
        <w:pageBreakBefore w:val="0"/>
        <w:kinsoku w:val="0"/>
        <w:overflowPunct/>
        <w:topLinePunct w:val="0"/>
        <w:autoSpaceDE w:val="0"/>
        <w:autoSpaceDN w:val="0"/>
        <w:bidi w:val="0"/>
        <w:adjustRightInd w:val="0"/>
        <w:snapToGrid w:val="0"/>
        <w:spacing w:before="85" w:line="360" w:lineRule="auto"/>
        <w:ind w:left="484" w:right="0"/>
        <w:textAlignment w:val="baseline"/>
        <w:rPr>
          <w:rFonts w:hint="eastAsia" w:ascii="仿宋" w:hAnsi="仿宋" w:eastAsia="仿宋" w:cs="仿宋"/>
          <w:sz w:val="24"/>
          <w:szCs w:val="24"/>
        </w:rPr>
      </w:pPr>
      <w:r>
        <w:rPr>
          <w:rFonts w:hint="eastAsia" w:ascii="仿宋" w:hAnsi="仿宋" w:eastAsia="仿宋" w:cs="仿宋"/>
          <w:spacing w:val="5"/>
          <w:sz w:val="24"/>
          <w:szCs w:val="24"/>
          <w14:textOutline w14:w="4388" w14:cap="flat" w14:cmpd="sng">
            <w14:solidFill>
              <w14:srgbClr w14:val="000000"/>
            </w14:solidFill>
            <w14:prstDash w14:val="solid"/>
            <w14:miter w14:val="0"/>
          </w14:textOutline>
        </w:rPr>
        <w:t>26．确定成交供应商及结果公告</w:t>
      </w:r>
    </w:p>
    <w:p w14:paraId="3475449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26.1确定成交供应商。由采购人直接委托评审专家确定，评审报告提出的排序第一的供应商为成交供应商。</w:t>
      </w:r>
    </w:p>
    <w:p w14:paraId="206EBC7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26.2成交通知及成交结果公告。成交供应商确定后2个工作日内，在发布竞争性磋商公告的媒体上公告成交结果，同时向成交供应商发出成交通知书，成交通知书规定签订合同的时间不得超过30日。</w:t>
      </w:r>
    </w:p>
    <w:p w14:paraId="5517741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26.3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记录及相关证据与磋商文件一并保存。</w:t>
      </w:r>
    </w:p>
    <w:p w14:paraId="75A707C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26.4成交供应商享受《政府采购促进中小企业发展管理办法》（财库〔2020〕46号）规定的中小企业扶持政策的，应当在政府采购活动过程中，请根据企业的真实情况出具《中小企业声明函》，采购人、采购代理机构会随成交结果公开成交供应商的《中小企业声明函》，接受社会监督。</w:t>
      </w:r>
    </w:p>
    <w:p w14:paraId="0AF0F826">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26.5采购人、采购代理机构认为供应商对采购过程、成交结果提出的质疑成立且影响或者可能影响成交结果的，合格供应商符合法定数量时，可以从合格的成交候选人中另行确定成交供应商或者重新开展采购活动。</w:t>
      </w:r>
    </w:p>
    <w:p w14:paraId="03D3A29E">
      <w:pPr>
        <w:pStyle w:val="5"/>
        <w:pageBreakBefore w:val="0"/>
        <w:kinsoku w:val="0"/>
        <w:overflowPunct/>
        <w:topLinePunct w:val="0"/>
        <w:autoSpaceDE w:val="0"/>
        <w:autoSpaceDN w:val="0"/>
        <w:bidi w:val="0"/>
        <w:adjustRightInd w:val="0"/>
        <w:snapToGrid w:val="0"/>
        <w:spacing w:before="48" w:line="360" w:lineRule="auto"/>
        <w:ind w:left="484" w:right="0"/>
        <w:textAlignment w:val="baseline"/>
        <w:rPr>
          <w:rFonts w:hint="eastAsia" w:ascii="仿宋" w:hAnsi="仿宋" w:eastAsia="仿宋" w:cs="仿宋"/>
          <w:sz w:val="24"/>
          <w:szCs w:val="24"/>
        </w:rPr>
      </w:pPr>
      <w:r>
        <w:rPr>
          <w:rFonts w:hint="eastAsia" w:ascii="仿宋" w:hAnsi="仿宋" w:eastAsia="仿宋" w:cs="仿宋"/>
          <w:b/>
          <w:bCs/>
          <w:spacing w:val="-6"/>
          <w:sz w:val="24"/>
          <w:szCs w:val="24"/>
          <w14:textOutline w14:w="4388" w14:cap="flat" w14:cmpd="sng">
            <w14:solidFill>
              <w14:srgbClr w14:val="000000"/>
            </w14:solidFill>
            <w14:prstDash w14:val="solid"/>
            <w14:miter w14:val="0"/>
          </w14:textOutline>
        </w:rPr>
        <w:t>27．中标通知书</w:t>
      </w:r>
    </w:p>
    <w:p w14:paraId="04CF651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27.1中标通知书为签订政府采购合同的依据，是合同的有效组成部分。</w:t>
      </w:r>
    </w:p>
    <w:p w14:paraId="009EFF5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27.2中标通知书对采购人和中标人均具有法律效力。中标通知书发出后，采购人改变中标结果，或者中标人无正当理由放弃中标的，应当承担相应的法律责任。</w:t>
      </w:r>
    </w:p>
    <w:p w14:paraId="3C56CB0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27．3中标人的磋商响应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0EACF617">
      <w:pPr>
        <w:pStyle w:val="5"/>
        <w:pageBreakBefore w:val="0"/>
        <w:kinsoku w:val="0"/>
        <w:overflowPunct/>
        <w:topLinePunct w:val="0"/>
        <w:autoSpaceDE w:val="0"/>
        <w:autoSpaceDN w:val="0"/>
        <w:bidi w:val="0"/>
        <w:adjustRightInd w:val="0"/>
        <w:snapToGrid w:val="0"/>
        <w:spacing w:before="121" w:line="360" w:lineRule="auto"/>
        <w:ind w:left="3135" w:right="0"/>
        <w:textAlignment w:val="baseline"/>
        <w:outlineLvl w:val="1"/>
        <w:rPr>
          <w:rFonts w:hint="eastAsia" w:ascii="仿宋" w:hAnsi="仿宋" w:eastAsia="仿宋" w:cs="仿宋"/>
          <w:sz w:val="24"/>
          <w:szCs w:val="24"/>
        </w:rPr>
      </w:pPr>
      <w:r>
        <w:rPr>
          <w:rFonts w:hint="eastAsia" w:ascii="仿宋" w:hAnsi="仿宋" w:eastAsia="仿宋" w:cs="仿宋"/>
          <w:b/>
          <w:bCs/>
          <w:spacing w:val="-1"/>
          <w:sz w:val="24"/>
          <w:szCs w:val="24"/>
          <w14:textOutline w14:w="5137" w14:cap="flat" w14:cmpd="sng">
            <w14:solidFill>
              <w14:srgbClr w14:val="000000"/>
            </w14:solidFill>
            <w14:prstDash w14:val="solid"/>
            <w14:miter w14:val="0"/>
          </w14:textOutline>
        </w:rPr>
        <w:t>六、签订、履行合同及验收</w:t>
      </w:r>
    </w:p>
    <w:p w14:paraId="7A0EE33B">
      <w:pPr>
        <w:pStyle w:val="5"/>
        <w:pageBreakBefore w:val="0"/>
        <w:kinsoku w:val="0"/>
        <w:overflowPunct/>
        <w:topLinePunct w:val="0"/>
        <w:autoSpaceDE w:val="0"/>
        <w:autoSpaceDN w:val="0"/>
        <w:bidi w:val="0"/>
        <w:adjustRightInd w:val="0"/>
        <w:snapToGrid w:val="0"/>
        <w:spacing w:before="65" w:line="360" w:lineRule="auto"/>
        <w:ind w:left="484" w:right="0"/>
        <w:textAlignment w:val="baseline"/>
        <w:rPr>
          <w:rFonts w:hint="eastAsia" w:ascii="仿宋" w:hAnsi="仿宋" w:eastAsia="仿宋" w:cs="仿宋"/>
          <w:sz w:val="24"/>
          <w:szCs w:val="24"/>
        </w:rPr>
      </w:pPr>
      <w:r>
        <w:rPr>
          <w:rFonts w:hint="eastAsia" w:ascii="仿宋" w:hAnsi="仿宋" w:eastAsia="仿宋" w:cs="仿宋"/>
          <w:b/>
          <w:bCs/>
          <w:spacing w:val="4"/>
          <w:sz w:val="24"/>
          <w:szCs w:val="24"/>
          <w14:textOutline w14:w="4388" w14:cap="flat" w14:cmpd="sng">
            <w14:solidFill>
              <w14:srgbClr w14:val="000000"/>
            </w14:solidFill>
            <w14:prstDash w14:val="solid"/>
            <w14:miter w14:val="0"/>
          </w14:textOutline>
        </w:rPr>
        <w:t>28.签订合同</w:t>
      </w:r>
    </w:p>
    <w:p w14:paraId="728CE63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28.1中标人在收到招标人发出的《中标通知书》后，应在法律法规规定的时间内与采购人签订采购合同。由于中标人的原因逾期未与采购人签订采购合同的，将视为放弃中标，取消其中标资格并将按相关规定进行处理。</w:t>
      </w:r>
    </w:p>
    <w:p w14:paraId="5C990FF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28.2采购人不得向中标人提出任何不合理的要求，作为签订合同的条件，不得与中标人私下订立背离合同实质性内容的任何协议，所签订的合同不得对磋商文件和中标人磋商响应文件作实质性修改。</w:t>
      </w:r>
    </w:p>
    <w:p w14:paraId="6A524D1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28.3中标人因不可抗力原因不能履行采购合同或放弃中标的，采购人可以与排在中标人之后第一位的中标候选人签订采购合同，以此类推。</w:t>
      </w:r>
    </w:p>
    <w:p w14:paraId="3D0F88E1">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28.4中标人在合同签订之后三个工作日内，将签订的合同（彩色扫描件）交至采购代理机构。</w:t>
      </w:r>
    </w:p>
    <w:p w14:paraId="294D7C2E">
      <w:pPr>
        <w:pStyle w:val="5"/>
        <w:pageBreakBefore w:val="0"/>
        <w:kinsoku w:val="0"/>
        <w:overflowPunct/>
        <w:topLinePunct w:val="0"/>
        <w:autoSpaceDE w:val="0"/>
        <w:autoSpaceDN w:val="0"/>
        <w:bidi w:val="0"/>
        <w:adjustRightInd w:val="0"/>
        <w:snapToGrid w:val="0"/>
        <w:spacing w:before="84" w:line="360" w:lineRule="auto"/>
        <w:ind w:left="484" w:right="0"/>
        <w:textAlignment w:val="baseline"/>
        <w:rPr>
          <w:rFonts w:hint="eastAsia" w:ascii="仿宋" w:hAnsi="仿宋" w:eastAsia="仿宋" w:cs="仿宋"/>
          <w:sz w:val="24"/>
          <w:szCs w:val="24"/>
        </w:rPr>
      </w:pPr>
      <w:r>
        <w:rPr>
          <w:rFonts w:hint="eastAsia" w:ascii="仿宋" w:hAnsi="仿宋" w:eastAsia="仿宋" w:cs="仿宋"/>
          <w:b/>
          <w:bCs/>
          <w:spacing w:val="5"/>
          <w:sz w:val="24"/>
          <w:szCs w:val="24"/>
          <w14:textOutline w14:w="4388" w14:cap="flat" w14:cmpd="sng">
            <w14:solidFill>
              <w14:srgbClr w14:val="000000"/>
            </w14:solidFill>
            <w14:prstDash w14:val="solid"/>
            <w14:miter w14:val="0"/>
          </w14:textOutline>
        </w:rPr>
        <w:t>29.合同分包（如有）</w:t>
      </w:r>
    </w:p>
    <w:p w14:paraId="031544A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29.1若本项目允许分包的，经采购人同意，中标人可以依法采取分包方式履行合同。这种要求应当在合同签订之前征得采购人同意，并且分包供应商履行的分包项目的品牌、规格型号及技术要求等，必须与中标的一致。</w:t>
      </w:r>
    </w:p>
    <w:p w14:paraId="7EB118E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29.2采购合同实行分包履行的，中标人就采购项目和分包项目向采购人负责，分包供应商就分包项目承担责任。</w:t>
      </w:r>
    </w:p>
    <w:p w14:paraId="40A7E6E3">
      <w:pPr>
        <w:pStyle w:val="5"/>
        <w:pageBreakBefore w:val="0"/>
        <w:kinsoku w:val="0"/>
        <w:overflowPunct/>
        <w:topLinePunct w:val="0"/>
        <w:autoSpaceDE w:val="0"/>
        <w:autoSpaceDN w:val="0"/>
        <w:bidi w:val="0"/>
        <w:adjustRightInd w:val="0"/>
        <w:snapToGrid w:val="0"/>
        <w:spacing w:before="84" w:line="360" w:lineRule="auto"/>
        <w:ind w:left="486" w:right="0"/>
        <w:textAlignment w:val="baseline"/>
        <w:rPr>
          <w:rFonts w:hint="eastAsia" w:ascii="仿宋" w:hAnsi="仿宋" w:eastAsia="仿宋" w:cs="仿宋"/>
          <w:sz w:val="24"/>
          <w:szCs w:val="24"/>
        </w:rPr>
      </w:pPr>
      <w:r>
        <w:rPr>
          <w:rFonts w:hint="eastAsia" w:ascii="仿宋" w:hAnsi="仿宋" w:eastAsia="仿宋" w:cs="仿宋"/>
          <w:b/>
          <w:bCs/>
          <w:spacing w:val="7"/>
          <w:sz w:val="24"/>
          <w:szCs w:val="24"/>
          <w14:textOutline w14:w="4388" w14:cap="flat" w14:cmpd="sng">
            <w14:solidFill>
              <w14:srgbClr w14:val="000000"/>
            </w14:solidFill>
            <w14:prstDash w14:val="solid"/>
            <w14:miter w14:val="0"/>
          </w14:textOutline>
        </w:rPr>
        <w:t>30.采购人增加合同标的权利</w:t>
      </w:r>
    </w:p>
    <w:p w14:paraId="40F2E2C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w:t>
      </w:r>
    </w:p>
    <w:p w14:paraId="54635E4C">
      <w:pPr>
        <w:pStyle w:val="5"/>
        <w:pageBreakBefore w:val="0"/>
        <w:kinsoku w:val="0"/>
        <w:overflowPunct/>
        <w:topLinePunct w:val="0"/>
        <w:autoSpaceDE w:val="0"/>
        <w:autoSpaceDN w:val="0"/>
        <w:bidi w:val="0"/>
        <w:adjustRightInd w:val="0"/>
        <w:snapToGrid w:val="0"/>
        <w:spacing w:before="87" w:line="360" w:lineRule="auto"/>
        <w:ind w:left="486" w:right="0"/>
        <w:textAlignment w:val="baseline"/>
        <w:rPr>
          <w:rFonts w:hint="eastAsia" w:ascii="仿宋" w:hAnsi="仿宋" w:eastAsia="仿宋" w:cs="仿宋"/>
          <w:sz w:val="24"/>
          <w:szCs w:val="24"/>
        </w:rPr>
      </w:pPr>
      <w:r>
        <w:rPr>
          <w:rFonts w:hint="eastAsia" w:ascii="仿宋" w:hAnsi="仿宋" w:eastAsia="仿宋" w:cs="仿宋"/>
          <w:b/>
          <w:bCs/>
          <w:spacing w:val="6"/>
          <w:sz w:val="24"/>
          <w:szCs w:val="24"/>
          <w14:textOutline w14:w="4388" w14:cap="flat" w14:cmpd="sng">
            <w14:solidFill>
              <w14:srgbClr w14:val="000000"/>
            </w14:solidFill>
            <w14:prstDash w14:val="solid"/>
            <w14:miter w14:val="0"/>
          </w14:textOutline>
        </w:rPr>
        <w:t>31.履约保证金</w:t>
      </w:r>
    </w:p>
    <w:p w14:paraId="2D2CDBC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31.1成交供应商应当以支票、汇票、本票或者金融机构、担保机构出具的保函等非现金形式向采购人交纳履约保证金；</w:t>
      </w:r>
    </w:p>
    <w:p w14:paraId="2C5A8BD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31.2本项目免收履约保证金；</w:t>
      </w:r>
    </w:p>
    <w:p w14:paraId="1DBE817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31.3验收合格的项目，采购人应当根据采购合同的约定及时向供应商支付采购资金、退还履约保证金。</w:t>
      </w:r>
    </w:p>
    <w:p w14:paraId="63039DBB">
      <w:pPr>
        <w:pStyle w:val="5"/>
        <w:pageBreakBefore w:val="0"/>
        <w:kinsoku w:val="0"/>
        <w:overflowPunct/>
        <w:topLinePunct w:val="0"/>
        <w:autoSpaceDE w:val="0"/>
        <w:autoSpaceDN w:val="0"/>
        <w:bidi w:val="0"/>
        <w:adjustRightInd w:val="0"/>
        <w:snapToGrid w:val="0"/>
        <w:spacing w:before="83" w:line="360" w:lineRule="auto"/>
        <w:ind w:left="482" w:right="0"/>
        <w:textAlignment w:val="baseline"/>
        <w:rPr>
          <w:rFonts w:hint="eastAsia" w:ascii="仿宋" w:hAnsi="仿宋" w:eastAsia="仿宋" w:cs="仿宋"/>
          <w:sz w:val="24"/>
          <w:szCs w:val="24"/>
        </w:rPr>
      </w:pPr>
      <w:r>
        <w:rPr>
          <w:rFonts w:hint="eastAsia" w:ascii="仿宋" w:hAnsi="仿宋" w:eastAsia="仿宋" w:cs="仿宋"/>
          <w:spacing w:val="7"/>
          <w:sz w:val="24"/>
          <w:szCs w:val="24"/>
          <w14:textOutline w14:w="4388" w14:cap="flat" w14:cmpd="sng">
            <w14:solidFill>
              <w14:srgbClr w14:val="000000"/>
            </w14:solidFill>
            <w14:prstDash w14:val="solid"/>
            <w14:miter w14:val="0"/>
          </w14:textOutline>
        </w:rPr>
        <w:t>32.履行合同</w:t>
      </w:r>
    </w:p>
    <w:p w14:paraId="4A60072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32.1中标人与采购人签订合同后，合同双方应严格执行合同条款，履行合同规定的义务，保证合同的顺利完成。</w:t>
      </w:r>
    </w:p>
    <w:p w14:paraId="4529D22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32.2在合同履行过程中，如发生合同纠纷，合同双方应按照《合同法》的有关规定进行处理。</w:t>
      </w:r>
    </w:p>
    <w:p w14:paraId="0A0FFDAA">
      <w:pPr>
        <w:pStyle w:val="5"/>
        <w:pageBreakBefore w:val="0"/>
        <w:kinsoku w:val="0"/>
        <w:overflowPunct/>
        <w:topLinePunct w:val="0"/>
        <w:autoSpaceDE w:val="0"/>
        <w:autoSpaceDN w:val="0"/>
        <w:bidi w:val="0"/>
        <w:adjustRightInd w:val="0"/>
        <w:snapToGrid w:val="0"/>
        <w:spacing w:before="84" w:line="360" w:lineRule="auto"/>
        <w:ind w:left="482" w:right="0"/>
        <w:textAlignment w:val="baseline"/>
        <w:rPr>
          <w:rFonts w:hint="eastAsia" w:ascii="仿宋" w:hAnsi="仿宋" w:eastAsia="仿宋" w:cs="仿宋"/>
          <w:sz w:val="24"/>
          <w:szCs w:val="24"/>
        </w:rPr>
      </w:pPr>
      <w:r>
        <w:rPr>
          <w:rFonts w:hint="eastAsia" w:ascii="仿宋" w:hAnsi="仿宋" w:eastAsia="仿宋" w:cs="仿宋"/>
          <w:spacing w:val="6"/>
          <w:sz w:val="24"/>
          <w:szCs w:val="24"/>
          <w14:textOutline w14:w="4388" w14:cap="flat" w14:cmpd="sng">
            <w14:solidFill>
              <w14:srgbClr w14:val="000000"/>
            </w14:solidFill>
            <w14:prstDash w14:val="solid"/>
            <w14:miter w14:val="0"/>
          </w14:textOutline>
        </w:rPr>
        <w:t>33.验收</w:t>
      </w:r>
    </w:p>
    <w:p w14:paraId="10F186E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中标人与采购人应严格按照国家财政部《关于进一步加强政府采购需求和履约验收管理的指导意见》（财库〔2016〕205号）的要求进行验收。</w:t>
      </w:r>
    </w:p>
    <w:p w14:paraId="4EAFE83E">
      <w:pPr>
        <w:pStyle w:val="5"/>
        <w:pageBreakBefore w:val="0"/>
        <w:kinsoku w:val="0"/>
        <w:overflowPunct/>
        <w:topLinePunct w:val="0"/>
        <w:autoSpaceDE w:val="0"/>
        <w:autoSpaceDN w:val="0"/>
        <w:bidi w:val="0"/>
        <w:adjustRightInd w:val="0"/>
        <w:snapToGrid w:val="0"/>
        <w:spacing w:before="120" w:line="360" w:lineRule="auto"/>
        <w:ind w:left="3689" w:right="0"/>
        <w:textAlignment w:val="baseline"/>
        <w:rPr>
          <w:rFonts w:hint="eastAsia" w:ascii="仿宋" w:hAnsi="仿宋" w:eastAsia="仿宋" w:cs="仿宋"/>
          <w:sz w:val="24"/>
          <w:szCs w:val="24"/>
        </w:rPr>
      </w:pPr>
      <w:r>
        <w:rPr>
          <w:rFonts w:hint="eastAsia" w:ascii="仿宋" w:hAnsi="仿宋" w:eastAsia="仿宋" w:cs="仿宋"/>
          <w:sz w:val="24"/>
          <w:szCs w:val="24"/>
          <w14:textOutline w14:w="5137" w14:cap="flat" w14:cmpd="sng">
            <w14:solidFill>
              <w14:srgbClr w14:val="000000"/>
            </w14:solidFill>
            <w14:prstDash w14:val="solid"/>
            <w14:miter w14:val="0"/>
          </w14:textOutline>
        </w:rPr>
        <w:t>七、投标纪律要求</w:t>
      </w:r>
    </w:p>
    <w:p w14:paraId="52DFAF2E">
      <w:pPr>
        <w:pStyle w:val="5"/>
        <w:pageBreakBefore w:val="0"/>
        <w:kinsoku w:val="0"/>
        <w:overflowPunct/>
        <w:topLinePunct w:val="0"/>
        <w:autoSpaceDE w:val="0"/>
        <w:autoSpaceDN w:val="0"/>
        <w:bidi w:val="0"/>
        <w:adjustRightInd w:val="0"/>
        <w:snapToGrid w:val="0"/>
        <w:spacing w:before="61" w:line="360" w:lineRule="auto"/>
        <w:ind w:left="482" w:right="0"/>
        <w:textAlignment w:val="baseline"/>
        <w:rPr>
          <w:rFonts w:hint="eastAsia" w:ascii="仿宋" w:hAnsi="仿宋" w:eastAsia="仿宋" w:cs="仿宋"/>
          <w:sz w:val="24"/>
          <w:szCs w:val="24"/>
        </w:rPr>
      </w:pPr>
      <w:r>
        <w:rPr>
          <w:rFonts w:hint="eastAsia" w:ascii="仿宋" w:hAnsi="仿宋" w:eastAsia="仿宋" w:cs="仿宋"/>
          <w:spacing w:val="9"/>
          <w:sz w:val="24"/>
          <w:szCs w:val="24"/>
          <w14:textOutline w14:w="4388" w14:cap="flat" w14:cmpd="sng">
            <w14:solidFill>
              <w14:srgbClr w14:val="000000"/>
            </w14:solidFill>
            <w14:prstDash w14:val="solid"/>
            <w14:miter w14:val="0"/>
          </w14:textOutline>
        </w:rPr>
        <w:t>34.供应商不得具有的情形</w:t>
      </w:r>
    </w:p>
    <w:p w14:paraId="13E7529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供应商参加投标不得有下列情形：</w:t>
      </w:r>
    </w:p>
    <w:p w14:paraId="718BA97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（1）提供虚假材料谋取成交；</w:t>
      </w:r>
    </w:p>
    <w:p w14:paraId="5D475BB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（2）采取不正当手段诋毁、排挤其他磋商供应商；</w:t>
      </w:r>
    </w:p>
    <w:p w14:paraId="1D50C65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（3）与采购单位、其他磋商供应商恶意串通；</w:t>
      </w:r>
    </w:p>
    <w:p w14:paraId="3DDD037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（4）向采购单位、评审委员会成员行贿或者提供其他不正当利益；</w:t>
      </w:r>
    </w:p>
    <w:p w14:paraId="2BD4C28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（5）在磋商过程中与采购单位进行协商谈判；</w:t>
      </w:r>
    </w:p>
    <w:p w14:paraId="4F191065">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（6）成交后无正当理由拒不与采购人签订政府采购合同；</w:t>
      </w:r>
    </w:p>
    <w:p w14:paraId="6569AD4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（7）未按照采购文件确定的事项签订政府采购合同；</w:t>
      </w:r>
    </w:p>
    <w:p w14:paraId="25E5FC7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（8）将政府采购合同转包或者违规分包；</w:t>
      </w:r>
    </w:p>
    <w:p w14:paraId="265212D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（9）提供假冒伪劣产品；</w:t>
      </w:r>
    </w:p>
    <w:p w14:paraId="66AF6BA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（10）擅自变更、中止或者终止政府采购合同；</w:t>
      </w:r>
    </w:p>
    <w:p w14:paraId="33AD2E2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（11）拒绝有关部门的监督检查或者向监督检查部门提供虚假情况；</w:t>
      </w:r>
    </w:p>
    <w:p w14:paraId="6EF4929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（12）法律法规规定的其他情形。</w:t>
      </w:r>
    </w:p>
    <w:p w14:paraId="4ED66C0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供应商有上述情形的，按照规定追究法律责任，具备（1）-（10）条情形之一的，同时将取消成交资格或者认定成交无效。</w:t>
      </w:r>
    </w:p>
    <w:p w14:paraId="71D419B5">
      <w:pPr>
        <w:pStyle w:val="5"/>
        <w:pageBreakBefore w:val="0"/>
        <w:kinsoku w:val="0"/>
        <w:overflowPunct/>
        <w:topLinePunct w:val="0"/>
        <w:autoSpaceDE w:val="0"/>
        <w:autoSpaceDN w:val="0"/>
        <w:bidi w:val="0"/>
        <w:adjustRightInd w:val="0"/>
        <w:snapToGrid w:val="0"/>
        <w:spacing w:before="120" w:line="360" w:lineRule="auto"/>
        <w:ind w:left="3689" w:right="0"/>
        <w:textAlignment w:val="baseline"/>
        <w:rPr>
          <w:rFonts w:hint="eastAsia" w:ascii="仿宋" w:hAnsi="仿宋" w:eastAsia="仿宋" w:cs="仿宋"/>
          <w:sz w:val="24"/>
          <w:szCs w:val="24"/>
          <w14:textOutline w14:w="5137" w14:cap="flat" w14:cmpd="sng">
            <w14:solidFill>
              <w14:srgbClr w14:val="000000"/>
            </w14:solidFill>
            <w14:prstDash w14:val="solid"/>
            <w14:miter w14:val="0"/>
          </w14:textOutline>
        </w:rPr>
      </w:pPr>
      <w:r>
        <w:rPr>
          <w:rFonts w:hint="eastAsia" w:ascii="仿宋" w:hAnsi="仿宋" w:eastAsia="仿宋" w:cs="仿宋"/>
          <w:sz w:val="24"/>
          <w:szCs w:val="24"/>
          <w14:textOutline w14:w="5137" w14:cap="flat" w14:cmpd="sng">
            <w14:solidFill>
              <w14:srgbClr w14:val="000000"/>
            </w14:solidFill>
            <w14:prstDash w14:val="solid"/>
            <w14:miter w14:val="0"/>
          </w14:textOutline>
        </w:rPr>
        <w:t>八、支付货款</w:t>
      </w:r>
    </w:p>
    <w:p w14:paraId="591EB888">
      <w:pPr>
        <w:pStyle w:val="5"/>
        <w:pageBreakBefore w:val="0"/>
        <w:kinsoku w:val="0"/>
        <w:overflowPunct/>
        <w:topLinePunct w:val="0"/>
        <w:autoSpaceDE w:val="0"/>
        <w:autoSpaceDN w:val="0"/>
        <w:bidi w:val="0"/>
        <w:adjustRightInd w:val="0"/>
        <w:snapToGrid w:val="0"/>
        <w:spacing w:before="63" w:line="360" w:lineRule="auto"/>
        <w:ind w:left="482" w:right="0"/>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88" w14:cap="flat" w14:cmpd="sng">
            <w14:solidFill>
              <w14:srgbClr w14:val="000000"/>
            </w14:solidFill>
            <w14:prstDash w14:val="solid"/>
            <w14:miter w14:val="0"/>
          </w14:textOutline>
        </w:rPr>
        <w:t>35.申请支付</w:t>
      </w:r>
    </w:p>
    <w:p w14:paraId="4EC593E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35.1采购项目验收合格，采购人签署验收单后，由采购人直接支付给中标人或者按照有关规定执行。</w:t>
      </w:r>
    </w:p>
    <w:p w14:paraId="7B113A06">
      <w:pPr>
        <w:pStyle w:val="5"/>
        <w:pageBreakBefore w:val="0"/>
        <w:kinsoku w:val="0"/>
        <w:overflowPunct/>
        <w:topLinePunct w:val="0"/>
        <w:autoSpaceDE w:val="0"/>
        <w:autoSpaceDN w:val="0"/>
        <w:bidi w:val="0"/>
        <w:adjustRightInd w:val="0"/>
        <w:snapToGrid w:val="0"/>
        <w:spacing w:before="120" w:line="360" w:lineRule="auto"/>
        <w:ind w:left="3689" w:right="0"/>
        <w:textAlignment w:val="baseline"/>
        <w:rPr>
          <w:rFonts w:hint="eastAsia" w:ascii="仿宋" w:hAnsi="仿宋" w:eastAsia="仿宋" w:cs="仿宋"/>
          <w:sz w:val="24"/>
          <w:szCs w:val="24"/>
          <w14:textOutline w14:w="5137" w14:cap="flat" w14:cmpd="sng">
            <w14:solidFill>
              <w14:srgbClr w14:val="000000"/>
            </w14:solidFill>
            <w14:prstDash w14:val="solid"/>
            <w14:miter w14:val="0"/>
          </w14:textOutline>
        </w:rPr>
      </w:pPr>
      <w:r>
        <w:rPr>
          <w:rFonts w:hint="eastAsia" w:ascii="仿宋" w:hAnsi="仿宋" w:eastAsia="仿宋" w:cs="仿宋"/>
          <w:sz w:val="24"/>
          <w:szCs w:val="24"/>
          <w14:textOutline w14:w="5137" w14:cap="flat" w14:cmpd="sng">
            <w14:solidFill>
              <w14:srgbClr w14:val="000000"/>
            </w14:solidFill>
            <w14:prstDash w14:val="solid"/>
            <w14:miter w14:val="0"/>
          </w14:textOutline>
        </w:rPr>
        <w:t>九、质疑和投诉</w:t>
      </w:r>
    </w:p>
    <w:p w14:paraId="7553AC7A">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36．质疑、投诉的接收和处理严格按照《中华人共和国政府采购法》、《政府采购质疑和投诉办法》、《财政部关于加强政府采购投标人投诉受理审查工作的通知》的规定办理。</w:t>
      </w:r>
    </w:p>
    <w:p w14:paraId="24197C9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36.1投标人认为招标文件、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20E5DA8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36.2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C18988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代理人提出质疑和投诉，应当提交投标人签署的授权委托书。</w:t>
      </w:r>
    </w:p>
    <w:p w14:paraId="64D4D2A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36.3投标人提出质疑应当提交质疑函和必要的证明材料。质疑函应当包括下列内容：</w:t>
      </w:r>
    </w:p>
    <w:p w14:paraId="1DADEA1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（一）投标人的姓名或者名称、地址、邮编、联系人及联系电话；</w:t>
      </w:r>
    </w:p>
    <w:p w14:paraId="09381B4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（二）质疑项目的名称、编号；</w:t>
      </w:r>
    </w:p>
    <w:p w14:paraId="2588ABC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（三）具体、明确的质疑事项和与质疑事项相关的请求；</w:t>
      </w:r>
    </w:p>
    <w:p w14:paraId="3C4224C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（四）事实依据；</w:t>
      </w:r>
    </w:p>
    <w:p w14:paraId="1FBE5D7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（五）必要的法律依据；</w:t>
      </w:r>
    </w:p>
    <w:p w14:paraId="3F55709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（六）提出质疑的日期。</w:t>
      </w:r>
    </w:p>
    <w:p w14:paraId="7AAF6EB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投标人为自然人的，应当由本人签字；投标人为法人或者其他组织的，应当由法定代表人、主要负责人或者其被授权人签字或盖章，并加盖公章。</w:t>
      </w:r>
    </w:p>
    <w:p w14:paraId="0AB1834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接收质疑函的方式：书面形式</w:t>
      </w:r>
    </w:p>
    <w:p w14:paraId="46EC08E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联系部门：</w:t>
      </w:r>
      <w:r>
        <w:rPr>
          <w:rFonts w:hint="eastAsia" w:ascii="仿宋" w:hAnsi="仿宋" w:eastAsia="仿宋" w:cs="仿宋"/>
          <w:spacing w:val="4"/>
          <w:sz w:val="24"/>
          <w:szCs w:val="24"/>
          <w:lang w:val="en-US" w:eastAsia="zh-CN"/>
        </w:rPr>
        <w:t>新疆玖一建设项目管理咨询有限公司</w:t>
      </w:r>
    </w:p>
    <w:p w14:paraId="0CF5BBE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rPr>
        <w:t>联系人及联系电话：</w:t>
      </w:r>
      <w:r>
        <w:rPr>
          <w:rFonts w:hint="eastAsia" w:ascii="仿宋" w:hAnsi="仿宋" w:eastAsia="仿宋" w:cs="仿宋"/>
          <w:spacing w:val="4"/>
          <w:sz w:val="24"/>
          <w:szCs w:val="24"/>
          <w:lang w:val="en-US" w:eastAsia="zh-CN"/>
        </w:rPr>
        <w:t>王荣荣0991-3836791</w:t>
      </w:r>
    </w:p>
    <w:p w14:paraId="4BE183C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通讯地址：</w:t>
      </w:r>
      <w:r>
        <w:rPr>
          <w:rFonts w:hint="eastAsia" w:ascii="仿宋" w:hAnsi="仿宋" w:eastAsia="仿宋" w:cs="仿宋"/>
          <w:spacing w:val="4"/>
          <w:sz w:val="24"/>
          <w:szCs w:val="24"/>
          <w:lang w:val="en-US" w:eastAsia="zh-CN"/>
        </w:rPr>
        <w:t>新疆乌鲁木齐高新区（新市区）高新街258号数码港大厦19层整层</w:t>
      </w:r>
    </w:p>
    <w:p w14:paraId="00C5E28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36.4质疑供应商对采购人、采购代理机构的答复不满意，或者采购人、采购代理机构未在规定时间内作出答复的</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rPr>
        <w:t>可以在答复期满后15个工作日内向本办法第六条规定的财政部门提起投诉。</w:t>
      </w:r>
    </w:p>
    <w:p w14:paraId="1269070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36.5投诉人投诉时，应当提交投诉书和必要的证明材料，并按照被投诉采购人、采购代理机构（以下简称被投诉人）和与投诉事项有关的投标人数量提供投诉书的副本。投诉书应当包括下列内容：</w:t>
      </w:r>
    </w:p>
    <w:p w14:paraId="3F7550E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lang w:eastAsia="zh-CN"/>
        </w:rPr>
      </w:pPr>
      <w:r>
        <w:rPr>
          <w:rFonts w:hint="eastAsia" w:ascii="仿宋" w:hAnsi="仿宋" w:eastAsia="仿宋" w:cs="仿宋"/>
          <w:spacing w:val="4"/>
          <w:sz w:val="24"/>
          <w:szCs w:val="24"/>
        </w:rPr>
        <w:t>（一）投诉人和被投诉人的姓名或者名称、通讯地址、邮编、联系人及联系电话</w:t>
      </w:r>
      <w:r>
        <w:rPr>
          <w:rFonts w:hint="eastAsia" w:ascii="仿宋" w:hAnsi="仿宋" w:eastAsia="仿宋" w:cs="仿宋"/>
          <w:spacing w:val="4"/>
          <w:sz w:val="24"/>
          <w:szCs w:val="24"/>
          <w:lang w:eastAsia="zh-CN"/>
        </w:rPr>
        <w:t>；</w:t>
      </w:r>
    </w:p>
    <w:p w14:paraId="5162D3C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（二）质疑和质疑答复情况说明及相关证明材料；</w:t>
      </w:r>
    </w:p>
    <w:p w14:paraId="463D5EA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（三）具体、明确的投诉事项和与投诉事项相关的投诉请求；</w:t>
      </w:r>
    </w:p>
    <w:p w14:paraId="63FD7AE7">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（四）事实依据；</w:t>
      </w:r>
    </w:p>
    <w:p w14:paraId="020F550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（五）法律依据；</w:t>
      </w:r>
    </w:p>
    <w:p w14:paraId="183F0A4B">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（六）提起投诉的日期。</w:t>
      </w:r>
    </w:p>
    <w:p w14:paraId="1BFBB11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投诉人为自然人的，应当由本人签字；投诉人为法人或者其他组织的，应当由法定代表人、主要负责人，或者其授权代表签字或者盖章，并加盖公章。</w:t>
      </w:r>
    </w:p>
    <w:p w14:paraId="20EACE32">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36.6投诉人应当根据《政府采购质疑和投诉办法》第七条第二款规定的信息内容，并按照其规定的方式提起投诉。</w:t>
      </w:r>
    </w:p>
    <w:p w14:paraId="0CCBD59E">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投诉人提起投诉应当符合下列条件：</w:t>
      </w:r>
    </w:p>
    <w:p w14:paraId="396FD076">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（一）提起投诉前已依法进行质疑；</w:t>
      </w:r>
    </w:p>
    <w:p w14:paraId="4DC329F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（二）投诉书内容符合本办法的规定；</w:t>
      </w:r>
    </w:p>
    <w:p w14:paraId="14AD4BC3">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（三）在投诉有效期限内提起投诉；</w:t>
      </w:r>
    </w:p>
    <w:p w14:paraId="5B7D1E69">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（四）同一投诉事项未经财政部门投诉处理；</w:t>
      </w:r>
    </w:p>
    <w:p w14:paraId="783920A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（五）财政部规定的其他条件。</w:t>
      </w:r>
    </w:p>
    <w:p w14:paraId="3D0EE8BD">
      <w:pPr>
        <w:pStyle w:val="5"/>
        <w:pageBreakBefore w:val="0"/>
        <w:kinsoku w:val="0"/>
        <w:overflowPunct/>
        <w:topLinePunct w:val="0"/>
        <w:autoSpaceDE w:val="0"/>
        <w:autoSpaceDN w:val="0"/>
        <w:bidi w:val="0"/>
        <w:adjustRightInd w:val="0"/>
        <w:snapToGrid w:val="0"/>
        <w:spacing w:before="120" w:line="360" w:lineRule="auto"/>
        <w:ind w:right="0"/>
        <w:jc w:val="center"/>
        <w:textAlignment w:val="baseline"/>
        <w:rPr>
          <w:rFonts w:hint="eastAsia" w:ascii="仿宋" w:hAnsi="仿宋" w:eastAsia="仿宋" w:cs="仿宋"/>
          <w:sz w:val="24"/>
          <w:szCs w:val="24"/>
          <w14:textOutline w14:w="5137" w14:cap="flat" w14:cmpd="sng">
            <w14:solidFill>
              <w14:srgbClr w14:val="000000"/>
            </w14:solidFill>
            <w14:prstDash w14:val="solid"/>
            <w14:miter w14:val="0"/>
          </w14:textOutline>
        </w:rPr>
      </w:pPr>
      <w:r>
        <w:rPr>
          <w:rFonts w:hint="eastAsia" w:ascii="仿宋" w:hAnsi="仿宋" w:eastAsia="仿宋" w:cs="仿宋"/>
          <w:sz w:val="24"/>
          <w:szCs w:val="24"/>
          <w14:textOutline w14:w="5137" w14:cap="flat" w14:cmpd="sng">
            <w14:solidFill>
              <w14:srgbClr w14:val="000000"/>
            </w14:solidFill>
            <w14:prstDash w14:val="solid"/>
            <w14:miter w14:val="0"/>
          </w14:textOutline>
        </w:rPr>
        <w:t>十、需要补充的其他内容</w:t>
      </w:r>
    </w:p>
    <w:p w14:paraId="00048020">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37.供应商瑕疵滞后发现的处理规则</w:t>
      </w:r>
    </w:p>
    <w:p w14:paraId="423A6D0C">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37.1无论基于何种原因，各项本应作拒绝处理的情形即便未被及时发现而使该供应商人进入初审、综合评审或其他后续程序，包括已经签订合同的情形，一旦供应商被拒绝或该投标人的此前评议结果被取消，其现有的位置将被其他供应商依序替代，相关的一切损失均由该供应商承担</w:t>
      </w:r>
    </w:p>
    <w:p w14:paraId="5C645284">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38.保密和披露</w:t>
      </w:r>
    </w:p>
    <w:p w14:paraId="73A3C4DF">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38.1供应商自领取招标文件之日起，须承担本招标项目保密义务，不得将因本次招标获得的信息向第三人外传。由采购人向供应商提供的图纸、详细资料、样品、模型、模件和所有其它资料，被视为保密资料，仅被用于它所规定的用途。除非得到采购人的同意，不能向任何第三方透露。开标结束后，应采购人要求，供应商应归还所有从采购人处获得的保密资料。</w:t>
      </w:r>
    </w:p>
    <w:p w14:paraId="3A758B98">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38.2采购代理机构有权将供应商提供的所有资料向有关政府部门或评审标书的有关人员披露。</w:t>
      </w:r>
    </w:p>
    <w:p w14:paraId="5E8E7D5D">
      <w:pPr>
        <w:pStyle w:val="5"/>
        <w:keepNext w:val="0"/>
        <w:keepLines w:val="0"/>
        <w:pageBreakBefore w:val="0"/>
        <w:widowControl/>
        <w:kinsoku w:val="0"/>
        <w:wordWrap/>
        <w:overflowPunct/>
        <w:topLinePunct w:val="0"/>
        <w:autoSpaceDE w:val="0"/>
        <w:autoSpaceDN w:val="0"/>
        <w:bidi w:val="0"/>
        <w:adjustRightInd w:val="0"/>
        <w:snapToGrid w:val="0"/>
        <w:spacing w:line="300" w:lineRule="auto"/>
        <w:ind w:right="0" w:firstLine="499"/>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38.3在采购代理机构认为适当时、国家机关调查、审查、审计时以及其他符合法律规定的情形下，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4EE84B6E">
      <w:pPr>
        <w:rPr>
          <w:rFonts w:hint="eastAsia" w:ascii="仿宋" w:hAnsi="仿宋" w:eastAsia="仿宋" w:cs="仿宋"/>
          <w:spacing w:val="9"/>
          <w:sz w:val="24"/>
          <w:szCs w:val="24"/>
          <w14:textOutline w14:w="5835" w14:cap="flat" w14:cmpd="sng">
            <w14:solidFill>
              <w14:srgbClr w14:val="000000"/>
            </w14:solidFill>
            <w14:prstDash w14:val="solid"/>
            <w14:miter w14:val="0"/>
          </w14:textOutline>
        </w:rPr>
      </w:pPr>
      <w:r>
        <w:rPr>
          <w:rFonts w:hint="eastAsia" w:ascii="仿宋" w:hAnsi="仿宋" w:eastAsia="仿宋" w:cs="仿宋"/>
          <w:spacing w:val="9"/>
          <w:sz w:val="24"/>
          <w:szCs w:val="24"/>
          <w14:textOutline w14:w="5835" w14:cap="flat" w14:cmpd="sng">
            <w14:solidFill>
              <w14:srgbClr w14:val="000000"/>
            </w14:solidFill>
            <w14:prstDash w14:val="solid"/>
            <w14:miter w14:val="0"/>
          </w14:textOutline>
        </w:rPr>
        <w:br w:type="page"/>
      </w:r>
    </w:p>
    <w:p w14:paraId="721C4224">
      <w:pPr>
        <w:pStyle w:val="5"/>
        <w:pageBreakBefore w:val="0"/>
        <w:kinsoku w:val="0"/>
        <w:overflowPunct/>
        <w:topLinePunct w:val="0"/>
        <w:autoSpaceDE w:val="0"/>
        <w:autoSpaceDN w:val="0"/>
        <w:bidi w:val="0"/>
        <w:adjustRightInd w:val="0"/>
        <w:snapToGrid w:val="0"/>
        <w:spacing w:before="64" w:line="360" w:lineRule="auto"/>
        <w:ind w:right="0"/>
        <w:jc w:val="center"/>
        <w:textAlignment w:val="baseline"/>
        <w:outlineLvl w:val="0"/>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pPr>
      <w:bookmarkStart w:id="5" w:name="_Toc8706"/>
      <w:r>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t>第三章技术参数、规格及要求</w:t>
      </w:r>
      <w:bookmarkEnd w:id="5"/>
    </w:p>
    <w:p w14:paraId="1516A94A">
      <w:pPr>
        <w:pageBreakBefore w:val="0"/>
        <w:kinsoku/>
        <w:wordWrap/>
        <w:overflowPunct/>
        <w:topLinePunct w:val="0"/>
        <w:autoSpaceDE/>
        <w:autoSpaceDN/>
        <w:bidi w:val="0"/>
        <w:snapToGrid/>
        <w:spacing w:line="500" w:lineRule="exact"/>
        <w:textAlignment w:val="auto"/>
        <w:outlineLvl w:val="9"/>
        <w:rPr>
          <w:rFonts w:hint="eastAsia" w:ascii="仿宋" w:hAnsi="仿宋" w:eastAsia="仿宋" w:cs="仿宋"/>
          <w:b/>
          <w:bCs/>
          <w:color w:val="FF0000"/>
          <w:sz w:val="24"/>
          <w:szCs w:val="24"/>
          <w:lang w:eastAsia="zh-CN"/>
        </w:rPr>
      </w:pPr>
      <w:r>
        <w:rPr>
          <w:rFonts w:hint="eastAsia" w:ascii="仿宋" w:hAnsi="仿宋" w:eastAsia="仿宋" w:cs="仿宋"/>
          <w:b/>
          <w:bCs/>
          <w:color w:val="FF0000"/>
          <w:sz w:val="24"/>
          <w:szCs w:val="24"/>
        </w:rPr>
        <w:t>一、项目</w:t>
      </w:r>
      <w:r>
        <w:rPr>
          <w:rFonts w:hint="eastAsia" w:ascii="仿宋" w:hAnsi="仿宋" w:eastAsia="仿宋" w:cs="仿宋"/>
          <w:b/>
          <w:bCs/>
          <w:color w:val="FF0000"/>
          <w:sz w:val="24"/>
          <w:szCs w:val="24"/>
          <w:lang w:eastAsia="zh-CN"/>
        </w:rPr>
        <w:t>综述</w:t>
      </w:r>
    </w:p>
    <w:p w14:paraId="35AB8282">
      <w:pPr>
        <w:pStyle w:val="5"/>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项目</w:t>
      </w:r>
      <w:r>
        <w:rPr>
          <w:rFonts w:hint="eastAsia" w:ascii="仿宋" w:hAnsi="仿宋" w:eastAsia="仿宋" w:cs="仿宋"/>
          <w:color w:val="FF0000"/>
          <w:sz w:val="24"/>
          <w:szCs w:val="24"/>
          <w:lang w:eastAsia="zh-CN"/>
        </w:rPr>
        <w:t>概况</w:t>
      </w:r>
      <w:r>
        <w:rPr>
          <w:rFonts w:hint="eastAsia" w:ascii="仿宋" w:hAnsi="仿宋" w:eastAsia="仿宋" w:cs="仿宋"/>
          <w:color w:val="FF0000"/>
          <w:sz w:val="24"/>
          <w:szCs w:val="24"/>
        </w:rPr>
        <w:t>：新疆农业职业技术大学是一所公办本科层次职业学校。学校前身是创建于1958年的昌吉州合作干部学校，2000年升格为新疆农业职业技术学院。2024年6月，教育部批准以新疆农业职业技术学院为基础设立新疆农业职业技术大学，学校成为新疆首所公办本科层次职业学校。为充分展示学校建校以来的发展历程与成就，增强广大师生的集体荣誉感和凝聚力，激发广大师生热爱学校、贡献学校、发展学校的热情与积极性，拟在学校</w:t>
      </w:r>
      <w:r>
        <w:rPr>
          <w:rFonts w:hint="eastAsia" w:ascii="仿宋" w:hAnsi="仿宋" w:eastAsia="仿宋" w:cs="仿宋"/>
          <w:color w:val="FF0000"/>
          <w:sz w:val="24"/>
          <w:szCs w:val="24"/>
          <w:lang w:val="en-US" w:eastAsia="zh-CN"/>
        </w:rPr>
        <w:t>图书馆</w:t>
      </w:r>
      <w:r>
        <w:rPr>
          <w:rFonts w:hint="eastAsia" w:ascii="仿宋" w:hAnsi="仿宋" w:eastAsia="仿宋" w:cs="仿宋"/>
          <w:color w:val="FF0000"/>
          <w:sz w:val="24"/>
          <w:szCs w:val="24"/>
        </w:rPr>
        <w:t>建设校史馆，集中展现学校办学历史、办学理念、文化积淀和育人成果。</w:t>
      </w:r>
    </w:p>
    <w:p w14:paraId="5EAB83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项目</w:t>
      </w:r>
      <w:r>
        <w:rPr>
          <w:rFonts w:hint="eastAsia" w:ascii="仿宋" w:hAnsi="仿宋" w:eastAsia="仿宋" w:cs="仿宋"/>
          <w:color w:val="FF0000"/>
          <w:sz w:val="24"/>
          <w:szCs w:val="24"/>
          <w:lang w:eastAsia="zh-CN"/>
        </w:rPr>
        <w:t>名称</w:t>
      </w:r>
      <w:r>
        <w:rPr>
          <w:rFonts w:hint="eastAsia" w:ascii="仿宋" w:hAnsi="仿宋" w:eastAsia="仿宋" w:cs="仿宋"/>
          <w:color w:val="FF0000"/>
          <w:sz w:val="24"/>
          <w:szCs w:val="24"/>
        </w:rPr>
        <w:t>：新疆农业职业技术大学校史馆</w:t>
      </w:r>
      <w:r>
        <w:rPr>
          <w:rFonts w:hint="eastAsia" w:ascii="仿宋" w:hAnsi="仿宋" w:eastAsia="仿宋" w:cs="仿宋"/>
          <w:color w:val="FF0000"/>
          <w:sz w:val="24"/>
          <w:szCs w:val="24"/>
          <w:lang w:eastAsia="zh-CN"/>
        </w:rPr>
        <w:t>建设</w:t>
      </w:r>
      <w:r>
        <w:rPr>
          <w:rFonts w:hint="eastAsia" w:ascii="仿宋" w:hAnsi="仿宋" w:eastAsia="仿宋" w:cs="仿宋"/>
          <w:color w:val="FF0000"/>
          <w:sz w:val="24"/>
          <w:szCs w:val="24"/>
        </w:rPr>
        <w:t>项目</w:t>
      </w:r>
    </w:p>
    <w:p w14:paraId="42DBAE55">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项目地址：新疆农业职业技术大学</w:t>
      </w:r>
      <w:r>
        <w:rPr>
          <w:rFonts w:hint="eastAsia" w:ascii="仿宋" w:hAnsi="仿宋" w:eastAsia="仿宋" w:cs="仿宋"/>
          <w:color w:val="FF0000"/>
          <w:sz w:val="24"/>
          <w:szCs w:val="24"/>
          <w:lang w:eastAsia="zh-CN"/>
        </w:rPr>
        <w:t>图书馆</w:t>
      </w:r>
    </w:p>
    <w:p w14:paraId="7691B1BB">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eastAsia="zh-CN"/>
        </w:rPr>
        <w:t>建筑面积：</w:t>
      </w:r>
      <w:r>
        <w:rPr>
          <w:rFonts w:hint="eastAsia" w:ascii="仿宋" w:hAnsi="仿宋" w:eastAsia="仿宋" w:cs="仿宋"/>
          <w:color w:val="FF0000"/>
          <w:sz w:val="24"/>
          <w:szCs w:val="24"/>
          <w:lang w:val="en-US" w:eastAsia="zh-CN"/>
        </w:rPr>
        <w:t>1250平方</w:t>
      </w:r>
    </w:p>
    <w:p w14:paraId="2B432834">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预算金额：</w:t>
      </w:r>
      <w:r>
        <w:rPr>
          <w:rFonts w:hint="eastAsia" w:ascii="仿宋" w:hAnsi="仿宋" w:eastAsia="仿宋" w:cs="仿宋"/>
          <w:color w:val="FF0000"/>
          <w:sz w:val="24"/>
          <w:szCs w:val="24"/>
          <w:lang w:val="en-US" w:eastAsia="zh-CN"/>
        </w:rPr>
        <w:t>391</w:t>
      </w:r>
      <w:r>
        <w:rPr>
          <w:rFonts w:hint="eastAsia" w:ascii="仿宋" w:hAnsi="仿宋" w:eastAsia="仿宋" w:cs="仿宋"/>
          <w:color w:val="FF0000"/>
          <w:sz w:val="24"/>
          <w:szCs w:val="24"/>
        </w:rPr>
        <w:t>万元</w:t>
      </w:r>
    </w:p>
    <w:p w14:paraId="52B193B1">
      <w:pPr>
        <w:pageBreakBefore w:val="0"/>
        <w:numPr>
          <w:ilvl w:val="0"/>
          <w:numId w:val="0"/>
        </w:numPr>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eastAsia="zh-CN"/>
        </w:rPr>
        <w:t>招标范围</w:t>
      </w:r>
      <w:r>
        <w:rPr>
          <w:rFonts w:hint="eastAsia" w:ascii="仿宋" w:hAnsi="仿宋" w:eastAsia="仿宋" w:cs="仿宋"/>
          <w:color w:val="FF0000"/>
          <w:sz w:val="24"/>
          <w:szCs w:val="24"/>
        </w:rPr>
        <w:t>：新疆农业职业技术大学</w:t>
      </w:r>
      <w:r>
        <w:rPr>
          <w:rFonts w:hint="eastAsia" w:ascii="仿宋" w:hAnsi="仿宋" w:eastAsia="仿宋" w:cs="仿宋"/>
          <w:color w:val="FF0000"/>
          <w:sz w:val="24"/>
          <w:szCs w:val="24"/>
          <w:lang w:eastAsia="zh-CN"/>
        </w:rPr>
        <w:t>校史馆</w:t>
      </w:r>
      <w:r>
        <w:rPr>
          <w:rFonts w:hint="eastAsia" w:ascii="仿宋" w:hAnsi="仿宋" w:eastAsia="仿宋" w:cs="仿宋"/>
          <w:color w:val="FF0000"/>
          <w:sz w:val="24"/>
          <w:szCs w:val="24"/>
        </w:rPr>
        <w:t>方案设计</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施工、布展（包含：在预算范围内的文案脚本撰写、效果图设计、施工图设计、布展实施方案、工程量清单预算等）。但不限于：</w:t>
      </w:r>
    </w:p>
    <w:p w14:paraId="1D43FBAC">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(1)完成本项目的展陈大纲设计：构建展览的核心框架，确保内容的连贯性和吸引力。</w:t>
      </w:r>
    </w:p>
    <w:p w14:paraId="692A2136">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(2)效果图设计：通过高质量的视觉呈现，预览最终展示效果，确保设计意图的准确传达。</w:t>
      </w:r>
    </w:p>
    <w:p w14:paraId="1306C630">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(3)展陈内容策划：精心策划展示内容，结合主题深度挖掘，提升展览的教育与观赏价值。</w:t>
      </w:r>
    </w:p>
    <w:p w14:paraId="30433830">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(4)布展方案设计：制定详细的布展计划，确保后期建设施工顺畅。</w:t>
      </w:r>
    </w:p>
    <w:p w14:paraId="6C222A66">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(5)多媒体应用设计：融合先进多媒体技术，增强互动体验，使展览更具时代感和科技感。</w:t>
      </w:r>
    </w:p>
    <w:p w14:paraId="144530DF">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(6)初步设计与施工图设计：从概念到实施，提供详尽的技术图纸和施工指南，确保设计方案可落地执行。</w:t>
      </w:r>
    </w:p>
    <w:p w14:paraId="04ACCB60">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(7)二次深化设计：根据项目进展，进行必要的设计调整和优化，以适应现场条件和最新需求。</w:t>
      </w:r>
    </w:p>
    <w:p w14:paraId="72C36FB0">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(8)竣工验收及质量保修阶段的设计服务：满足采购人各项功能、使用性要求及业主委托的其他工作。按发包人要求按质按时提交设计成果，并取得国家相关职能部门的批准；</w:t>
      </w:r>
    </w:p>
    <w:p w14:paraId="5411EEC2">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(9)施工包括但不限于展示区整体基础工程、陈列布展等，具体以施工图设计及工程量清单为准；</w:t>
      </w:r>
    </w:p>
    <w:p w14:paraId="6F108385">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(10)布展实施包括但不限于各阶段设计、设施设备采购和安装、室内布展、系统集成、多媒体数字内容制作、布展大纲撰写等工作内容；</w:t>
      </w:r>
    </w:p>
    <w:p w14:paraId="54ADAB4E">
      <w:pPr>
        <w:pageBreakBefore w:val="0"/>
        <w:numPr>
          <w:ilvl w:val="0"/>
          <w:numId w:val="0"/>
        </w:numPr>
        <w:kinsoku/>
        <w:wordWrap/>
        <w:overflowPunct/>
        <w:topLinePunct w:val="0"/>
        <w:autoSpaceDE/>
        <w:autoSpaceDN/>
        <w:bidi w:val="0"/>
        <w:snapToGrid/>
        <w:spacing w:line="500" w:lineRule="exact"/>
        <w:ind w:firstLine="720" w:firstLineChars="3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(11)本项目涉及的所有材料设备采购、运输、保管、设备的安装调试、试运行等，直至综合验收合格交付采购人使用。</w:t>
      </w:r>
    </w:p>
    <w:p w14:paraId="4455E506">
      <w:pPr>
        <w:pageBreakBefore w:val="0"/>
        <w:kinsoku/>
        <w:wordWrap/>
        <w:overflowPunct/>
        <w:topLinePunct w:val="0"/>
        <w:autoSpaceDE/>
        <w:autoSpaceDN/>
        <w:bidi w:val="0"/>
        <w:snapToGrid/>
        <w:spacing w:line="500" w:lineRule="exact"/>
        <w:textAlignment w:val="auto"/>
        <w:outlineLvl w:val="9"/>
        <w:rPr>
          <w:rFonts w:hint="eastAsia" w:ascii="仿宋" w:hAnsi="仿宋" w:eastAsia="仿宋" w:cs="仿宋"/>
          <w:b/>
          <w:bCs/>
          <w:color w:val="FF0000"/>
          <w:sz w:val="24"/>
          <w:szCs w:val="24"/>
          <w:lang w:eastAsia="zh-CN"/>
        </w:rPr>
      </w:pPr>
      <w:r>
        <w:rPr>
          <w:rFonts w:hint="eastAsia" w:ascii="仿宋" w:hAnsi="仿宋" w:eastAsia="仿宋" w:cs="仿宋"/>
          <w:b/>
          <w:bCs/>
          <w:color w:val="FF0000"/>
          <w:sz w:val="24"/>
          <w:szCs w:val="24"/>
        </w:rPr>
        <w:t>二、</w:t>
      </w:r>
      <w:r>
        <w:rPr>
          <w:rFonts w:hint="eastAsia" w:ascii="仿宋" w:hAnsi="仿宋" w:eastAsia="仿宋" w:cs="仿宋"/>
          <w:b/>
          <w:bCs/>
          <w:color w:val="FF0000"/>
          <w:sz w:val="24"/>
          <w:szCs w:val="24"/>
          <w:lang w:eastAsia="zh-CN"/>
        </w:rPr>
        <w:t>功能定位</w:t>
      </w:r>
    </w:p>
    <w:p w14:paraId="5E000E10">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rPr>
        <w:t>（一</w:t>
      </w:r>
      <w:r>
        <w:rPr>
          <w:rFonts w:hint="eastAsia" w:ascii="仿宋" w:hAnsi="仿宋" w:eastAsia="仿宋" w:cs="仿宋"/>
          <w:b/>
          <w:bCs/>
          <w:color w:val="FF0000"/>
          <w:sz w:val="24"/>
          <w:szCs w:val="24"/>
          <w:lang w:eastAsia="zh-CN"/>
        </w:rPr>
        <w:t>）时空剧场</w:t>
      </w:r>
    </w:p>
    <w:p w14:paraId="2D06B106">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讲述学校校史故事，以实景实物为观众创造出一个仿佛置身于历史长河中的沉浸式体验，亲身感受学校历史的变迁与发展，品味历史之厚重，汲取精神之营养。</w:t>
      </w:r>
    </w:p>
    <w:p w14:paraId="5EE8F309">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（二）教育基地</w:t>
      </w:r>
    </w:p>
    <w:p w14:paraId="2B854152">
      <w:pPr>
        <w:pageBreakBefore w:val="0"/>
        <w:kinsoku/>
        <w:wordWrap/>
        <w:overflowPunct/>
        <w:topLinePunct w:val="0"/>
        <w:autoSpaceDE/>
        <w:autoSpaceDN/>
        <w:bidi w:val="0"/>
        <w:snapToGrid/>
        <w:spacing w:line="500" w:lineRule="exact"/>
        <w:ind w:firstLine="480" w:firstLineChars="2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color w:val="FF0000"/>
          <w:sz w:val="24"/>
          <w:szCs w:val="24"/>
          <w:lang w:val="en-US" w:eastAsia="zh-CN"/>
        </w:rPr>
        <w:t>对师生进行知校爱校荣校教育和思政教育的重要基地，成为激励师生成长的肥沃土壤，增强师生的自豪感与认同感。</w:t>
      </w:r>
    </w:p>
    <w:p w14:paraId="124E3310">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（三）精神家园</w:t>
      </w:r>
    </w:p>
    <w:p w14:paraId="473C3456">
      <w:pPr>
        <w:pageBreakBefore w:val="0"/>
        <w:kinsoku/>
        <w:wordWrap/>
        <w:overflowPunct/>
        <w:topLinePunct w:val="0"/>
        <w:autoSpaceDE/>
        <w:autoSpaceDN/>
        <w:bidi w:val="0"/>
        <w:snapToGrid/>
        <w:spacing w:line="500" w:lineRule="exact"/>
        <w:ind w:firstLine="480" w:firstLineChars="200"/>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传承学校精神文化及联系校友，激发后辈奋斗进取，在未来面对挑战时从中吸取能量和智慧，加深对学校的认同感与归属感。</w:t>
      </w:r>
    </w:p>
    <w:p w14:paraId="59F4C23D">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（四）开放窗口</w:t>
      </w:r>
    </w:p>
    <w:p w14:paraId="7860CF81">
      <w:pPr>
        <w:pageBreakBefore w:val="0"/>
        <w:kinsoku/>
        <w:wordWrap/>
        <w:overflowPunct/>
        <w:topLinePunct w:val="0"/>
        <w:autoSpaceDE/>
        <w:autoSpaceDN/>
        <w:bidi w:val="0"/>
        <w:snapToGrid/>
        <w:spacing w:line="500" w:lineRule="exact"/>
        <w:ind w:firstLine="480" w:firstLineChars="200"/>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宣传学校办学特色，展示学校品牌形象，向外界传递学校的办学理念、办学实力和办学成果，增强学校在社会上的影响力和竞争力，促进与其他兄弟院校之间的交流与合作。</w:t>
      </w:r>
    </w:p>
    <w:p w14:paraId="525CE9EF">
      <w:pPr>
        <w:pageBreakBefore w:val="0"/>
        <w:kinsoku/>
        <w:wordWrap/>
        <w:overflowPunct/>
        <w:topLinePunct w:val="0"/>
        <w:autoSpaceDE/>
        <w:autoSpaceDN/>
        <w:bidi w:val="0"/>
        <w:snapToGrid/>
        <w:spacing w:line="500" w:lineRule="exact"/>
        <w:textAlignment w:val="auto"/>
        <w:outlineLvl w:val="9"/>
        <w:rPr>
          <w:rFonts w:hint="eastAsia" w:ascii="仿宋" w:hAnsi="仿宋" w:eastAsia="仿宋" w:cs="仿宋"/>
          <w:b/>
          <w:bCs/>
          <w:color w:val="FF0000"/>
          <w:sz w:val="24"/>
          <w:szCs w:val="24"/>
        </w:rPr>
      </w:pPr>
      <w:r>
        <w:rPr>
          <w:rFonts w:hint="eastAsia" w:ascii="仿宋" w:hAnsi="仿宋" w:eastAsia="仿宋" w:cs="仿宋"/>
          <w:b/>
          <w:bCs/>
          <w:color w:val="FF0000"/>
          <w:sz w:val="24"/>
          <w:szCs w:val="24"/>
          <w:lang w:eastAsia="zh-CN"/>
        </w:rPr>
        <w:t>三</w:t>
      </w:r>
      <w:r>
        <w:rPr>
          <w:rFonts w:hint="eastAsia" w:ascii="仿宋" w:hAnsi="仿宋" w:eastAsia="仿宋" w:cs="仿宋"/>
          <w:b/>
          <w:bCs/>
          <w:color w:val="FF0000"/>
          <w:sz w:val="24"/>
          <w:szCs w:val="24"/>
        </w:rPr>
        <w:t>、设计要求</w:t>
      </w:r>
    </w:p>
    <w:p w14:paraId="5EC133AF">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（一）设计内容</w:t>
      </w:r>
    </w:p>
    <w:p w14:paraId="505D1FEE">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eastAsia="zh-CN"/>
        </w:rPr>
        <w:t>新疆农业职业技术大学校史馆</w:t>
      </w:r>
      <w:r>
        <w:rPr>
          <w:rFonts w:hint="eastAsia" w:ascii="仿宋" w:hAnsi="仿宋" w:eastAsia="仿宋" w:cs="仿宋"/>
          <w:color w:val="FF0000"/>
          <w:sz w:val="24"/>
          <w:szCs w:val="24"/>
        </w:rPr>
        <w:t>整体设计，</w:t>
      </w:r>
      <w:r>
        <w:rPr>
          <w:rFonts w:hint="eastAsia" w:ascii="仿宋" w:hAnsi="仿宋" w:eastAsia="仿宋" w:cs="仿宋"/>
          <w:color w:val="FF0000"/>
          <w:sz w:val="24"/>
          <w:szCs w:val="24"/>
          <w:lang w:eastAsia="zh-CN"/>
        </w:rPr>
        <w:t>包括</w:t>
      </w:r>
      <w:r>
        <w:rPr>
          <w:rFonts w:hint="eastAsia" w:ascii="仿宋" w:hAnsi="仿宋" w:eastAsia="仿宋" w:cs="仿宋"/>
          <w:color w:val="FF0000"/>
          <w:sz w:val="24"/>
          <w:szCs w:val="24"/>
        </w:rPr>
        <w:t>空间环境设计</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场景、沙盘、展柜、图文展板、说明牌等展示设计，多媒体声光电设计、专业照明及电路设计等内容。</w:t>
      </w:r>
    </w:p>
    <w:p w14:paraId="1856822B">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（二）主题设计</w:t>
      </w:r>
    </w:p>
    <w:p w14:paraId="40C8FD48">
      <w:pPr>
        <w:pageBreakBefore w:val="0"/>
        <w:kinsoku/>
        <w:wordWrap/>
        <w:overflowPunct/>
        <w:topLinePunct w:val="0"/>
        <w:autoSpaceDE/>
        <w:autoSpaceDN/>
        <w:bidi w:val="0"/>
        <w:snapToGrid/>
        <w:spacing w:line="500" w:lineRule="exact"/>
        <w:ind w:firstLine="480" w:firstLineChars="200"/>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结合地域文化、办学特色、精神文化等凝练主题，要求站位高远、特色鲜明、内涵丰富。充分挖掘主题内涵并紧扣主题凝练各篇章标题，与展览内容完美契合。</w:t>
      </w:r>
    </w:p>
    <w:p w14:paraId="218C0902">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（三）设计原则及设计风格</w:t>
      </w:r>
    </w:p>
    <w:p w14:paraId="5B4F3123">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史料立基：坚持档案史料、历史文物的基础地位和主导作用</w:t>
      </w:r>
      <w:r>
        <w:rPr>
          <w:rFonts w:hint="eastAsia" w:ascii="仿宋" w:hAnsi="仿宋" w:eastAsia="仿宋" w:cs="仿宋"/>
          <w:color w:val="FF0000"/>
          <w:sz w:val="24"/>
          <w:szCs w:val="24"/>
          <w:lang w:eastAsia="zh-CN"/>
        </w:rPr>
        <w:t>。</w:t>
      </w:r>
    </w:p>
    <w:p w14:paraId="2BB8FD55">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理念清晰：梳理学校发展特色文化内涵，贯穿设计理念。</w:t>
      </w:r>
    </w:p>
    <w:p w14:paraId="791AB47A">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真实感人：深入挖掘学校历史与人文情况，凝练文脉，刻画细节。</w:t>
      </w:r>
    </w:p>
    <w:p w14:paraId="7ED22415">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适度超前：简约大气、量身打造、形式丰富、智慧科技。</w:t>
      </w:r>
    </w:p>
    <w:p w14:paraId="09AC61FE">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在遵循设计原则的基础上，应考虑整体风格的协调统一、多元呈现，</w:t>
      </w:r>
      <w:r>
        <w:rPr>
          <w:rFonts w:hint="eastAsia" w:ascii="仿宋" w:hAnsi="仿宋" w:eastAsia="仿宋" w:cs="仿宋"/>
          <w:color w:val="FF0000"/>
          <w:sz w:val="24"/>
          <w:szCs w:val="24"/>
        </w:rPr>
        <w:t>整体展示风格定位庄重、大气，同时</w:t>
      </w:r>
      <w:r>
        <w:rPr>
          <w:rFonts w:hint="eastAsia" w:ascii="仿宋" w:hAnsi="仿宋" w:eastAsia="仿宋" w:cs="仿宋"/>
          <w:color w:val="FF0000"/>
          <w:sz w:val="24"/>
          <w:szCs w:val="24"/>
          <w:lang w:eastAsia="zh-CN"/>
        </w:rPr>
        <w:t>要</w:t>
      </w:r>
      <w:r>
        <w:rPr>
          <w:rFonts w:hint="eastAsia" w:ascii="仿宋" w:hAnsi="仿宋" w:eastAsia="仿宋" w:cs="仿宋"/>
          <w:color w:val="FF0000"/>
          <w:sz w:val="24"/>
          <w:szCs w:val="24"/>
          <w:lang w:val="en-US" w:eastAsia="zh-CN"/>
        </w:rPr>
        <w:t>体现不同展区的个性特色、各展区模块的流畅性和逻辑性。</w:t>
      </w:r>
      <w:r>
        <w:rPr>
          <w:rFonts w:hint="eastAsia" w:ascii="仿宋" w:hAnsi="仿宋" w:eastAsia="仿宋" w:cs="仿宋"/>
          <w:color w:val="FF0000"/>
          <w:sz w:val="24"/>
          <w:szCs w:val="24"/>
        </w:rPr>
        <w:t>在设计元素的提炼上要立足学校地域、校史文化，全方位、多视角展示</w:t>
      </w:r>
      <w:r>
        <w:rPr>
          <w:rFonts w:hint="eastAsia" w:ascii="仿宋" w:hAnsi="仿宋" w:eastAsia="仿宋" w:cs="仿宋"/>
          <w:color w:val="FF0000"/>
          <w:sz w:val="24"/>
          <w:szCs w:val="24"/>
          <w:lang w:eastAsia="zh-CN"/>
        </w:rPr>
        <w:t>新疆农业职业技术大学厚重</w:t>
      </w:r>
      <w:r>
        <w:rPr>
          <w:rFonts w:hint="eastAsia" w:ascii="仿宋" w:hAnsi="仿宋" w:eastAsia="仿宋" w:cs="仿宋"/>
          <w:color w:val="FF0000"/>
          <w:sz w:val="24"/>
          <w:szCs w:val="24"/>
        </w:rPr>
        <w:t>的办学历史、</w:t>
      </w:r>
      <w:r>
        <w:rPr>
          <w:rFonts w:hint="eastAsia" w:ascii="仿宋" w:hAnsi="仿宋" w:eastAsia="仿宋" w:cs="仿宋"/>
          <w:color w:val="FF0000"/>
          <w:sz w:val="24"/>
          <w:szCs w:val="24"/>
          <w:lang w:eastAsia="zh-CN"/>
        </w:rPr>
        <w:t>鲜明的职业教育</w:t>
      </w:r>
      <w:r>
        <w:rPr>
          <w:rFonts w:hint="eastAsia" w:ascii="仿宋" w:hAnsi="仿宋" w:eastAsia="仿宋" w:cs="仿宋"/>
          <w:color w:val="FF0000"/>
          <w:sz w:val="24"/>
          <w:szCs w:val="24"/>
        </w:rPr>
        <w:t>特色</w:t>
      </w:r>
      <w:r>
        <w:rPr>
          <w:rFonts w:hint="eastAsia" w:ascii="仿宋" w:hAnsi="仿宋" w:eastAsia="仿宋" w:cs="仿宋"/>
          <w:color w:val="FF0000"/>
          <w:sz w:val="24"/>
          <w:szCs w:val="24"/>
          <w:lang w:eastAsia="zh-CN"/>
        </w:rPr>
        <w:t>及农业底色</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凸显</w:t>
      </w:r>
      <w:r>
        <w:rPr>
          <w:rFonts w:hint="eastAsia" w:ascii="仿宋" w:hAnsi="仿宋" w:eastAsia="仿宋" w:cs="仿宋"/>
          <w:color w:val="FF0000"/>
          <w:sz w:val="24"/>
          <w:szCs w:val="24"/>
        </w:rPr>
        <w:t>学校</w:t>
      </w:r>
      <w:r>
        <w:rPr>
          <w:rFonts w:hint="eastAsia" w:ascii="仿宋" w:hAnsi="仿宋" w:eastAsia="仿宋" w:cs="仿宋"/>
          <w:color w:val="FF0000"/>
          <w:sz w:val="24"/>
          <w:szCs w:val="24"/>
          <w:lang w:eastAsia="zh-CN"/>
        </w:rPr>
        <w:t>在同类高校中的</w:t>
      </w:r>
      <w:r>
        <w:rPr>
          <w:rFonts w:hint="eastAsia" w:ascii="仿宋" w:hAnsi="仿宋" w:eastAsia="仿宋" w:cs="仿宋"/>
          <w:color w:val="FF0000"/>
          <w:sz w:val="24"/>
          <w:szCs w:val="24"/>
        </w:rPr>
        <w:t>特色</w:t>
      </w:r>
      <w:r>
        <w:rPr>
          <w:rFonts w:hint="eastAsia" w:ascii="仿宋" w:hAnsi="仿宋" w:eastAsia="仿宋" w:cs="仿宋"/>
          <w:color w:val="FF0000"/>
          <w:sz w:val="24"/>
          <w:szCs w:val="24"/>
          <w:lang w:eastAsia="zh-CN"/>
        </w:rPr>
        <w:t>，歌颂农职大人“艰苦奋斗</w:t>
      </w:r>
      <w:r>
        <w:rPr>
          <w:rFonts w:hint="eastAsia" w:ascii="仿宋" w:hAnsi="仿宋" w:eastAsia="仿宋" w:cs="仿宋"/>
          <w:color w:val="FF0000"/>
          <w:sz w:val="24"/>
          <w:szCs w:val="24"/>
          <w:lang w:val="en-US" w:eastAsia="zh-CN"/>
        </w:rPr>
        <w:t xml:space="preserve"> 改革创新 勇于担当 追求卓越</w:t>
      </w:r>
      <w:r>
        <w:rPr>
          <w:rFonts w:hint="eastAsia" w:ascii="仿宋" w:hAnsi="仿宋" w:eastAsia="仿宋" w:cs="仿宋"/>
          <w:color w:val="FF0000"/>
          <w:sz w:val="24"/>
          <w:szCs w:val="24"/>
          <w:lang w:eastAsia="zh-CN"/>
        </w:rPr>
        <w:t>”的精神</w:t>
      </w:r>
      <w:r>
        <w:rPr>
          <w:rFonts w:hint="eastAsia" w:ascii="仿宋" w:hAnsi="仿宋" w:eastAsia="仿宋" w:cs="仿宋"/>
          <w:color w:val="FF0000"/>
          <w:sz w:val="24"/>
          <w:szCs w:val="24"/>
        </w:rPr>
        <w:t>。</w:t>
      </w:r>
    </w:p>
    <w:p w14:paraId="21FA1A07">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（四）展线要求</w:t>
      </w:r>
    </w:p>
    <w:p w14:paraId="0BCFA921">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秉承以人为本的</w:t>
      </w:r>
      <w:r>
        <w:rPr>
          <w:rFonts w:hint="eastAsia" w:ascii="仿宋" w:hAnsi="仿宋" w:eastAsia="仿宋" w:cs="仿宋"/>
          <w:color w:val="FF0000"/>
          <w:sz w:val="24"/>
          <w:szCs w:val="24"/>
          <w:lang w:eastAsia="zh-CN"/>
        </w:rPr>
        <w:t>原</w:t>
      </w:r>
      <w:r>
        <w:rPr>
          <w:rFonts w:hint="eastAsia" w:ascii="仿宋" w:hAnsi="仿宋" w:eastAsia="仿宋" w:cs="仿宋"/>
          <w:color w:val="FF0000"/>
          <w:sz w:val="24"/>
          <w:szCs w:val="24"/>
        </w:rPr>
        <w:t>则，科学设计展线，符合人体工学与参观需求，线路合理、流畅，适合观众参观习惯，布展高度、展线长度、参观流程等应最大限度方便参观者，便于观众流通，安全保卫和消防设施系统运转。</w:t>
      </w:r>
      <w:r>
        <w:rPr>
          <w:rFonts w:hint="eastAsia" w:ascii="仿宋" w:hAnsi="仿宋" w:eastAsia="仿宋" w:cs="仿宋"/>
          <w:color w:val="FF0000"/>
          <w:sz w:val="24"/>
          <w:szCs w:val="24"/>
          <w:lang w:val="en-US" w:eastAsia="zh-CN"/>
        </w:rPr>
        <w:t>展橱、展柜、展台，便于陈设，模型、雕塑、实物等应与展区环境呼应。</w:t>
      </w:r>
    </w:p>
    <w:p w14:paraId="2E4A8F3C">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（五）艺术创作及场景要求</w:t>
      </w:r>
    </w:p>
    <w:p w14:paraId="47ACA990">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艺术创作及场景复原要做到主题性与艺术性的统一，反映学校的历史文化及精神。艺术创作要求原创，不得侵犯他人的知识产权。使用的材料和工艺应符合环保和耐久性要求，确保场景的长期展示。艺术创作的尺寸和比例应适合展示空间，并与周围环境协调。</w:t>
      </w:r>
    </w:p>
    <w:p w14:paraId="707D4D2B">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（六）数字多媒体展示系统要求</w:t>
      </w:r>
    </w:p>
    <w:p w14:paraId="5F024854">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1、多媒体设备之间互不干扰；</w:t>
      </w:r>
    </w:p>
    <w:p w14:paraId="3EE84594">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2、所有展厅中涉及向观众展示的影片及视频内容均需高清格式； </w:t>
      </w:r>
    </w:p>
    <w:p w14:paraId="48048D5A">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3、展示所用影片需风格大气、效果震撼，富有艺术感染力，技术与艺术水准需达到较高水平；</w:t>
      </w:r>
    </w:p>
    <w:p w14:paraId="77047321">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4、所有展厅中所涉及的软件内容，均需稳定、安全、合法，展示系统中软硬件集成度高，技术成熟、安全可靠； </w:t>
      </w:r>
    </w:p>
    <w:p w14:paraId="677E79A9">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5、展示系统中所涉及的交互体验内容，均需交互体验简单、精准，富有现代科技感；</w:t>
      </w:r>
    </w:p>
    <w:p w14:paraId="2BD62241">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 xml:space="preserve">6、展示系统中所涉及的文字、音频、视频、影像等多媒体内容，均需真实、详实、丰富，与整体风格需统一； </w:t>
      </w:r>
    </w:p>
    <w:p w14:paraId="58B676EA">
      <w:pPr>
        <w:pageBreakBefore w:val="0"/>
        <w:numPr>
          <w:ilvl w:val="0"/>
          <w:numId w:val="0"/>
        </w:numPr>
        <w:kinsoku/>
        <w:wordWrap/>
        <w:overflowPunct/>
        <w:topLinePunct w:val="0"/>
        <w:autoSpaceDE/>
        <w:autoSpaceDN/>
        <w:bidi w:val="0"/>
        <w:snapToGrid/>
        <w:spacing w:line="500" w:lineRule="exact"/>
        <w:textAlignment w:val="auto"/>
        <w:outlineLvl w:val="1"/>
        <w:rPr>
          <w:rFonts w:hint="eastAsia" w:ascii="仿宋" w:hAnsi="仿宋" w:eastAsia="仿宋" w:cs="仿宋"/>
          <w:b/>
          <w:color w:val="FF0000"/>
          <w:sz w:val="24"/>
          <w:szCs w:val="24"/>
        </w:rPr>
      </w:pPr>
      <w:r>
        <w:rPr>
          <w:rFonts w:hint="eastAsia" w:ascii="仿宋" w:hAnsi="仿宋" w:eastAsia="仿宋" w:cs="仿宋"/>
          <w:b/>
          <w:color w:val="FF0000"/>
          <w:sz w:val="24"/>
          <w:szCs w:val="24"/>
          <w:lang w:eastAsia="zh-CN"/>
        </w:rPr>
        <w:t>（</w:t>
      </w:r>
      <w:r>
        <w:rPr>
          <w:rFonts w:hint="eastAsia" w:ascii="仿宋" w:hAnsi="仿宋" w:eastAsia="仿宋" w:cs="仿宋"/>
          <w:b/>
          <w:color w:val="FF0000"/>
          <w:sz w:val="24"/>
          <w:szCs w:val="24"/>
          <w:lang w:val="en-US" w:eastAsia="zh-CN"/>
        </w:rPr>
        <w:t>七</w:t>
      </w:r>
      <w:r>
        <w:rPr>
          <w:rFonts w:hint="eastAsia" w:ascii="仿宋" w:hAnsi="仿宋" w:eastAsia="仿宋" w:cs="仿宋"/>
          <w:b/>
          <w:color w:val="FF0000"/>
          <w:sz w:val="24"/>
          <w:szCs w:val="24"/>
          <w:lang w:eastAsia="zh-CN"/>
        </w:rPr>
        <w:t>）</w:t>
      </w:r>
      <w:r>
        <w:rPr>
          <w:rFonts w:hint="eastAsia" w:ascii="仿宋" w:hAnsi="仿宋" w:eastAsia="仿宋" w:cs="仿宋"/>
          <w:b/>
          <w:color w:val="FF0000"/>
          <w:sz w:val="24"/>
          <w:szCs w:val="24"/>
        </w:rPr>
        <w:t>策划方案</w:t>
      </w:r>
    </w:p>
    <w:p w14:paraId="22C92951">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展陈策划方案是效果表现的第一步骤，是展示的纲领。本项目要求通过专业展览策划人员规划，将本馆展示内容进行合理科学布局。校史馆建设应</w:t>
      </w:r>
      <w:r>
        <w:rPr>
          <w:rFonts w:hint="eastAsia" w:ascii="仿宋" w:hAnsi="仿宋" w:eastAsia="仿宋" w:cs="仿宋"/>
          <w:color w:val="FF0000"/>
          <w:sz w:val="24"/>
          <w:szCs w:val="24"/>
          <w:lang w:eastAsia="zh-CN"/>
        </w:rPr>
        <w:t>该有一条主线</w:t>
      </w:r>
      <w:r>
        <w:rPr>
          <w:rFonts w:hint="eastAsia" w:ascii="仿宋" w:hAnsi="仿宋" w:eastAsia="仿宋" w:cs="仿宋"/>
          <w:color w:val="FF0000"/>
          <w:sz w:val="24"/>
          <w:szCs w:val="24"/>
        </w:rPr>
        <w:t>，瞄准不同时期标志性人物和标志性成果，用讲故事的叙述方式，呈现</w:t>
      </w:r>
      <w:r>
        <w:rPr>
          <w:rFonts w:hint="eastAsia" w:ascii="仿宋" w:hAnsi="仿宋" w:eastAsia="仿宋" w:cs="仿宋"/>
          <w:color w:val="FF0000"/>
          <w:sz w:val="24"/>
          <w:szCs w:val="24"/>
          <w:lang w:eastAsia="zh-CN"/>
        </w:rPr>
        <w:t>新疆农业职业技术大学</w:t>
      </w:r>
      <w:r>
        <w:rPr>
          <w:rFonts w:hint="eastAsia" w:ascii="仿宋" w:hAnsi="仿宋" w:eastAsia="仿宋" w:cs="仿宋"/>
          <w:color w:val="FF0000"/>
          <w:sz w:val="24"/>
          <w:szCs w:val="24"/>
        </w:rPr>
        <w:t>厚重的历史文化底蕴，彰显学校在</w:t>
      </w:r>
      <w:r>
        <w:rPr>
          <w:rFonts w:hint="eastAsia" w:ascii="仿宋" w:hAnsi="仿宋" w:eastAsia="仿宋" w:cs="仿宋"/>
          <w:color w:val="FF0000"/>
          <w:sz w:val="24"/>
          <w:szCs w:val="24"/>
          <w:lang w:eastAsia="zh-CN"/>
        </w:rPr>
        <w:t>各项事业</w:t>
      </w:r>
      <w:r>
        <w:rPr>
          <w:rFonts w:hint="eastAsia" w:ascii="仿宋" w:hAnsi="仿宋" w:eastAsia="仿宋" w:cs="仿宋"/>
          <w:color w:val="FF0000"/>
          <w:sz w:val="24"/>
          <w:szCs w:val="24"/>
        </w:rPr>
        <w:t>的</w:t>
      </w:r>
      <w:r>
        <w:rPr>
          <w:rFonts w:hint="eastAsia" w:ascii="仿宋" w:hAnsi="仿宋" w:eastAsia="仿宋" w:cs="仿宋"/>
          <w:color w:val="FF0000"/>
          <w:sz w:val="24"/>
          <w:szCs w:val="24"/>
          <w:lang w:eastAsia="zh-CN"/>
        </w:rPr>
        <w:t>建设成果及贡献</w:t>
      </w:r>
      <w:r>
        <w:rPr>
          <w:rFonts w:hint="eastAsia" w:ascii="仿宋" w:hAnsi="仿宋" w:eastAsia="仿宋" w:cs="仿宋"/>
          <w:color w:val="FF0000"/>
          <w:sz w:val="24"/>
          <w:szCs w:val="24"/>
        </w:rPr>
        <w:t>。展馆主题与部分、部分与部分之间有严密的逻辑性，形成一个结构稳固的大纲脚本,体现三级以内目录及各部分内容规划、展陈手段等。</w:t>
      </w:r>
    </w:p>
    <w:p w14:paraId="25A1318F">
      <w:pPr>
        <w:pageBreakBefore w:val="0"/>
        <w:kinsoku/>
        <w:wordWrap/>
        <w:overflowPunct/>
        <w:topLinePunct w:val="0"/>
        <w:autoSpaceDE/>
        <w:autoSpaceDN/>
        <w:bidi w:val="0"/>
        <w:snapToGrid/>
        <w:spacing w:line="500" w:lineRule="exact"/>
        <w:textAlignment w:val="auto"/>
        <w:outlineLvl w:val="9"/>
        <w:rPr>
          <w:rFonts w:hint="eastAsia" w:ascii="仿宋" w:hAnsi="仿宋" w:eastAsia="仿宋" w:cs="仿宋"/>
          <w:b/>
          <w:bCs/>
          <w:color w:val="FF0000"/>
          <w:sz w:val="24"/>
          <w:szCs w:val="24"/>
          <w:lang w:eastAsia="zh-CN"/>
        </w:rPr>
      </w:pPr>
      <w:r>
        <w:rPr>
          <w:rFonts w:hint="eastAsia" w:ascii="仿宋" w:hAnsi="仿宋" w:eastAsia="仿宋" w:cs="仿宋"/>
          <w:b/>
          <w:bCs/>
          <w:color w:val="FF0000"/>
          <w:sz w:val="24"/>
          <w:szCs w:val="24"/>
          <w:lang w:eastAsia="zh-CN"/>
        </w:rPr>
        <w:t>四</w:t>
      </w:r>
      <w:r>
        <w:rPr>
          <w:rFonts w:hint="eastAsia" w:ascii="仿宋" w:hAnsi="仿宋" w:eastAsia="仿宋" w:cs="仿宋"/>
          <w:b/>
          <w:bCs/>
          <w:color w:val="FF0000"/>
          <w:sz w:val="24"/>
          <w:szCs w:val="24"/>
        </w:rPr>
        <w:t>、</w:t>
      </w:r>
      <w:r>
        <w:rPr>
          <w:rFonts w:hint="eastAsia" w:ascii="仿宋" w:hAnsi="仿宋" w:eastAsia="仿宋" w:cs="仿宋"/>
          <w:b/>
          <w:bCs/>
          <w:color w:val="FF0000"/>
          <w:sz w:val="24"/>
          <w:szCs w:val="24"/>
          <w:lang w:eastAsia="zh-CN"/>
        </w:rPr>
        <w:t>专业技术要求</w:t>
      </w:r>
    </w:p>
    <w:p w14:paraId="15C41DF4">
      <w:pPr>
        <w:pageBreakBefore w:val="0"/>
        <w:numPr>
          <w:ilvl w:val="0"/>
          <w:numId w:val="0"/>
        </w:numPr>
        <w:kinsoku/>
        <w:wordWrap/>
        <w:overflowPunct/>
        <w:topLinePunct w:val="0"/>
        <w:autoSpaceDE/>
        <w:autoSpaceDN/>
        <w:bidi w:val="0"/>
        <w:snapToGrid/>
        <w:spacing w:line="500" w:lineRule="exact"/>
        <w:textAlignment w:val="auto"/>
        <w:outlineLvl w:val="1"/>
        <w:rPr>
          <w:rFonts w:hint="eastAsia" w:ascii="仿宋" w:hAnsi="仿宋" w:eastAsia="仿宋" w:cs="仿宋"/>
          <w:b/>
          <w:color w:val="FF0000"/>
          <w:sz w:val="24"/>
          <w:szCs w:val="24"/>
          <w:lang w:eastAsia="zh-CN"/>
        </w:rPr>
      </w:pPr>
      <w:r>
        <w:rPr>
          <w:rFonts w:hint="eastAsia" w:ascii="仿宋" w:hAnsi="仿宋" w:eastAsia="仿宋" w:cs="仿宋"/>
          <w:b/>
          <w:color w:val="FF0000"/>
          <w:sz w:val="24"/>
          <w:szCs w:val="24"/>
          <w:lang w:val="en-US" w:eastAsia="zh-CN"/>
        </w:rPr>
        <w:t xml:space="preserve">（一）展板展具技术要求 </w:t>
      </w:r>
    </w:p>
    <w:p w14:paraId="5B1429BD">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1、展板应采用环保无污染材料制作，须具备优良的稳定性，不翘边、不变形、不脱落、不锈蚀、不霉腐，方便拆装。 </w:t>
      </w:r>
    </w:p>
    <w:p w14:paraId="10D7C1D2">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2、展板制作优先选用激光直写、UV 平板喷涂等技术。 </w:t>
      </w:r>
    </w:p>
    <w:p w14:paraId="5BB75AD2">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3、展板制作必须场外完成加工，减少在布展现场的有害气体排放。 </w:t>
      </w:r>
    </w:p>
    <w:p w14:paraId="5119C56B">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4、展板布置应严格按照展览方案进行，兼顾实用性、安全性与艺术性。保证安装到位且安全牢固，应将对展厅基础设施的损坏控制到最小范围。</w:t>
      </w:r>
    </w:p>
    <w:p w14:paraId="746B49EB">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5、应采用环保无污染材质，充分考虑展陈设计和展示实物的要求，注重细节，具备耐久性和稳定性。 </w:t>
      </w:r>
    </w:p>
    <w:p w14:paraId="5CE33CC6">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 xml:space="preserve">（二）展柜技术要求 </w:t>
      </w:r>
    </w:p>
    <w:p w14:paraId="1FEA74FA">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1、展柜设计应既满足展示需求，也满足实物保管需求。符合博物馆专业展柜要求，并能达到国内先进水平。安全合理、结构稳固、制作精良、经久耐用、操作简便、维护方便。 </w:t>
      </w:r>
    </w:p>
    <w:p w14:paraId="46A25252">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2、风格庄重大方，与展陈风格协调，并应根据实物的具体展示要求配备不同形式的展柜。可考虑通体展柜、独立展柜、平柜及嵌入式展柜等多种形式。 </w:t>
      </w:r>
    </w:p>
    <w:p w14:paraId="5D298442">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3、保证展示实物的安全性。既具有优良的安全性、承重性及抗冲击性，又有优良的防盗及防破坏性能。 </w:t>
      </w:r>
    </w:p>
    <w:p w14:paraId="412A318A">
      <w:pPr>
        <w:pageBreakBefore w:val="0"/>
        <w:kinsoku/>
        <w:wordWrap/>
        <w:overflowPunct/>
        <w:topLinePunct w:val="0"/>
        <w:autoSpaceDE/>
        <w:autoSpaceDN/>
        <w:bidi w:val="0"/>
        <w:snapToGrid/>
        <w:spacing w:line="500" w:lineRule="exact"/>
        <w:textAlignment w:val="auto"/>
        <w:outlineLvl w:val="1"/>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 xml:space="preserve">（三）展陈照明技术要求 </w:t>
      </w:r>
    </w:p>
    <w:p w14:paraId="0D549F2F">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展陈照明须达到国家相关技术标准，要求以节能环保、低维护率的 LED 冷光源为主，照射角度、显色指数、色温等参数根据不同主体灵活配置，能营造出良好的展览氛围。 </w:t>
      </w:r>
    </w:p>
    <w:p w14:paraId="56DCC830">
      <w:pPr>
        <w:pageBreakBefore w:val="0"/>
        <w:numPr>
          <w:ilvl w:val="0"/>
          <w:numId w:val="1"/>
        </w:numPr>
        <w:kinsoku/>
        <w:wordWrap/>
        <w:overflowPunct/>
        <w:topLinePunct w:val="0"/>
        <w:autoSpaceDE/>
        <w:autoSpaceDN/>
        <w:bidi w:val="0"/>
        <w:snapToGrid/>
        <w:spacing w:line="500" w:lineRule="exact"/>
        <w:textAlignment w:val="auto"/>
        <w:outlineLvl w:val="9"/>
        <w:rPr>
          <w:rFonts w:hint="eastAsia" w:ascii="仿宋" w:hAnsi="仿宋" w:eastAsia="仿宋" w:cs="仿宋"/>
          <w:b/>
          <w:bCs/>
          <w:color w:val="FF0000"/>
          <w:sz w:val="24"/>
          <w:szCs w:val="24"/>
        </w:rPr>
      </w:pPr>
      <w:r>
        <w:rPr>
          <w:rFonts w:hint="eastAsia" w:ascii="仿宋" w:hAnsi="仿宋" w:eastAsia="仿宋" w:cs="仿宋"/>
          <w:b/>
          <w:bCs/>
          <w:color w:val="FF0000"/>
          <w:sz w:val="24"/>
          <w:szCs w:val="24"/>
          <w:lang w:val="en-US" w:eastAsia="zh-CN"/>
        </w:rPr>
        <w:t>校史</w:t>
      </w:r>
      <w:r>
        <w:rPr>
          <w:rFonts w:hint="eastAsia" w:ascii="仿宋" w:hAnsi="仿宋" w:eastAsia="仿宋" w:cs="仿宋"/>
          <w:b/>
          <w:bCs/>
          <w:color w:val="FF0000"/>
          <w:sz w:val="24"/>
          <w:szCs w:val="24"/>
        </w:rPr>
        <w:t>大纲</w:t>
      </w:r>
    </w:p>
    <w:p w14:paraId="04BAB814">
      <w:pPr>
        <w:pageBreakBefore w:val="0"/>
        <w:numPr>
          <w:ilvl w:val="0"/>
          <w:numId w:val="0"/>
        </w:numPr>
        <w:kinsoku/>
        <w:wordWrap/>
        <w:overflowPunct/>
        <w:topLinePunct w:val="0"/>
        <w:autoSpaceDE/>
        <w:autoSpaceDN/>
        <w:bidi w:val="0"/>
        <w:snapToGrid/>
        <w:spacing w:line="500" w:lineRule="exact"/>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lang w:val="en-US" w:eastAsia="zh-CN"/>
        </w:rPr>
        <w:t>注：仅供参考，各投标公司根据自己的理解进行深化）</w:t>
      </w:r>
    </w:p>
    <w:p w14:paraId="3340AEF3">
      <w:pPr>
        <w:pageBreakBefore w:val="0"/>
        <w:kinsoku/>
        <w:wordWrap/>
        <w:overflowPunct/>
        <w:topLinePunct w:val="0"/>
        <w:autoSpaceDE/>
        <w:autoSpaceDN/>
        <w:bidi w:val="0"/>
        <w:snapToGrid/>
        <w:spacing w:line="500" w:lineRule="exact"/>
        <w:ind w:firstLine="482" w:firstLineChars="200"/>
        <w:textAlignment w:val="auto"/>
        <w:outlineLvl w:val="9"/>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序厅</w:t>
      </w:r>
    </w:p>
    <w:p w14:paraId="6C2C0443">
      <w:pPr>
        <w:pageBreakBefore w:val="0"/>
        <w:numPr>
          <w:ilvl w:val="0"/>
          <w:numId w:val="0"/>
        </w:numPr>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kern w:val="2"/>
          <w:sz w:val="24"/>
          <w:szCs w:val="24"/>
          <w:lang w:val="en-US" w:eastAsia="zh-CN" w:bidi="ar-SA"/>
        </w:rPr>
        <w:t>（一）</w:t>
      </w:r>
      <w:r>
        <w:rPr>
          <w:rFonts w:hint="eastAsia" w:ascii="仿宋" w:hAnsi="仿宋" w:eastAsia="仿宋" w:cs="仿宋"/>
          <w:color w:val="FF0000"/>
          <w:sz w:val="24"/>
          <w:szCs w:val="24"/>
          <w:lang w:eastAsia="zh-CN"/>
        </w:rPr>
        <w:t>主题形象墙</w:t>
      </w:r>
    </w:p>
    <w:p w14:paraId="632357B9">
      <w:pPr>
        <w:pageBreakBefore w:val="0"/>
        <w:numPr>
          <w:ilvl w:val="0"/>
          <w:numId w:val="0"/>
        </w:numPr>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kern w:val="2"/>
          <w:sz w:val="24"/>
          <w:szCs w:val="24"/>
          <w:lang w:val="en-US" w:eastAsia="zh-CN" w:bidi="ar-SA"/>
        </w:rPr>
        <w:t>（二）</w:t>
      </w:r>
      <w:r>
        <w:rPr>
          <w:rFonts w:hint="eastAsia" w:ascii="仿宋" w:hAnsi="仿宋" w:eastAsia="仿宋" w:cs="仿宋"/>
          <w:color w:val="FF0000"/>
          <w:sz w:val="24"/>
          <w:szCs w:val="24"/>
          <w:lang w:eastAsia="zh-CN"/>
        </w:rPr>
        <w:t>前言</w:t>
      </w:r>
    </w:p>
    <w:p w14:paraId="65F0CA5D">
      <w:pPr>
        <w:pageBreakBefore w:val="0"/>
        <w:numPr>
          <w:ilvl w:val="0"/>
          <w:numId w:val="0"/>
        </w:numPr>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kern w:val="2"/>
          <w:sz w:val="24"/>
          <w:szCs w:val="24"/>
          <w:lang w:val="en-US" w:eastAsia="zh-CN" w:bidi="ar-SA"/>
        </w:rPr>
        <w:t>（三）</w:t>
      </w:r>
      <w:r>
        <w:rPr>
          <w:rFonts w:hint="eastAsia" w:ascii="仿宋" w:hAnsi="仿宋" w:eastAsia="仿宋" w:cs="仿宋"/>
          <w:color w:val="FF0000"/>
          <w:sz w:val="24"/>
          <w:szCs w:val="24"/>
          <w:lang w:eastAsia="zh-CN"/>
        </w:rPr>
        <w:t>习语</w:t>
      </w:r>
    </w:p>
    <w:p w14:paraId="4E0E44FF">
      <w:pPr>
        <w:pageBreakBefore w:val="0"/>
        <w:numPr>
          <w:ilvl w:val="0"/>
          <w:numId w:val="0"/>
        </w:numPr>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kern w:val="2"/>
          <w:sz w:val="24"/>
          <w:szCs w:val="24"/>
          <w:lang w:val="en-US" w:eastAsia="zh-CN" w:bidi="ar-SA"/>
        </w:rPr>
        <w:t>（四）</w:t>
      </w:r>
      <w:r>
        <w:rPr>
          <w:rFonts w:hint="eastAsia" w:ascii="仿宋" w:hAnsi="仿宋" w:eastAsia="仿宋" w:cs="仿宋"/>
          <w:color w:val="FF0000"/>
          <w:sz w:val="24"/>
          <w:szCs w:val="24"/>
          <w:lang w:eastAsia="zh-CN"/>
        </w:rPr>
        <w:t>文化理念</w:t>
      </w:r>
    </w:p>
    <w:p w14:paraId="63137ACA">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（五）校史沿革</w:t>
      </w:r>
    </w:p>
    <w:p w14:paraId="58ABBB8E">
      <w:pPr>
        <w:pageBreakBefore w:val="0"/>
        <w:kinsoku/>
        <w:wordWrap/>
        <w:overflowPunct/>
        <w:topLinePunct w:val="0"/>
        <w:autoSpaceDE/>
        <w:autoSpaceDN/>
        <w:bidi w:val="0"/>
        <w:snapToGrid/>
        <w:spacing w:line="500" w:lineRule="exact"/>
        <w:ind w:firstLine="482" w:firstLineChars="200"/>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校史篇1958-1978</w:t>
      </w:r>
    </w:p>
    <w:p w14:paraId="30F0BA10">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（一）</w:t>
      </w:r>
      <w:r>
        <w:rPr>
          <w:rFonts w:hint="eastAsia" w:ascii="仿宋" w:hAnsi="仿宋" w:eastAsia="仿宋" w:cs="仿宋"/>
          <w:color w:val="FF0000"/>
          <w:sz w:val="24"/>
          <w:szCs w:val="24"/>
          <w:lang w:val="en-US" w:eastAsia="zh-CN"/>
        </w:rPr>
        <w:t>1958-1966年</w:t>
      </w:r>
    </w:p>
    <w:p w14:paraId="1F2E7CDE">
      <w:pPr>
        <w:pageBreakBefore w:val="0"/>
        <w:widowControl/>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导语、</w:t>
      </w:r>
      <w:r>
        <w:rPr>
          <w:rFonts w:hint="eastAsia" w:ascii="仿宋" w:hAnsi="仿宋" w:eastAsia="仿宋" w:cs="仿宋"/>
          <w:color w:val="FF0000"/>
          <w:sz w:val="24"/>
          <w:szCs w:val="24"/>
          <w:lang w:eastAsia="zh-CN"/>
        </w:rPr>
        <w:t>历任领导、</w:t>
      </w:r>
      <w:r>
        <w:rPr>
          <w:rFonts w:hint="eastAsia" w:ascii="仿宋" w:hAnsi="仿宋" w:eastAsia="仿宋" w:cs="仿宋"/>
          <w:color w:val="FF0000"/>
          <w:sz w:val="24"/>
          <w:szCs w:val="24"/>
          <w:lang w:val="en-US" w:eastAsia="zh-CN"/>
        </w:rPr>
        <w:t>该</w:t>
      </w:r>
      <w:r>
        <w:rPr>
          <w:rFonts w:hint="eastAsia" w:ascii="仿宋" w:hAnsi="仿宋" w:eastAsia="仿宋" w:cs="仿宋"/>
          <w:color w:val="FF0000"/>
          <w:sz w:val="24"/>
          <w:szCs w:val="24"/>
          <w:lang w:eastAsia="zh-CN"/>
        </w:rPr>
        <w:t>时期</w:t>
      </w:r>
      <w:r>
        <w:rPr>
          <w:rFonts w:hint="eastAsia" w:ascii="仿宋" w:hAnsi="仿宋" w:eastAsia="仿宋" w:cs="仿宋"/>
          <w:color w:val="FF0000"/>
          <w:sz w:val="24"/>
          <w:szCs w:val="24"/>
        </w:rPr>
        <w:t>大事、</w:t>
      </w:r>
      <w:r>
        <w:rPr>
          <w:rFonts w:hint="eastAsia" w:ascii="仿宋" w:hAnsi="仿宋" w:eastAsia="仿宋" w:cs="仿宋"/>
          <w:color w:val="FF0000"/>
          <w:sz w:val="24"/>
          <w:szCs w:val="24"/>
          <w:lang w:eastAsia="zh-CN"/>
        </w:rPr>
        <w:t>学校建设、</w:t>
      </w:r>
      <w:r>
        <w:rPr>
          <w:rFonts w:hint="eastAsia" w:ascii="仿宋" w:hAnsi="仿宋" w:eastAsia="仿宋" w:cs="仿宋"/>
          <w:color w:val="FF0000"/>
          <w:sz w:val="24"/>
          <w:szCs w:val="24"/>
        </w:rPr>
        <w:t>校园文化、师生人物</w:t>
      </w:r>
      <w:r>
        <w:rPr>
          <w:rFonts w:hint="eastAsia" w:ascii="仿宋" w:hAnsi="仿宋" w:eastAsia="仿宋" w:cs="仿宋"/>
          <w:color w:val="FF0000"/>
          <w:sz w:val="24"/>
          <w:szCs w:val="24"/>
          <w:lang w:eastAsia="zh-CN"/>
        </w:rPr>
        <w:t>、教学改革</w:t>
      </w:r>
      <w:r>
        <w:rPr>
          <w:rFonts w:hint="eastAsia" w:ascii="仿宋" w:hAnsi="仿宋" w:eastAsia="仿宋" w:cs="仿宋"/>
          <w:color w:val="FF0000"/>
          <w:sz w:val="24"/>
          <w:szCs w:val="24"/>
        </w:rPr>
        <w:t>等方面反映</w:t>
      </w:r>
      <w:r>
        <w:rPr>
          <w:rFonts w:hint="eastAsia" w:ascii="仿宋" w:hAnsi="仿宋" w:eastAsia="仿宋" w:cs="仿宋"/>
          <w:color w:val="FF0000"/>
          <w:sz w:val="24"/>
          <w:szCs w:val="24"/>
          <w:lang w:eastAsia="zh-CN"/>
        </w:rPr>
        <w:t>这一</w:t>
      </w:r>
      <w:r>
        <w:rPr>
          <w:rFonts w:hint="eastAsia" w:ascii="仿宋" w:hAnsi="仿宋" w:eastAsia="仿宋" w:cs="仿宋"/>
          <w:color w:val="FF0000"/>
          <w:sz w:val="24"/>
          <w:szCs w:val="24"/>
        </w:rPr>
        <w:t>时期的照片、图表、实物及文字说明</w:t>
      </w:r>
      <w:r>
        <w:rPr>
          <w:rFonts w:hint="eastAsia" w:ascii="仿宋" w:hAnsi="仿宋" w:eastAsia="仿宋" w:cs="仿宋"/>
          <w:color w:val="FF0000"/>
          <w:sz w:val="24"/>
          <w:szCs w:val="24"/>
          <w:lang w:eastAsia="zh-CN"/>
        </w:rPr>
        <w:t>等。</w:t>
      </w:r>
    </w:p>
    <w:p w14:paraId="2EB2E177">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（二）</w:t>
      </w:r>
      <w:r>
        <w:rPr>
          <w:rFonts w:hint="eastAsia" w:ascii="仿宋" w:hAnsi="仿宋" w:eastAsia="仿宋" w:cs="仿宋"/>
          <w:color w:val="FF0000"/>
          <w:sz w:val="24"/>
          <w:szCs w:val="24"/>
          <w:lang w:val="en-US" w:eastAsia="zh-CN"/>
        </w:rPr>
        <w:t>1966-1978年</w:t>
      </w:r>
    </w:p>
    <w:p w14:paraId="72D7D98E">
      <w:pPr>
        <w:pageBreakBefore w:val="0"/>
        <w:widowControl/>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导语、</w:t>
      </w:r>
      <w:r>
        <w:rPr>
          <w:rFonts w:hint="eastAsia" w:ascii="仿宋" w:hAnsi="仿宋" w:eastAsia="仿宋" w:cs="仿宋"/>
          <w:color w:val="FF0000"/>
          <w:sz w:val="24"/>
          <w:szCs w:val="24"/>
          <w:lang w:val="en-US" w:eastAsia="zh-CN"/>
        </w:rPr>
        <w:t>该</w:t>
      </w:r>
      <w:r>
        <w:rPr>
          <w:rFonts w:hint="eastAsia" w:ascii="仿宋" w:hAnsi="仿宋" w:eastAsia="仿宋" w:cs="仿宋"/>
          <w:color w:val="FF0000"/>
          <w:sz w:val="24"/>
          <w:szCs w:val="24"/>
          <w:lang w:eastAsia="zh-CN"/>
        </w:rPr>
        <w:t>时期</w:t>
      </w:r>
      <w:r>
        <w:rPr>
          <w:rFonts w:hint="eastAsia" w:ascii="仿宋" w:hAnsi="仿宋" w:eastAsia="仿宋" w:cs="仿宋"/>
          <w:color w:val="FF0000"/>
          <w:sz w:val="24"/>
          <w:szCs w:val="24"/>
        </w:rPr>
        <w:t>大事、师生人物</w:t>
      </w:r>
      <w:r>
        <w:rPr>
          <w:rFonts w:hint="eastAsia" w:ascii="仿宋" w:hAnsi="仿宋" w:eastAsia="仿宋" w:cs="仿宋"/>
          <w:color w:val="FF0000"/>
          <w:sz w:val="24"/>
          <w:szCs w:val="24"/>
          <w:lang w:eastAsia="zh-CN"/>
        </w:rPr>
        <w:t>、教育教学</w:t>
      </w:r>
      <w:r>
        <w:rPr>
          <w:rFonts w:hint="eastAsia" w:ascii="仿宋" w:hAnsi="仿宋" w:eastAsia="仿宋" w:cs="仿宋"/>
          <w:color w:val="FF0000"/>
          <w:sz w:val="24"/>
          <w:szCs w:val="24"/>
        </w:rPr>
        <w:t>等方面反映</w:t>
      </w:r>
      <w:r>
        <w:rPr>
          <w:rFonts w:hint="eastAsia" w:ascii="仿宋" w:hAnsi="仿宋" w:eastAsia="仿宋" w:cs="仿宋"/>
          <w:color w:val="FF0000"/>
          <w:sz w:val="24"/>
          <w:szCs w:val="24"/>
          <w:lang w:eastAsia="zh-CN"/>
        </w:rPr>
        <w:t>这一</w:t>
      </w:r>
      <w:r>
        <w:rPr>
          <w:rFonts w:hint="eastAsia" w:ascii="仿宋" w:hAnsi="仿宋" w:eastAsia="仿宋" w:cs="仿宋"/>
          <w:color w:val="FF0000"/>
          <w:sz w:val="24"/>
          <w:szCs w:val="24"/>
        </w:rPr>
        <w:t>时期的照片、图表及文字说明</w:t>
      </w:r>
      <w:r>
        <w:rPr>
          <w:rFonts w:hint="eastAsia" w:ascii="仿宋" w:hAnsi="仿宋" w:eastAsia="仿宋" w:cs="仿宋"/>
          <w:color w:val="FF0000"/>
          <w:sz w:val="24"/>
          <w:szCs w:val="24"/>
          <w:lang w:eastAsia="zh-CN"/>
        </w:rPr>
        <w:t>等。</w:t>
      </w:r>
    </w:p>
    <w:p w14:paraId="6F5B1458">
      <w:pPr>
        <w:pageBreakBefore w:val="0"/>
        <w:kinsoku/>
        <w:wordWrap/>
        <w:overflowPunct/>
        <w:topLinePunct w:val="0"/>
        <w:autoSpaceDE/>
        <w:autoSpaceDN/>
        <w:bidi w:val="0"/>
        <w:snapToGrid/>
        <w:spacing w:line="500" w:lineRule="exact"/>
        <w:ind w:firstLine="482" w:firstLineChars="200"/>
        <w:textAlignment w:val="auto"/>
        <w:outlineLvl w:val="1"/>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校史篇1978-2000</w:t>
      </w:r>
    </w:p>
    <w:p w14:paraId="10AC91BF">
      <w:pPr>
        <w:pageBreakBefore w:val="0"/>
        <w:kinsoku/>
        <w:wordWrap/>
        <w:overflowPunct/>
        <w:topLinePunct w:val="0"/>
        <w:autoSpaceDE/>
        <w:autoSpaceDN/>
        <w:bidi w:val="0"/>
        <w:snapToGrid/>
        <w:spacing w:line="500" w:lineRule="exact"/>
        <w:ind w:firstLine="480" w:firstLineChars="200"/>
        <w:textAlignment w:val="auto"/>
        <w:outlineLvl w:val="2"/>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一</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1978-1988年</w:t>
      </w:r>
    </w:p>
    <w:p w14:paraId="389BA053">
      <w:pPr>
        <w:pageBreakBefore w:val="0"/>
        <w:widowControl/>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导语、</w:t>
      </w:r>
      <w:r>
        <w:rPr>
          <w:rFonts w:hint="eastAsia" w:ascii="仿宋" w:hAnsi="仿宋" w:eastAsia="仿宋" w:cs="仿宋"/>
          <w:color w:val="FF0000"/>
          <w:sz w:val="24"/>
          <w:szCs w:val="24"/>
          <w:lang w:eastAsia="zh-CN"/>
        </w:rPr>
        <w:t>历任领导、</w:t>
      </w:r>
      <w:r>
        <w:rPr>
          <w:rFonts w:hint="eastAsia" w:ascii="仿宋" w:hAnsi="仿宋" w:eastAsia="仿宋" w:cs="仿宋"/>
          <w:color w:val="FF0000"/>
          <w:sz w:val="24"/>
          <w:szCs w:val="24"/>
          <w:lang w:val="en-US" w:eastAsia="zh-CN"/>
        </w:rPr>
        <w:t>该</w:t>
      </w:r>
      <w:r>
        <w:rPr>
          <w:rFonts w:hint="eastAsia" w:ascii="仿宋" w:hAnsi="仿宋" w:eastAsia="仿宋" w:cs="仿宋"/>
          <w:color w:val="FF0000"/>
          <w:sz w:val="24"/>
          <w:szCs w:val="24"/>
          <w:lang w:eastAsia="zh-CN"/>
        </w:rPr>
        <w:t>时期</w:t>
      </w:r>
      <w:r>
        <w:rPr>
          <w:rFonts w:hint="eastAsia" w:ascii="仿宋" w:hAnsi="仿宋" w:eastAsia="仿宋" w:cs="仿宋"/>
          <w:color w:val="FF0000"/>
          <w:sz w:val="24"/>
          <w:szCs w:val="24"/>
        </w:rPr>
        <w:t>大事、校园文化、师生人物</w:t>
      </w:r>
      <w:r>
        <w:rPr>
          <w:rFonts w:hint="eastAsia" w:ascii="仿宋" w:hAnsi="仿宋" w:eastAsia="仿宋" w:cs="仿宋"/>
          <w:color w:val="FF0000"/>
          <w:sz w:val="24"/>
          <w:szCs w:val="24"/>
          <w:lang w:eastAsia="zh-CN"/>
        </w:rPr>
        <w:t>、教学科研、合作交流</w:t>
      </w:r>
      <w:r>
        <w:rPr>
          <w:rFonts w:hint="eastAsia" w:ascii="仿宋" w:hAnsi="仿宋" w:eastAsia="仿宋" w:cs="仿宋"/>
          <w:color w:val="FF0000"/>
          <w:sz w:val="24"/>
          <w:szCs w:val="24"/>
        </w:rPr>
        <w:t>等方面反映</w:t>
      </w:r>
      <w:r>
        <w:rPr>
          <w:rFonts w:hint="eastAsia" w:ascii="仿宋" w:hAnsi="仿宋" w:eastAsia="仿宋" w:cs="仿宋"/>
          <w:color w:val="FF0000"/>
          <w:sz w:val="24"/>
          <w:szCs w:val="24"/>
          <w:lang w:eastAsia="zh-CN"/>
        </w:rPr>
        <w:t>这一</w:t>
      </w:r>
      <w:r>
        <w:rPr>
          <w:rFonts w:hint="eastAsia" w:ascii="仿宋" w:hAnsi="仿宋" w:eastAsia="仿宋" w:cs="仿宋"/>
          <w:color w:val="FF0000"/>
          <w:sz w:val="24"/>
          <w:szCs w:val="24"/>
        </w:rPr>
        <w:t>时期的照片、图表、实物及文字说明</w:t>
      </w:r>
      <w:r>
        <w:rPr>
          <w:rFonts w:hint="eastAsia" w:ascii="仿宋" w:hAnsi="仿宋" w:eastAsia="仿宋" w:cs="仿宋"/>
          <w:color w:val="FF0000"/>
          <w:sz w:val="24"/>
          <w:szCs w:val="24"/>
          <w:lang w:eastAsia="zh-CN"/>
        </w:rPr>
        <w:t>等。</w:t>
      </w:r>
    </w:p>
    <w:p w14:paraId="13F69DC6">
      <w:pPr>
        <w:pageBreakBefore w:val="0"/>
        <w:kinsoku/>
        <w:wordWrap/>
        <w:overflowPunct/>
        <w:topLinePunct w:val="0"/>
        <w:autoSpaceDE/>
        <w:autoSpaceDN/>
        <w:bidi w:val="0"/>
        <w:snapToGrid/>
        <w:spacing w:line="500" w:lineRule="exact"/>
        <w:ind w:firstLine="480" w:firstLineChars="200"/>
        <w:textAlignment w:val="auto"/>
        <w:outlineLvl w:val="2"/>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二</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1988-2000年</w:t>
      </w:r>
    </w:p>
    <w:p w14:paraId="46ED9FAD">
      <w:pPr>
        <w:pageBreakBefore w:val="0"/>
        <w:widowControl/>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b/>
          <w:bCs/>
          <w:color w:val="FF0000"/>
          <w:sz w:val="24"/>
          <w:szCs w:val="24"/>
          <w:lang w:val="en-US" w:eastAsia="zh-CN"/>
        </w:rPr>
      </w:pPr>
      <w:r>
        <w:rPr>
          <w:rFonts w:hint="eastAsia" w:ascii="仿宋" w:hAnsi="仿宋" w:eastAsia="仿宋" w:cs="仿宋"/>
          <w:color w:val="FF0000"/>
          <w:sz w:val="24"/>
          <w:szCs w:val="24"/>
        </w:rPr>
        <w:t>导语、</w:t>
      </w:r>
      <w:r>
        <w:rPr>
          <w:rFonts w:hint="eastAsia" w:ascii="仿宋" w:hAnsi="仿宋" w:eastAsia="仿宋" w:cs="仿宋"/>
          <w:color w:val="FF0000"/>
          <w:sz w:val="24"/>
          <w:szCs w:val="24"/>
          <w:lang w:val="en-US" w:eastAsia="zh-CN"/>
        </w:rPr>
        <w:t>该</w:t>
      </w:r>
      <w:r>
        <w:rPr>
          <w:rFonts w:hint="eastAsia" w:ascii="仿宋" w:hAnsi="仿宋" w:eastAsia="仿宋" w:cs="仿宋"/>
          <w:color w:val="FF0000"/>
          <w:sz w:val="24"/>
          <w:szCs w:val="24"/>
          <w:lang w:eastAsia="zh-CN"/>
        </w:rPr>
        <w:t>时期</w:t>
      </w:r>
      <w:r>
        <w:rPr>
          <w:rFonts w:hint="eastAsia" w:ascii="仿宋" w:hAnsi="仿宋" w:eastAsia="仿宋" w:cs="仿宋"/>
          <w:color w:val="FF0000"/>
          <w:sz w:val="24"/>
          <w:szCs w:val="24"/>
        </w:rPr>
        <w:t>大事、校园文化、师生人物</w:t>
      </w:r>
      <w:r>
        <w:rPr>
          <w:rFonts w:hint="eastAsia" w:ascii="仿宋" w:hAnsi="仿宋" w:eastAsia="仿宋" w:cs="仿宋"/>
          <w:color w:val="FF0000"/>
          <w:sz w:val="24"/>
          <w:szCs w:val="24"/>
          <w:lang w:eastAsia="zh-CN"/>
        </w:rPr>
        <w:t>、人才培养、社会贡献、获得荣誉称号</w:t>
      </w:r>
      <w:r>
        <w:rPr>
          <w:rFonts w:hint="eastAsia" w:ascii="仿宋" w:hAnsi="仿宋" w:eastAsia="仿宋" w:cs="仿宋"/>
          <w:color w:val="FF0000"/>
          <w:sz w:val="24"/>
          <w:szCs w:val="24"/>
        </w:rPr>
        <w:t>等方面反映</w:t>
      </w:r>
      <w:r>
        <w:rPr>
          <w:rFonts w:hint="eastAsia" w:ascii="仿宋" w:hAnsi="仿宋" w:eastAsia="仿宋" w:cs="仿宋"/>
          <w:color w:val="FF0000"/>
          <w:sz w:val="24"/>
          <w:szCs w:val="24"/>
          <w:lang w:eastAsia="zh-CN"/>
        </w:rPr>
        <w:t>这一</w:t>
      </w:r>
      <w:r>
        <w:rPr>
          <w:rFonts w:hint="eastAsia" w:ascii="仿宋" w:hAnsi="仿宋" w:eastAsia="仿宋" w:cs="仿宋"/>
          <w:color w:val="FF0000"/>
          <w:sz w:val="24"/>
          <w:szCs w:val="24"/>
        </w:rPr>
        <w:t>时期的照片、图表、实物及文字说明</w:t>
      </w:r>
      <w:r>
        <w:rPr>
          <w:rFonts w:hint="eastAsia" w:ascii="仿宋" w:hAnsi="仿宋" w:eastAsia="仿宋" w:cs="仿宋"/>
          <w:color w:val="FF0000"/>
          <w:sz w:val="24"/>
          <w:szCs w:val="24"/>
          <w:lang w:eastAsia="zh-CN"/>
        </w:rPr>
        <w:t>等。</w:t>
      </w:r>
    </w:p>
    <w:p w14:paraId="77F2BAF4">
      <w:pPr>
        <w:pageBreakBefore w:val="0"/>
        <w:kinsoku/>
        <w:wordWrap/>
        <w:overflowPunct/>
        <w:topLinePunct w:val="0"/>
        <w:autoSpaceDE/>
        <w:autoSpaceDN/>
        <w:bidi w:val="0"/>
        <w:snapToGrid/>
        <w:spacing w:line="500" w:lineRule="exact"/>
        <w:ind w:firstLine="482" w:firstLineChars="200"/>
        <w:textAlignment w:val="auto"/>
        <w:outlineLvl w:val="1"/>
        <w:rPr>
          <w:rFonts w:hint="eastAsia" w:ascii="仿宋" w:hAnsi="仿宋" w:eastAsia="仿宋" w:cs="仿宋"/>
          <w:color w:val="FF0000"/>
          <w:sz w:val="24"/>
          <w:szCs w:val="24"/>
          <w:lang w:val="en-US"/>
        </w:rPr>
      </w:pPr>
      <w:r>
        <w:rPr>
          <w:rFonts w:hint="eastAsia" w:ascii="仿宋" w:hAnsi="仿宋" w:eastAsia="仿宋" w:cs="仿宋"/>
          <w:b/>
          <w:bCs/>
          <w:color w:val="FF0000"/>
          <w:sz w:val="24"/>
          <w:szCs w:val="24"/>
          <w:lang w:val="en-US" w:eastAsia="zh-CN"/>
        </w:rPr>
        <w:t>校史篇2000-2024</w:t>
      </w:r>
    </w:p>
    <w:p w14:paraId="48D01C21">
      <w:pPr>
        <w:pageBreakBefore w:val="0"/>
        <w:kinsoku/>
        <w:wordWrap/>
        <w:overflowPunct/>
        <w:topLinePunct w:val="0"/>
        <w:autoSpaceDE/>
        <w:autoSpaceDN/>
        <w:bidi w:val="0"/>
        <w:snapToGrid/>
        <w:spacing w:line="500" w:lineRule="exact"/>
        <w:ind w:firstLine="480" w:firstLineChars="200"/>
        <w:textAlignment w:val="auto"/>
        <w:outlineLvl w:val="2"/>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一</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2000-2009年</w:t>
      </w:r>
    </w:p>
    <w:p w14:paraId="1B4BAAD7">
      <w:pPr>
        <w:pageBreakBefore w:val="0"/>
        <w:widowControl/>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b/>
          <w:bCs/>
          <w:color w:val="FF0000"/>
          <w:sz w:val="24"/>
          <w:szCs w:val="24"/>
          <w:lang w:val="en-US" w:eastAsia="zh-CN"/>
        </w:rPr>
      </w:pPr>
      <w:r>
        <w:rPr>
          <w:rFonts w:hint="eastAsia" w:ascii="仿宋" w:hAnsi="仿宋" w:eastAsia="仿宋" w:cs="仿宋"/>
          <w:color w:val="FF0000"/>
          <w:sz w:val="24"/>
          <w:szCs w:val="24"/>
        </w:rPr>
        <w:t>导语、</w:t>
      </w:r>
      <w:r>
        <w:rPr>
          <w:rFonts w:hint="eastAsia" w:ascii="仿宋" w:hAnsi="仿宋" w:eastAsia="仿宋" w:cs="仿宋"/>
          <w:color w:val="FF0000"/>
          <w:sz w:val="24"/>
          <w:szCs w:val="24"/>
          <w:lang w:eastAsia="zh-CN"/>
        </w:rPr>
        <w:t>历任领导、</w:t>
      </w:r>
      <w:r>
        <w:rPr>
          <w:rFonts w:hint="eastAsia" w:ascii="仿宋" w:hAnsi="仿宋" w:eastAsia="仿宋" w:cs="仿宋"/>
          <w:color w:val="FF0000"/>
          <w:sz w:val="24"/>
          <w:szCs w:val="24"/>
          <w:lang w:val="en-US" w:eastAsia="zh-CN"/>
        </w:rPr>
        <w:t>该</w:t>
      </w:r>
      <w:r>
        <w:rPr>
          <w:rFonts w:hint="eastAsia" w:ascii="仿宋" w:hAnsi="仿宋" w:eastAsia="仿宋" w:cs="仿宋"/>
          <w:color w:val="FF0000"/>
          <w:sz w:val="24"/>
          <w:szCs w:val="24"/>
          <w:lang w:eastAsia="zh-CN"/>
        </w:rPr>
        <w:t>时期</w:t>
      </w:r>
      <w:r>
        <w:rPr>
          <w:rFonts w:hint="eastAsia" w:ascii="仿宋" w:hAnsi="仿宋" w:eastAsia="仿宋" w:cs="仿宋"/>
          <w:color w:val="FF0000"/>
          <w:sz w:val="24"/>
          <w:szCs w:val="24"/>
        </w:rPr>
        <w:t>大事、校园文化、师生人物</w:t>
      </w:r>
      <w:r>
        <w:rPr>
          <w:rFonts w:hint="eastAsia" w:ascii="仿宋" w:hAnsi="仿宋" w:eastAsia="仿宋" w:cs="仿宋"/>
          <w:color w:val="FF0000"/>
          <w:sz w:val="24"/>
          <w:szCs w:val="24"/>
          <w:lang w:eastAsia="zh-CN"/>
        </w:rPr>
        <w:t>、人才培养、科学研究、合作交流</w:t>
      </w:r>
      <w:r>
        <w:rPr>
          <w:rFonts w:hint="eastAsia" w:ascii="仿宋" w:hAnsi="仿宋" w:eastAsia="仿宋" w:cs="仿宋"/>
          <w:color w:val="FF0000"/>
          <w:sz w:val="24"/>
          <w:szCs w:val="24"/>
        </w:rPr>
        <w:t>等方面反映</w:t>
      </w:r>
      <w:r>
        <w:rPr>
          <w:rFonts w:hint="eastAsia" w:ascii="仿宋" w:hAnsi="仿宋" w:eastAsia="仿宋" w:cs="仿宋"/>
          <w:color w:val="FF0000"/>
          <w:sz w:val="24"/>
          <w:szCs w:val="24"/>
          <w:lang w:eastAsia="zh-CN"/>
        </w:rPr>
        <w:t>这一</w:t>
      </w:r>
      <w:r>
        <w:rPr>
          <w:rFonts w:hint="eastAsia" w:ascii="仿宋" w:hAnsi="仿宋" w:eastAsia="仿宋" w:cs="仿宋"/>
          <w:color w:val="FF0000"/>
          <w:sz w:val="24"/>
          <w:szCs w:val="24"/>
        </w:rPr>
        <w:t>时期的照片、图表、实物及文字说明</w:t>
      </w:r>
      <w:r>
        <w:rPr>
          <w:rFonts w:hint="eastAsia" w:ascii="仿宋" w:hAnsi="仿宋" w:eastAsia="仿宋" w:cs="仿宋"/>
          <w:color w:val="FF0000"/>
          <w:sz w:val="24"/>
          <w:szCs w:val="24"/>
          <w:lang w:eastAsia="zh-CN"/>
        </w:rPr>
        <w:t>等。</w:t>
      </w:r>
    </w:p>
    <w:p w14:paraId="33650B09">
      <w:pPr>
        <w:pageBreakBefore w:val="0"/>
        <w:kinsoku/>
        <w:wordWrap/>
        <w:overflowPunct/>
        <w:topLinePunct w:val="0"/>
        <w:autoSpaceDE/>
        <w:autoSpaceDN/>
        <w:bidi w:val="0"/>
        <w:snapToGrid/>
        <w:spacing w:line="500" w:lineRule="exact"/>
        <w:ind w:firstLine="480" w:firstLineChars="200"/>
        <w:textAlignment w:val="auto"/>
        <w:outlineLvl w:val="2"/>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二</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2009-2024年</w:t>
      </w:r>
    </w:p>
    <w:p w14:paraId="4D194BC3">
      <w:pPr>
        <w:pageBreakBefore w:val="0"/>
        <w:widowControl/>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b/>
          <w:bCs/>
          <w:color w:val="FF0000"/>
          <w:sz w:val="24"/>
          <w:szCs w:val="24"/>
          <w:lang w:val="en-US" w:eastAsia="zh-CN"/>
        </w:rPr>
      </w:pPr>
      <w:r>
        <w:rPr>
          <w:rFonts w:hint="eastAsia" w:ascii="仿宋" w:hAnsi="仿宋" w:eastAsia="仿宋" w:cs="仿宋"/>
          <w:color w:val="FF0000"/>
          <w:sz w:val="24"/>
          <w:szCs w:val="24"/>
        </w:rPr>
        <w:t>导语、</w:t>
      </w:r>
      <w:r>
        <w:rPr>
          <w:rFonts w:hint="eastAsia" w:ascii="仿宋" w:hAnsi="仿宋" w:eastAsia="仿宋" w:cs="仿宋"/>
          <w:color w:val="FF0000"/>
          <w:sz w:val="24"/>
          <w:szCs w:val="24"/>
          <w:lang w:val="en-US" w:eastAsia="zh-CN"/>
        </w:rPr>
        <w:t>合并组建</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通过国家示范性高等职业院校建设项目验收</w:t>
      </w: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50年校庆、创办本科、</w:t>
      </w:r>
      <w:r>
        <w:rPr>
          <w:rFonts w:hint="eastAsia" w:ascii="仿宋" w:hAnsi="仿宋" w:eastAsia="仿宋" w:cs="仿宋"/>
          <w:color w:val="FF0000"/>
          <w:sz w:val="24"/>
          <w:szCs w:val="24"/>
        </w:rPr>
        <w:t>师生人物</w:t>
      </w:r>
      <w:r>
        <w:rPr>
          <w:rFonts w:hint="eastAsia" w:ascii="仿宋" w:hAnsi="仿宋" w:eastAsia="仿宋" w:cs="仿宋"/>
          <w:color w:val="FF0000"/>
          <w:sz w:val="24"/>
          <w:szCs w:val="24"/>
          <w:lang w:eastAsia="zh-CN"/>
        </w:rPr>
        <w:t>、人才培养、科学研究、合作交流</w:t>
      </w:r>
      <w:r>
        <w:rPr>
          <w:rFonts w:hint="eastAsia" w:ascii="仿宋" w:hAnsi="仿宋" w:eastAsia="仿宋" w:cs="仿宋"/>
          <w:color w:val="FF0000"/>
          <w:sz w:val="24"/>
          <w:szCs w:val="24"/>
        </w:rPr>
        <w:t>等方面反映</w:t>
      </w:r>
      <w:r>
        <w:rPr>
          <w:rFonts w:hint="eastAsia" w:ascii="仿宋" w:hAnsi="仿宋" w:eastAsia="仿宋" w:cs="仿宋"/>
          <w:color w:val="FF0000"/>
          <w:sz w:val="24"/>
          <w:szCs w:val="24"/>
          <w:lang w:eastAsia="zh-CN"/>
        </w:rPr>
        <w:t>这一</w:t>
      </w:r>
      <w:r>
        <w:rPr>
          <w:rFonts w:hint="eastAsia" w:ascii="仿宋" w:hAnsi="仿宋" w:eastAsia="仿宋" w:cs="仿宋"/>
          <w:color w:val="FF0000"/>
          <w:sz w:val="24"/>
          <w:szCs w:val="24"/>
        </w:rPr>
        <w:t>时期的照片、图表、实物及文字说明</w:t>
      </w:r>
      <w:r>
        <w:rPr>
          <w:rFonts w:hint="eastAsia" w:ascii="仿宋" w:hAnsi="仿宋" w:eastAsia="仿宋" w:cs="仿宋"/>
          <w:color w:val="FF0000"/>
          <w:sz w:val="24"/>
          <w:szCs w:val="24"/>
          <w:lang w:eastAsia="zh-CN"/>
        </w:rPr>
        <w:t>等。</w:t>
      </w:r>
    </w:p>
    <w:p w14:paraId="4C2A1EEE">
      <w:pPr>
        <w:pageBreakBefore w:val="0"/>
        <w:kinsoku/>
        <w:wordWrap/>
        <w:overflowPunct/>
        <w:topLinePunct w:val="0"/>
        <w:autoSpaceDE/>
        <w:autoSpaceDN/>
        <w:bidi w:val="0"/>
        <w:snapToGrid/>
        <w:spacing w:line="500" w:lineRule="exact"/>
        <w:ind w:firstLine="482" w:firstLineChars="200"/>
        <w:textAlignment w:val="auto"/>
        <w:outlineLvl w:val="1"/>
        <w:rPr>
          <w:rFonts w:hint="eastAsia" w:ascii="仿宋" w:hAnsi="仿宋" w:eastAsia="仿宋" w:cs="仿宋"/>
          <w:color w:val="FF0000"/>
          <w:sz w:val="24"/>
          <w:szCs w:val="24"/>
          <w:lang w:val="en-US"/>
        </w:rPr>
      </w:pPr>
      <w:r>
        <w:rPr>
          <w:rFonts w:hint="eastAsia" w:ascii="仿宋" w:hAnsi="仿宋" w:eastAsia="仿宋" w:cs="仿宋"/>
          <w:b/>
          <w:bCs/>
          <w:color w:val="FF0000"/>
          <w:sz w:val="24"/>
          <w:szCs w:val="24"/>
          <w:lang w:val="en-US" w:eastAsia="zh-CN"/>
        </w:rPr>
        <w:t>校史篇2024-今</w:t>
      </w:r>
    </w:p>
    <w:p w14:paraId="68F2FE08">
      <w:pPr>
        <w:pageBreakBefore w:val="0"/>
        <w:widowControl/>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b/>
          <w:bCs/>
          <w:color w:val="FF0000"/>
          <w:sz w:val="24"/>
          <w:szCs w:val="24"/>
          <w:lang w:val="en-US" w:eastAsia="zh-CN"/>
        </w:rPr>
      </w:pPr>
      <w:r>
        <w:rPr>
          <w:rFonts w:hint="eastAsia" w:ascii="仿宋" w:hAnsi="仿宋" w:eastAsia="仿宋" w:cs="仿宋"/>
          <w:color w:val="FF0000"/>
          <w:sz w:val="24"/>
          <w:szCs w:val="24"/>
        </w:rPr>
        <w:t>导语、</w:t>
      </w:r>
      <w:r>
        <w:rPr>
          <w:rFonts w:hint="eastAsia" w:ascii="仿宋" w:hAnsi="仿宋" w:eastAsia="仿宋" w:cs="仿宋"/>
          <w:color w:val="FF0000"/>
          <w:sz w:val="24"/>
          <w:szCs w:val="24"/>
          <w:lang w:val="en-US" w:eastAsia="zh-CN"/>
        </w:rPr>
        <w:t>升格大学、揭牌仪式</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机构改革、现任领导班子</w:t>
      </w:r>
      <w:r>
        <w:rPr>
          <w:rFonts w:hint="eastAsia" w:ascii="仿宋" w:hAnsi="仿宋" w:eastAsia="仿宋" w:cs="仿宋"/>
          <w:color w:val="FF0000"/>
          <w:sz w:val="24"/>
          <w:szCs w:val="24"/>
        </w:rPr>
        <w:t>等照片、图表及文字说明</w:t>
      </w:r>
      <w:r>
        <w:rPr>
          <w:rFonts w:hint="eastAsia" w:ascii="仿宋" w:hAnsi="仿宋" w:eastAsia="仿宋" w:cs="仿宋"/>
          <w:color w:val="FF0000"/>
          <w:sz w:val="24"/>
          <w:szCs w:val="24"/>
          <w:lang w:eastAsia="zh-CN"/>
        </w:rPr>
        <w:t>等。</w:t>
      </w:r>
    </w:p>
    <w:p w14:paraId="7342CB2F">
      <w:pPr>
        <w:pageBreakBefore w:val="0"/>
        <w:kinsoku/>
        <w:wordWrap/>
        <w:overflowPunct/>
        <w:topLinePunct w:val="0"/>
        <w:autoSpaceDE/>
        <w:autoSpaceDN/>
        <w:bidi w:val="0"/>
        <w:snapToGrid/>
        <w:spacing w:line="500" w:lineRule="exact"/>
        <w:ind w:firstLine="482" w:firstLineChars="200"/>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成果篇</w:t>
      </w:r>
    </w:p>
    <w:p w14:paraId="395B31C0">
      <w:pPr>
        <w:pageBreakBefore w:val="0"/>
        <w:kinsoku/>
        <w:wordWrap/>
        <w:overflowPunct/>
        <w:topLinePunct w:val="0"/>
        <w:autoSpaceDE/>
        <w:autoSpaceDN/>
        <w:bidi w:val="0"/>
        <w:snapToGrid/>
        <w:spacing w:line="500" w:lineRule="exact"/>
        <w:ind w:firstLine="480" w:firstLineChars="200"/>
        <w:textAlignment w:val="auto"/>
        <w:outlineLvl w:val="2"/>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（一）党建引领</w:t>
      </w:r>
    </w:p>
    <w:p w14:paraId="14AF3924">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历届党代会；组织建设；作风建设；主题教育；推进思政课程和课程思政建设工作；统战群团工作；铸牢中华民族共同体意识；文化育人实践等。</w:t>
      </w:r>
    </w:p>
    <w:p w14:paraId="12A9A5E7">
      <w:pPr>
        <w:pageBreakBefore w:val="0"/>
        <w:kinsoku/>
        <w:wordWrap/>
        <w:overflowPunct/>
        <w:topLinePunct w:val="0"/>
        <w:autoSpaceDE/>
        <w:autoSpaceDN/>
        <w:bidi w:val="0"/>
        <w:snapToGrid/>
        <w:spacing w:line="500" w:lineRule="exact"/>
        <w:ind w:firstLine="480" w:firstLineChars="200"/>
        <w:textAlignment w:val="auto"/>
        <w:outlineLvl w:val="2"/>
        <w:rPr>
          <w:rFonts w:hint="eastAsia" w:ascii="仿宋" w:hAnsi="仿宋" w:eastAsia="仿宋" w:cs="仿宋"/>
          <w:color w:val="FF0000"/>
          <w:sz w:val="24"/>
          <w:szCs w:val="24"/>
        </w:rPr>
      </w:pPr>
      <w:r>
        <w:rPr>
          <w:rFonts w:hint="eastAsia" w:ascii="仿宋" w:hAnsi="仿宋" w:eastAsia="仿宋" w:cs="仿宋"/>
          <w:color w:val="FF0000"/>
          <w:sz w:val="24"/>
          <w:szCs w:val="24"/>
          <w:lang w:eastAsia="zh-CN"/>
        </w:rPr>
        <w:t>（二）</w:t>
      </w:r>
      <w:r>
        <w:rPr>
          <w:rFonts w:hint="eastAsia" w:ascii="仿宋" w:hAnsi="仿宋" w:eastAsia="仿宋" w:cs="仿宋"/>
          <w:color w:val="FF0000"/>
          <w:sz w:val="24"/>
          <w:szCs w:val="24"/>
          <w:lang w:val="en-US" w:eastAsia="zh-CN"/>
        </w:rPr>
        <w:t>师资队伍</w:t>
      </w:r>
    </w:p>
    <w:p w14:paraId="21E01AF4">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师资构成；师资建设成果包括获奖荣誉、新教师培训、师德师风培训等；获得不同人才称号、荣誉称号的名师风采等。</w:t>
      </w:r>
    </w:p>
    <w:p w14:paraId="03D51305">
      <w:pPr>
        <w:pageBreakBefore w:val="0"/>
        <w:kinsoku/>
        <w:wordWrap/>
        <w:overflowPunct/>
        <w:topLinePunct w:val="0"/>
        <w:autoSpaceDE/>
        <w:autoSpaceDN/>
        <w:bidi w:val="0"/>
        <w:snapToGrid/>
        <w:spacing w:line="500" w:lineRule="exact"/>
        <w:ind w:firstLine="480" w:firstLineChars="200"/>
        <w:textAlignment w:val="auto"/>
        <w:outlineLvl w:val="2"/>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（三）人才培养</w:t>
      </w:r>
    </w:p>
    <w:p w14:paraId="0D09A7EB">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专业建设；课程建设；教材建设；实践教学；教学成果奖；技能大赛；创新创业教育等。</w:t>
      </w:r>
    </w:p>
    <w:p w14:paraId="55331AF5">
      <w:pPr>
        <w:pageBreakBefore w:val="0"/>
        <w:kinsoku/>
        <w:wordWrap/>
        <w:overflowPunct/>
        <w:topLinePunct w:val="0"/>
        <w:autoSpaceDE/>
        <w:autoSpaceDN/>
        <w:bidi w:val="0"/>
        <w:snapToGrid/>
        <w:spacing w:line="500" w:lineRule="exact"/>
        <w:ind w:firstLine="480" w:firstLineChars="200"/>
        <w:textAlignment w:val="auto"/>
        <w:outlineLvl w:val="2"/>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（四）产教融合</w:t>
      </w:r>
    </w:p>
    <w:p w14:paraId="7660B75B">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校企合作；区域产教联合体、行业产教融合共同体建设；产教融合平台建设等。</w:t>
      </w:r>
    </w:p>
    <w:p w14:paraId="1CA6857E">
      <w:pPr>
        <w:pageBreakBefore w:val="0"/>
        <w:kinsoku/>
        <w:wordWrap/>
        <w:overflowPunct/>
        <w:topLinePunct w:val="0"/>
        <w:autoSpaceDE/>
        <w:autoSpaceDN/>
        <w:bidi w:val="0"/>
        <w:snapToGrid/>
        <w:spacing w:line="500" w:lineRule="exact"/>
        <w:ind w:firstLine="480" w:firstLineChars="200"/>
        <w:textAlignment w:val="auto"/>
        <w:outlineLvl w:val="2"/>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（五）科研及社会服务</w:t>
      </w:r>
    </w:p>
    <w:p w14:paraId="3881C5B8">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科研平台与机制；科研成果；服务“三农”；服务区域发展（托管帮扶、访惠聚等）。</w:t>
      </w:r>
    </w:p>
    <w:p w14:paraId="408C966C">
      <w:pPr>
        <w:pageBreakBefore w:val="0"/>
        <w:kinsoku/>
        <w:wordWrap/>
        <w:overflowPunct/>
        <w:topLinePunct w:val="0"/>
        <w:autoSpaceDE/>
        <w:autoSpaceDN/>
        <w:bidi w:val="0"/>
        <w:snapToGrid/>
        <w:spacing w:line="500" w:lineRule="exact"/>
        <w:ind w:firstLine="480" w:firstLineChars="200"/>
        <w:textAlignment w:val="auto"/>
        <w:outlineLvl w:val="2"/>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（六）合作交流</w:t>
      </w:r>
    </w:p>
    <w:p w14:paraId="293650CF">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合作办学；留学生培养；国家化课程；开发职教标准；助力“一带一路”建设等。</w:t>
      </w:r>
    </w:p>
    <w:p w14:paraId="1C03FB21">
      <w:pPr>
        <w:pageBreakBefore w:val="0"/>
        <w:kinsoku/>
        <w:wordWrap/>
        <w:overflowPunct/>
        <w:topLinePunct w:val="0"/>
        <w:autoSpaceDE/>
        <w:autoSpaceDN/>
        <w:bidi w:val="0"/>
        <w:snapToGrid/>
        <w:spacing w:line="500" w:lineRule="exact"/>
        <w:ind w:firstLine="482" w:firstLineChars="200"/>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eastAsia="zh-CN"/>
        </w:rPr>
        <w:t>荣誉篇</w:t>
      </w:r>
    </w:p>
    <w:p w14:paraId="1856AA15">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rPr>
        <w:t>学校所获荣誉奖牌、奖杯、奖状实物</w:t>
      </w:r>
      <w:r>
        <w:rPr>
          <w:rFonts w:hint="eastAsia" w:ascii="仿宋" w:hAnsi="仿宋" w:eastAsia="仿宋" w:cs="仿宋"/>
          <w:color w:val="FF0000"/>
          <w:sz w:val="24"/>
          <w:szCs w:val="24"/>
          <w:lang w:eastAsia="zh-CN"/>
        </w:rPr>
        <w:t>；政界、商界、教育界、艺体界、先进人物等；校友组织、校友会活动；校友来校开讲座、参与活动；校友捐赠等。</w:t>
      </w:r>
    </w:p>
    <w:p w14:paraId="35CC7EA6">
      <w:pPr>
        <w:pageBreakBefore w:val="0"/>
        <w:kinsoku/>
        <w:wordWrap/>
        <w:overflowPunct/>
        <w:topLinePunct w:val="0"/>
        <w:autoSpaceDE/>
        <w:autoSpaceDN/>
        <w:bidi w:val="0"/>
        <w:snapToGrid/>
        <w:spacing w:line="500" w:lineRule="exact"/>
        <w:ind w:firstLine="482" w:firstLineChars="200"/>
        <w:textAlignment w:val="auto"/>
        <w:outlineLvl w:val="1"/>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eastAsia="zh-CN"/>
        </w:rPr>
        <w:t>展望篇</w:t>
      </w:r>
    </w:p>
    <w:p w14:paraId="3FACDF5E">
      <w:pPr>
        <w:pageBreakBefore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color w:val="FF0000"/>
          <w:sz w:val="24"/>
          <w:szCs w:val="24"/>
          <w:lang w:eastAsia="zh-CN"/>
        </w:rPr>
        <w:t>学校规划及远景目标；后记。</w:t>
      </w:r>
    </w:p>
    <w:p w14:paraId="30CCEE2C">
      <w:pPr>
        <w:pageBreakBefore w:val="0"/>
        <w:numPr>
          <w:ilvl w:val="0"/>
          <w:numId w:val="0"/>
        </w:numPr>
        <w:kinsoku/>
        <w:wordWrap/>
        <w:overflowPunct/>
        <w:topLinePunct w:val="0"/>
        <w:autoSpaceDE/>
        <w:autoSpaceDN/>
        <w:bidi w:val="0"/>
        <w:snapToGrid/>
        <w:spacing w:line="500" w:lineRule="exact"/>
        <w:textAlignment w:val="auto"/>
        <w:outlineLvl w:val="9"/>
        <w:rPr>
          <w:rFonts w:hint="eastAsia" w:ascii="仿宋" w:hAnsi="仿宋" w:eastAsia="仿宋" w:cs="仿宋"/>
          <w:b/>
          <w:color w:val="FF0000"/>
          <w:kern w:val="2"/>
          <w:sz w:val="24"/>
          <w:szCs w:val="24"/>
          <w:lang w:val="en-US" w:eastAsia="zh-CN" w:bidi="ar-SA"/>
        </w:rPr>
      </w:pPr>
      <w:r>
        <w:rPr>
          <w:rFonts w:hint="eastAsia" w:ascii="仿宋" w:hAnsi="仿宋" w:eastAsia="仿宋" w:cs="仿宋"/>
          <w:b/>
          <w:color w:val="FF0000"/>
          <w:kern w:val="2"/>
          <w:sz w:val="24"/>
          <w:szCs w:val="24"/>
          <w:lang w:val="en-US" w:eastAsia="zh-CN" w:bidi="ar-SA"/>
        </w:rPr>
        <w:t>六、</w:t>
      </w:r>
      <w:r>
        <w:rPr>
          <w:rFonts w:hint="eastAsia" w:ascii="仿宋" w:hAnsi="仿宋" w:eastAsia="仿宋" w:cs="仿宋"/>
          <w:b/>
          <w:color w:val="FF0000"/>
          <w:sz w:val="24"/>
          <w:szCs w:val="24"/>
          <w:lang w:eastAsia="zh-CN"/>
        </w:rPr>
        <w:t>建设</w:t>
      </w:r>
      <w:r>
        <w:rPr>
          <w:rFonts w:hint="eastAsia" w:ascii="仿宋" w:hAnsi="仿宋" w:eastAsia="仿宋" w:cs="仿宋"/>
          <w:b/>
          <w:color w:val="FF0000"/>
          <w:sz w:val="24"/>
          <w:szCs w:val="24"/>
        </w:rPr>
        <w:t>要求</w:t>
      </w:r>
    </w:p>
    <w:p w14:paraId="49F5060B">
      <w:pPr>
        <w:pageBreakBefore w:val="0"/>
        <w:kinsoku/>
        <w:wordWrap/>
        <w:overflowPunct/>
        <w:topLinePunct w:val="0"/>
        <w:autoSpaceDE/>
        <w:autoSpaceDN/>
        <w:bidi w:val="0"/>
        <w:snapToGrid/>
        <w:spacing w:line="500" w:lineRule="exact"/>
        <w:ind w:firstLine="480" w:firstLineChars="200"/>
        <w:textAlignment w:val="auto"/>
        <w:outlineLvl w:val="9"/>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1、质量要求：符合国家质量验收规范标准。 </w:t>
      </w:r>
    </w:p>
    <w:p w14:paraId="031996FA">
      <w:pPr>
        <w:pageBreakBefore w:val="0"/>
        <w:kinsoku/>
        <w:wordWrap/>
        <w:overflowPunct/>
        <w:topLinePunct w:val="0"/>
        <w:autoSpaceDE/>
        <w:autoSpaceDN/>
        <w:bidi w:val="0"/>
        <w:snapToGrid/>
        <w:spacing w:line="500" w:lineRule="exact"/>
        <w:ind w:firstLine="480" w:firstLineChars="200"/>
        <w:textAlignment w:val="auto"/>
        <w:outlineLvl w:val="9"/>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 xml:space="preserve">2、安全要求：杜绝重伤与死亡事故。 </w:t>
      </w:r>
    </w:p>
    <w:p w14:paraId="4EE71711">
      <w:pPr>
        <w:pageBreakBefore w:val="0"/>
        <w:numPr>
          <w:ilvl w:val="0"/>
          <w:numId w:val="0"/>
        </w:numPr>
        <w:kinsoku/>
        <w:wordWrap/>
        <w:overflowPunct/>
        <w:topLinePunct w:val="0"/>
        <w:autoSpaceDE/>
        <w:autoSpaceDN/>
        <w:bidi w:val="0"/>
        <w:snapToGrid/>
        <w:spacing w:line="500" w:lineRule="exact"/>
        <w:ind w:left="0" w:leftChars="0" w:firstLine="480" w:firstLineChars="200"/>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3、扬尘与噪音要求：严格按照国家、省、市扬尘污染防治标准及各项扬尘管控指令，做到达标生产。</w:t>
      </w:r>
    </w:p>
    <w:p w14:paraId="6FF474A7">
      <w:pPr>
        <w:pageBreakBefore w:val="0"/>
        <w:numPr>
          <w:ilvl w:val="0"/>
          <w:numId w:val="0"/>
        </w:numPr>
        <w:kinsoku/>
        <w:wordWrap/>
        <w:overflowPunct/>
        <w:topLinePunct w:val="0"/>
        <w:autoSpaceDE/>
        <w:autoSpaceDN/>
        <w:bidi w:val="0"/>
        <w:snapToGrid/>
        <w:spacing w:line="500" w:lineRule="exact"/>
        <w:textAlignment w:val="auto"/>
        <w:outlineLvl w:val="9"/>
        <w:rPr>
          <w:rFonts w:hint="eastAsia" w:ascii="仿宋" w:hAnsi="仿宋" w:eastAsia="仿宋" w:cs="仿宋"/>
          <w:b/>
          <w:color w:val="FF0000"/>
          <w:sz w:val="24"/>
          <w:szCs w:val="24"/>
        </w:rPr>
      </w:pPr>
      <w:r>
        <w:rPr>
          <w:rFonts w:hint="eastAsia" w:ascii="仿宋" w:hAnsi="仿宋" w:eastAsia="仿宋" w:cs="仿宋"/>
          <w:b/>
          <w:color w:val="FF0000"/>
          <w:kern w:val="2"/>
          <w:sz w:val="24"/>
          <w:szCs w:val="24"/>
          <w:lang w:val="en-US" w:eastAsia="zh-CN" w:bidi="ar-SA"/>
        </w:rPr>
        <w:t>七、</w:t>
      </w:r>
      <w:r>
        <w:rPr>
          <w:rFonts w:hint="eastAsia" w:ascii="仿宋" w:hAnsi="仿宋" w:eastAsia="仿宋" w:cs="仿宋"/>
          <w:b/>
          <w:color w:val="FF0000"/>
          <w:sz w:val="24"/>
          <w:szCs w:val="24"/>
          <w:lang w:eastAsia="zh-CN"/>
        </w:rPr>
        <w:t>技术</w:t>
      </w:r>
      <w:r>
        <w:rPr>
          <w:rFonts w:hint="eastAsia" w:ascii="仿宋" w:hAnsi="仿宋" w:eastAsia="仿宋" w:cs="仿宋"/>
          <w:b/>
          <w:color w:val="FF0000"/>
          <w:sz w:val="24"/>
          <w:szCs w:val="24"/>
        </w:rPr>
        <w:t>要求</w:t>
      </w:r>
    </w:p>
    <w:p w14:paraId="11C4D83B">
      <w:pPr>
        <w:pageBreakBefore w:val="0"/>
        <w:numPr>
          <w:ilvl w:val="0"/>
          <w:numId w:val="0"/>
        </w:numPr>
        <w:kinsoku/>
        <w:wordWrap/>
        <w:overflowPunct/>
        <w:topLinePunct w:val="0"/>
        <w:autoSpaceDE/>
        <w:autoSpaceDN/>
        <w:bidi w:val="0"/>
        <w:snapToGrid/>
        <w:spacing w:line="500" w:lineRule="exact"/>
        <w:textAlignment w:val="auto"/>
        <w:outlineLvl w:val="9"/>
        <w:rPr>
          <w:rFonts w:hint="default" w:ascii="仿宋" w:hAnsi="仿宋" w:eastAsia="仿宋" w:cs="仿宋"/>
          <w:b/>
          <w:color w:val="FF0000"/>
          <w:sz w:val="24"/>
          <w:szCs w:val="24"/>
          <w:highlight w:val="yellow"/>
          <w:lang w:val="en-US" w:eastAsia="zh-CN"/>
        </w:rPr>
      </w:pPr>
      <w:r>
        <w:rPr>
          <w:rFonts w:hint="eastAsia" w:ascii="仿宋" w:hAnsi="仿宋" w:eastAsia="仿宋" w:cs="仿宋"/>
          <w:b/>
          <w:color w:val="FF0000"/>
          <w:sz w:val="24"/>
          <w:szCs w:val="24"/>
          <w:highlight w:val="yellow"/>
          <w:lang w:val="en-US" w:eastAsia="zh-CN"/>
        </w:rPr>
        <w:t>1.采购清单（另附）：</w:t>
      </w:r>
    </w:p>
    <w:p w14:paraId="1730FD9E">
      <w:pPr>
        <w:pStyle w:val="6"/>
        <w:ind w:left="0" w:leftChars="0" w:firstLine="0" w:firstLineChars="0"/>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2.主要材质列表：</w:t>
      </w:r>
    </w:p>
    <w:tbl>
      <w:tblPr>
        <w:tblStyle w:val="20"/>
        <w:tblW w:w="828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1097"/>
        <w:gridCol w:w="2435"/>
        <w:gridCol w:w="2125"/>
        <w:gridCol w:w="1955"/>
      </w:tblGrid>
      <w:tr w14:paraId="3A9F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1719775E">
            <w:pPr>
              <w:bidi w:val="0"/>
              <w:rPr>
                <w:rFonts w:hint="eastAsia"/>
                <w:color w:val="FF0000"/>
                <w:lang w:val="en-US" w:eastAsia="zh-CN"/>
              </w:rPr>
            </w:pPr>
            <w:r>
              <w:rPr>
                <w:rFonts w:hint="eastAsia"/>
                <w:color w:val="FF0000"/>
                <w:lang w:val="en-US" w:eastAsia="zh-CN"/>
              </w:rPr>
              <w:t>序号</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C723BA2">
            <w:pPr>
              <w:bidi w:val="0"/>
              <w:rPr>
                <w:rFonts w:hint="eastAsia"/>
                <w:color w:val="FF0000"/>
                <w:lang w:val="en-US" w:eastAsia="zh-CN"/>
              </w:rPr>
            </w:pPr>
            <w:r>
              <w:rPr>
                <w:rFonts w:hint="eastAsia"/>
                <w:color w:val="FF0000"/>
                <w:lang w:val="en-US" w:eastAsia="zh-CN"/>
              </w:rPr>
              <w:t>用材部位</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08855BC1">
            <w:pPr>
              <w:bidi w:val="0"/>
              <w:rPr>
                <w:rFonts w:hint="eastAsia"/>
                <w:color w:val="FF0000"/>
                <w:lang w:val="en-US" w:eastAsia="zh-CN"/>
              </w:rPr>
            </w:pPr>
            <w:r>
              <w:rPr>
                <w:rFonts w:hint="eastAsia"/>
                <w:color w:val="FF0000"/>
                <w:lang w:val="en-US" w:eastAsia="zh-CN"/>
              </w:rPr>
              <w:t>要求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451349">
            <w:pPr>
              <w:bidi w:val="0"/>
              <w:rPr>
                <w:rFonts w:hint="eastAsia"/>
                <w:color w:val="FF0000"/>
                <w:lang w:val="en-US" w:eastAsia="zh-CN"/>
              </w:rPr>
            </w:pPr>
            <w:r>
              <w:rPr>
                <w:rFonts w:hint="eastAsia"/>
                <w:color w:val="FF0000"/>
                <w:lang w:val="en-US" w:eastAsia="zh-CN"/>
              </w:rPr>
              <w:t>规格</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1E530E53">
            <w:pPr>
              <w:bidi w:val="0"/>
              <w:rPr>
                <w:rFonts w:hint="eastAsia"/>
                <w:color w:val="FF0000"/>
                <w:lang w:val="en-US" w:eastAsia="zh-CN"/>
              </w:rPr>
            </w:pPr>
            <w:r>
              <w:rPr>
                <w:rFonts w:hint="eastAsia"/>
                <w:color w:val="FF0000"/>
                <w:lang w:val="en-US" w:eastAsia="zh-CN"/>
              </w:rPr>
              <w:t>备注</w:t>
            </w:r>
          </w:p>
        </w:tc>
      </w:tr>
      <w:tr w14:paraId="2635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2CA64F4">
            <w:pPr>
              <w:bidi w:val="0"/>
              <w:rPr>
                <w:rFonts w:hint="eastAsia"/>
                <w:color w:val="FF0000"/>
                <w:lang w:val="en-US" w:eastAsia="zh-CN"/>
              </w:rPr>
            </w:pPr>
            <w:r>
              <w:rPr>
                <w:rFonts w:hint="eastAsia"/>
                <w:color w:val="FF0000"/>
                <w:lang w:val="en-US" w:eastAsia="zh-CN"/>
              </w:rPr>
              <w:t>1</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FB383A1">
            <w:pPr>
              <w:bidi w:val="0"/>
              <w:rPr>
                <w:rFonts w:hint="eastAsia"/>
                <w:color w:val="FF0000"/>
                <w:lang w:val="en-US" w:eastAsia="zh-CN"/>
              </w:rPr>
            </w:pPr>
            <w:r>
              <w:rPr>
                <w:rFonts w:hint="eastAsia"/>
                <w:color w:val="FF0000"/>
                <w:lang w:val="en-US" w:eastAsia="zh-CN"/>
              </w:rPr>
              <w:t>墙面</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267CDF5E">
            <w:pPr>
              <w:bidi w:val="0"/>
              <w:rPr>
                <w:rFonts w:hint="eastAsia"/>
                <w:color w:val="FF0000"/>
                <w:lang w:val="en-US" w:eastAsia="zh-CN"/>
              </w:rPr>
            </w:pPr>
            <w:r>
              <w:rPr>
                <w:rFonts w:hint="eastAsia"/>
                <w:color w:val="FF0000"/>
                <w:lang w:val="en-US" w:eastAsia="zh-CN"/>
              </w:rPr>
              <w:t>轻钢龙骨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8FA3F0">
            <w:pPr>
              <w:bidi w:val="0"/>
              <w:rPr>
                <w:rFonts w:hint="eastAsia"/>
                <w:color w:val="FF0000"/>
                <w:lang w:val="en-US" w:eastAsia="zh-CN"/>
              </w:rPr>
            </w:pPr>
            <w:r>
              <w:rPr>
                <w:rFonts w:hint="eastAsia"/>
                <w:color w:val="FF0000"/>
                <w:lang w:val="en-US" w:eastAsia="zh-CN"/>
              </w:rPr>
              <w:t>75#轻钢龙骨</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4BF9F3B3">
            <w:pPr>
              <w:bidi w:val="0"/>
              <w:rPr>
                <w:rFonts w:hint="eastAsia"/>
                <w:color w:val="FF0000"/>
                <w:lang w:val="en-US" w:eastAsia="zh-CN"/>
              </w:rPr>
            </w:pPr>
            <w:r>
              <w:rPr>
                <w:rFonts w:hint="eastAsia"/>
                <w:color w:val="FF0000"/>
                <w:lang w:val="en-US" w:eastAsia="zh-CN"/>
              </w:rPr>
              <w:t>符合国家规范要求</w:t>
            </w:r>
          </w:p>
        </w:tc>
      </w:tr>
      <w:tr w14:paraId="25CF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310E61F1">
            <w:pPr>
              <w:bidi w:val="0"/>
              <w:rPr>
                <w:rFonts w:hint="eastAsia"/>
                <w:color w:val="FF0000"/>
                <w:lang w:val="en-US" w:eastAsia="zh-CN"/>
              </w:rPr>
            </w:pPr>
            <w:r>
              <w:rPr>
                <w:rFonts w:hint="eastAsia"/>
                <w:color w:val="FF0000"/>
                <w:lang w:val="en-US" w:eastAsia="zh-CN"/>
              </w:rPr>
              <w:t>2</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758A060">
            <w:pPr>
              <w:bidi w:val="0"/>
              <w:rPr>
                <w:rFonts w:hint="eastAsia"/>
                <w:color w:val="FF0000"/>
                <w:lang w:val="en-US" w:eastAsia="zh-CN"/>
              </w:rPr>
            </w:pPr>
            <w:r>
              <w:rPr>
                <w:rFonts w:hint="eastAsia"/>
                <w:color w:val="FF0000"/>
                <w:lang w:val="en-US" w:eastAsia="zh-CN"/>
              </w:rPr>
              <w:t>地面</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2E845255">
            <w:pPr>
              <w:bidi w:val="0"/>
              <w:rPr>
                <w:rFonts w:hint="eastAsia"/>
                <w:color w:val="FF0000"/>
                <w:lang w:val="en-US" w:eastAsia="zh-CN"/>
              </w:rPr>
            </w:pPr>
            <w:r>
              <w:rPr>
                <w:rFonts w:hint="eastAsia"/>
                <w:color w:val="FF0000"/>
                <w:lang w:val="en-US" w:eastAsia="zh-CN"/>
              </w:rPr>
              <w:t>深灰色阻燃型塑胶地板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4639456">
            <w:pPr>
              <w:bidi w:val="0"/>
              <w:rPr>
                <w:rFonts w:hint="eastAsia"/>
                <w:color w:val="FF0000"/>
                <w:lang w:val="en-US" w:eastAsia="zh-CN"/>
              </w:rPr>
            </w:pPr>
            <w:r>
              <w:rPr>
                <w:rFonts w:hint="eastAsia"/>
                <w:color w:val="FF0000"/>
                <w:lang w:val="en-US" w:eastAsia="zh-CN"/>
              </w:rPr>
              <w:t>厚度3mm</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DE816BD">
            <w:pPr>
              <w:bidi w:val="0"/>
              <w:rPr>
                <w:rFonts w:hint="eastAsia"/>
                <w:color w:val="FF0000"/>
                <w:lang w:val="en-US" w:eastAsia="zh-CN"/>
              </w:rPr>
            </w:pPr>
            <w:r>
              <w:rPr>
                <w:rFonts w:hint="eastAsia"/>
                <w:color w:val="FF0000"/>
                <w:lang w:val="en-US" w:eastAsia="zh-CN"/>
              </w:rPr>
              <w:t>符合国家规范要求</w:t>
            </w:r>
          </w:p>
        </w:tc>
      </w:tr>
      <w:tr w14:paraId="1E4E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429F016">
            <w:pPr>
              <w:bidi w:val="0"/>
              <w:rPr>
                <w:rFonts w:hint="eastAsia"/>
                <w:color w:val="FF0000"/>
                <w:lang w:val="en-US" w:eastAsia="zh-CN"/>
              </w:rPr>
            </w:pPr>
            <w:r>
              <w:rPr>
                <w:rFonts w:hint="eastAsia"/>
                <w:color w:val="FF0000"/>
                <w:lang w:val="en-US" w:eastAsia="zh-CN"/>
              </w:rPr>
              <w:t>3</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6075837">
            <w:pPr>
              <w:bidi w:val="0"/>
              <w:rPr>
                <w:rFonts w:hint="eastAsia"/>
                <w:color w:val="FF0000"/>
                <w:lang w:val="en-US" w:eastAsia="zh-CN"/>
              </w:rPr>
            </w:pPr>
            <w:r>
              <w:rPr>
                <w:rFonts w:hint="eastAsia"/>
                <w:color w:val="FF0000"/>
                <w:lang w:val="en-US" w:eastAsia="zh-CN"/>
              </w:rPr>
              <w:t>多层板</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711E4560">
            <w:pPr>
              <w:bidi w:val="0"/>
              <w:rPr>
                <w:rFonts w:hint="eastAsia"/>
                <w:color w:val="FF0000"/>
                <w:lang w:val="en-US" w:eastAsia="zh-CN"/>
              </w:rPr>
            </w:pPr>
            <w:r>
              <w:rPr>
                <w:rFonts w:hint="eastAsia"/>
                <w:color w:val="FF0000"/>
                <w:lang w:val="en-US" w:eastAsia="zh-CN"/>
              </w:rPr>
              <w:t>1220*2440mm阻燃板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1A50E6">
            <w:pPr>
              <w:bidi w:val="0"/>
              <w:rPr>
                <w:rFonts w:hint="eastAsia"/>
                <w:color w:val="FF0000"/>
                <w:lang w:val="en-US" w:eastAsia="zh-CN"/>
              </w:rPr>
            </w:pPr>
            <w:r>
              <w:rPr>
                <w:rFonts w:hint="eastAsia"/>
                <w:color w:val="FF0000"/>
                <w:lang w:val="en-US" w:eastAsia="zh-CN"/>
              </w:rPr>
              <w:t>厚度15mm</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056D2B94">
            <w:pPr>
              <w:bidi w:val="0"/>
              <w:rPr>
                <w:rFonts w:hint="eastAsia"/>
                <w:color w:val="FF0000"/>
                <w:lang w:val="en-US" w:eastAsia="zh-CN"/>
              </w:rPr>
            </w:pPr>
            <w:r>
              <w:rPr>
                <w:rFonts w:hint="eastAsia"/>
                <w:color w:val="FF0000"/>
                <w:lang w:val="en-US" w:eastAsia="zh-CN"/>
              </w:rPr>
              <w:t>符合国家规范要求</w:t>
            </w:r>
          </w:p>
        </w:tc>
      </w:tr>
      <w:tr w14:paraId="564D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6B7CE4B0">
            <w:pPr>
              <w:bidi w:val="0"/>
              <w:rPr>
                <w:rFonts w:hint="eastAsia"/>
                <w:color w:val="FF0000"/>
                <w:lang w:val="en-US" w:eastAsia="zh-CN"/>
              </w:rPr>
            </w:pPr>
            <w:r>
              <w:rPr>
                <w:rFonts w:hint="eastAsia"/>
                <w:color w:val="FF0000"/>
                <w:lang w:val="en-US" w:eastAsia="zh-CN"/>
              </w:rPr>
              <w:t>4</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DBFF685">
            <w:pPr>
              <w:bidi w:val="0"/>
              <w:rPr>
                <w:rFonts w:hint="eastAsia"/>
                <w:color w:val="FF0000"/>
                <w:lang w:val="en-US" w:eastAsia="zh-CN"/>
              </w:rPr>
            </w:pPr>
            <w:r>
              <w:rPr>
                <w:rFonts w:hint="eastAsia"/>
                <w:color w:val="FF0000"/>
                <w:lang w:val="en-US" w:eastAsia="zh-CN"/>
              </w:rPr>
              <w:t>多层板</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30635E50">
            <w:pPr>
              <w:bidi w:val="0"/>
              <w:rPr>
                <w:rFonts w:hint="eastAsia"/>
                <w:color w:val="FF0000"/>
                <w:lang w:val="en-US" w:eastAsia="zh-CN"/>
              </w:rPr>
            </w:pPr>
            <w:r>
              <w:rPr>
                <w:rFonts w:hint="eastAsia"/>
                <w:color w:val="FF0000"/>
                <w:lang w:val="en-US" w:eastAsia="zh-CN"/>
              </w:rPr>
              <w:t>1220*2440mm木工板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0C6359E">
            <w:pPr>
              <w:bidi w:val="0"/>
              <w:rPr>
                <w:rFonts w:hint="eastAsia"/>
                <w:color w:val="FF0000"/>
                <w:lang w:val="en-US" w:eastAsia="zh-CN"/>
              </w:rPr>
            </w:pPr>
            <w:r>
              <w:rPr>
                <w:rFonts w:hint="eastAsia"/>
                <w:color w:val="FF0000"/>
                <w:lang w:val="en-US" w:eastAsia="zh-CN"/>
              </w:rPr>
              <w:t>厚度9mm</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30DA6226">
            <w:pPr>
              <w:bidi w:val="0"/>
              <w:rPr>
                <w:rFonts w:hint="eastAsia"/>
                <w:color w:val="FF0000"/>
                <w:lang w:val="en-US" w:eastAsia="zh-CN"/>
              </w:rPr>
            </w:pPr>
            <w:r>
              <w:rPr>
                <w:rFonts w:hint="eastAsia"/>
                <w:color w:val="FF0000"/>
                <w:lang w:val="en-US" w:eastAsia="zh-CN"/>
              </w:rPr>
              <w:t>符合国家规范要求</w:t>
            </w:r>
          </w:p>
        </w:tc>
      </w:tr>
      <w:tr w14:paraId="1ED7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89F1AD5">
            <w:pPr>
              <w:bidi w:val="0"/>
              <w:rPr>
                <w:rFonts w:hint="eastAsia"/>
                <w:color w:val="FF0000"/>
                <w:lang w:val="en-US" w:eastAsia="zh-CN"/>
              </w:rPr>
            </w:pPr>
            <w:r>
              <w:rPr>
                <w:rFonts w:hint="eastAsia"/>
                <w:color w:val="FF0000"/>
                <w:lang w:val="en-US" w:eastAsia="zh-CN"/>
              </w:rPr>
              <w:t>5</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3C202C7">
            <w:pPr>
              <w:bidi w:val="0"/>
              <w:rPr>
                <w:rFonts w:hint="eastAsia"/>
                <w:color w:val="FF0000"/>
                <w:lang w:val="en-US" w:eastAsia="zh-CN"/>
              </w:rPr>
            </w:pPr>
            <w:r>
              <w:rPr>
                <w:rFonts w:hint="eastAsia"/>
                <w:color w:val="FF0000"/>
                <w:lang w:val="en-US" w:eastAsia="zh-CN"/>
              </w:rPr>
              <w:t>石膏板</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67ADF65A">
            <w:pPr>
              <w:bidi w:val="0"/>
              <w:rPr>
                <w:rFonts w:hint="eastAsia"/>
                <w:color w:val="FF0000"/>
                <w:lang w:val="en-US" w:eastAsia="zh-CN"/>
              </w:rPr>
            </w:pPr>
            <w:r>
              <w:rPr>
                <w:rFonts w:hint="eastAsia"/>
                <w:color w:val="FF0000"/>
                <w:lang w:val="en-US" w:eastAsia="zh-CN"/>
              </w:rPr>
              <w:t>纸面石膏板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020937">
            <w:pPr>
              <w:bidi w:val="0"/>
              <w:rPr>
                <w:rFonts w:hint="eastAsia"/>
                <w:color w:val="FF0000"/>
                <w:lang w:val="en-US" w:eastAsia="zh-CN"/>
              </w:rPr>
            </w:pPr>
            <w:r>
              <w:rPr>
                <w:rFonts w:hint="eastAsia"/>
                <w:color w:val="FF0000"/>
                <w:lang w:val="en-US" w:eastAsia="zh-CN"/>
              </w:rPr>
              <w:t>厚度9.5mm</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7679B238">
            <w:pPr>
              <w:bidi w:val="0"/>
              <w:rPr>
                <w:rFonts w:hint="eastAsia"/>
                <w:color w:val="FF0000"/>
                <w:lang w:val="en-US" w:eastAsia="zh-CN"/>
              </w:rPr>
            </w:pPr>
            <w:r>
              <w:rPr>
                <w:rFonts w:hint="eastAsia"/>
                <w:color w:val="FF0000"/>
                <w:lang w:val="en-US" w:eastAsia="zh-CN"/>
              </w:rPr>
              <w:t>符合国家规范要求</w:t>
            </w:r>
          </w:p>
        </w:tc>
      </w:tr>
      <w:tr w14:paraId="40E6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6A2094C9">
            <w:pPr>
              <w:bidi w:val="0"/>
              <w:rPr>
                <w:rFonts w:hint="eastAsia"/>
                <w:color w:val="FF0000"/>
                <w:lang w:val="en-US" w:eastAsia="zh-CN"/>
              </w:rPr>
            </w:pPr>
            <w:r>
              <w:rPr>
                <w:rFonts w:hint="eastAsia"/>
                <w:color w:val="FF0000"/>
                <w:lang w:val="en-US" w:eastAsia="zh-CN"/>
              </w:rPr>
              <w:t>6</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4CD8472">
            <w:pPr>
              <w:bidi w:val="0"/>
              <w:rPr>
                <w:rFonts w:hint="eastAsia"/>
                <w:color w:val="FF0000"/>
                <w:lang w:val="en-US" w:eastAsia="zh-CN"/>
              </w:rPr>
            </w:pPr>
            <w:r>
              <w:rPr>
                <w:rFonts w:hint="eastAsia"/>
                <w:color w:val="FF0000"/>
                <w:lang w:val="en-US" w:eastAsia="zh-CN"/>
              </w:rPr>
              <w:t>乳胶漆</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01E4FCBD">
            <w:pPr>
              <w:bidi w:val="0"/>
              <w:rPr>
                <w:rFonts w:hint="eastAsia"/>
                <w:color w:val="FF0000"/>
                <w:lang w:val="en-US" w:eastAsia="zh-CN"/>
              </w:rPr>
            </w:pPr>
            <w:r>
              <w:rPr>
                <w:rFonts w:hint="eastAsia"/>
                <w:color w:val="FF0000"/>
                <w:lang w:val="en-US" w:eastAsia="zh-CN"/>
              </w:rPr>
              <w:t>环保型</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5848F8">
            <w:pPr>
              <w:bidi w:val="0"/>
              <w:rPr>
                <w:rFonts w:hint="eastAsia"/>
                <w:color w:val="FF0000"/>
                <w:lang w:val="en-US" w:eastAsia="zh-CN"/>
              </w:rPr>
            </w:pPr>
            <w:r>
              <w:rPr>
                <w:rFonts w:hint="eastAsia"/>
                <w:color w:val="FF0000"/>
                <w:lang w:val="en-US" w:eastAsia="zh-CN"/>
              </w:rPr>
              <w:t>18L/桶</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4F555BA3">
            <w:pPr>
              <w:bidi w:val="0"/>
              <w:rPr>
                <w:rFonts w:hint="eastAsia"/>
                <w:color w:val="FF0000"/>
                <w:lang w:val="en-US" w:eastAsia="zh-CN"/>
              </w:rPr>
            </w:pPr>
            <w:r>
              <w:rPr>
                <w:rFonts w:hint="eastAsia"/>
                <w:color w:val="FF0000"/>
                <w:lang w:val="en-US" w:eastAsia="zh-CN"/>
              </w:rPr>
              <w:t>符合国家规范要求</w:t>
            </w:r>
          </w:p>
        </w:tc>
      </w:tr>
      <w:tr w14:paraId="623B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6D657596">
            <w:pPr>
              <w:bidi w:val="0"/>
              <w:rPr>
                <w:rFonts w:hint="eastAsia"/>
                <w:color w:val="FF0000"/>
                <w:lang w:val="en-US" w:eastAsia="zh-CN"/>
              </w:rPr>
            </w:pPr>
            <w:r>
              <w:rPr>
                <w:rFonts w:hint="eastAsia"/>
                <w:color w:val="FF0000"/>
                <w:lang w:val="en-US" w:eastAsia="zh-CN"/>
              </w:rPr>
              <w:t>7</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280BDBB5">
            <w:pPr>
              <w:bidi w:val="0"/>
              <w:rPr>
                <w:rFonts w:hint="eastAsia"/>
                <w:color w:val="FF0000"/>
                <w:lang w:val="en-US" w:eastAsia="zh-CN"/>
              </w:rPr>
            </w:pPr>
            <w:r>
              <w:rPr>
                <w:rFonts w:hint="eastAsia"/>
                <w:color w:val="FF0000"/>
                <w:lang w:val="en-US" w:eastAsia="zh-CN"/>
              </w:rPr>
              <w:t>轨道射灯</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14:paraId="567C74EC">
            <w:pPr>
              <w:bidi w:val="0"/>
              <w:rPr>
                <w:rFonts w:hint="eastAsia"/>
                <w:color w:val="FF0000"/>
                <w:lang w:val="en-US" w:eastAsia="zh-CN"/>
              </w:rPr>
            </w:pPr>
            <w:r>
              <w:rPr>
                <w:rFonts w:hint="eastAsia"/>
                <w:color w:val="FF0000"/>
                <w:lang w:val="en-US" w:eastAsia="zh-CN"/>
              </w:rPr>
              <w:t>局部补光考虑，国内品牌，照度均匀，避免直接炫光和反射炫光</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010446">
            <w:pPr>
              <w:bidi w:val="0"/>
              <w:rPr>
                <w:rFonts w:hint="eastAsia"/>
                <w:color w:val="FF0000"/>
                <w:lang w:val="en-US" w:eastAsia="zh-CN"/>
              </w:rPr>
            </w:pPr>
            <w:r>
              <w:rPr>
                <w:rFonts w:hint="eastAsia"/>
                <w:color w:val="FF0000"/>
                <w:lang w:val="en-US" w:eastAsia="zh-CN"/>
              </w:rPr>
              <w:t>色温4000K功率30W</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7B4A3E0">
            <w:pPr>
              <w:bidi w:val="0"/>
              <w:rPr>
                <w:rFonts w:hint="eastAsia"/>
                <w:color w:val="FF0000"/>
                <w:lang w:val="en-US" w:eastAsia="zh-CN"/>
              </w:rPr>
            </w:pPr>
            <w:r>
              <w:rPr>
                <w:rFonts w:hint="eastAsia"/>
                <w:color w:val="FF0000"/>
                <w:lang w:val="en-US" w:eastAsia="zh-CN"/>
              </w:rPr>
              <w:t>符合展馆一般灯具要求</w:t>
            </w:r>
          </w:p>
        </w:tc>
      </w:tr>
      <w:tr w14:paraId="7181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307605D8">
            <w:pPr>
              <w:bidi w:val="0"/>
              <w:rPr>
                <w:rFonts w:hint="eastAsia"/>
                <w:color w:val="FF0000"/>
                <w:lang w:val="en-US" w:eastAsia="zh-CN"/>
              </w:rPr>
            </w:pPr>
            <w:r>
              <w:rPr>
                <w:rFonts w:hint="eastAsia"/>
                <w:color w:val="FF0000"/>
                <w:lang w:val="en-US" w:eastAsia="zh-CN"/>
              </w:rPr>
              <w:t>8</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69FF426A">
            <w:pPr>
              <w:bidi w:val="0"/>
              <w:rPr>
                <w:rFonts w:hint="eastAsia"/>
                <w:color w:val="FF0000"/>
                <w:lang w:val="en-US" w:eastAsia="zh-CN"/>
              </w:rPr>
            </w:pPr>
            <w:r>
              <w:rPr>
                <w:rFonts w:hint="eastAsia"/>
                <w:color w:val="FF0000"/>
                <w:lang w:val="en-US" w:eastAsia="zh-CN"/>
              </w:rPr>
              <w:t>筒灯</w:t>
            </w:r>
          </w:p>
        </w:tc>
        <w:tc>
          <w:tcPr>
            <w:tcW w:w="4560" w:type="dxa"/>
            <w:gridSpan w:val="2"/>
            <w:tcBorders>
              <w:top w:val="single" w:color="000000" w:sz="4" w:space="0"/>
              <w:left w:val="single" w:color="000000" w:sz="4" w:space="0"/>
              <w:bottom w:val="single" w:color="000000" w:sz="4" w:space="0"/>
              <w:right w:val="single" w:color="000000" w:sz="4" w:space="0"/>
            </w:tcBorders>
            <w:noWrap w:val="0"/>
            <w:vAlign w:val="center"/>
          </w:tcPr>
          <w:p w14:paraId="32828E43">
            <w:pPr>
              <w:bidi w:val="0"/>
              <w:rPr>
                <w:rFonts w:hint="eastAsia"/>
                <w:color w:val="FF0000"/>
                <w:lang w:val="en-US" w:eastAsia="zh-CN"/>
              </w:rPr>
            </w:pPr>
            <w:r>
              <w:rPr>
                <w:rFonts w:hint="eastAsia"/>
                <w:color w:val="FF0000"/>
                <w:lang w:val="en-US" w:eastAsia="zh-CN"/>
              </w:rPr>
              <w:t>色温4000K功率30W</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264FEE35">
            <w:pPr>
              <w:bidi w:val="0"/>
              <w:rPr>
                <w:rFonts w:hint="eastAsia"/>
                <w:color w:val="FF0000"/>
                <w:lang w:val="en-US" w:eastAsia="zh-CN"/>
              </w:rPr>
            </w:pPr>
            <w:r>
              <w:rPr>
                <w:rFonts w:hint="eastAsia"/>
                <w:color w:val="FF0000"/>
                <w:lang w:val="en-US" w:eastAsia="zh-CN"/>
              </w:rPr>
              <w:t>符合国家规范要求</w:t>
            </w:r>
          </w:p>
        </w:tc>
      </w:tr>
      <w:tr w14:paraId="3A77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2929568E">
            <w:pPr>
              <w:bidi w:val="0"/>
              <w:rPr>
                <w:rFonts w:hint="eastAsia"/>
                <w:color w:val="FF0000"/>
                <w:lang w:val="en-US" w:eastAsia="zh-CN"/>
              </w:rPr>
            </w:pPr>
            <w:r>
              <w:rPr>
                <w:rFonts w:hint="eastAsia"/>
                <w:color w:val="FF0000"/>
                <w:lang w:val="en-US" w:eastAsia="zh-CN"/>
              </w:rPr>
              <w:t>9</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52D323C4">
            <w:pPr>
              <w:bidi w:val="0"/>
              <w:rPr>
                <w:rFonts w:hint="eastAsia"/>
                <w:color w:val="FF0000"/>
                <w:lang w:val="en-US" w:eastAsia="zh-CN"/>
              </w:rPr>
            </w:pPr>
            <w:r>
              <w:rPr>
                <w:rFonts w:hint="eastAsia"/>
                <w:color w:val="FF0000"/>
                <w:lang w:val="en-US" w:eastAsia="zh-CN"/>
              </w:rPr>
              <w:t>电线</w:t>
            </w:r>
          </w:p>
        </w:tc>
        <w:tc>
          <w:tcPr>
            <w:tcW w:w="4560" w:type="dxa"/>
            <w:gridSpan w:val="2"/>
            <w:tcBorders>
              <w:top w:val="single" w:color="000000" w:sz="4" w:space="0"/>
              <w:left w:val="single" w:color="000000" w:sz="4" w:space="0"/>
              <w:bottom w:val="single" w:color="000000" w:sz="4" w:space="0"/>
              <w:right w:val="single" w:color="000000" w:sz="4" w:space="0"/>
            </w:tcBorders>
            <w:noWrap w:val="0"/>
            <w:vAlign w:val="center"/>
          </w:tcPr>
          <w:p w14:paraId="0FC2CC06">
            <w:pPr>
              <w:bidi w:val="0"/>
              <w:rPr>
                <w:rFonts w:hint="eastAsia"/>
                <w:color w:val="FF0000"/>
                <w:lang w:val="en-US" w:eastAsia="zh-CN"/>
              </w:rPr>
            </w:pPr>
            <w:r>
              <w:rPr>
                <w:rFonts w:hint="eastAsia"/>
                <w:color w:val="FF0000"/>
                <w:lang w:val="en-US" w:eastAsia="zh-CN"/>
              </w:rPr>
              <w:t>2.5平方、4平方、6平方</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616513B2">
            <w:pPr>
              <w:bidi w:val="0"/>
              <w:rPr>
                <w:rFonts w:hint="eastAsia"/>
                <w:color w:val="FF0000"/>
                <w:lang w:val="en-US" w:eastAsia="zh-CN"/>
              </w:rPr>
            </w:pPr>
            <w:r>
              <w:rPr>
                <w:rFonts w:hint="eastAsia"/>
                <w:color w:val="FF0000"/>
                <w:lang w:val="en-US" w:eastAsia="zh-CN"/>
              </w:rPr>
              <w:t>符合国家规范要求</w:t>
            </w:r>
          </w:p>
        </w:tc>
      </w:tr>
      <w:tr w14:paraId="0E14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0F9EF87A">
            <w:pPr>
              <w:bidi w:val="0"/>
              <w:rPr>
                <w:rFonts w:hint="eastAsia"/>
                <w:color w:val="FF0000"/>
                <w:lang w:val="en-US" w:eastAsia="zh-CN"/>
              </w:rPr>
            </w:pPr>
            <w:r>
              <w:rPr>
                <w:rFonts w:hint="eastAsia"/>
                <w:color w:val="FF0000"/>
                <w:lang w:val="en-US" w:eastAsia="zh-CN"/>
              </w:rPr>
              <w:t>10</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2D646CC">
            <w:pPr>
              <w:bidi w:val="0"/>
              <w:rPr>
                <w:rFonts w:hint="eastAsia"/>
                <w:color w:val="FF0000"/>
                <w:lang w:val="en-US" w:eastAsia="zh-CN"/>
              </w:rPr>
            </w:pPr>
            <w:r>
              <w:rPr>
                <w:rFonts w:hint="eastAsia"/>
                <w:color w:val="FF0000"/>
                <w:lang w:val="en-US" w:eastAsia="zh-CN"/>
              </w:rPr>
              <w:t>宣绒布</w:t>
            </w:r>
          </w:p>
        </w:tc>
        <w:tc>
          <w:tcPr>
            <w:tcW w:w="4560" w:type="dxa"/>
            <w:gridSpan w:val="2"/>
            <w:tcBorders>
              <w:top w:val="single" w:color="000000" w:sz="4" w:space="0"/>
              <w:left w:val="single" w:color="000000" w:sz="4" w:space="0"/>
              <w:bottom w:val="single" w:color="000000" w:sz="4" w:space="0"/>
              <w:right w:val="single" w:color="000000" w:sz="4" w:space="0"/>
            </w:tcBorders>
            <w:noWrap w:val="0"/>
            <w:vAlign w:val="center"/>
          </w:tcPr>
          <w:p w14:paraId="6FADDE07">
            <w:pPr>
              <w:bidi w:val="0"/>
              <w:rPr>
                <w:rFonts w:hint="eastAsia"/>
                <w:color w:val="FF0000"/>
                <w:lang w:val="en-US" w:eastAsia="zh-CN"/>
              </w:rPr>
            </w:pP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0DC768DA">
            <w:pPr>
              <w:bidi w:val="0"/>
              <w:rPr>
                <w:rFonts w:hint="eastAsia"/>
                <w:color w:val="FF0000"/>
                <w:lang w:val="en-US" w:eastAsia="zh-CN"/>
              </w:rPr>
            </w:pPr>
            <w:r>
              <w:rPr>
                <w:rFonts w:hint="eastAsia"/>
                <w:color w:val="FF0000"/>
                <w:lang w:val="en-US" w:eastAsia="zh-CN"/>
              </w:rPr>
              <w:t>符合国家规范要求</w:t>
            </w:r>
          </w:p>
        </w:tc>
      </w:tr>
      <w:tr w14:paraId="7318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5084C6F3">
            <w:pPr>
              <w:bidi w:val="0"/>
              <w:rPr>
                <w:rFonts w:hint="eastAsia"/>
                <w:color w:val="FF0000"/>
                <w:lang w:val="en-US" w:eastAsia="zh-CN"/>
              </w:rPr>
            </w:pPr>
            <w:r>
              <w:rPr>
                <w:rFonts w:hint="eastAsia"/>
                <w:color w:val="FF0000"/>
                <w:lang w:val="en-US" w:eastAsia="zh-CN"/>
              </w:rPr>
              <w:t>11</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3A93E7FA">
            <w:pPr>
              <w:bidi w:val="0"/>
              <w:rPr>
                <w:rFonts w:hint="eastAsia"/>
                <w:color w:val="FF0000"/>
                <w:lang w:val="en-US" w:eastAsia="zh-CN"/>
              </w:rPr>
            </w:pPr>
            <w:r>
              <w:rPr>
                <w:rFonts w:hint="eastAsia"/>
                <w:color w:val="FF0000"/>
                <w:lang w:val="en-US" w:eastAsia="zh-CN"/>
              </w:rPr>
              <w:t>腻子粉</w:t>
            </w:r>
          </w:p>
        </w:tc>
        <w:tc>
          <w:tcPr>
            <w:tcW w:w="4560" w:type="dxa"/>
            <w:gridSpan w:val="2"/>
            <w:tcBorders>
              <w:top w:val="single" w:color="000000" w:sz="4" w:space="0"/>
              <w:left w:val="single" w:color="000000" w:sz="4" w:space="0"/>
              <w:bottom w:val="single" w:color="000000" w:sz="4" w:space="0"/>
              <w:right w:val="single" w:color="000000" w:sz="4" w:space="0"/>
            </w:tcBorders>
            <w:noWrap w:val="0"/>
            <w:vAlign w:val="center"/>
          </w:tcPr>
          <w:p w14:paraId="6F79C2C4">
            <w:pPr>
              <w:bidi w:val="0"/>
              <w:rPr>
                <w:rFonts w:hint="eastAsia"/>
                <w:color w:val="FF0000"/>
                <w:lang w:val="en-US" w:eastAsia="zh-CN"/>
              </w:rPr>
            </w:pPr>
            <w:r>
              <w:rPr>
                <w:rFonts w:hint="eastAsia"/>
                <w:color w:val="FF0000"/>
                <w:lang w:val="en-US" w:eastAsia="zh-CN"/>
              </w:rPr>
              <w:t>环保型</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5572C3A2">
            <w:pPr>
              <w:bidi w:val="0"/>
              <w:rPr>
                <w:rFonts w:hint="eastAsia"/>
                <w:color w:val="FF0000"/>
                <w:lang w:val="en-US" w:eastAsia="zh-CN"/>
              </w:rPr>
            </w:pPr>
            <w:r>
              <w:rPr>
                <w:rFonts w:hint="eastAsia"/>
                <w:color w:val="FF0000"/>
                <w:lang w:val="en-US" w:eastAsia="zh-CN"/>
              </w:rPr>
              <w:t>符合国家规范要求</w:t>
            </w:r>
          </w:p>
        </w:tc>
      </w:tr>
      <w:tr w14:paraId="5A35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677" w:type="dxa"/>
            <w:tcBorders>
              <w:top w:val="single" w:color="000000" w:sz="4" w:space="0"/>
              <w:left w:val="single" w:color="000000" w:sz="4" w:space="0"/>
              <w:bottom w:val="single" w:color="000000" w:sz="4" w:space="0"/>
              <w:right w:val="single" w:color="000000" w:sz="4" w:space="0"/>
            </w:tcBorders>
            <w:noWrap/>
            <w:vAlign w:val="center"/>
          </w:tcPr>
          <w:p w14:paraId="4DF5F815">
            <w:pPr>
              <w:bidi w:val="0"/>
              <w:rPr>
                <w:rFonts w:hint="eastAsia"/>
                <w:color w:val="FF0000"/>
                <w:lang w:val="en-US" w:eastAsia="zh-CN"/>
              </w:rPr>
            </w:pPr>
            <w:r>
              <w:rPr>
                <w:rFonts w:hint="eastAsia"/>
                <w:color w:val="FF0000"/>
                <w:lang w:val="en-US" w:eastAsia="zh-CN"/>
              </w:rPr>
              <w:t>12</w:t>
            </w:r>
          </w:p>
        </w:tc>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E6A678A">
            <w:pPr>
              <w:bidi w:val="0"/>
              <w:rPr>
                <w:rFonts w:hint="eastAsia"/>
                <w:color w:val="FF0000"/>
                <w:lang w:val="en-US" w:eastAsia="zh-CN"/>
              </w:rPr>
            </w:pPr>
            <w:r>
              <w:rPr>
                <w:rFonts w:hint="eastAsia"/>
                <w:color w:val="FF0000"/>
                <w:lang w:val="en-US" w:eastAsia="zh-CN"/>
              </w:rPr>
              <w:t>石膏</w:t>
            </w:r>
          </w:p>
        </w:tc>
        <w:tc>
          <w:tcPr>
            <w:tcW w:w="4560" w:type="dxa"/>
            <w:gridSpan w:val="2"/>
            <w:tcBorders>
              <w:top w:val="single" w:color="000000" w:sz="4" w:space="0"/>
              <w:left w:val="single" w:color="000000" w:sz="4" w:space="0"/>
              <w:bottom w:val="single" w:color="000000" w:sz="4" w:space="0"/>
              <w:right w:val="single" w:color="000000" w:sz="4" w:space="0"/>
            </w:tcBorders>
            <w:noWrap w:val="0"/>
            <w:vAlign w:val="center"/>
          </w:tcPr>
          <w:p w14:paraId="5A227C86">
            <w:pPr>
              <w:bidi w:val="0"/>
              <w:rPr>
                <w:rFonts w:hint="eastAsia"/>
                <w:color w:val="FF0000"/>
                <w:lang w:val="en-US" w:eastAsia="zh-CN"/>
              </w:rPr>
            </w:pPr>
            <w:r>
              <w:rPr>
                <w:rFonts w:hint="eastAsia"/>
                <w:color w:val="FF0000"/>
                <w:lang w:val="en-US" w:eastAsia="zh-CN"/>
              </w:rPr>
              <w:t>环保型</w:t>
            </w:r>
          </w:p>
        </w:tc>
        <w:tc>
          <w:tcPr>
            <w:tcW w:w="1955" w:type="dxa"/>
            <w:tcBorders>
              <w:top w:val="single" w:color="000000" w:sz="4" w:space="0"/>
              <w:left w:val="single" w:color="000000" w:sz="4" w:space="0"/>
              <w:bottom w:val="single" w:color="000000" w:sz="4" w:space="0"/>
              <w:right w:val="single" w:color="000000" w:sz="4" w:space="0"/>
            </w:tcBorders>
            <w:noWrap w:val="0"/>
            <w:vAlign w:val="center"/>
          </w:tcPr>
          <w:p w14:paraId="02339F5A">
            <w:pPr>
              <w:bidi w:val="0"/>
              <w:rPr>
                <w:rFonts w:hint="eastAsia"/>
                <w:color w:val="FF0000"/>
                <w:lang w:val="en-US" w:eastAsia="zh-CN"/>
              </w:rPr>
            </w:pPr>
            <w:r>
              <w:rPr>
                <w:rFonts w:hint="eastAsia"/>
                <w:color w:val="FF0000"/>
                <w:lang w:val="en-US" w:eastAsia="zh-CN"/>
              </w:rPr>
              <w:t>符合国家规范要求</w:t>
            </w:r>
          </w:p>
        </w:tc>
      </w:tr>
    </w:tbl>
    <w:p w14:paraId="1818B77F">
      <w:pPr>
        <w:pStyle w:val="6"/>
        <w:numPr>
          <w:ilvl w:val="0"/>
          <w:numId w:val="0"/>
        </w:numPr>
        <w:rPr>
          <w:rFonts w:hint="eastAsia" w:ascii="仿宋" w:hAnsi="仿宋" w:eastAsia="仿宋" w:cs="仿宋"/>
          <w:b/>
          <w:bCs/>
          <w:color w:val="FF0000"/>
          <w:sz w:val="24"/>
          <w:szCs w:val="24"/>
          <w:lang w:val="en-US" w:eastAsia="zh-CN"/>
        </w:rPr>
      </w:pPr>
    </w:p>
    <w:p w14:paraId="375C8F78">
      <w:pPr>
        <w:pageBreakBefore w:val="0"/>
        <w:numPr>
          <w:ilvl w:val="0"/>
          <w:numId w:val="2"/>
        </w:numPr>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本工程的设计、施工和展览材料要符合建筑、装饰工程、环保、安防、消防要求以及国家相关规范的要求，并有利于展品保护。</w:t>
      </w:r>
    </w:p>
    <w:p w14:paraId="3578EBAB">
      <w:pPr>
        <w:pageBreakBefore w:val="0"/>
        <w:numPr>
          <w:ilvl w:val="0"/>
          <w:numId w:val="2"/>
        </w:numPr>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制作施工能较好理解设计意图，制作的展墙、展柜、展台、道具及吊顶和地面等达到较高工艺水平；艺术品制作精良。</w:t>
      </w:r>
    </w:p>
    <w:p w14:paraId="27DCC8C6">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3、制作要工艺考究、美观大方、质感好。牢固耐用，符合声、光学原理及展品安全和保护的要求。</w:t>
      </w:r>
    </w:p>
    <w:p w14:paraId="563F03D0">
      <w:pPr>
        <w:pageBreakBefore w:val="0"/>
        <w:kinsoku/>
        <w:wordWrap/>
        <w:overflowPunct/>
        <w:topLinePunct w:val="0"/>
        <w:autoSpaceDE/>
        <w:autoSpaceDN/>
        <w:bidi w:val="0"/>
        <w:snapToGrid/>
        <w:spacing w:line="500" w:lineRule="exact"/>
        <w:ind w:left="8" w:firstLine="408" w:firstLineChars="17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4、多媒体及数字化设备选配科学、合理，用材适当并与陈列环境相协调，且易于操作，经久耐用。供应商需制作本项目多媒体展项的互动视频内容。</w:t>
      </w:r>
    </w:p>
    <w:p w14:paraId="5F660087">
      <w:pPr>
        <w:spacing w:line="500" w:lineRule="exact"/>
        <w:ind w:firstLine="480" w:firstLineChars="200"/>
        <w:outlineLvl w:val="9"/>
        <w:rPr>
          <w:rFonts w:hint="eastAsia" w:ascii="Times New Roman" w:hAnsi="Calibri" w:cs="Times New Roman"/>
          <w:color w:val="FF0000"/>
          <w:sz w:val="24"/>
          <w:szCs w:val="20"/>
          <w:highlight w:val="none"/>
        </w:rPr>
      </w:pPr>
      <w:r>
        <w:rPr>
          <w:rFonts w:hint="eastAsia" w:ascii="Times New Roman" w:hAnsi="Calibri" w:cs="Times New Roman"/>
          <w:color w:val="FF0000"/>
          <w:sz w:val="24"/>
          <w:szCs w:val="20"/>
          <w:highlight w:val="none"/>
          <w:lang w:val="en-US" w:eastAsia="zh-CN"/>
        </w:rPr>
        <w:t>八、</w:t>
      </w:r>
      <w:r>
        <w:rPr>
          <w:rFonts w:hint="eastAsia" w:ascii="Times New Roman" w:hAnsi="Calibri" w:cs="Times New Roman"/>
          <w:color w:val="FF0000"/>
          <w:sz w:val="24"/>
          <w:szCs w:val="20"/>
          <w:highlight w:val="none"/>
        </w:rPr>
        <w:t>深化方案设计成果</w:t>
      </w:r>
    </w:p>
    <w:p w14:paraId="21F7FC5A">
      <w:pPr>
        <w:spacing w:line="500" w:lineRule="exact"/>
        <w:ind w:firstLine="480" w:firstLineChars="200"/>
        <w:outlineLvl w:val="1"/>
        <w:rPr>
          <w:rFonts w:ascii="Times New Roman" w:hAnsi="Calibri" w:cs="Times New Roman"/>
          <w:color w:val="FF0000"/>
          <w:sz w:val="24"/>
          <w:szCs w:val="20"/>
          <w:highlight w:val="none"/>
        </w:rPr>
      </w:pPr>
      <w:r>
        <w:rPr>
          <w:rFonts w:hint="eastAsia" w:ascii="Times New Roman" w:hAnsi="Calibri" w:cs="Times New Roman"/>
          <w:color w:val="FF0000"/>
          <w:sz w:val="24"/>
          <w:szCs w:val="20"/>
          <w:highlight w:val="none"/>
          <w:lang w:val="en-US"/>
        </w:rPr>
        <w:t>1.</w:t>
      </w:r>
      <w:r>
        <w:rPr>
          <w:rFonts w:ascii="Times New Roman" w:hAnsi="Calibri" w:cs="Times New Roman"/>
          <w:color w:val="FF0000"/>
          <w:sz w:val="24"/>
          <w:szCs w:val="20"/>
          <w:highlight w:val="none"/>
        </w:rPr>
        <w:t>设计成果文本（彩色，不低于</w:t>
      </w:r>
      <w:r>
        <w:rPr>
          <w:rFonts w:hint="eastAsia" w:ascii="Times New Roman" w:hAnsi="Calibri" w:eastAsia="宋体" w:cs="Times New Roman"/>
          <w:color w:val="FF0000"/>
          <w:sz w:val="24"/>
          <w:szCs w:val="20"/>
          <w:highlight w:val="none"/>
          <w:lang w:val="en-US" w:eastAsia="zh-CN"/>
        </w:rPr>
        <w:t>25</w:t>
      </w:r>
      <w:r>
        <w:rPr>
          <w:rFonts w:ascii="Times New Roman" w:hAnsi="Calibri" w:cs="Times New Roman"/>
          <w:color w:val="FF0000"/>
          <w:sz w:val="24"/>
          <w:szCs w:val="20"/>
          <w:highlight w:val="none"/>
        </w:rPr>
        <w:t>张）；</w:t>
      </w:r>
    </w:p>
    <w:p w14:paraId="132F1F19">
      <w:pPr>
        <w:spacing w:line="500" w:lineRule="exact"/>
        <w:ind w:firstLine="480" w:firstLineChars="200"/>
        <w:outlineLvl w:val="1"/>
        <w:rPr>
          <w:rFonts w:ascii="Times New Roman" w:hAnsi="Calibri" w:cs="Times New Roman"/>
          <w:color w:val="FF0000"/>
          <w:sz w:val="24"/>
          <w:szCs w:val="20"/>
          <w:highlight w:val="none"/>
        </w:rPr>
      </w:pPr>
      <w:r>
        <w:rPr>
          <w:rFonts w:hint="eastAsia" w:ascii="Times New Roman" w:hAnsi="Calibri" w:cs="Times New Roman"/>
          <w:color w:val="FF0000"/>
          <w:sz w:val="24"/>
          <w:szCs w:val="20"/>
          <w:highlight w:val="none"/>
          <w:lang w:val="en-US"/>
        </w:rPr>
        <w:t>2.</w:t>
      </w:r>
      <w:r>
        <w:rPr>
          <w:rFonts w:ascii="Times New Roman" w:hAnsi="Calibri" w:cs="Times New Roman"/>
          <w:color w:val="FF0000"/>
          <w:sz w:val="24"/>
          <w:szCs w:val="20"/>
          <w:highlight w:val="none"/>
        </w:rPr>
        <w:t>提供详细布展脚本（</w:t>
      </w:r>
      <w:r>
        <w:rPr>
          <w:rFonts w:hint="eastAsia" w:ascii="Times New Roman" w:hAnsi="Calibri" w:cs="Times New Roman"/>
          <w:color w:val="FF0000"/>
          <w:sz w:val="24"/>
          <w:szCs w:val="20"/>
          <w:highlight w:val="none"/>
        </w:rPr>
        <w:t>二</w:t>
      </w:r>
      <w:r>
        <w:rPr>
          <w:rFonts w:ascii="Times New Roman" w:hAnsi="Calibri" w:cs="Times New Roman"/>
          <w:color w:val="FF0000"/>
          <w:sz w:val="24"/>
          <w:szCs w:val="20"/>
          <w:highlight w:val="none"/>
        </w:rPr>
        <w:t>级标题</w:t>
      </w:r>
      <w:r>
        <w:rPr>
          <w:rFonts w:hint="eastAsia" w:ascii="Times New Roman" w:hAnsi="Calibri" w:cs="Times New Roman"/>
          <w:color w:val="FF0000"/>
          <w:sz w:val="24"/>
          <w:szCs w:val="20"/>
          <w:highlight w:val="none"/>
        </w:rPr>
        <w:t>以上</w:t>
      </w:r>
      <w:r>
        <w:rPr>
          <w:rFonts w:ascii="Times New Roman" w:hAnsi="Calibri" w:cs="Times New Roman"/>
          <w:color w:val="FF0000"/>
          <w:sz w:val="24"/>
          <w:szCs w:val="20"/>
          <w:highlight w:val="none"/>
        </w:rPr>
        <w:t>，体现内容规划、展示手段）；</w:t>
      </w:r>
    </w:p>
    <w:p w14:paraId="368BD7C7">
      <w:pPr>
        <w:spacing w:line="500" w:lineRule="exact"/>
        <w:ind w:firstLine="480" w:firstLineChars="200"/>
        <w:outlineLvl w:val="1"/>
        <w:rPr>
          <w:rFonts w:ascii="Times New Roman" w:hAnsi="Calibri" w:cs="Times New Roman"/>
          <w:color w:val="FF0000"/>
          <w:sz w:val="24"/>
          <w:szCs w:val="20"/>
          <w:highlight w:val="none"/>
        </w:rPr>
      </w:pPr>
      <w:r>
        <w:rPr>
          <w:rFonts w:hint="eastAsia" w:ascii="Times New Roman" w:hAnsi="Calibri" w:cs="Times New Roman"/>
          <w:color w:val="FF0000"/>
          <w:sz w:val="24"/>
          <w:szCs w:val="20"/>
          <w:highlight w:val="none"/>
          <w:lang w:val="en-US"/>
        </w:rPr>
        <w:t>3.</w:t>
      </w:r>
      <w:r>
        <w:rPr>
          <w:rFonts w:ascii="Times New Roman" w:hAnsi="Calibri" w:cs="Times New Roman"/>
          <w:color w:val="FF0000"/>
          <w:sz w:val="24"/>
          <w:szCs w:val="20"/>
          <w:highlight w:val="none"/>
        </w:rPr>
        <w:t>设计成果电子文本1套（线图须为DWG格式、文字为WORD格式、文本文件采用平方米icrosoft PowerPoint 2003以上的格式文件或JPG格式，分辨率在200dpi以上）；</w:t>
      </w:r>
    </w:p>
    <w:p w14:paraId="6D985304">
      <w:pPr>
        <w:spacing w:line="500" w:lineRule="exact"/>
        <w:ind w:firstLine="480" w:firstLineChars="200"/>
        <w:outlineLvl w:val="1"/>
        <w:rPr>
          <w:rFonts w:ascii="Times New Roman" w:hAnsi="Calibri" w:cs="Times New Roman"/>
          <w:color w:val="FF0000"/>
          <w:sz w:val="24"/>
          <w:szCs w:val="20"/>
          <w:highlight w:val="none"/>
        </w:rPr>
      </w:pPr>
      <w:r>
        <w:rPr>
          <w:rFonts w:hint="eastAsia" w:ascii="Times New Roman" w:hAnsi="Calibri" w:cs="Times New Roman"/>
          <w:color w:val="FF0000"/>
          <w:sz w:val="24"/>
          <w:szCs w:val="20"/>
          <w:highlight w:val="none"/>
          <w:lang w:val="en-US"/>
        </w:rPr>
        <w:t>4.</w:t>
      </w:r>
      <w:r>
        <w:rPr>
          <w:rFonts w:ascii="Times New Roman" w:hAnsi="Calibri" w:cs="Times New Roman"/>
          <w:color w:val="FF0000"/>
          <w:sz w:val="24"/>
          <w:szCs w:val="20"/>
          <w:highlight w:val="none"/>
        </w:rPr>
        <w:t>设计成果有关要求</w:t>
      </w:r>
    </w:p>
    <w:p w14:paraId="2AD795E9">
      <w:pPr>
        <w:spacing w:line="500" w:lineRule="exact"/>
        <w:rPr>
          <w:rFonts w:ascii="Times New Roman" w:hAnsi="Calibri" w:cs="Times New Roman"/>
          <w:color w:val="FF0000"/>
          <w:sz w:val="24"/>
          <w:szCs w:val="20"/>
          <w:highlight w:val="none"/>
        </w:rPr>
      </w:pPr>
      <w:r>
        <w:rPr>
          <w:rFonts w:hint="eastAsia" w:ascii="Times New Roman" w:hAnsi="Calibri" w:cs="Times New Roman"/>
          <w:color w:val="FF0000"/>
          <w:sz w:val="24"/>
          <w:szCs w:val="20"/>
          <w:highlight w:val="none"/>
        </w:rPr>
        <w:t>（</w:t>
      </w:r>
      <w:r>
        <w:rPr>
          <w:rFonts w:hint="eastAsia" w:ascii="Times New Roman" w:hAnsi="Calibri" w:cs="Times New Roman"/>
          <w:color w:val="FF0000"/>
          <w:sz w:val="24"/>
          <w:szCs w:val="20"/>
          <w:highlight w:val="none"/>
          <w:lang w:val="en-US"/>
        </w:rPr>
        <w:t>1</w:t>
      </w:r>
      <w:r>
        <w:rPr>
          <w:rFonts w:hint="eastAsia" w:ascii="Times New Roman" w:hAnsi="Calibri" w:cs="Times New Roman"/>
          <w:color w:val="FF0000"/>
          <w:sz w:val="24"/>
          <w:szCs w:val="20"/>
          <w:highlight w:val="none"/>
        </w:rPr>
        <w:t>）</w:t>
      </w:r>
      <w:r>
        <w:rPr>
          <w:rFonts w:ascii="Times New Roman" w:hAnsi="Calibri" w:cs="Times New Roman"/>
          <w:color w:val="FF0000"/>
          <w:sz w:val="24"/>
          <w:szCs w:val="20"/>
          <w:highlight w:val="none"/>
        </w:rPr>
        <w:t>方案设计说明（项目构成及总体构想、布展设计的特点及亮点、展示大纲（至少</w:t>
      </w:r>
      <w:r>
        <w:rPr>
          <w:rFonts w:hint="eastAsia" w:ascii="Times New Roman" w:hAnsi="Calibri" w:cs="Times New Roman"/>
          <w:color w:val="FF0000"/>
          <w:sz w:val="24"/>
          <w:szCs w:val="20"/>
          <w:highlight w:val="none"/>
        </w:rPr>
        <w:t>二</w:t>
      </w:r>
      <w:r>
        <w:rPr>
          <w:rFonts w:ascii="Times New Roman" w:hAnsi="Calibri" w:cs="Times New Roman"/>
          <w:color w:val="FF0000"/>
          <w:sz w:val="24"/>
          <w:szCs w:val="20"/>
          <w:highlight w:val="none"/>
        </w:rPr>
        <w:t>级纲）的编写、平面布置及流线说明、重要节点的处理和说明等）。</w:t>
      </w:r>
    </w:p>
    <w:p w14:paraId="35410902">
      <w:pPr>
        <w:spacing w:line="500" w:lineRule="exact"/>
        <w:rPr>
          <w:rFonts w:ascii="Times New Roman" w:hAnsi="Calibri" w:cs="Times New Roman"/>
          <w:color w:val="FF0000"/>
          <w:sz w:val="24"/>
          <w:szCs w:val="20"/>
          <w:highlight w:val="none"/>
        </w:rPr>
      </w:pPr>
      <w:r>
        <w:rPr>
          <w:rFonts w:hint="eastAsia" w:ascii="Times New Roman" w:hAnsi="Calibri" w:cs="Times New Roman"/>
          <w:color w:val="FF0000"/>
          <w:sz w:val="24"/>
          <w:szCs w:val="20"/>
          <w:highlight w:val="none"/>
        </w:rPr>
        <w:t>（</w:t>
      </w:r>
      <w:r>
        <w:rPr>
          <w:rFonts w:hint="eastAsia" w:ascii="Times New Roman" w:hAnsi="Calibri" w:cs="Times New Roman"/>
          <w:color w:val="FF0000"/>
          <w:sz w:val="24"/>
          <w:szCs w:val="20"/>
          <w:highlight w:val="none"/>
          <w:lang w:val="en-US"/>
        </w:rPr>
        <w:t>2</w:t>
      </w:r>
      <w:r>
        <w:rPr>
          <w:rFonts w:hint="eastAsia" w:ascii="Times New Roman" w:hAnsi="Calibri" w:cs="Times New Roman"/>
          <w:color w:val="FF0000"/>
          <w:sz w:val="24"/>
          <w:szCs w:val="20"/>
          <w:highlight w:val="none"/>
        </w:rPr>
        <w:t>）</w:t>
      </w:r>
      <w:r>
        <w:rPr>
          <w:rFonts w:ascii="Times New Roman" w:hAnsi="Calibri" w:cs="Times New Roman"/>
          <w:color w:val="FF0000"/>
          <w:sz w:val="24"/>
          <w:szCs w:val="20"/>
          <w:highlight w:val="none"/>
        </w:rPr>
        <w:t>规划设计总平面图、</w:t>
      </w:r>
      <w:r>
        <w:rPr>
          <w:rFonts w:hint="eastAsia" w:ascii="Times New Roman" w:hAnsi="Calibri" w:cs="Times New Roman"/>
          <w:color w:val="FF0000"/>
          <w:sz w:val="24"/>
          <w:szCs w:val="20"/>
          <w:highlight w:val="none"/>
        </w:rPr>
        <w:t>鸟瞰图、</w:t>
      </w:r>
      <w:r>
        <w:rPr>
          <w:rFonts w:ascii="Times New Roman" w:hAnsi="Calibri" w:cs="Times New Roman"/>
          <w:color w:val="FF0000"/>
          <w:sz w:val="24"/>
          <w:szCs w:val="20"/>
          <w:highlight w:val="none"/>
        </w:rPr>
        <w:t>各展示区域的效果图，以及其它能清晰反映思路和形式的相关图纸。</w:t>
      </w:r>
    </w:p>
    <w:p w14:paraId="67FFE208">
      <w:pPr>
        <w:spacing w:line="500" w:lineRule="exact"/>
        <w:rPr>
          <w:rFonts w:ascii="Times New Roman" w:hAnsi="Calibri" w:cs="Times New Roman"/>
          <w:color w:val="FF0000"/>
          <w:sz w:val="24"/>
          <w:szCs w:val="20"/>
          <w:highlight w:val="none"/>
        </w:rPr>
      </w:pPr>
      <w:r>
        <w:rPr>
          <w:rFonts w:hint="eastAsia" w:ascii="Times New Roman" w:hAnsi="Calibri" w:cs="Times New Roman"/>
          <w:color w:val="FF0000"/>
          <w:sz w:val="24"/>
          <w:szCs w:val="20"/>
          <w:highlight w:val="none"/>
        </w:rPr>
        <w:t>（</w:t>
      </w:r>
      <w:r>
        <w:rPr>
          <w:rFonts w:hint="eastAsia" w:ascii="Times New Roman" w:hAnsi="Calibri" w:cs="Times New Roman"/>
          <w:color w:val="FF0000"/>
          <w:sz w:val="24"/>
          <w:szCs w:val="20"/>
          <w:highlight w:val="none"/>
          <w:lang w:val="en-US"/>
        </w:rPr>
        <w:t>3</w:t>
      </w:r>
      <w:r>
        <w:rPr>
          <w:rFonts w:hint="eastAsia" w:ascii="Times New Roman" w:hAnsi="Calibri" w:cs="Times New Roman"/>
          <w:color w:val="FF0000"/>
          <w:sz w:val="24"/>
          <w:szCs w:val="20"/>
          <w:highlight w:val="none"/>
        </w:rPr>
        <w:t>）</w:t>
      </w:r>
      <w:r>
        <w:rPr>
          <w:rFonts w:ascii="Times New Roman" w:hAnsi="Calibri" w:cs="Times New Roman"/>
          <w:color w:val="FF0000"/>
          <w:sz w:val="24"/>
          <w:szCs w:val="20"/>
          <w:highlight w:val="none"/>
        </w:rPr>
        <w:t>功能流线分析图、</w:t>
      </w:r>
      <w:r>
        <w:rPr>
          <w:rFonts w:hint="eastAsia" w:ascii="Times New Roman" w:hAnsi="Calibri" w:cs="Times New Roman"/>
          <w:color w:val="FF0000"/>
          <w:sz w:val="24"/>
          <w:szCs w:val="20"/>
          <w:highlight w:val="none"/>
        </w:rPr>
        <w:t>多媒体分布图</w:t>
      </w:r>
      <w:r>
        <w:rPr>
          <w:rFonts w:ascii="Times New Roman" w:hAnsi="Calibri" w:cs="Times New Roman"/>
          <w:color w:val="FF0000"/>
          <w:sz w:val="24"/>
          <w:szCs w:val="20"/>
          <w:highlight w:val="none"/>
        </w:rPr>
        <w:t>。</w:t>
      </w:r>
    </w:p>
    <w:p w14:paraId="082EE502">
      <w:pPr>
        <w:spacing w:line="500" w:lineRule="exact"/>
        <w:rPr>
          <w:rFonts w:ascii="Times New Roman" w:hAnsi="Calibri" w:cs="Times New Roman"/>
          <w:color w:val="FF0000"/>
          <w:sz w:val="24"/>
          <w:szCs w:val="20"/>
          <w:highlight w:val="none"/>
        </w:rPr>
      </w:pPr>
      <w:r>
        <w:rPr>
          <w:rFonts w:hint="eastAsia" w:ascii="Times New Roman" w:hAnsi="Calibri" w:cs="Times New Roman"/>
          <w:color w:val="FF0000"/>
          <w:sz w:val="24"/>
          <w:szCs w:val="20"/>
          <w:highlight w:val="none"/>
        </w:rPr>
        <w:t>（</w:t>
      </w:r>
      <w:r>
        <w:rPr>
          <w:rFonts w:hint="eastAsia" w:ascii="Times New Roman" w:hAnsi="Calibri" w:cs="Times New Roman"/>
          <w:color w:val="FF0000"/>
          <w:sz w:val="24"/>
          <w:szCs w:val="20"/>
          <w:highlight w:val="none"/>
          <w:lang w:val="en-US" w:eastAsia="zh-CN"/>
        </w:rPr>
        <w:t>4</w:t>
      </w:r>
      <w:r>
        <w:rPr>
          <w:rFonts w:hint="eastAsia" w:ascii="Times New Roman" w:hAnsi="Calibri" w:cs="Times New Roman"/>
          <w:color w:val="FF0000"/>
          <w:sz w:val="24"/>
          <w:szCs w:val="20"/>
          <w:highlight w:val="none"/>
        </w:rPr>
        <w:t>）</w:t>
      </w:r>
      <w:r>
        <w:rPr>
          <w:rFonts w:ascii="Times New Roman" w:hAnsi="Calibri" w:cs="Times New Roman"/>
          <w:color w:val="FF0000"/>
          <w:sz w:val="24"/>
          <w:szCs w:val="20"/>
          <w:highlight w:val="none"/>
        </w:rPr>
        <w:t>设计单位可根据自身设计特点，增加图纸或其他表现手段，更为有效的阐述设计意图。</w:t>
      </w:r>
    </w:p>
    <w:p w14:paraId="571D2D61">
      <w:pPr>
        <w:spacing w:line="500" w:lineRule="exact"/>
        <w:rPr>
          <w:rFonts w:ascii="Times New Roman" w:hAnsi="Calibri" w:cs="Times New Roman"/>
          <w:color w:val="FF0000"/>
          <w:sz w:val="24"/>
          <w:szCs w:val="20"/>
          <w:highlight w:val="none"/>
        </w:rPr>
      </w:pPr>
      <w:r>
        <w:rPr>
          <w:rFonts w:hint="eastAsia" w:ascii="Times New Roman" w:hAnsi="Calibri" w:cs="Times New Roman"/>
          <w:color w:val="FF0000"/>
          <w:sz w:val="24"/>
          <w:szCs w:val="20"/>
          <w:highlight w:val="none"/>
        </w:rPr>
        <w:t>（</w:t>
      </w:r>
      <w:r>
        <w:rPr>
          <w:rFonts w:hint="eastAsia" w:ascii="Times New Roman" w:hAnsi="Calibri" w:cs="Times New Roman"/>
          <w:color w:val="FF0000"/>
          <w:sz w:val="24"/>
          <w:szCs w:val="20"/>
          <w:highlight w:val="none"/>
          <w:lang w:val="en-US" w:eastAsia="zh-CN"/>
        </w:rPr>
        <w:t>5</w:t>
      </w:r>
      <w:r>
        <w:rPr>
          <w:rFonts w:hint="eastAsia" w:ascii="Times New Roman" w:hAnsi="Calibri" w:cs="Times New Roman"/>
          <w:color w:val="FF0000"/>
          <w:sz w:val="24"/>
          <w:szCs w:val="20"/>
          <w:highlight w:val="none"/>
        </w:rPr>
        <w:t>）成交</w:t>
      </w:r>
      <w:r>
        <w:rPr>
          <w:rFonts w:ascii="Times New Roman" w:hAnsi="Calibri" w:cs="Times New Roman"/>
          <w:color w:val="FF0000"/>
          <w:sz w:val="24"/>
          <w:szCs w:val="20"/>
          <w:highlight w:val="none"/>
        </w:rPr>
        <w:t>后</w:t>
      </w:r>
      <w:r>
        <w:rPr>
          <w:rFonts w:hint="eastAsia" w:ascii="Times New Roman" w:hAnsi="Calibri" w:cs="Times New Roman"/>
          <w:color w:val="FF0000"/>
          <w:sz w:val="24"/>
          <w:szCs w:val="20"/>
          <w:highlight w:val="none"/>
        </w:rPr>
        <w:t>成交</w:t>
      </w:r>
      <w:r>
        <w:rPr>
          <w:rFonts w:ascii="Times New Roman" w:hAnsi="Calibri" w:cs="Times New Roman"/>
          <w:color w:val="FF0000"/>
          <w:sz w:val="24"/>
          <w:szCs w:val="20"/>
          <w:highlight w:val="none"/>
        </w:rPr>
        <w:t>人根据采购人要求对设计方案进行深化设计，并出具施工图。</w:t>
      </w:r>
    </w:p>
    <w:p w14:paraId="00532275">
      <w:pPr>
        <w:spacing w:line="500" w:lineRule="exact"/>
        <w:rPr>
          <w:rFonts w:ascii="Times New Roman" w:hAnsi="Calibri" w:cs="Times New Roman"/>
          <w:color w:val="FF0000"/>
          <w:sz w:val="24"/>
          <w:szCs w:val="20"/>
          <w:highlight w:val="none"/>
        </w:rPr>
      </w:pPr>
      <w:r>
        <w:rPr>
          <w:rFonts w:hint="eastAsia" w:ascii="Times New Roman" w:hAnsi="Calibri" w:cs="Times New Roman"/>
          <w:color w:val="FF0000"/>
          <w:sz w:val="24"/>
          <w:szCs w:val="20"/>
          <w:highlight w:val="none"/>
        </w:rPr>
        <w:t>（</w:t>
      </w:r>
      <w:r>
        <w:rPr>
          <w:rFonts w:hint="eastAsia" w:ascii="Times New Roman" w:hAnsi="Calibri" w:cs="Times New Roman"/>
          <w:color w:val="FF0000"/>
          <w:sz w:val="24"/>
          <w:szCs w:val="20"/>
          <w:highlight w:val="none"/>
          <w:lang w:val="en-US" w:eastAsia="zh-CN"/>
        </w:rPr>
        <w:t>6</w:t>
      </w:r>
      <w:r>
        <w:rPr>
          <w:rFonts w:hint="eastAsia" w:ascii="Times New Roman" w:hAnsi="Calibri" w:cs="Times New Roman"/>
          <w:color w:val="FF0000"/>
          <w:sz w:val="24"/>
          <w:szCs w:val="20"/>
          <w:highlight w:val="none"/>
        </w:rPr>
        <w:t>）成交</w:t>
      </w:r>
      <w:r>
        <w:rPr>
          <w:rFonts w:ascii="Times New Roman" w:hAnsi="Calibri" w:cs="Times New Roman"/>
          <w:color w:val="FF0000"/>
          <w:sz w:val="24"/>
          <w:szCs w:val="20"/>
          <w:highlight w:val="none"/>
        </w:rPr>
        <w:t>人须根据最终确定的效果方案，出具展墙立面展开图（需要体现墙面工艺、材质、尺寸和内容）；CAD施工图（尺寸详尽、标注清晰、各部分工艺完备，含通风设计等）；出具的图纸应内容详尽，包括但不限于以上内容，以便采购人编制、核算工程量清单。</w:t>
      </w:r>
    </w:p>
    <w:p w14:paraId="28880AB4">
      <w:pPr>
        <w:numPr>
          <w:ilvl w:val="0"/>
          <w:numId w:val="3"/>
        </w:numPr>
        <w:spacing w:line="440" w:lineRule="exact"/>
        <w:ind w:firstLine="482" w:firstLineChars="200"/>
        <w:rPr>
          <w:rFonts w:hint="eastAsia" w:eastAsia="宋体"/>
          <w:color w:val="FF0000"/>
          <w:lang w:val="en-US" w:eastAsia="zh-CN"/>
        </w:rPr>
      </w:pPr>
      <w:r>
        <w:rPr>
          <w:rFonts w:hint="eastAsia" w:eastAsia="宋体"/>
          <w:b/>
          <w:bCs/>
          <w:color w:val="FF0000"/>
          <w:sz w:val="24"/>
          <w:szCs w:val="24"/>
          <w:highlight w:val="none"/>
          <w:lang w:val="en-US" w:eastAsia="zh-CN"/>
        </w:rPr>
        <w:t>设计区域</w:t>
      </w:r>
      <w:r>
        <w:rPr>
          <w:rFonts w:hint="eastAsia"/>
          <w:b/>
          <w:bCs/>
          <w:color w:val="FF0000"/>
          <w:sz w:val="24"/>
          <w:szCs w:val="24"/>
          <w:highlight w:val="none"/>
        </w:rPr>
        <w:t>（</w:t>
      </w:r>
      <w:r>
        <w:rPr>
          <w:rFonts w:hint="eastAsia" w:eastAsia="宋体"/>
          <w:b/>
          <w:bCs/>
          <w:color w:val="FF0000"/>
          <w:sz w:val="24"/>
          <w:szCs w:val="24"/>
          <w:highlight w:val="none"/>
          <w:lang w:val="en-US" w:eastAsia="zh-CN"/>
        </w:rPr>
        <w:t>实际尺寸现场自行核实</w:t>
      </w:r>
      <w:r>
        <w:rPr>
          <w:color w:val="FF0000"/>
        </w:rPr>
        <w:drawing>
          <wp:anchor distT="0" distB="0" distL="114300" distR="114300" simplePos="0" relativeHeight="251667456" behindDoc="1" locked="0" layoutInCell="1" allowOverlap="1">
            <wp:simplePos x="0" y="0"/>
            <wp:positionH relativeFrom="column">
              <wp:posOffset>-120015</wp:posOffset>
            </wp:positionH>
            <wp:positionV relativeFrom="paragraph">
              <wp:posOffset>948055</wp:posOffset>
            </wp:positionV>
            <wp:extent cx="5702300" cy="2570480"/>
            <wp:effectExtent l="0" t="0" r="3175" b="1270"/>
            <wp:wrapThrough wrapText="bothSides">
              <wp:wrapPolygon>
                <wp:start x="0" y="0"/>
                <wp:lineTo x="0" y="21600"/>
                <wp:lineTo x="21600" y="21600"/>
                <wp:lineTo x="21600"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4"/>
                    <a:stretch>
                      <a:fillRect/>
                    </a:stretch>
                  </pic:blipFill>
                  <pic:spPr>
                    <a:xfrm>
                      <a:off x="0" y="0"/>
                      <a:ext cx="5702300" cy="2570480"/>
                    </a:xfrm>
                    <a:prstGeom prst="rect">
                      <a:avLst/>
                    </a:prstGeom>
                    <a:noFill/>
                    <a:ln>
                      <a:noFill/>
                    </a:ln>
                  </pic:spPr>
                </pic:pic>
              </a:graphicData>
            </a:graphic>
          </wp:anchor>
        </w:drawing>
      </w:r>
      <w:r>
        <w:rPr>
          <w:rFonts w:hint="eastAsia" w:eastAsia="宋体"/>
          <w:color w:val="FF0000"/>
          <w:lang w:eastAsia="zh-CN"/>
        </w:rPr>
        <w:t>）</w:t>
      </w:r>
    </w:p>
    <w:p w14:paraId="2F3644C2">
      <w:pPr>
        <w:numPr>
          <w:ilvl w:val="0"/>
          <w:numId w:val="0"/>
        </w:numPr>
        <w:spacing w:line="440" w:lineRule="exact"/>
        <w:rPr>
          <w:rFonts w:hint="eastAsia" w:eastAsia="宋体"/>
          <w:color w:val="FF0000"/>
          <w:lang w:eastAsia="zh-CN"/>
        </w:rPr>
      </w:pPr>
    </w:p>
    <w:p w14:paraId="504066FA">
      <w:pPr>
        <w:numPr>
          <w:ilvl w:val="0"/>
          <w:numId w:val="0"/>
        </w:numPr>
        <w:spacing w:line="440" w:lineRule="exact"/>
        <w:rPr>
          <w:rFonts w:hint="eastAsia" w:eastAsia="宋体"/>
          <w:color w:val="FF0000"/>
          <w:lang w:val="en-US" w:eastAsia="zh-CN"/>
        </w:rPr>
      </w:pPr>
    </w:p>
    <w:p w14:paraId="5AB82A00">
      <w:pPr>
        <w:pStyle w:val="6"/>
        <w:rPr>
          <w:rFonts w:hint="eastAsia"/>
          <w:lang w:val="en-US" w:eastAsia="zh-CN"/>
        </w:rPr>
      </w:pPr>
    </w:p>
    <w:p w14:paraId="700F38A1">
      <w:pPr>
        <w:pStyle w:val="5"/>
        <w:pageBreakBefore w:val="0"/>
        <w:kinsoku w:val="0"/>
        <w:overflowPunct/>
        <w:topLinePunct w:val="0"/>
        <w:autoSpaceDE w:val="0"/>
        <w:autoSpaceDN w:val="0"/>
        <w:bidi w:val="0"/>
        <w:adjustRightInd w:val="0"/>
        <w:snapToGrid w:val="0"/>
        <w:spacing w:before="64" w:line="360" w:lineRule="auto"/>
        <w:ind w:right="0"/>
        <w:jc w:val="center"/>
        <w:textAlignment w:val="baseline"/>
        <w:outlineLvl w:val="0"/>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pPr>
      <w:bookmarkStart w:id="6" w:name="_Toc7435"/>
      <w:r>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t>第四章评审办法及评分标准</w:t>
      </w:r>
      <w:bookmarkEnd w:id="6"/>
    </w:p>
    <w:p w14:paraId="3EF50729">
      <w:pPr>
        <w:pageBreakBefore w:val="0"/>
        <w:kinsoku w:val="0"/>
        <w:overflowPunct/>
        <w:topLinePunct w:val="0"/>
        <w:autoSpaceDE w:val="0"/>
        <w:autoSpaceDN w:val="0"/>
        <w:bidi w:val="0"/>
        <w:adjustRightInd w:val="0"/>
        <w:snapToGrid w:val="0"/>
        <w:spacing w:line="256" w:lineRule="auto"/>
        <w:ind w:right="0"/>
        <w:textAlignment w:val="baseline"/>
        <w:rPr>
          <w:rFonts w:hint="eastAsia" w:ascii="仿宋" w:hAnsi="仿宋" w:eastAsia="仿宋" w:cs="仿宋"/>
          <w:sz w:val="28"/>
          <w:szCs w:val="28"/>
        </w:rPr>
      </w:pPr>
    </w:p>
    <w:p w14:paraId="76361FDC">
      <w:pPr>
        <w:pStyle w:val="5"/>
        <w:pageBreakBefore w:val="0"/>
        <w:kinsoku w:val="0"/>
        <w:overflowPunct/>
        <w:topLinePunct w:val="0"/>
        <w:autoSpaceDE w:val="0"/>
        <w:autoSpaceDN w:val="0"/>
        <w:bidi w:val="0"/>
        <w:adjustRightInd w:val="0"/>
        <w:snapToGrid w:val="0"/>
        <w:spacing w:before="120" w:line="186" w:lineRule="auto"/>
        <w:ind w:left="2894" w:right="0"/>
        <w:textAlignment w:val="baseline"/>
        <w:outlineLvl w:val="1"/>
        <w:rPr>
          <w:rFonts w:hint="eastAsia" w:ascii="仿宋" w:hAnsi="仿宋" w:eastAsia="仿宋" w:cs="仿宋"/>
          <w:sz w:val="28"/>
          <w:szCs w:val="28"/>
        </w:rPr>
      </w:pPr>
      <w:r>
        <w:rPr>
          <w:rFonts w:hint="eastAsia" w:ascii="仿宋" w:hAnsi="仿宋" w:eastAsia="仿宋" w:cs="仿宋"/>
          <w:spacing w:val="12"/>
          <w:sz w:val="28"/>
          <w:szCs w:val="28"/>
          <w14:textOutline w14:w="5137" w14:cap="flat" w14:cmpd="sng">
            <w14:solidFill>
              <w14:srgbClr w14:val="000000"/>
            </w14:solidFill>
            <w14:prstDash w14:val="solid"/>
            <w14:miter w14:val="0"/>
          </w14:textOutline>
        </w:rPr>
        <w:t>一、评审程序和评审方法</w:t>
      </w:r>
    </w:p>
    <w:p w14:paraId="55220A94">
      <w:pPr>
        <w:pStyle w:val="5"/>
        <w:pageBreakBefore w:val="0"/>
        <w:kinsoku w:val="0"/>
        <w:overflowPunct/>
        <w:topLinePunct w:val="0"/>
        <w:autoSpaceDE w:val="0"/>
        <w:autoSpaceDN w:val="0"/>
        <w:bidi w:val="0"/>
        <w:adjustRightInd w:val="0"/>
        <w:snapToGrid w:val="0"/>
        <w:spacing w:before="69" w:line="360" w:lineRule="auto"/>
        <w:ind w:left="498" w:right="0"/>
        <w:textAlignment w:val="baseline"/>
        <w:rPr>
          <w:rFonts w:hint="eastAsia" w:ascii="仿宋" w:hAnsi="仿宋" w:eastAsia="仿宋" w:cs="仿宋"/>
          <w:sz w:val="24"/>
          <w:szCs w:val="24"/>
        </w:rPr>
      </w:pPr>
      <w:r>
        <w:rPr>
          <w:rFonts w:hint="eastAsia" w:ascii="仿宋" w:hAnsi="仿宋" w:eastAsia="仿宋" w:cs="仿宋"/>
          <w:spacing w:val="6"/>
          <w:sz w:val="24"/>
          <w:szCs w:val="24"/>
          <w14:textOutline w14:w="4388" w14:cap="flat" w14:cmpd="sng">
            <w14:solidFill>
              <w14:srgbClr w14:val="000000"/>
            </w14:solidFill>
            <w14:prstDash w14:val="solid"/>
            <w14:miter w14:val="0"/>
          </w14:textOutline>
        </w:rPr>
        <w:t>1.资格审查</w:t>
      </w:r>
    </w:p>
    <w:p w14:paraId="2A7C2D87">
      <w:pPr>
        <w:pStyle w:val="5"/>
        <w:keepNext w:val="0"/>
        <w:keepLines w:val="0"/>
        <w:pageBreakBefore w:val="0"/>
        <w:widowControl/>
        <w:kinsoku w:val="0"/>
        <w:wordWrap/>
        <w:overflowPunct/>
        <w:topLinePunct w:val="0"/>
        <w:autoSpaceDE w:val="0"/>
        <w:autoSpaceDN w:val="0"/>
        <w:bidi w:val="0"/>
        <w:adjustRightInd w:val="0"/>
        <w:snapToGrid w:val="0"/>
        <w:spacing w:line="324" w:lineRule="auto"/>
        <w:ind w:left="498" w:right="0"/>
        <w:textAlignment w:val="baseline"/>
        <w:rPr>
          <w:rFonts w:hint="eastAsia" w:ascii="仿宋" w:hAnsi="仿宋" w:eastAsia="仿宋" w:cs="仿宋"/>
          <w:sz w:val="24"/>
          <w:szCs w:val="24"/>
        </w:rPr>
      </w:pPr>
      <w:r>
        <w:rPr>
          <w:rFonts w:hint="eastAsia" w:ascii="仿宋" w:hAnsi="仿宋" w:eastAsia="仿宋" w:cs="仿宋"/>
          <w:spacing w:val="2"/>
          <w:sz w:val="24"/>
          <w:szCs w:val="24"/>
        </w:rPr>
        <w:t>1.1响应文件开启后，审查小组依法对供应商的资格</w:t>
      </w:r>
      <w:r>
        <w:rPr>
          <w:rFonts w:hint="eastAsia" w:ascii="仿宋" w:hAnsi="仿宋" w:eastAsia="仿宋" w:cs="仿宋"/>
          <w:spacing w:val="1"/>
          <w:sz w:val="24"/>
          <w:szCs w:val="24"/>
        </w:rPr>
        <w:t>证明文件进行审查。</w:t>
      </w:r>
    </w:p>
    <w:p w14:paraId="3DCD19FA">
      <w:pPr>
        <w:pStyle w:val="5"/>
        <w:keepNext w:val="0"/>
        <w:keepLines w:val="0"/>
        <w:pageBreakBefore w:val="0"/>
        <w:widowControl/>
        <w:kinsoku w:val="0"/>
        <w:wordWrap/>
        <w:overflowPunct/>
        <w:topLinePunct w:val="0"/>
        <w:autoSpaceDE w:val="0"/>
        <w:autoSpaceDN w:val="0"/>
        <w:bidi w:val="0"/>
        <w:adjustRightInd w:val="0"/>
        <w:snapToGrid w:val="0"/>
        <w:spacing w:line="324" w:lineRule="auto"/>
        <w:ind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注：采购人代表或者采购代理机构在资格审查结束前，对供应商进行信用查询。</w:t>
      </w:r>
    </w:p>
    <w:p w14:paraId="347871A1">
      <w:pPr>
        <w:pStyle w:val="5"/>
        <w:keepNext w:val="0"/>
        <w:keepLines w:val="0"/>
        <w:pageBreakBefore w:val="0"/>
        <w:widowControl/>
        <w:kinsoku w:val="0"/>
        <w:wordWrap w:val="0"/>
        <w:overflowPunct/>
        <w:topLinePunct w:val="0"/>
        <w:autoSpaceDE w:val="0"/>
        <w:autoSpaceDN w:val="0"/>
        <w:bidi w:val="0"/>
        <w:adjustRightInd w:val="0"/>
        <w:snapToGrid w:val="0"/>
        <w:spacing w:line="324" w:lineRule="auto"/>
        <w:ind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(1)查询渠道：“政采云”平台→信用情况→“信用中国”网站</w:t>
      </w:r>
      <w:r>
        <w:rPr>
          <w:rFonts w:hint="eastAsia" w:ascii="仿宋" w:hAnsi="仿宋" w:eastAsia="仿宋" w:cs="仿宋"/>
          <w:spacing w:val="-1"/>
          <w:sz w:val="24"/>
          <w:szCs w:val="24"/>
        </w:rPr>
        <w:fldChar w:fldCharType="begin"/>
      </w:r>
      <w:r>
        <w:rPr>
          <w:rFonts w:hint="eastAsia" w:ascii="仿宋" w:hAnsi="仿宋" w:eastAsia="仿宋" w:cs="仿宋"/>
          <w:spacing w:val="-1"/>
          <w:sz w:val="24"/>
          <w:szCs w:val="24"/>
        </w:rPr>
        <w:instrText xml:space="preserve"> HYPERLINK "http://www.creditchina.gov.cn/" </w:instrText>
      </w:r>
      <w:r>
        <w:rPr>
          <w:rFonts w:hint="eastAsia" w:ascii="仿宋" w:hAnsi="仿宋" w:eastAsia="仿宋" w:cs="仿宋"/>
          <w:spacing w:val="-1"/>
          <w:sz w:val="24"/>
          <w:szCs w:val="24"/>
        </w:rPr>
        <w:fldChar w:fldCharType="separate"/>
      </w:r>
      <w:r>
        <w:rPr>
          <w:rFonts w:hint="eastAsia" w:ascii="仿宋" w:hAnsi="仿宋" w:eastAsia="仿宋" w:cs="仿宋"/>
          <w:spacing w:val="-1"/>
          <w:sz w:val="24"/>
          <w:szCs w:val="24"/>
        </w:rPr>
        <w:t>(www.creditchina.gov.cn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fldChar w:fldCharType="begin"/>
      </w:r>
      <w:r>
        <w:rPr>
          <w:rFonts w:hint="eastAsia" w:ascii="仿宋" w:hAnsi="仿宋" w:eastAsia="仿宋" w:cs="仿宋"/>
          <w:spacing w:val="-1"/>
          <w:sz w:val="24"/>
          <w:szCs w:val="24"/>
        </w:rPr>
        <w:instrText xml:space="preserve"> HYPERLINK "http://www.ccgp.gov.cn/" </w:instrText>
      </w:r>
      <w:r>
        <w:rPr>
          <w:rFonts w:hint="eastAsia" w:ascii="仿宋" w:hAnsi="仿宋" w:eastAsia="仿宋" w:cs="仿宋"/>
          <w:spacing w:val="-1"/>
          <w:sz w:val="24"/>
          <w:szCs w:val="24"/>
        </w:rPr>
        <w:fldChar w:fldCharType="separate"/>
      </w:r>
      <w:r>
        <w:rPr>
          <w:rFonts w:hint="eastAsia" w:ascii="仿宋" w:hAnsi="仿宋" w:eastAsia="仿宋" w:cs="仿宋"/>
          <w:spacing w:val="-1"/>
          <w:sz w:val="24"/>
          <w:szCs w:val="24"/>
        </w:rPr>
        <w:t>)、中国政府采购网(www.ccgp.gov.cn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)链接入口进行精确查询。</w:t>
      </w:r>
    </w:p>
    <w:p w14:paraId="768DCE6F">
      <w:pPr>
        <w:pStyle w:val="5"/>
        <w:keepNext w:val="0"/>
        <w:keepLines w:val="0"/>
        <w:pageBreakBefore w:val="0"/>
        <w:widowControl/>
        <w:kinsoku w:val="0"/>
        <w:wordWrap/>
        <w:overflowPunct/>
        <w:topLinePunct w:val="0"/>
        <w:autoSpaceDE w:val="0"/>
        <w:autoSpaceDN w:val="0"/>
        <w:bidi w:val="0"/>
        <w:adjustRightInd w:val="0"/>
        <w:snapToGrid w:val="0"/>
        <w:spacing w:line="324" w:lineRule="auto"/>
        <w:ind w:left="523" w:right="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(2)信用查询截止时点：资格审查结束前。</w:t>
      </w:r>
    </w:p>
    <w:p w14:paraId="16A58DC5">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查询记录和证据留存方式：在查询网站中直接打印查询记录，截图另存为电子文档作为评审资料保存。</w:t>
      </w:r>
    </w:p>
    <w:p w14:paraId="76A2F6A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C63C82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1.2资格审查标准为本磋商文件中载明对供应商资格要求的条件。资格审查采用合格制，凡符合磋商文件规定的供应商资格要求的响应文件均通过资格审查。</w:t>
      </w:r>
    </w:p>
    <w:p w14:paraId="08011AEC">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1.3供应商有下列情形之一的，资格审查不通过，其响应文件按无效响应处理：</w:t>
      </w:r>
    </w:p>
    <w:p w14:paraId="2E1E3198">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(1)不具备磋商文件中规定的资格要求的；</w:t>
      </w:r>
    </w:p>
    <w:p w14:paraId="167EC45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(2)响应文件未提供任一项资格证明文件规定的文件资料的；</w:t>
      </w:r>
    </w:p>
    <w:p w14:paraId="5BC98802">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(3)响应文件提供的资格证明文件出现任一项不符合资格证明文件规定的的文件资料要求或者无效的。</w:t>
      </w:r>
    </w:p>
    <w:p w14:paraId="2344963B">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(4)同一合同项下的不同供应商，单位负责人为同一人或者存在直接控股、管理关系的；为本项目提供过整体设计、规范编制或者项目管理、监理、检测等服务的。</w:t>
      </w:r>
    </w:p>
    <w:p w14:paraId="37E41735">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1.4通过资格审查的合格供应商不足3家的，不得进入符合性审查环节，采购人或者采购代理机构应当重新开展采购活动。</w:t>
      </w:r>
    </w:p>
    <w:p w14:paraId="07D1D105">
      <w:pPr>
        <w:pStyle w:val="5"/>
        <w:pageBreakBefore w:val="0"/>
        <w:kinsoku w:val="0"/>
        <w:overflowPunct/>
        <w:topLinePunct w:val="0"/>
        <w:autoSpaceDE w:val="0"/>
        <w:autoSpaceDN w:val="0"/>
        <w:bidi w:val="0"/>
        <w:adjustRightInd w:val="0"/>
        <w:snapToGrid w:val="0"/>
        <w:spacing w:before="84"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14:textOutline w14:w="4388" w14:cap="flat" w14:cmpd="sng">
            <w14:solidFill>
              <w14:srgbClr w14:val="000000"/>
            </w14:solidFill>
            <w14:prstDash w14:val="solid"/>
            <w14:miter w14:val="0"/>
          </w14:textOutline>
        </w:rPr>
        <w:t>资格证明文件</w:t>
      </w:r>
    </w:p>
    <w:tbl>
      <w:tblPr>
        <w:tblStyle w:val="26"/>
        <w:tblW w:w="89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630"/>
        <w:gridCol w:w="1"/>
        <w:gridCol w:w="6712"/>
        <w:gridCol w:w="794"/>
        <w:gridCol w:w="844"/>
        <w:gridCol w:w="1"/>
      </w:tblGrid>
      <w:tr w14:paraId="1B5EC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Before w:val="1"/>
          <w:wBefore w:w="1" w:type="dxa"/>
          <w:trHeight w:val="401" w:hRule="atLeast"/>
          <w:jc w:val="center"/>
        </w:trPr>
        <w:tc>
          <w:tcPr>
            <w:tcW w:w="631" w:type="dxa"/>
            <w:gridSpan w:val="2"/>
            <w:vMerge w:val="restart"/>
            <w:tcBorders>
              <w:bottom w:val="nil"/>
            </w:tcBorders>
            <w:vAlign w:val="center"/>
          </w:tcPr>
          <w:p w14:paraId="6EB8181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80"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序号</w:t>
            </w:r>
          </w:p>
        </w:tc>
        <w:tc>
          <w:tcPr>
            <w:tcW w:w="6712" w:type="dxa"/>
            <w:vMerge w:val="restart"/>
            <w:tcBorders>
              <w:bottom w:val="nil"/>
            </w:tcBorders>
            <w:vAlign w:val="center"/>
          </w:tcPr>
          <w:p w14:paraId="00D4A2B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508"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审查标准</w:t>
            </w:r>
          </w:p>
        </w:tc>
        <w:tc>
          <w:tcPr>
            <w:tcW w:w="1639" w:type="dxa"/>
            <w:gridSpan w:val="3"/>
            <w:vAlign w:val="center"/>
          </w:tcPr>
          <w:p w14:paraId="25663C0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450" w:right="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审查结果</w:t>
            </w:r>
          </w:p>
        </w:tc>
      </w:tr>
      <w:tr w14:paraId="41E96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24" w:hRule="atLeast"/>
          <w:jc w:val="center"/>
        </w:trPr>
        <w:tc>
          <w:tcPr>
            <w:tcW w:w="631" w:type="dxa"/>
            <w:gridSpan w:val="2"/>
            <w:vMerge w:val="continue"/>
            <w:tcBorders>
              <w:top w:val="nil"/>
            </w:tcBorders>
            <w:vAlign w:val="center"/>
          </w:tcPr>
          <w:p w14:paraId="08981AD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6712" w:type="dxa"/>
            <w:vMerge w:val="continue"/>
            <w:tcBorders>
              <w:top w:val="nil"/>
            </w:tcBorders>
            <w:vAlign w:val="center"/>
          </w:tcPr>
          <w:p w14:paraId="68EB9D6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794" w:type="dxa"/>
            <w:vAlign w:val="center"/>
          </w:tcPr>
          <w:p w14:paraId="11354A0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55"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通过</w:t>
            </w:r>
          </w:p>
        </w:tc>
        <w:tc>
          <w:tcPr>
            <w:tcW w:w="845" w:type="dxa"/>
            <w:gridSpan w:val="2"/>
            <w:vAlign w:val="center"/>
          </w:tcPr>
          <w:p w14:paraId="794F945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4"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不通过</w:t>
            </w:r>
          </w:p>
        </w:tc>
      </w:tr>
      <w:tr w14:paraId="05907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499" w:hRule="atLeast"/>
          <w:jc w:val="center"/>
        </w:trPr>
        <w:tc>
          <w:tcPr>
            <w:tcW w:w="631" w:type="dxa"/>
            <w:gridSpan w:val="2"/>
            <w:vAlign w:val="center"/>
          </w:tcPr>
          <w:p w14:paraId="0973CB59">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79"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712" w:type="dxa"/>
            <w:vAlign w:val="center"/>
          </w:tcPr>
          <w:p w14:paraId="632A747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2" w:right="0"/>
              <w:jc w:val="left"/>
              <w:textAlignment w:val="baseline"/>
              <w:rPr>
                <w:rFonts w:hint="eastAsia" w:ascii="仿宋" w:hAnsi="仿宋" w:eastAsia="仿宋" w:cs="仿宋"/>
                <w:sz w:val="24"/>
                <w:szCs w:val="24"/>
              </w:rPr>
            </w:pPr>
            <w:r>
              <w:rPr>
                <w:rFonts w:hint="eastAsia" w:ascii="仿宋" w:hAnsi="仿宋" w:eastAsia="仿宋" w:cs="仿宋"/>
                <w:spacing w:val="4"/>
                <w:sz w:val="24"/>
                <w:szCs w:val="24"/>
              </w:rPr>
              <w:t>具有独立承担民事责任的能力</w:t>
            </w:r>
          </w:p>
          <w:p w14:paraId="770099F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 w:right="0"/>
              <w:jc w:val="left"/>
              <w:textAlignment w:val="baseline"/>
              <w:rPr>
                <w:rFonts w:hint="eastAsia" w:ascii="仿宋" w:hAnsi="仿宋" w:eastAsia="仿宋" w:cs="仿宋"/>
                <w:spacing w:val="7"/>
                <w:sz w:val="24"/>
                <w:szCs w:val="24"/>
                <w:lang w:eastAsia="zh-CN"/>
              </w:rPr>
            </w:pPr>
            <w:r>
              <w:rPr>
                <w:rFonts w:hint="eastAsia" w:ascii="仿宋" w:hAnsi="仿宋" w:eastAsia="仿宋" w:cs="仿宋"/>
                <w:spacing w:val="9"/>
                <w:sz w:val="24"/>
                <w:szCs w:val="24"/>
              </w:rPr>
              <w:t>【提供有效营业执照副本原件扫描件】</w:t>
            </w:r>
          </w:p>
        </w:tc>
        <w:tc>
          <w:tcPr>
            <w:tcW w:w="794" w:type="dxa"/>
            <w:vAlign w:val="center"/>
          </w:tcPr>
          <w:p w14:paraId="7DAA2A5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845" w:type="dxa"/>
            <w:gridSpan w:val="2"/>
            <w:vAlign w:val="center"/>
          </w:tcPr>
          <w:p w14:paraId="13B78E8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0614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499" w:hRule="atLeast"/>
          <w:jc w:val="center"/>
        </w:trPr>
        <w:tc>
          <w:tcPr>
            <w:tcW w:w="631" w:type="dxa"/>
            <w:gridSpan w:val="2"/>
            <w:vAlign w:val="center"/>
          </w:tcPr>
          <w:p w14:paraId="04A5637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79"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712" w:type="dxa"/>
            <w:vAlign w:val="center"/>
          </w:tcPr>
          <w:p w14:paraId="711BA93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 w:right="0"/>
              <w:jc w:val="left"/>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具有良好的商业信誉和健全的财务会计制度</w:t>
            </w:r>
          </w:p>
          <w:p w14:paraId="3A2C957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 w:right="0"/>
              <w:jc w:val="left"/>
              <w:textAlignment w:val="baseline"/>
              <w:rPr>
                <w:rFonts w:hint="eastAsia" w:ascii="仿宋" w:hAnsi="仿宋" w:eastAsia="仿宋" w:cs="仿宋"/>
                <w:spacing w:val="7"/>
                <w:sz w:val="24"/>
                <w:szCs w:val="24"/>
                <w:lang w:eastAsia="zh-CN"/>
              </w:rPr>
            </w:pPr>
            <w:r>
              <w:rPr>
                <w:rFonts w:hint="eastAsia" w:ascii="仿宋" w:hAnsi="仿宋" w:eastAsia="仿宋" w:cs="仿宋"/>
                <w:spacing w:val="9"/>
                <w:sz w:val="24"/>
                <w:szCs w:val="24"/>
              </w:rPr>
              <w:t>【提供近两年度（任意一年）经审计的财务审计报告复印件（报告中须包括资产负债表、利润表、现金流量表等）或银行在开标日期前三个月内开具的资信证明】</w:t>
            </w:r>
          </w:p>
        </w:tc>
        <w:tc>
          <w:tcPr>
            <w:tcW w:w="794" w:type="dxa"/>
            <w:vAlign w:val="center"/>
          </w:tcPr>
          <w:p w14:paraId="1746A5B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845" w:type="dxa"/>
            <w:gridSpan w:val="2"/>
            <w:vAlign w:val="center"/>
          </w:tcPr>
          <w:p w14:paraId="429FF30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257BD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499" w:hRule="atLeast"/>
          <w:jc w:val="center"/>
        </w:trPr>
        <w:tc>
          <w:tcPr>
            <w:tcW w:w="631" w:type="dxa"/>
            <w:gridSpan w:val="2"/>
            <w:vAlign w:val="center"/>
          </w:tcPr>
          <w:p w14:paraId="30CFFC6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79"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712" w:type="dxa"/>
            <w:vAlign w:val="center"/>
          </w:tcPr>
          <w:p w14:paraId="2BC1A3C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 w:right="0"/>
              <w:jc w:val="left"/>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具有履行合同所必需的设备和专业技术能力</w:t>
            </w:r>
          </w:p>
          <w:p w14:paraId="66FFB30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 w:right="0"/>
              <w:jc w:val="left"/>
              <w:textAlignment w:val="baseline"/>
              <w:rPr>
                <w:rFonts w:hint="eastAsia" w:ascii="仿宋" w:hAnsi="仿宋" w:eastAsia="仿宋" w:cs="仿宋"/>
                <w:spacing w:val="7"/>
                <w:sz w:val="24"/>
                <w:szCs w:val="24"/>
                <w:lang w:eastAsia="zh-CN"/>
              </w:rPr>
            </w:pPr>
            <w:r>
              <w:rPr>
                <w:rFonts w:hint="eastAsia" w:ascii="仿宋" w:hAnsi="仿宋" w:eastAsia="仿宋" w:cs="仿宋"/>
                <w:spacing w:val="9"/>
                <w:sz w:val="24"/>
                <w:szCs w:val="24"/>
              </w:rPr>
              <w:t>【</w:t>
            </w:r>
            <w:r>
              <w:rPr>
                <w:rFonts w:hint="eastAsia" w:ascii="仿宋" w:hAnsi="仿宋" w:eastAsia="仿宋" w:cs="仿宋"/>
                <w:spacing w:val="7"/>
                <w:sz w:val="24"/>
                <w:szCs w:val="24"/>
                <w:lang w:eastAsia="zh-CN"/>
              </w:rPr>
              <w:t>具备履行合同所必需的设备和专业技术能力的书面声明</w:t>
            </w:r>
            <w:r>
              <w:rPr>
                <w:rFonts w:hint="eastAsia" w:ascii="仿宋" w:hAnsi="仿宋" w:eastAsia="仿宋" w:cs="仿宋"/>
                <w:spacing w:val="9"/>
                <w:sz w:val="24"/>
                <w:szCs w:val="24"/>
              </w:rPr>
              <w:t>】</w:t>
            </w:r>
          </w:p>
        </w:tc>
        <w:tc>
          <w:tcPr>
            <w:tcW w:w="794" w:type="dxa"/>
            <w:vAlign w:val="center"/>
          </w:tcPr>
          <w:p w14:paraId="10258AA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845" w:type="dxa"/>
            <w:gridSpan w:val="2"/>
            <w:vAlign w:val="center"/>
          </w:tcPr>
          <w:p w14:paraId="4E94E16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17E33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499" w:hRule="atLeast"/>
          <w:jc w:val="center"/>
        </w:trPr>
        <w:tc>
          <w:tcPr>
            <w:tcW w:w="631" w:type="dxa"/>
            <w:gridSpan w:val="2"/>
            <w:vAlign w:val="center"/>
          </w:tcPr>
          <w:p w14:paraId="7546608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79"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6712" w:type="dxa"/>
            <w:vAlign w:val="center"/>
          </w:tcPr>
          <w:p w14:paraId="0990685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 w:right="0"/>
              <w:jc w:val="left"/>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有依法缴纳税收和社会保障资金的良好记录</w:t>
            </w:r>
          </w:p>
          <w:p w14:paraId="1896000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 w:right="0"/>
              <w:jc w:val="left"/>
              <w:textAlignment w:val="baseline"/>
              <w:rPr>
                <w:rFonts w:hint="eastAsia" w:ascii="仿宋" w:hAnsi="仿宋" w:eastAsia="仿宋" w:cs="仿宋"/>
                <w:spacing w:val="7"/>
                <w:sz w:val="24"/>
                <w:szCs w:val="24"/>
                <w:lang w:eastAsia="zh-CN"/>
              </w:rPr>
            </w:pPr>
            <w:r>
              <w:rPr>
                <w:rFonts w:hint="eastAsia" w:ascii="仿宋" w:hAnsi="仿宋" w:eastAsia="仿宋" w:cs="仿宋"/>
                <w:spacing w:val="9"/>
                <w:sz w:val="24"/>
                <w:szCs w:val="24"/>
              </w:rPr>
              <w:t>【依法缴纳税收和社会保障资金的证明材料，须提供开标前六个月内任意</w:t>
            </w:r>
            <w:r>
              <w:rPr>
                <w:rFonts w:hint="eastAsia" w:ascii="仿宋" w:hAnsi="仿宋" w:eastAsia="仿宋" w:cs="仿宋"/>
                <w:spacing w:val="9"/>
                <w:sz w:val="24"/>
                <w:szCs w:val="24"/>
                <w:lang w:val="en-US" w:eastAsia="zh-CN"/>
              </w:rPr>
              <w:t>三</w:t>
            </w:r>
            <w:r>
              <w:rPr>
                <w:rFonts w:hint="eastAsia" w:ascii="仿宋" w:hAnsi="仿宋" w:eastAsia="仿宋" w:cs="仿宋"/>
                <w:spacing w:val="9"/>
                <w:sz w:val="24"/>
                <w:szCs w:val="24"/>
              </w:rPr>
              <w:t>个月的依法缴税凭据和缴纳社会保险的凭据复印件（依法免税的应提供相应文件说明）】</w:t>
            </w:r>
          </w:p>
        </w:tc>
        <w:tc>
          <w:tcPr>
            <w:tcW w:w="794" w:type="dxa"/>
            <w:vAlign w:val="center"/>
          </w:tcPr>
          <w:p w14:paraId="6266F4F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845" w:type="dxa"/>
            <w:gridSpan w:val="2"/>
            <w:vAlign w:val="center"/>
          </w:tcPr>
          <w:p w14:paraId="5FE3BF4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1FFC4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499" w:hRule="atLeast"/>
          <w:jc w:val="center"/>
        </w:trPr>
        <w:tc>
          <w:tcPr>
            <w:tcW w:w="631" w:type="dxa"/>
            <w:gridSpan w:val="2"/>
            <w:vAlign w:val="center"/>
          </w:tcPr>
          <w:p w14:paraId="23207EA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79" w:right="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712" w:type="dxa"/>
            <w:vAlign w:val="center"/>
          </w:tcPr>
          <w:p w14:paraId="06E0DAF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 w:right="0"/>
              <w:jc w:val="left"/>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参加政府采购活动前三年内，在经营活动中没有重大违法记录</w:t>
            </w:r>
          </w:p>
          <w:p w14:paraId="3CCA82A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仿宋" w:hAnsi="仿宋" w:eastAsia="仿宋" w:cs="仿宋"/>
                <w:sz w:val="24"/>
                <w:szCs w:val="24"/>
              </w:rPr>
            </w:pPr>
            <w:r>
              <w:rPr>
                <w:rFonts w:hint="eastAsia" w:ascii="仿宋" w:hAnsi="仿宋" w:eastAsia="仿宋" w:cs="仿宋"/>
                <w:spacing w:val="9"/>
                <w:sz w:val="24"/>
                <w:szCs w:val="24"/>
              </w:rPr>
              <w:t>【</w:t>
            </w:r>
            <w:r>
              <w:rPr>
                <w:rFonts w:hint="eastAsia" w:ascii="仿宋" w:hAnsi="仿宋" w:eastAsia="仿宋" w:cs="仿宋"/>
                <w:spacing w:val="9"/>
                <w:sz w:val="24"/>
                <w:szCs w:val="24"/>
                <w:lang w:val="en-US" w:eastAsia="zh-CN"/>
              </w:rPr>
              <w:t>提供</w:t>
            </w:r>
            <w:r>
              <w:rPr>
                <w:rFonts w:hint="eastAsia" w:ascii="仿宋" w:hAnsi="仿宋" w:eastAsia="仿宋" w:cs="仿宋"/>
                <w:spacing w:val="9"/>
                <w:sz w:val="24"/>
                <w:szCs w:val="24"/>
              </w:rPr>
              <w:t>参加政府采购活动近</w:t>
            </w:r>
            <w:r>
              <w:rPr>
                <w:rFonts w:hint="eastAsia" w:ascii="仿宋" w:hAnsi="仿宋" w:eastAsia="仿宋" w:cs="仿宋"/>
                <w:spacing w:val="9"/>
                <w:sz w:val="24"/>
                <w:szCs w:val="24"/>
                <w:lang w:val="en-US" w:eastAsia="zh-CN"/>
              </w:rPr>
              <w:t>三</w:t>
            </w:r>
            <w:r>
              <w:rPr>
                <w:rFonts w:hint="eastAsia" w:ascii="仿宋" w:hAnsi="仿宋" w:eastAsia="仿宋" w:cs="仿宋"/>
                <w:spacing w:val="9"/>
                <w:sz w:val="24"/>
                <w:szCs w:val="24"/>
              </w:rPr>
              <w:t>年内，在经营活动中没有重大违法记录书面声明】</w:t>
            </w:r>
          </w:p>
        </w:tc>
        <w:tc>
          <w:tcPr>
            <w:tcW w:w="794" w:type="dxa"/>
            <w:vAlign w:val="center"/>
          </w:tcPr>
          <w:p w14:paraId="545AB8DC">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845" w:type="dxa"/>
            <w:gridSpan w:val="2"/>
            <w:vAlign w:val="center"/>
          </w:tcPr>
          <w:p w14:paraId="31C5C0BA">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2F83D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630" w:hRule="atLeast"/>
          <w:jc w:val="center"/>
        </w:trPr>
        <w:tc>
          <w:tcPr>
            <w:tcW w:w="631" w:type="dxa"/>
            <w:gridSpan w:val="2"/>
            <w:vAlign w:val="center"/>
          </w:tcPr>
          <w:p w14:paraId="44B3FC0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64" w:right="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6712" w:type="dxa"/>
            <w:vAlign w:val="center"/>
          </w:tcPr>
          <w:p w14:paraId="43C1FA82">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 w:right="0"/>
              <w:jc w:val="left"/>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法律、行政法规规定的其他条件</w:t>
            </w:r>
          </w:p>
          <w:p w14:paraId="24D3CA8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 w:right="0"/>
              <w:jc w:val="left"/>
              <w:textAlignment w:val="baseline"/>
              <w:rPr>
                <w:rFonts w:hint="eastAsia" w:ascii="仿宋" w:hAnsi="仿宋" w:eastAsia="仿宋" w:cs="仿宋"/>
                <w:spacing w:val="7"/>
                <w:sz w:val="24"/>
                <w:szCs w:val="24"/>
              </w:rPr>
            </w:pPr>
            <w:r>
              <w:rPr>
                <w:rFonts w:hint="eastAsia" w:ascii="仿宋" w:hAnsi="仿宋" w:eastAsia="仿宋" w:cs="仿宋"/>
                <w:spacing w:val="9"/>
                <w:sz w:val="24"/>
                <w:szCs w:val="24"/>
              </w:rPr>
              <w:t>【</w:t>
            </w:r>
            <w:r>
              <w:rPr>
                <w:rFonts w:hint="eastAsia" w:ascii="仿宋" w:hAnsi="仿宋" w:eastAsia="仿宋" w:cs="仿宋"/>
                <w:spacing w:val="9"/>
                <w:sz w:val="24"/>
                <w:szCs w:val="24"/>
                <w:lang w:val="en-US" w:eastAsia="zh-CN"/>
              </w:rPr>
              <w:t>提供承诺函</w:t>
            </w:r>
            <w:r>
              <w:rPr>
                <w:rFonts w:hint="eastAsia" w:ascii="仿宋" w:hAnsi="仿宋" w:eastAsia="仿宋" w:cs="仿宋"/>
                <w:spacing w:val="9"/>
                <w:sz w:val="24"/>
                <w:szCs w:val="24"/>
              </w:rPr>
              <w:t>】</w:t>
            </w:r>
          </w:p>
        </w:tc>
        <w:tc>
          <w:tcPr>
            <w:tcW w:w="794" w:type="dxa"/>
            <w:vAlign w:val="center"/>
          </w:tcPr>
          <w:p w14:paraId="439658B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845" w:type="dxa"/>
            <w:gridSpan w:val="2"/>
            <w:vAlign w:val="center"/>
          </w:tcPr>
          <w:p w14:paraId="1041096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5FD57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29" w:hRule="atLeast"/>
          <w:jc w:val="center"/>
        </w:trPr>
        <w:tc>
          <w:tcPr>
            <w:tcW w:w="631" w:type="dxa"/>
            <w:gridSpan w:val="2"/>
            <w:vAlign w:val="center"/>
          </w:tcPr>
          <w:p w14:paraId="3825E4C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66" w:right="0"/>
              <w:jc w:val="both"/>
              <w:textAlignment w:val="baseline"/>
              <w:rPr>
                <w:rFonts w:hint="eastAsia" w:ascii="仿宋" w:hAnsi="仿宋" w:eastAsia="仿宋" w:cs="仿宋"/>
                <w:lang w:eastAsia="zh-CN"/>
              </w:rPr>
            </w:pPr>
            <w:r>
              <w:rPr>
                <w:rFonts w:hint="eastAsia" w:ascii="仿宋" w:hAnsi="仿宋" w:eastAsia="仿宋" w:cs="仿宋"/>
                <w:lang w:val="en-US" w:eastAsia="zh-CN"/>
              </w:rPr>
              <w:t>7</w:t>
            </w:r>
          </w:p>
        </w:tc>
        <w:tc>
          <w:tcPr>
            <w:tcW w:w="6713" w:type="dxa"/>
            <w:gridSpan w:val="2"/>
            <w:vAlign w:val="center"/>
          </w:tcPr>
          <w:p w14:paraId="111C573B">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8" w:right="0"/>
              <w:jc w:val="left"/>
              <w:textAlignment w:val="baseline"/>
              <w:rPr>
                <w:rFonts w:hint="eastAsia" w:ascii="仿宋" w:hAnsi="仿宋" w:eastAsia="仿宋" w:cs="仿宋"/>
                <w:spacing w:val="6"/>
              </w:rPr>
            </w:pPr>
            <w:r>
              <w:rPr>
                <w:rFonts w:hint="eastAsia" w:ascii="仿宋" w:hAnsi="仿宋" w:eastAsia="仿宋" w:cs="仿宋"/>
                <w:spacing w:val="7"/>
              </w:rPr>
              <w:t>法定代表人身份证明或授权委托书及代理人身</w:t>
            </w:r>
            <w:r>
              <w:rPr>
                <w:rFonts w:hint="eastAsia" w:ascii="仿宋" w:hAnsi="仿宋" w:eastAsia="仿宋" w:cs="仿宋"/>
                <w:spacing w:val="6"/>
              </w:rPr>
              <w:t>份证；</w:t>
            </w:r>
          </w:p>
          <w:p w14:paraId="275FA39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8" w:right="0"/>
              <w:jc w:val="left"/>
              <w:textAlignment w:val="baseline"/>
              <w:rPr>
                <w:rFonts w:hint="eastAsia" w:ascii="仿宋" w:hAnsi="仿宋" w:eastAsia="仿宋" w:cs="仿宋"/>
              </w:rPr>
            </w:pPr>
            <w:r>
              <w:rPr>
                <w:rFonts w:hint="eastAsia" w:ascii="仿宋" w:hAnsi="仿宋" w:eastAsia="仿宋" w:cs="仿宋"/>
                <w:spacing w:val="9"/>
              </w:rPr>
              <w:t>【提供</w:t>
            </w:r>
            <w:r>
              <w:rPr>
                <w:rFonts w:hint="eastAsia" w:ascii="仿宋" w:hAnsi="仿宋" w:eastAsia="仿宋" w:cs="仿宋"/>
                <w:spacing w:val="9"/>
                <w:lang w:val="en-US" w:eastAsia="zh-CN"/>
              </w:rPr>
              <w:t>相关证明材料</w:t>
            </w:r>
            <w:r>
              <w:rPr>
                <w:rFonts w:hint="eastAsia" w:ascii="仿宋" w:hAnsi="仿宋" w:eastAsia="仿宋" w:cs="仿宋"/>
                <w:spacing w:val="9"/>
              </w:rPr>
              <w:t>】</w:t>
            </w:r>
          </w:p>
        </w:tc>
        <w:tc>
          <w:tcPr>
            <w:tcW w:w="794" w:type="dxa"/>
            <w:vAlign w:val="center"/>
          </w:tcPr>
          <w:p w14:paraId="32B5FB8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c>
          <w:tcPr>
            <w:tcW w:w="844" w:type="dxa"/>
            <w:vAlign w:val="center"/>
          </w:tcPr>
          <w:p w14:paraId="14BB5F9A">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r>
      <w:tr w14:paraId="7237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981" w:hRule="atLeast"/>
          <w:jc w:val="center"/>
        </w:trPr>
        <w:tc>
          <w:tcPr>
            <w:tcW w:w="631" w:type="dxa"/>
            <w:gridSpan w:val="2"/>
            <w:vAlign w:val="center"/>
          </w:tcPr>
          <w:p w14:paraId="63A3F82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60" w:right="0"/>
              <w:jc w:val="both"/>
              <w:textAlignment w:val="baseline"/>
              <w:rPr>
                <w:rFonts w:hint="eastAsia" w:ascii="仿宋" w:hAnsi="仿宋" w:eastAsia="仿宋" w:cs="仿宋"/>
                <w:lang w:eastAsia="zh-CN"/>
              </w:rPr>
            </w:pPr>
            <w:r>
              <w:rPr>
                <w:rFonts w:hint="eastAsia" w:ascii="仿宋" w:hAnsi="仿宋" w:eastAsia="仿宋" w:cs="仿宋"/>
                <w:lang w:val="en-US" w:eastAsia="zh-CN"/>
              </w:rPr>
              <w:t>8</w:t>
            </w:r>
          </w:p>
        </w:tc>
        <w:tc>
          <w:tcPr>
            <w:tcW w:w="6713" w:type="dxa"/>
            <w:gridSpan w:val="2"/>
            <w:vAlign w:val="center"/>
          </w:tcPr>
          <w:p w14:paraId="05AD47E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7" w:right="0"/>
              <w:jc w:val="left"/>
              <w:textAlignment w:val="baseline"/>
              <w:rPr>
                <w:rFonts w:hint="eastAsia" w:ascii="仿宋" w:hAnsi="仿宋" w:eastAsia="仿宋" w:cs="仿宋"/>
                <w:highlight w:val="none"/>
                <w:lang w:eastAsia="zh-CN"/>
              </w:rPr>
            </w:pPr>
            <w:r>
              <w:rPr>
                <w:rFonts w:hint="eastAsia" w:ascii="仿宋" w:hAnsi="仿宋" w:eastAsia="仿宋" w:cs="仿宋"/>
                <w:spacing w:val="13"/>
                <w:sz w:val="24"/>
                <w:szCs w:val="24"/>
                <w:highlight w:val="none"/>
              </w:rPr>
              <w:t>供应商须具备建筑工程施工总承包叁级（含）以上资质或建筑装修装饰工程专业承包二级及以上资质和建筑装饰工程设计专项乙级及以上资质，并在人员、设备、资金等方面具有相应的施工能力，具有有效的安全生产许可证</w:t>
            </w:r>
            <w:r>
              <w:rPr>
                <w:rFonts w:hint="eastAsia" w:ascii="仿宋" w:hAnsi="仿宋" w:eastAsia="仿宋" w:cs="仿宋"/>
                <w:spacing w:val="12"/>
                <w:sz w:val="24"/>
                <w:szCs w:val="24"/>
                <w:highlight w:val="none"/>
              </w:rPr>
              <w:t>；</w:t>
            </w:r>
            <w:r>
              <w:rPr>
                <w:rFonts w:hint="eastAsia" w:ascii="仿宋" w:hAnsi="仿宋" w:eastAsia="仿宋" w:cs="仿宋"/>
                <w:spacing w:val="9"/>
              </w:rPr>
              <w:t>【提供</w:t>
            </w:r>
            <w:r>
              <w:rPr>
                <w:rFonts w:hint="eastAsia" w:ascii="仿宋" w:hAnsi="仿宋" w:eastAsia="仿宋" w:cs="仿宋"/>
                <w:spacing w:val="9"/>
                <w:lang w:val="en-US" w:eastAsia="zh-CN"/>
              </w:rPr>
              <w:t>相关证明材料</w:t>
            </w:r>
            <w:r>
              <w:rPr>
                <w:rFonts w:hint="eastAsia" w:ascii="仿宋" w:hAnsi="仿宋" w:eastAsia="仿宋" w:cs="仿宋"/>
                <w:spacing w:val="9"/>
              </w:rPr>
              <w:t>】</w:t>
            </w:r>
          </w:p>
        </w:tc>
        <w:tc>
          <w:tcPr>
            <w:tcW w:w="794" w:type="dxa"/>
            <w:vAlign w:val="center"/>
          </w:tcPr>
          <w:p w14:paraId="1523FDA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c>
          <w:tcPr>
            <w:tcW w:w="844" w:type="dxa"/>
            <w:vAlign w:val="center"/>
          </w:tcPr>
          <w:p w14:paraId="620CE2E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r>
      <w:tr w14:paraId="2DDA1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977" w:hRule="atLeast"/>
          <w:jc w:val="center"/>
        </w:trPr>
        <w:tc>
          <w:tcPr>
            <w:tcW w:w="631" w:type="dxa"/>
            <w:gridSpan w:val="2"/>
            <w:vAlign w:val="center"/>
          </w:tcPr>
          <w:p w14:paraId="0B572D0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66" w:right="0"/>
              <w:jc w:val="both"/>
              <w:textAlignment w:val="baseline"/>
              <w:rPr>
                <w:rFonts w:hint="eastAsia" w:ascii="仿宋" w:hAnsi="仿宋" w:eastAsia="仿宋" w:cs="仿宋"/>
                <w:lang w:eastAsia="zh-CN"/>
              </w:rPr>
            </w:pPr>
            <w:r>
              <w:rPr>
                <w:rFonts w:hint="eastAsia" w:ascii="仿宋" w:hAnsi="仿宋" w:eastAsia="仿宋" w:cs="仿宋"/>
                <w:lang w:val="en-US" w:eastAsia="zh-CN"/>
              </w:rPr>
              <w:t>9</w:t>
            </w:r>
          </w:p>
        </w:tc>
        <w:tc>
          <w:tcPr>
            <w:tcW w:w="6713" w:type="dxa"/>
            <w:gridSpan w:val="2"/>
            <w:vAlign w:val="center"/>
          </w:tcPr>
          <w:p w14:paraId="1CD6EC0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 w:right="0"/>
              <w:jc w:val="left"/>
              <w:textAlignment w:val="baseline"/>
              <w:rPr>
                <w:rFonts w:hint="eastAsia" w:ascii="仿宋" w:hAnsi="仿宋" w:eastAsia="仿宋" w:cs="仿宋"/>
                <w:spacing w:val="12"/>
                <w:sz w:val="24"/>
                <w:szCs w:val="24"/>
                <w:highlight w:val="none"/>
              </w:rPr>
            </w:pPr>
            <w:r>
              <w:rPr>
                <w:rFonts w:hint="eastAsia" w:ascii="仿宋" w:hAnsi="仿宋" w:eastAsia="仿宋" w:cs="仿宋"/>
                <w:spacing w:val="12"/>
                <w:sz w:val="24"/>
                <w:szCs w:val="24"/>
                <w:highlight w:val="none"/>
              </w:rPr>
              <w:t>项目负责人须具备</w:t>
            </w:r>
            <w:r>
              <w:rPr>
                <w:rFonts w:hint="eastAsia" w:ascii="仿宋" w:hAnsi="仿宋" w:eastAsia="仿宋" w:cs="仿宋"/>
                <w:spacing w:val="12"/>
                <w:sz w:val="24"/>
                <w:szCs w:val="24"/>
                <w:highlight w:val="none"/>
                <w:lang w:eastAsia="zh-CN"/>
              </w:rPr>
              <w:t>建筑装饰类中级及以上职称或建筑工程专业贰级建造师（含）及以上执业资格</w:t>
            </w:r>
            <w:r>
              <w:rPr>
                <w:rFonts w:hint="eastAsia" w:ascii="仿宋" w:hAnsi="仿宋" w:eastAsia="仿宋" w:cs="仿宋"/>
                <w:spacing w:val="12"/>
                <w:sz w:val="24"/>
                <w:szCs w:val="24"/>
                <w:highlight w:val="none"/>
              </w:rPr>
              <w:t>，在本单位注册，具备有效的安全生产考核合格证书</w:t>
            </w: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rPr>
              <w:t>B证</w:t>
            </w:r>
            <w:r>
              <w:rPr>
                <w:rFonts w:hint="eastAsia" w:ascii="仿宋" w:hAnsi="仿宋" w:eastAsia="仿宋" w:cs="仿宋"/>
                <w:spacing w:val="12"/>
                <w:sz w:val="24"/>
                <w:szCs w:val="24"/>
                <w:highlight w:val="none"/>
                <w:lang w:eastAsia="zh-CN"/>
              </w:rPr>
              <w:t>）</w:t>
            </w:r>
            <w:r>
              <w:rPr>
                <w:rFonts w:hint="eastAsia" w:ascii="仿宋" w:hAnsi="仿宋" w:eastAsia="仿宋" w:cs="仿宋"/>
                <w:spacing w:val="12"/>
                <w:sz w:val="24"/>
                <w:szCs w:val="24"/>
                <w:highlight w:val="none"/>
              </w:rPr>
              <w:t>，且未担任其他在建建设工程项目的项目负责人；</w:t>
            </w:r>
          </w:p>
          <w:p w14:paraId="18785BC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6" w:right="0"/>
              <w:jc w:val="left"/>
              <w:textAlignment w:val="baseline"/>
              <w:rPr>
                <w:rFonts w:hint="eastAsia" w:ascii="仿宋" w:hAnsi="仿宋" w:eastAsia="仿宋" w:cs="仿宋"/>
                <w:highlight w:val="none"/>
              </w:rPr>
            </w:pPr>
            <w:r>
              <w:rPr>
                <w:rFonts w:hint="eastAsia" w:ascii="仿宋" w:hAnsi="仿宋" w:eastAsia="仿宋" w:cs="仿宋"/>
                <w:spacing w:val="9"/>
              </w:rPr>
              <w:t>【提供</w:t>
            </w:r>
            <w:r>
              <w:rPr>
                <w:rFonts w:hint="eastAsia" w:ascii="仿宋" w:hAnsi="仿宋" w:eastAsia="仿宋" w:cs="仿宋"/>
                <w:spacing w:val="9"/>
                <w:lang w:val="en-US" w:eastAsia="zh-CN"/>
              </w:rPr>
              <w:t>无在建承诺、注册证书和B证等相关证明材料</w:t>
            </w:r>
            <w:r>
              <w:rPr>
                <w:rFonts w:hint="eastAsia" w:ascii="仿宋" w:hAnsi="仿宋" w:eastAsia="仿宋" w:cs="仿宋"/>
                <w:spacing w:val="9"/>
              </w:rPr>
              <w:t>】</w:t>
            </w:r>
          </w:p>
        </w:tc>
        <w:tc>
          <w:tcPr>
            <w:tcW w:w="794" w:type="dxa"/>
            <w:vAlign w:val="center"/>
          </w:tcPr>
          <w:p w14:paraId="793678C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c>
          <w:tcPr>
            <w:tcW w:w="844" w:type="dxa"/>
            <w:vAlign w:val="center"/>
          </w:tcPr>
          <w:p w14:paraId="43DD4C9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r>
      <w:tr w14:paraId="0832F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764" w:hRule="atLeast"/>
          <w:jc w:val="center"/>
        </w:trPr>
        <w:tc>
          <w:tcPr>
            <w:tcW w:w="631" w:type="dxa"/>
            <w:gridSpan w:val="2"/>
            <w:vAlign w:val="center"/>
          </w:tcPr>
          <w:p w14:paraId="1FB37DF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63" w:right="0"/>
              <w:jc w:val="both"/>
              <w:textAlignment w:val="baseline"/>
              <w:rPr>
                <w:rFonts w:hint="default" w:ascii="仿宋" w:hAnsi="仿宋" w:eastAsia="仿宋" w:cs="仿宋"/>
                <w:lang w:val="en-US" w:eastAsia="zh-CN"/>
              </w:rPr>
            </w:pPr>
            <w:r>
              <w:rPr>
                <w:rFonts w:hint="eastAsia" w:ascii="仿宋" w:hAnsi="仿宋" w:eastAsia="仿宋" w:cs="仿宋"/>
                <w:lang w:val="en-US" w:eastAsia="zh-CN"/>
              </w:rPr>
              <w:t>10</w:t>
            </w:r>
          </w:p>
        </w:tc>
        <w:tc>
          <w:tcPr>
            <w:tcW w:w="6713" w:type="dxa"/>
            <w:gridSpan w:val="2"/>
            <w:vAlign w:val="center"/>
          </w:tcPr>
          <w:p w14:paraId="0DDD203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8" w:right="0"/>
              <w:jc w:val="left"/>
              <w:textAlignment w:val="baseline"/>
              <w:rPr>
                <w:rFonts w:hint="eastAsia" w:ascii="仿宋" w:hAnsi="仿宋" w:eastAsia="仿宋" w:cs="仿宋"/>
              </w:rPr>
            </w:pPr>
            <w:r>
              <w:rPr>
                <w:rFonts w:hint="eastAsia" w:ascii="仿宋" w:hAnsi="仿宋" w:eastAsia="仿宋" w:cs="仿宋"/>
                <w:spacing w:val="4"/>
              </w:rPr>
              <w:t>本项目专门面向中小微企业；</w:t>
            </w:r>
          </w:p>
          <w:p w14:paraId="7B005473">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 w:right="0"/>
              <w:jc w:val="left"/>
              <w:textAlignment w:val="baseline"/>
              <w:rPr>
                <w:rFonts w:hint="eastAsia" w:ascii="仿宋" w:hAnsi="仿宋" w:eastAsia="仿宋" w:cs="仿宋"/>
              </w:rPr>
            </w:pPr>
            <w:r>
              <w:rPr>
                <w:rFonts w:hint="eastAsia" w:ascii="仿宋" w:hAnsi="仿宋" w:eastAsia="仿宋" w:cs="仿宋"/>
                <w:spacing w:val="9"/>
              </w:rPr>
              <w:t>【提供《中小微企业声明函》】</w:t>
            </w:r>
          </w:p>
        </w:tc>
        <w:tc>
          <w:tcPr>
            <w:tcW w:w="794" w:type="dxa"/>
            <w:vAlign w:val="center"/>
          </w:tcPr>
          <w:p w14:paraId="6D15E20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c>
          <w:tcPr>
            <w:tcW w:w="844" w:type="dxa"/>
            <w:vAlign w:val="center"/>
          </w:tcPr>
          <w:p w14:paraId="22C364A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r>
      <w:tr w14:paraId="55AA2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4" w:hRule="atLeast"/>
          <w:jc w:val="center"/>
        </w:trPr>
        <w:tc>
          <w:tcPr>
            <w:tcW w:w="631" w:type="dxa"/>
            <w:gridSpan w:val="2"/>
            <w:vAlign w:val="center"/>
          </w:tcPr>
          <w:p w14:paraId="79A39C40">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67" w:right="0"/>
              <w:jc w:val="both"/>
              <w:textAlignment w:val="baseline"/>
              <w:rPr>
                <w:rFonts w:hint="default" w:ascii="仿宋" w:hAnsi="仿宋" w:eastAsia="仿宋" w:cs="仿宋"/>
                <w:lang w:val="en-US" w:eastAsia="zh-CN"/>
              </w:rPr>
            </w:pPr>
            <w:r>
              <w:rPr>
                <w:rFonts w:hint="eastAsia" w:ascii="仿宋" w:hAnsi="仿宋" w:eastAsia="仿宋" w:cs="仿宋"/>
                <w:lang w:val="en-US" w:eastAsia="zh-CN"/>
              </w:rPr>
              <w:t>11</w:t>
            </w:r>
          </w:p>
        </w:tc>
        <w:tc>
          <w:tcPr>
            <w:tcW w:w="6713" w:type="dxa"/>
            <w:gridSpan w:val="2"/>
            <w:vAlign w:val="center"/>
          </w:tcPr>
          <w:p w14:paraId="4A8EFE4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仿宋" w:hAnsi="仿宋" w:eastAsia="仿宋" w:cs="仿宋"/>
                <w:spacing w:val="9"/>
                <w:sz w:val="20"/>
                <w:szCs w:val="20"/>
              </w:rPr>
            </w:pPr>
            <w:r>
              <w:rPr>
                <w:rFonts w:hint="eastAsia" w:ascii="仿宋" w:hAnsi="仿宋" w:eastAsia="仿宋" w:cs="仿宋"/>
                <w:spacing w:val="13"/>
              </w:rPr>
              <w:t>供应商未被“信用中国”(</w:t>
            </w:r>
            <w:r>
              <w:rPr>
                <w:rFonts w:hint="eastAsia" w:ascii="仿宋" w:hAnsi="仿宋" w:eastAsia="仿宋" w:cs="仿宋"/>
              </w:rPr>
              <w:t>www</w:t>
            </w:r>
            <w:r>
              <w:rPr>
                <w:rFonts w:hint="eastAsia" w:ascii="仿宋" w:hAnsi="仿宋" w:eastAsia="仿宋" w:cs="仿宋"/>
                <w:spacing w:val="13"/>
              </w:rPr>
              <w:t>.</w:t>
            </w:r>
            <w:r>
              <w:rPr>
                <w:rFonts w:hint="eastAsia" w:ascii="仿宋" w:hAnsi="仿宋" w:eastAsia="仿宋" w:cs="仿宋"/>
              </w:rPr>
              <w:t>creditchina</w:t>
            </w:r>
            <w:r>
              <w:rPr>
                <w:rFonts w:hint="eastAsia" w:ascii="仿宋" w:hAnsi="仿宋" w:eastAsia="仿宋" w:cs="仿宋"/>
                <w:spacing w:val="13"/>
              </w:rPr>
              <w:t>.</w:t>
            </w:r>
            <w:r>
              <w:rPr>
                <w:rFonts w:hint="eastAsia" w:ascii="仿宋" w:hAnsi="仿宋" w:eastAsia="仿宋" w:cs="仿宋"/>
              </w:rPr>
              <w:t>gov</w:t>
            </w:r>
            <w:r>
              <w:rPr>
                <w:rFonts w:hint="eastAsia" w:ascii="仿宋" w:hAnsi="仿宋" w:eastAsia="仿宋" w:cs="仿宋"/>
                <w:spacing w:val="13"/>
              </w:rPr>
              <w:t>.</w:t>
            </w:r>
            <w:r>
              <w:rPr>
                <w:rFonts w:hint="eastAsia" w:ascii="仿宋" w:hAnsi="仿宋" w:eastAsia="仿宋" w:cs="仿宋"/>
              </w:rPr>
              <w:t>cn</w:t>
            </w:r>
            <w:r>
              <w:rPr>
                <w:rFonts w:hint="eastAsia" w:ascii="仿宋" w:hAnsi="仿宋" w:eastAsia="仿宋" w:cs="仿宋"/>
                <w:spacing w:val="13"/>
              </w:rPr>
              <w:t>)、中国</w:t>
            </w:r>
            <w:r>
              <w:rPr>
                <w:rFonts w:hint="eastAsia" w:ascii="仿宋" w:hAnsi="仿宋" w:eastAsia="仿宋" w:cs="仿宋"/>
                <w:spacing w:val="9"/>
              </w:rPr>
              <w:t>政府采购网(</w:t>
            </w:r>
            <w:r>
              <w:rPr>
                <w:rFonts w:hint="eastAsia" w:ascii="仿宋" w:hAnsi="仿宋" w:eastAsia="仿宋" w:cs="仿宋"/>
              </w:rPr>
              <w:t>www</w:t>
            </w:r>
            <w:r>
              <w:rPr>
                <w:rFonts w:hint="eastAsia" w:ascii="仿宋" w:hAnsi="仿宋" w:eastAsia="仿宋" w:cs="仿宋"/>
                <w:spacing w:val="9"/>
              </w:rPr>
              <w:t>.</w:t>
            </w:r>
            <w:r>
              <w:rPr>
                <w:rFonts w:hint="eastAsia" w:ascii="仿宋" w:hAnsi="仿宋" w:eastAsia="仿宋" w:cs="仿宋"/>
              </w:rPr>
              <w:t>ccgp</w:t>
            </w:r>
            <w:r>
              <w:rPr>
                <w:rFonts w:hint="eastAsia" w:ascii="仿宋" w:hAnsi="仿宋" w:eastAsia="仿宋" w:cs="仿宋"/>
                <w:spacing w:val="9"/>
              </w:rPr>
              <w:t>.</w:t>
            </w:r>
            <w:r>
              <w:rPr>
                <w:rFonts w:hint="eastAsia" w:ascii="仿宋" w:hAnsi="仿宋" w:eastAsia="仿宋" w:cs="仿宋"/>
              </w:rPr>
              <w:t>gov</w:t>
            </w:r>
            <w:r>
              <w:rPr>
                <w:rFonts w:hint="eastAsia" w:ascii="仿宋" w:hAnsi="仿宋" w:eastAsia="仿宋" w:cs="仿宋"/>
                <w:spacing w:val="9"/>
              </w:rPr>
              <w:t>.</w:t>
            </w:r>
            <w:r>
              <w:rPr>
                <w:rFonts w:hint="eastAsia" w:ascii="仿宋" w:hAnsi="仿宋" w:eastAsia="仿宋" w:cs="仿宋"/>
              </w:rPr>
              <w:t>cn</w:t>
            </w:r>
            <w:r>
              <w:rPr>
                <w:rFonts w:hint="eastAsia" w:ascii="仿宋" w:hAnsi="仿宋" w:eastAsia="仿宋" w:cs="仿宋"/>
                <w:spacing w:val="9"/>
              </w:rPr>
              <w:t>)、国家企业信用信息公示系</w:t>
            </w:r>
            <w:r>
              <w:rPr>
                <w:rFonts w:hint="eastAsia" w:ascii="仿宋" w:hAnsi="仿宋" w:eastAsia="仿宋" w:cs="仿宋"/>
                <w:spacing w:val="12"/>
              </w:rPr>
              <w:t>统(</w:t>
            </w:r>
            <w:r>
              <w:rPr>
                <w:rFonts w:hint="eastAsia" w:ascii="仿宋" w:hAnsi="仿宋" w:eastAsia="仿宋" w:cs="仿宋"/>
              </w:rPr>
              <w:fldChar w:fldCharType="begin"/>
            </w:r>
            <w:r>
              <w:rPr>
                <w:rFonts w:hint="eastAsia" w:ascii="仿宋" w:hAnsi="仿宋" w:eastAsia="仿宋" w:cs="仿宋"/>
              </w:rPr>
              <w:instrText xml:space="preserve"> HYPERLINK "http://www.gsxt.gov.cn" </w:instrText>
            </w:r>
            <w:r>
              <w:rPr>
                <w:rFonts w:hint="eastAsia" w:ascii="仿宋" w:hAnsi="仿宋" w:eastAsia="仿宋" w:cs="仿宋"/>
              </w:rPr>
              <w:fldChar w:fldCharType="separate"/>
            </w:r>
            <w:r>
              <w:rPr>
                <w:rFonts w:hint="eastAsia" w:ascii="仿宋" w:hAnsi="仿宋" w:eastAsia="仿宋" w:cs="仿宋"/>
              </w:rPr>
              <w:t>http</w:t>
            </w:r>
            <w:r>
              <w:rPr>
                <w:rFonts w:hint="eastAsia" w:ascii="仿宋" w:hAnsi="仿宋" w:eastAsia="仿宋" w:cs="仿宋"/>
                <w:spacing w:val="12"/>
              </w:rPr>
              <w:t>://</w:t>
            </w:r>
            <w:r>
              <w:rPr>
                <w:rFonts w:hint="eastAsia" w:ascii="仿宋" w:hAnsi="仿宋" w:eastAsia="仿宋" w:cs="仿宋"/>
              </w:rPr>
              <w:t>www</w:t>
            </w:r>
            <w:r>
              <w:rPr>
                <w:rFonts w:hint="eastAsia" w:ascii="仿宋" w:hAnsi="仿宋" w:eastAsia="仿宋" w:cs="仿宋"/>
                <w:spacing w:val="12"/>
              </w:rPr>
              <w:t>.</w:t>
            </w:r>
            <w:r>
              <w:rPr>
                <w:rFonts w:hint="eastAsia" w:ascii="仿宋" w:hAnsi="仿宋" w:eastAsia="仿宋" w:cs="仿宋"/>
              </w:rPr>
              <w:t>gsxt</w:t>
            </w:r>
            <w:r>
              <w:rPr>
                <w:rFonts w:hint="eastAsia" w:ascii="仿宋" w:hAnsi="仿宋" w:eastAsia="仿宋" w:cs="仿宋"/>
                <w:spacing w:val="12"/>
              </w:rPr>
              <w:t>.</w:t>
            </w:r>
            <w:r>
              <w:rPr>
                <w:rFonts w:hint="eastAsia" w:ascii="仿宋" w:hAnsi="仿宋" w:eastAsia="仿宋" w:cs="仿宋"/>
              </w:rPr>
              <w:t>gov</w:t>
            </w:r>
            <w:r>
              <w:rPr>
                <w:rFonts w:hint="eastAsia" w:ascii="仿宋" w:hAnsi="仿宋" w:eastAsia="仿宋" w:cs="仿宋"/>
                <w:spacing w:val="12"/>
              </w:rPr>
              <w:t>.</w:t>
            </w:r>
            <w:r>
              <w:rPr>
                <w:rFonts w:hint="eastAsia" w:ascii="仿宋" w:hAnsi="仿宋" w:eastAsia="仿宋" w:cs="仿宋"/>
              </w:rPr>
              <w:t>cn</w:t>
            </w:r>
            <w:r>
              <w:rPr>
                <w:rFonts w:hint="eastAsia" w:ascii="仿宋" w:hAnsi="仿宋" w:eastAsia="仿宋" w:cs="仿宋"/>
              </w:rPr>
              <w:fldChar w:fldCharType="end"/>
            </w:r>
            <w:r>
              <w:rPr>
                <w:rFonts w:hint="eastAsia" w:ascii="仿宋" w:hAnsi="仿宋" w:eastAsia="仿宋" w:cs="仿宋"/>
                <w:spacing w:val="12"/>
              </w:rPr>
              <w:t>)列入失信被执行人、重大税收</w:t>
            </w:r>
            <w:r>
              <w:rPr>
                <w:rFonts w:hint="eastAsia" w:ascii="仿宋" w:hAnsi="仿宋" w:eastAsia="仿宋" w:cs="仿宋"/>
                <w:spacing w:val="15"/>
              </w:rPr>
              <w:t>违法案件当事人名单、政府采购严重违法失信行为记录名单</w:t>
            </w:r>
            <w:r>
              <w:rPr>
                <w:rFonts w:hint="eastAsia" w:ascii="仿宋" w:hAnsi="仿宋" w:eastAsia="仿宋" w:cs="仿宋"/>
                <w:spacing w:val="10"/>
              </w:rPr>
              <w:t>(尚在处罚期内的)</w:t>
            </w:r>
            <w:r>
              <w:rPr>
                <w:rFonts w:hint="eastAsia" w:ascii="仿宋" w:hAnsi="仿宋" w:eastAsia="仿宋" w:cs="仿宋"/>
                <w:spacing w:val="10"/>
                <w:lang w:eastAsia="zh-CN"/>
              </w:rPr>
              <w:t>；</w:t>
            </w:r>
            <w:r>
              <w:rPr>
                <w:rFonts w:hint="eastAsia" w:ascii="仿宋" w:hAnsi="仿宋" w:eastAsia="仿宋" w:cs="仿宋"/>
                <w:spacing w:val="10"/>
              </w:rPr>
              <w:t>将拒绝其参加本次政府采购活动；</w:t>
            </w:r>
            <w:r>
              <w:rPr>
                <w:rFonts w:hint="eastAsia" w:ascii="仿宋" w:hAnsi="仿宋" w:eastAsia="仿宋" w:cs="仿宋"/>
                <w:spacing w:val="11"/>
              </w:rPr>
              <w:t>【投标人自行登录网站进行查询并打印完整查询结果加盖投标</w:t>
            </w:r>
            <w:r>
              <w:rPr>
                <w:rFonts w:hint="eastAsia" w:ascii="仿宋" w:hAnsi="仿宋" w:eastAsia="仿宋" w:cs="仿宋"/>
                <w:spacing w:val="-6"/>
              </w:rPr>
              <w:t>单位公章（扫描件）</w:t>
            </w:r>
            <w:r>
              <w:rPr>
                <w:rFonts w:hint="eastAsia" w:ascii="仿宋" w:hAnsi="仿宋" w:eastAsia="仿宋" w:cs="仿宋"/>
                <w:spacing w:val="-6"/>
                <w:lang w:eastAsia="zh-CN"/>
              </w:rPr>
              <w:t>，</w:t>
            </w:r>
            <w:r>
              <w:rPr>
                <w:rFonts w:hint="eastAsia" w:ascii="仿宋" w:hAnsi="仿宋" w:eastAsia="仿宋" w:cs="仿宋"/>
                <w:spacing w:val="-6"/>
                <w:lang w:val="en-US" w:eastAsia="zh-CN"/>
              </w:rPr>
              <w:t>查验时间为公告发布之日之后</w:t>
            </w:r>
            <w:r>
              <w:rPr>
                <w:rFonts w:hint="eastAsia" w:ascii="仿宋" w:hAnsi="仿宋" w:eastAsia="仿宋" w:cs="仿宋"/>
                <w:spacing w:val="-6"/>
              </w:rPr>
              <w:t>】</w:t>
            </w:r>
          </w:p>
        </w:tc>
        <w:tc>
          <w:tcPr>
            <w:tcW w:w="794" w:type="dxa"/>
            <w:vAlign w:val="center"/>
          </w:tcPr>
          <w:p w14:paraId="3554045F">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c>
          <w:tcPr>
            <w:tcW w:w="844" w:type="dxa"/>
            <w:vAlign w:val="center"/>
          </w:tcPr>
          <w:p w14:paraId="71F71CBD">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r>
      <w:tr w14:paraId="6D83C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4" w:hRule="atLeast"/>
          <w:jc w:val="center"/>
        </w:trPr>
        <w:tc>
          <w:tcPr>
            <w:tcW w:w="631" w:type="dxa"/>
            <w:gridSpan w:val="2"/>
            <w:vAlign w:val="center"/>
          </w:tcPr>
          <w:p w14:paraId="78740FC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67" w:right="0"/>
              <w:jc w:val="both"/>
              <w:textAlignment w:val="baseline"/>
              <w:rPr>
                <w:rFonts w:hint="default" w:ascii="仿宋" w:hAnsi="仿宋" w:eastAsia="仿宋" w:cs="仿宋"/>
                <w:lang w:val="en-US" w:eastAsia="zh-CN"/>
              </w:rPr>
            </w:pPr>
            <w:r>
              <w:rPr>
                <w:rFonts w:hint="eastAsia" w:ascii="仿宋" w:hAnsi="仿宋" w:eastAsia="仿宋" w:cs="仿宋"/>
                <w:lang w:val="en-US" w:eastAsia="zh-CN"/>
              </w:rPr>
              <w:t>12</w:t>
            </w:r>
          </w:p>
        </w:tc>
        <w:tc>
          <w:tcPr>
            <w:tcW w:w="6713" w:type="dxa"/>
            <w:gridSpan w:val="2"/>
            <w:vAlign w:val="center"/>
          </w:tcPr>
          <w:p w14:paraId="4212C4A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1" w:right="0" w:hanging="2"/>
              <w:jc w:val="left"/>
              <w:textAlignment w:val="baseline"/>
              <w:rPr>
                <w:rFonts w:hint="eastAsia" w:ascii="仿宋" w:hAnsi="仿宋" w:eastAsia="仿宋" w:cs="仿宋"/>
              </w:rPr>
            </w:pPr>
            <w:r>
              <w:rPr>
                <w:rFonts w:hint="eastAsia" w:ascii="仿宋" w:hAnsi="仿宋" w:eastAsia="仿宋" w:cs="仿宋"/>
                <w:spacing w:val="11"/>
              </w:rPr>
              <w:t>单位负责人为同一人或者存在直接控股、管理关系的不同供应</w:t>
            </w:r>
            <w:r>
              <w:rPr>
                <w:rFonts w:hint="eastAsia" w:ascii="仿宋" w:hAnsi="仿宋" w:eastAsia="仿宋" w:cs="仿宋"/>
                <w:spacing w:val="2"/>
              </w:rPr>
              <w:t>商，不得参加同一合同项下的政府采购活动。</w:t>
            </w:r>
          </w:p>
          <w:p w14:paraId="50FD81D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rFonts w:hint="eastAsia" w:ascii="仿宋" w:hAnsi="仿宋" w:eastAsia="仿宋" w:cs="仿宋"/>
                <w:sz w:val="20"/>
                <w:szCs w:val="20"/>
              </w:rPr>
            </w:pPr>
            <w:r>
              <w:rPr>
                <w:rFonts w:hint="eastAsia" w:ascii="仿宋" w:hAnsi="仿宋" w:eastAsia="仿宋" w:cs="仿宋"/>
                <w:spacing w:val="9"/>
                <w:sz w:val="20"/>
                <w:szCs w:val="20"/>
              </w:rPr>
              <w:t>【</w:t>
            </w:r>
            <w:r>
              <w:rPr>
                <w:rFonts w:hint="eastAsia" w:ascii="仿宋" w:hAnsi="仿宋" w:eastAsia="仿宋" w:cs="仿宋"/>
                <w:spacing w:val="9"/>
              </w:rPr>
              <w:t>供应商直接控股、管理关系信息表</w:t>
            </w:r>
            <w:r>
              <w:rPr>
                <w:rFonts w:hint="eastAsia" w:ascii="仿宋" w:hAnsi="仿宋" w:eastAsia="仿宋" w:cs="仿宋"/>
                <w:spacing w:val="9"/>
                <w:sz w:val="20"/>
                <w:szCs w:val="20"/>
              </w:rPr>
              <w:t>】</w:t>
            </w:r>
          </w:p>
        </w:tc>
        <w:tc>
          <w:tcPr>
            <w:tcW w:w="794" w:type="dxa"/>
            <w:vAlign w:val="center"/>
          </w:tcPr>
          <w:p w14:paraId="5F68B2DE">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c>
          <w:tcPr>
            <w:tcW w:w="844" w:type="dxa"/>
            <w:vAlign w:val="center"/>
          </w:tcPr>
          <w:p w14:paraId="547999B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r>
      <w:tr w14:paraId="0D625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572" w:hRule="atLeast"/>
          <w:jc w:val="center"/>
        </w:trPr>
        <w:tc>
          <w:tcPr>
            <w:tcW w:w="7344" w:type="dxa"/>
            <w:gridSpan w:val="4"/>
            <w:vAlign w:val="center"/>
          </w:tcPr>
          <w:p w14:paraId="62A3F9F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285" w:right="0"/>
              <w:jc w:val="center"/>
              <w:textAlignment w:val="baseline"/>
              <w:rPr>
                <w:rFonts w:hint="eastAsia" w:ascii="仿宋" w:hAnsi="仿宋" w:eastAsia="仿宋" w:cs="仿宋"/>
              </w:rPr>
            </w:pPr>
            <w:r>
              <w:rPr>
                <w:rFonts w:hint="eastAsia" w:ascii="仿宋" w:hAnsi="仿宋" w:eastAsia="仿宋" w:cs="仿宋"/>
                <w:spacing w:val="10"/>
              </w:rPr>
              <w:t>审查结果(通过/不通过)</w:t>
            </w:r>
          </w:p>
        </w:tc>
        <w:tc>
          <w:tcPr>
            <w:tcW w:w="794" w:type="dxa"/>
            <w:vAlign w:val="center"/>
          </w:tcPr>
          <w:p w14:paraId="17221F4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c>
          <w:tcPr>
            <w:tcW w:w="844" w:type="dxa"/>
            <w:vAlign w:val="center"/>
          </w:tcPr>
          <w:p w14:paraId="3C532B6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1"/>
              </w:rPr>
            </w:pPr>
          </w:p>
        </w:tc>
      </w:tr>
      <w:tr w14:paraId="259C9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935" w:hRule="atLeast"/>
          <w:jc w:val="center"/>
        </w:trPr>
        <w:tc>
          <w:tcPr>
            <w:tcW w:w="8982" w:type="dxa"/>
            <w:gridSpan w:val="6"/>
            <w:vAlign w:val="center"/>
          </w:tcPr>
          <w:p w14:paraId="7821F32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2" w:right="0"/>
              <w:jc w:val="center"/>
              <w:textAlignment w:val="baseline"/>
              <w:rPr>
                <w:rFonts w:hint="eastAsia" w:ascii="仿宋" w:hAnsi="仿宋" w:eastAsia="仿宋" w:cs="仿宋"/>
              </w:rPr>
            </w:pPr>
            <w:r>
              <w:rPr>
                <w:rFonts w:hint="eastAsia" w:ascii="仿宋" w:hAnsi="仿宋" w:eastAsia="仿宋" w:cs="仿宋"/>
                <w:spacing w:val="10"/>
              </w:rPr>
              <w:t>备注：如果响应文件中有一项未通过上述审查标准，审查小组将认定整个投标文件不</w:t>
            </w:r>
            <w:r>
              <w:rPr>
                <w:rFonts w:hint="eastAsia" w:ascii="仿宋" w:hAnsi="仿宋" w:eastAsia="仿宋" w:cs="仿宋"/>
                <w:spacing w:val="11"/>
              </w:rPr>
              <w:t>响应招标件而予以无效处理，并且不允许供应商通过修改或撤销其不符合要求的差异</w:t>
            </w:r>
            <w:r>
              <w:rPr>
                <w:rFonts w:hint="eastAsia" w:ascii="仿宋" w:hAnsi="仿宋" w:eastAsia="仿宋" w:cs="仿宋"/>
                <w:spacing w:val="-1"/>
              </w:rPr>
              <w:t>或保留，使之成为具有响应性的投标。</w:t>
            </w:r>
          </w:p>
        </w:tc>
      </w:tr>
    </w:tbl>
    <w:p w14:paraId="34F5F710">
      <w:pPr>
        <w:pStyle w:val="5"/>
        <w:pageBreakBefore w:val="0"/>
        <w:kinsoku w:val="0"/>
        <w:overflowPunct/>
        <w:topLinePunct w:val="0"/>
        <w:autoSpaceDE w:val="0"/>
        <w:autoSpaceDN w:val="0"/>
        <w:bidi w:val="0"/>
        <w:adjustRightInd w:val="0"/>
        <w:snapToGrid w:val="0"/>
        <w:spacing w:before="114" w:line="360" w:lineRule="auto"/>
        <w:ind w:left="482" w:right="0"/>
        <w:textAlignment w:val="baseline"/>
        <w:rPr>
          <w:rFonts w:hint="eastAsia" w:ascii="仿宋" w:hAnsi="仿宋" w:eastAsia="仿宋" w:cs="仿宋"/>
          <w:sz w:val="23"/>
          <w:szCs w:val="23"/>
        </w:rPr>
      </w:pPr>
      <w:r>
        <w:rPr>
          <w:rFonts w:hint="eastAsia" w:ascii="仿宋" w:hAnsi="仿宋" w:eastAsia="仿宋" w:cs="仿宋"/>
          <w:spacing w:val="13"/>
          <w:sz w:val="23"/>
          <w:szCs w:val="23"/>
          <w14:textOutline w14:w="4388" w14:cap="flat" w14:cmpd="sng">
            <w14:solidFill>
              <w14:srgbClr w14:val="000000"/>
            </w14:solidFill>
            <w14:prstDash w14:val="solid"/>
            <w14:miter w14:val="0"/>
          </w14:textOutline>
        </w:rPr>
        <w:t>2.符合性审查</w:t>
      </w:r>
    </w:p>
    <w:p w14:paraId="420B306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2.1由磋商小组对通过资格审查的合格供应商的响应文件的响应报价、商务、技术等实质性要求进行符合性审查，以确定其是否满足磋商文件的实质性要求。</w:t>
      </w:r>
    </w:p>
    <w:p w14:paraId="0250926B">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F4808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14647B1F">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41390E6">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2.4首次响应文件报价出现前后不一致的，按照下列规定修正：</w:t>
      </w:r>
    </w:p>
    <w:p w14:paraId="122D234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(1)响应文件中报价表内容与响应文件中相应内容不一致的，以报价表为准；</w:t>
      </w:r>
    </w:p>
    <w:p w14:paraId="6C62302C">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(2)大写金额和小写金额不一致的，以大写金额为准；</w:t>
      </w:r>
    </w:p>
    <w:p w14:paraId="0A9FC892">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(3)单价金额小数点或者百分比有明显错位的，以报价表的总价为准，并修改单价；</w:t>
      </w:r>
    </w:p>
    <w:p w14:paraId="674A3AB3">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(4)总价金额与按单价汇总金额不一致的，以单价金额计算结果为准。</w:t>
      </w:r>
    </w:p>
    <w:p w14:paraId="41864059">
      <w:pPr>
        <w:rPr>
          <w:rFonts w:hint="eastAsia" w:ascii="仿宋" w:hAnsi="仿宋" w:eastAsia="仿宋" w:cs="仿宋"/>
          <w:spacing w:val="9"/>
          <w:sz w:val="24"/>
          <w:szCs w:val="24"/>
          <w14:textOutline w14:w="4388" w14:cap="flat" w14:cmpd="sng">
            <w14:solidFill>
              <w14:srgbClr w14:val="000000"/>
            </w14:solidFill>
            <w14:prstDash w14:val="solid"/>
            <w14:miter w14:val="0"/>
          </w14:textOutline>
        </w:rPr>
      </w:pPr>
      <w:r>
        <w:rPr>
          <w:rFonts w:hint="eastAsia" w:ascii="仿宋" w:hAnsi="仿宋" w:eastAsia="仿宋" w:cs="仿宋"/>
          <w:spacing w:val="-1"/>
          <w:sz w:val="24"/>
          <w:szCs w:val="24"/>
        </w:rPr>
        <w:t>同时出现两种以上不一致的，按照以上(1)-(4)规定的顺序逐条进行修正。修正后的报价经供应商确认后产生约束力，供应商不确认的，其响应文件按无效响应处理</w:t>
      </w:r>
      <w:r>
        <w:rPr>
          <w:rFonts w:hint="eastAsia" w:ascii="仿宋" w:hAnsi="仿宋" w:eastAsia="仿宋" w:cs="仿宋"/>
          <w:spacing w:val="-8"/>
          <w:sz w:val="24"/>
          <w:szCs w:val="24"/>
        </w:rPr>
        <w:t>。</w:t>
      </w:r>
    </w:p>
    <w:p w14:paraId="319C5C72">
      <w:pPr>
        <w:pStyle w:val="5"/>
        <w:pageBreakBefore w:val="0"/>
        <w:kinsoku w:val="0"/>
        <w:overflowPunct/>
        <w:topLinePunct w:val="0"/>
        <w:autoSpaceDE w:val="0"/>
        <w:autoSpaceDN w:val="0"/>
        <w:bidi w:val="0"/>
        <w:adjustRightInd w:val="0"/>
        <w:snapToGrid w:val="0"/>
        <w:spacing w:before="81"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9"/>
          <w:sz w:val="24"/>
          <w:szCs w:val="24"/>
          <w14:textOutline w14:w="4388" w14:cap="flat" w14:cmpd="sng">
            <w14:solidFill>
              <w14:srgbClr w14:val="000000"/>
            </w14:solidFill>
            <w14:prstDash w14:val="solid"/>
            <w14:miter w14:val="0"/>
          </w14:textOutline>
        </w:rPr>
        <w:t>符合性审查内容</w:t>
      </w:r>
    </w:p>
    <w:tbl>
      <w:tblPr>
        <w:tblStyle w:val="26"/>
        <w:tblW w:w="82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5460"/>
        <w:gridCol w:w="1078"/>
        <w:gridCol w:w="977"/>
      </w:tblGrid>
      <w:tr w14:paraId="2672D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717" w:type="dxa"/>
            <w:vMerge w:val="restart"/>
            <w:tcBorders>
              <w:bottom w:val="nil"/>
            </w:tcBorders>
            <w:vAlign w:val="center"/>
          </w:tcPr>
          <w:p w14:paraId="5670DC7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41" w:right="0"/>
              <w:jc w:val="both"/>
              <w:textAlignment w:val="baseline"/>
              <w:rPr>
                <w:rFonts w:hint="eastAsia" w:ascii="仿宋" w:hAnsi="仿宋" w:eastAsia="仿宋" w:cs="仿宋"/>
                <w:sz w:val="24"/>
                <w:szCs w:val="24"/>
              </w:rPr>
            </w:pPr>
            <w:r>
              <w:rPr>
                <w:rFonts w:hint="eastAsia" w:ascii="仿宋" w:hAnsi="仿宋" w:eastAsia="仿宋" w:cs="仿宋"/>
                <w:spacing w:val="12"/>
                <w:sz w:val="24"/>
                <w:szCs w:val="24"/>
              </w:rPr>
              <w:t>序号</w:t>
            </w:r>
          </w:p>
        </w:tc>
        <w:tc>
          <w:tcPr>
            <w:tcW w:w="5460" w:type="dxa"/>
            <w:vMerge w:val="restart"/>
            <w:tcBorders>
              <w:bottom w:val="nil"/>
            </w:tcBorders>
            <w:vAlign w:val="center"/>
          </w:tcPr>
          <w:p w14:paraId="6EA3C6D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p w14:paraId="6829E90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195" w:right="0"/>
              <w:jc w:val="both"/>
              <w:textAlignment w:val="baseline"/>
              <w:rPr>
                <w:rFonts w:hint="eastAsia" w:ascii="仿宋" w:hAnsi="仿宋" w:eastAsia="仿宋" w:cs="仿宋"/>
                <w:sz w:val="24"/>
                <w:szCs w:val="24"/>
              </w:rPr>
            </w:pPr>
            <w:r>
              <w:rPr>
                <w:rFonts w:hint="eastAsia" w:ascii="仿宋" w:hAnsi="仿宋" w:eastAsia="仿宋" w:cs="仿宋"/>
                <w:spacing w:val="21"/>
                <w:sz w:val="24"/>
                <w:szCs w:val="24"/>
              </w:rPr>
              <w:t>评审标准</w:t>
            </w:r>
          </w:p>
        </w:tc>
        <w:tc>
          <w:tcPr>
            <w:tcW w:w="2055" w:type="dxa"/>
            <w:gridSpan w:val="2"/>
            <w:vAlign w:val="center"/>
          </w:tcPr>
          <w:p w14:paraId="00D14BF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7"/>
                <w:sz w:val="24"/>
                <w:szCs w:val="24"/>
              </w:rPr>
              <w:t>审查结果</w:t>
            </w:r>
          </w:p>
        </w:tc>
      </w:tr>
      <w:tr w14:paraId="5F9C0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717" w:type="dxa"/>
            <w:vMerge w:val="continue"/>
            <w:tcBorders>
              <w:top w:val="nil"/>
            </w:tcBorders>
            <w:vAlign w:val="center"/>
          </w:tcPr>
          <w:p w14:paraId="582989F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5460" w:type="dxa"/>
            <w:vMerge w:val="continue"/>
            <w:tcBorders>
              <w:top w:val="nil"/>
            </w:tcBorders>
            <w:vAlign w:val="center"/>
          </w:tcPr>
          <w:p w14:paraId="3F56EB6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1078" w:type="dxa"/>
            <w:vAlign w:val="center"/>
          </w:tcPr>
          <w:p w14:paraId="292310D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3"/>
                <w:sz w:val="24"/>
                <w:szCs w:val="24"/>
              </w:rPr>
              <w:t>通过</w:t>
            </w:r>
          </w:p>
        </w:tc>
        <w:tc>
          <w:tcPr>
            <w:tcW w:w="977" w:type="dxa"/>
            <w:vAlign w:val="center"/>
          </w:tcPr>
          <w:p w14:paraId="1A8A267A">
            <w:pPr>
              <w:pStyle w:val="27"/>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7"/>
                <w:sz w:val="24"/>
                <w:szCs w:val="24"/>
              </w:rPr>
              <w:t>不通过</w:t>
            </w:r>
          </w:p>
        </w:tc>
      </w:tr>
      <w:tr w14:paraId="042E7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17" w:type="dxa"/>
            <w:vAlign w:val="center"/>
          </w:tcPr>
          <w:p w14:paraId="735DB49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352" w:right="0"/>
              <w:jc w:val="both"/>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5460" w:type="dxa"/>
            <w:vAlign w:val="center"/>
          </w:tcPr>
          <w:p w14:paraId="08AAD09E">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8" w:right="0" w:firstLine="3"/>
              <w:jc w:val="left"/>
              <w:textAlignment w:val="baseline"/>
              <w:rPr>
                <w:rFonts w:hint="eastAsia" w:ascii="仿宋" w:hAnsi="仿宋" w:eastAsia="仿宋" w:cs="仿宋"/>
                <w:sz w:val="24"/>
                <w:szCs w:val="24"/>
              </w:rPr>
            </w:pPr>
            <w:r>
              <w:rPr>
                <w:rFonts w:hint="eastAsia" w:ascii="仿宋" w:hAnsi="仿宋" w:eastAsia="仿宋" w:cs="仿宋"/>
                <w:spacing w:val="9"/>
                <w:sz w:val="24"/>
                <w:szCs w:val="24"/>
              </w:rPr>
              <w:t>响应文件按照磋商文件规定的要求签署</w:t>
            </w:r>
            <w:r>
              <w:rPr>
                <w:rFonts w:hint="eastAsia" w:ascii="仿宋" w:hAnsi="仿宋" w:eastAsia="仿宋" w:cs="仿宋"/>
                <w:spacing w:val="8"/>
                <w:sz w:val="24"/>
                <w:szCs w:val="24"/>
              </w:rPr>
              <w:t>、盖</w:t>
            </w:r>
            <w:r>
              <w:rPr>
                <w:rFonts w:hint="eastAsia" w:ascii="仿宋" w:hAnsi="仿宋" w:eastAsia="仿宋" w:cs="仿宋"/>
                <w:spacing w:val="-15"/>
                <w:sz w:val="24"/>
                <w:szCs w:val="24"/>
              </w:rPr>
              <w:t>章</w:t>
            </w:r>
          </w:p>
        </w:tc>
        <w:tc>
          <w:tcPr>
            <w:tcW w:w="1078" w:type="dxa"/>
            <w:vAlign w:val="center"/>
          </w:tcPr>
          <w:p w14:paraId="6418868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977" w:type="dxa"/>
            <w:vAlign w:val="center"/>
          </w:tcPr>
          <w:p w14:paraId="03B4BC3A">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50B23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717" w:type="dxa"/>
            <w:vAlign w:val="center"/>
          </w:tcPr>
          <w:p w14:paraId="1BC6C33D">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337" w:right="0"/>
              <w:jc w:val="both"/>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5460" w:type="dxa"/>
            <w:vAlign w:val="center"/>
          </w:tcPr>
          <w:p w14:paraId="382CA38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2" w:right="0"/>
              <w:jc w:val="left"/>
              <w:textAlignment w:val="baseline"/>
              <w:rPr>
                <w:rFonts w:hint="eastAsia" w:ascii="仿宋" w:hAnsi="仿宋" w:eastAsia="仿宋" w:cs="仿宋"/>
                <w:sz w:val="24"/>
                <w:szCs w:val="24"/>
              </w:rPr>
            </w:pPr>
            <w:r>
              <w:rPr>
                <w:rFonts w:hint="eastAsia" w:ascii="仿宋" w:hAnsi="仿宋" w:eastAsia="仿宋" w:cs="仿宋"/>
                <w:spacing w:val="6"/>
                <w:sz w:val="24"/>
                <w:szCs w:val="24"/>
              </w:rPr>
              <w:t>响应文件清单</w:t>
            </w:r>
            <w:r>
              <w:rPr>
                <w:rFonts w:hint="eastAsia" w:ascii="仿宋" w:hAnsi="仿宋" w:eastAsia="仿宋" w:cs="仿宋"/>
                <w:spacing w:val="6"/>
                <w:sz w:val="24"/>
                <w:szCs w:val="24"/>
                <w:lang w:val="en-US" w:eastAsia="zh-CN"/>
              </w:rPr>
              <w:t>与</w:t>
            </w:r>
            <w:r>
              <w:rPr>
                <w:rFonts w:hint="eastAsia" w:ascii="仿宋" w:hAnsi="仿宋" w:eastAsia="仿宋" w:cs="仿宋"/>
                <w:spacing w:val="6"/>
                <w:sz w:val="24"/>
                <w:szCs w:val="24"/>
              </w:rPr>
              <w:t>磋商文件提供的工程量</w:t>
            </w:r>
            <w:r>
              <w:rPr>
                <w:rFonts w:hint="eastAsia" w:ascii="仿宋" w:hAnsi="仿宋" w:eastAsia="仿宋" w:cs="仿宋"/>
                <w:spacing w:val="6"/>
                <w:sz w:val="24"/>
                <w:szCs w:val="24"/>
                <w:lang w:val="en-US" w:eastAsia="zh-CN"/>
              </w:rPr>
              <w:t>清单一致</w:t>
            </w:r>
          </w:p>
        </w:tc>
        <w:tc>
          <w:tcPr>
            <w:tcW w:w="1078" w:type="dxa"/>
            <w:vAlign w:val="center"/>
          </w:tcPr>
          <w:p w14:paraId="092117F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977" w:type="dxa"/>
            <w:vAlign w:val="center"/>
          </w:tcPr>
          <w:p w14:paraId="58A10B0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1C928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717" w:type="dxa"/>
            <w:vAlign w:val="center"/>
          </w:tcPr>
          <w:p w14:paraId="5CF57B1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339" w:right="0"/>
              <w:jc w:val="both"/>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5460" w:type="dxa"/>
            <w:vAlign w:val="center"/>
          </w:tcPr>
          <w:p w14:paraId="39071AF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2" w:right="0" w:firstLine="10"/>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响应文件按照磋商文件规定的格式填写，内容</w:t>
            </w:r>
            <w:r>
              <w:rPr>
                <w:rFonts w:hint="eastAsia" w:ascii="仿宋" w:hAnsi="仿宋" w:eastAsia="仿宋" w:cs="仿宋"/>
                <w:spacing w:val="-10"/>
                <w:sz w:val="24"/>
                <w:szCs w:val="24"/>
              </w:rPr>
              <w:t>完整</w:t>
            </w:r>
          </w:p>
        </w:tc>
        <w:tc>
          <w:tcPr>
            <w:tcW w:w="1078" w:type="dxa"/>
            <w:vAlign w:val="center"/>
          </w:tcPr>
          <w:p w14:paraId="6750449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977" w:type="dxa"/>
            <w:vAlign w:val="center"/>
          </w:tcPr>
          <w:p w14:paraId="15EAA0F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072A9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717" w:type="dxa"/>
            <w:vAlign w:val="center"/>
          </w:tcPr>
          <w:p w14:paraId="1027ECA8">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333" w:right="0"/>
              <w:jc w:val="both"/>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5460" w:type="dxa"/>
            <w:vAlign w:val="center"/>
          </w:tcPr>
          <w:p w14:paraId="1E10E024">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2" w:right="0"/>
              <w:jc w:val="left"/>
              <w:textAlignment w:val="baseline"/>
              <w:rPr>
                <w:rFonts w:hint="eastAsia" w:ascii="仿宋" w:hAnsi="仿宋" w:eastAsia="仿宋" w:cs="仿宋"/>
                <w:sz w:val="24"/>
                <w:szCs w:val="24"/>
              </w:rPr>
            </w:pPr>
            <w:r>
              <w:rPr>
                <w:rFonts w:hint="eastAsia" w:ascii="仿宋" w:hAnsi="仿宋" w:eastAsia="仿宋" w:cs="仿宋"/>
                <w:spacing w:val="5"/>
                <w:sz w:val="24"/>
                <w:szCs w:val="24"/>
              </w:rPr>
              <w:t>响应文件</w:t>
            </w:r>
            <w:r>
              <w:rPr>
                <w:rFonts w:hint="eastAsia" w:ascii="仿宋" w:hAnsi="仿宋" w:eastAsia="仿宋" w:cs="仿宋"/>
                <w:spacing w:val="5"/>
                <w:sz w:val="24"/>
                <w:szCs w:val="24"/>
                <w:lang w:val="en-US" w:eastAsia="zh-CN"/>
              </w:rPr>
              <w:t>未</w:t>
            </w:r>
            <w:r>
              <w:rPr>
                <w:rFonts w:hint="eastAsia" w:ascii="仿宋" w:hAnsi="仿宋" w:eastAsia="仿宋" w:cs="仿宋"/>
                <w:spacing w:val="5"/>
                <w:sz w:val="24"/>
                <w:szCs w:val="24"/>
              </w:rPr>
              <w:t>附有采购人不能接受条件的</w:t>
            </w:r>
          </w:p>
        </w:tc>
        <w:tc>
          <w:tcPr>
            <w:tcW w:w="1078" w:type="dxa"/>
            <w:vAlign w:val="center"/>
          </w:tcPr>
          <w:p w14:paraId="3A572313">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977" w:type="dxa"/>
            <w:vAlign w:val="center"/>
          </w:tcPr>
          <w:p w14:paraId="1394010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4B4A7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717" w:type="dxa"/>
            <w:vAlign w:val="center"/>
          </w:tcPr>
          <w:p w14:paraId="74C0407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339" w:right="0"/>
              <w:jc w:val="both"/>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5460" w:type="dxa"/>
            <w:vAlign w:val="center"/>
          </w:tcPr>
          <w:p w14:paraId="4B1B6ADC">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2" w:right="0" w:firstLine="10"/>
              <w:jc w:val="left"/>
              <w:textAlignment w:val="baseline"/>
              <w:rPr>
                <w:rFonts w:hint="eastAsia" w:ascii="仿宋" w:hAnsi="仿宋" w:eastAsia="仿宋" w:cs="仿宋"/>
                <w:sz w:val="24"/>
                <w:szCs w:val="24"/>
              </w:rPr>
            </w:pPr>
            <w:r>
              <w:rPr>
                <w:rFonts w:hint="eastAsia" w:ascii="仿宋" w:hAnsi="仿宋" w:eastAsia="仿宋" w:cs="仿宋"/>
                <w:spacing w:val="9"/>
                <w:sz w:val="24"/>
                <w:szCs w:val="24"/>
              </w:rPr>
              <w:t>响应文件的有效性、完整性</w:t>
            </w:r>
            <w:r>
              <w:rPr>
                <w:rFonts w:hint="eastAsia" w:ascii="仿宋" w:hAnsi="仿宋" w:eastAsia="仿宋" w:cs="仿宋"/>
                <w:spacing w:val="9"/>
                <w:sz w:val="24"/>
                <w:szCs w:val="24"/>
                <w:lang w:val="en-US" w:eastAsia="zh-CN"/>
              </w:rPr>
              <w:t>满足</w:t>
            </w:r>
            <w:r>
              <w:rPr>
                <w:rFonts w:hint="eastAsia" w:ascii="仿宋" w:hAnsi="仿宋" w:eastAsia="仿宋" w:cs="仿宋"/>
                <w:spacing w:val="9"/>
                <w:sz w:val="24"/>
                <w:szCs w:val="24"/>
              </w:rPr>
              <w:t>磋商文</w:t>
            </w:r>
            <w:r>
              <w:rPr>
                <w:rFonts w:hint="eastAsia" w:ascii="仿宋" w:hAnsi="仿宋" w:eastAsia="仿宋" w:cs="仿宋"/>
                <w:spacing w:val="8"/>
                <w:sz w:val="24"/>
                <w:szCs w:val="24"/>
              </w:rPr>
              <w:t>件要</w:t>
            </w:r>
            <w:r>
              <w:rPr>
                <w:rFonts w:hint="eastAsia" w:ascii="仿宋" w:hAnsi="仿宋" w:eastAsia="仿宋" w:cs="仿宋"/>
                <w:spacing w:val="1"/>
                <w:sz w:val="24"/>
                <w:szCs w:val="24"/>
              </w:rPr>
              <w:t>求，</w:t>
            </w:r>
            <w:r>
              <w:rPr>
                <w:rFonts w:hint="eastAsia" w:ascii="仿宋" w:hAnsi="仿宋" w:eastAsia="仿宋" w:cs="仿宋"/>
                <w:spacing w:val="1"/>
                <w:sz w:val="24"/>
                <w:szCs w:val="24"/>
                <w:lang w:val="en-US" w:eastAsia="zh-CN"/>
              </w:rPr>
              <w:t>并</w:t>
            </w:r>
            <w:r>
              <w:rPr>
                <w:rFonts w:hint="eastAsia" w:ascii="仿宋" w:hAnsi="仿宋" w:eastAsia="仿宋" w:cs="仿宋"/>
                <w:spacing w:val="1"/>
                <w:sz w:val="24"/>
                <w:szCs w:val="24"/>
              </w:rPr>
              <w:t>对磋商文件的实质性要求作出响应</w:t>
            </w:r>
          </w:p>
        </w:tc>
        <w:tc>
          <w:tcPr>
            <w:tcW w:w="1078" w:type="dxa"/>
            <w:vAlign w:val="center"/>
          </w:tcPr>
          <w:p w14:paraId="5CE3CE68">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977" w:type="dxa"/>
            <w:vAlign w:val="center"/>
          </w:tcPr>
          <w:p w14:paraId="4811CDEB">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7E1FA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717" w:type="dxa"/>
            <w:vAlign w:val="center"/>
          </w:tcPr>
          <w:p w14:paraId="4FBC2B76">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336" w:right="0"/>
              <w:jc w:val="both"/>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5460" w:type="dxa"/>
            <w:vAlign w:val="center"/>
          </w:tcPr>
          <w:p w14:paraId="62D2DAE7">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8" w:right="0"/>
              <w:jc w:val="left"/>
              <w:textAlignment w:val="baseline"/>
              <w:rPr>
                <w:rFonts w:hint="eastAsia" w:ascii="仿宋" w:hAnsi="仿宋" w:eastAsia="仿宋" w:cs="仿宋"/>
                <w:sz w:val="24"/>
                <w:szCs w:val="24"/>
              </w:rPr>
            </w:pPr>
            <w:r>
              <w:rPr>
                <w:rFonts w:hint="eastAsia" w:ascii="仿宋" w:hAnsi="仿宋" w:eastAsia="仿宋" w:cs="仿宋"/>
                <w:spacing w:val="4"/>
                <w:sz w:val="24"/>
                <w:szCs w:val="24"/>
              </w:rPr>
              <w:t>报价未超过最高限价</w:t>
            </w:r>
          </w:p>
        </w:tc>
        <w:tc>
          <w:tcPr>
            <w:tcW w:w="1078" w:type="dxa"/>
            <w:vAlign w:val="center"/>
          </w:tcPr>
          <w:p w14:paraId="1E88232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977" w:type="dxa"/>
            <w:vAlign w:val="center"/>
          </w:tcPr>
          <w:p w14:paraId="0543B6C4">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218DB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717" w:type="dxa"/>
            <w:vAlign w:val="center"/>
          </w:tcPr>
          <w:p w14:paraId="57564E59">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340" w:right="0"/>
              <w:jc w:val="both"/>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5460" w:type="dxa"/>
            <w:vAlign w:val="center"/>
          </w:tcPr>
          <w:p w14:paraId="0359D6DF">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22" w:right="0"/>
              <w:jc w:val="left"/>
              <w:textAlignment w:val="baseline"/>
              <w:rPr>
                <w:rFonts w:hint="eastAsia" w:ascii="仿宋" w:hAnsi="仿宋" w:eastAsia="仿宋" w:cs="仿宋"/>
                <w:sz w:val="24"/>
                <w:szCs w:val="24"/>
              </w:rPr>
            </w:pPr>
            <w:r>
              <w:rPr>
                <w:rFonts w:hint="eastAsia" w:ascii="仿宋" w:hAnsi="仿宋" w:eastAsia="仿宋" w:cs="仿宋"/>
                <w:spacing w:val="6"/>
                <w:sz w:val="24"/>
                <w:szCs w:val="24"/>
              </w:rPr>
              <w:t>响应文件中投标有效期满足磋商文件要求</w:t>
            </w:r>
          </w:p>
        </w:tc>
        <w:tc>
          <w:tcPr>
            <w:tcW w:w="1078" w:type="dxa"/>
            <w:vAlign w:val="center"/>
          </w:tcPr>
          <w:p w14:paraId="1C300C7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977" w:type="dxa"/>
            <w:vAlign w:val="center"/>
          </w:tcPr>
          <w:p w14:paraId="591F6432">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r w14:paraId="23EA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717" w:type="dxa"/>
            <w:vAlign w:val="center"/>
          </w:tcPr>
          <w:p w14:paraId="015F3EA5">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335" w:right="0"/>
              <w:jc w:val="both"/>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5460" w:type="dxa"/>
            <w:vAlign w:val="center"/>
          </w:tcPr>
          <w:p w14:paraId="3DFDD511">
            <w:pPr>
              <w:pStyle w:val="27"/>
              <w:keepNext w:val="0"/>
              <w:keepLines w:val="0"/>
              <w:pageBreakBefore w:val="0"/>
              <w:widowControl/>
              <w:kinsoku w:val="0"/>
              <w:wordWrap/>
              <w:overflowPunct/>
              <w:topLinePunct w:val="0"/>
              <w:autoSpaceDE w:val="0"/>
              <w:autoSpaceDN w:val="0"/>
              <w:bidi w:val="0"/>
              <w:adjustRightInd w:val="0"/>
              <w:snapToGrid w:val="0"/>
              <w:spacing w:line="240" w:lineRule="auto"/>
              <w:ind w:left="11" w:right="0" w:firstLine="11"/>
              <w:jc w:val="left"/>
              <w:textAlignment w:val="baseline"/>
              <w:rPr>
                <w:rFonts w:hint="eastAsia" w:ascii="仿宋" w:hAnsi="仿宋" w:eastAsia="仿宋" w:cs="仿宋"/>
                <w:sz w:val="24"/>
                <w:szCs w:val="24"/>
              </w:rPr>
            </w:pPr>
            <w:r>
              <w:rPr>
                <w:rFonts w:hint="eastAsia" w:ascii="仿宋" w:hAnsi="仿宋" w:eastAsia="仿宋" w:cs="仿宋"/>
                <w:spacing w:val="9"/>
                <w:sz w:val="24"/>
                <w:szCs w:val="24"/>
              </w:rPr>
              <w:t>响应文件</w:t>
            </w:r>
            <w:r>
              <w:rPr>
                <w:rFonts w:hint="eastAsia" w:ascii="仿宋" w:hAnsi="仿宋" w:eastAsia="仿宋" w:cs="仿宋"/>
                <w:spacing w:val="9"/>
                <w:sz w:val="24"/>
                <w:szCs w:val="24"/>
                <w:lang w:val="en-US" w:eastAsia="zh-CN"/>
              </w:rPr>
              <w:t>未</w:t>
            </w:r>
            <w:r>
              <w:rPr>
                <w:rFonts w:hint="eastAsia" w:ascii="仿宋" w:hAnsi="仿宋" w:eastAsia="仿宋" w:cs="仿宋"/>
                <w:spacing w:val="9"/>
                <w:sz w:val="24"/>
                <w:szCs w:val="24"/>
              </w:rPr>
              <w:t>存在法律、法规和磋商文件中规定的</w:t>
            </w:r>
            <w:r>
              <w:rPr>
                <w:rFonts w:hint="eastAsia" w:ascii="仿宋" w:hAnsi="仿宋" w:eastAsia="仿宋" w:cs="仿宋"/>
                <w:spacing w:val="2"/>
                <w:sz w:val="24"/>
                <w:szCs w:val="24"/>
              </w:rPr>
              <w:t>其他无效情形</w:t>
            </w:r>
          </w:p>
        </w:tc>
        <w:tc>
          <w:tcPr>
            <w:tcW w:w="1078" w:type="dxa"/>
            <w:vAlign w:val="center"/>
          </w:tcPr>
          <w:p w14:paraId="12CF4A9C">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c>
          <w:tcPr>
            <w:tcW w:w="977" w:type="dxa"/>
            <w:vAlign w:val="center"/>
          </w:tcPr>
          <w:p w14:paraId="6218286C">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z w:val="24"/>
                <w:szCs w:val="24"/>
              </w:rPr>
            </w:pPr>
          </w:p>
        </w:tc>
      </w:tr>
    </w:tbl>
    <w:p w14:paraId="70BC34F4">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2.5商务技术、报价评审在评审时，如发现下列情形之一的，将被视为响应文件无效处理：</w:t>
      </w:r>
    </w:p>
    <w:p w14:paraId="0661883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(1)商务技术评审</w:t>
      </w:r>
    </w:p>
    <w:p w14:paraId="63ED13F2">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1)响应文件未按磋商文件要求签署、盖章；</w:t>
      </w:r>
    </w:p>
    <w:p w14:paraId="53D19F1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2)托代理人未能出具有效身份证明或者出具的身份证明与授权委托书中的信息不符；</w:t>
      </w:r>
    </w:p>
    <w:p w14:paraId="6E511E28">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3)响应文件未提供任一项“供应商须知前附表”中“必须提供”或者“委托时必须提供”的文件资料；</w:t>
      </w:r>
    </w:p>
    <w:p w14:paraId="3CB70583">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4)未对投标有效期作出响应或者响应文件承诺的投标有效期不满足磋商文件要求；</w:t>
      </w:r>
    </w:p>
    <w:p w14:paraId="1BEC343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5)响应文件的实质性内容未使用中文表述、使用计量单位不符合磋商文件要求；</w:t>
      </w:r>
    </w:p>
    <w:p w14:paraId="4A7FFFB3">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6)响应文件中的文件资料因填写不齐全或者内容虚假或者出现其他情形而导致被磋商小组认定无效的；</w:t>
      </w:r>
    </w:p>
    <w:p w14:paraId="7E141CD0">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7)响应文件含有采购人不能接受的附加条件；</w:t>
      </w:r>
    </w:p>
    <w:p w14:paraId="47644B93">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8)属于“供应商须知正文”第6.5条情形；</w:t>
      </w:r>
    </w:p>
    <w:p w14:paraId="6431F97A">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9)不满足招标文件要求的工程内容、技术要求、安全、质量标准，或者与招标文件中标星号的技术需求发生负偏离的；</w:t>
      </w:r>
    </w:p>
    <w:p w14:paraId="5F0318F4">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10)虚假投标，或者出现其他情形而导致被磋商小组认定无效；</w:t>
      </w:r>
    </w:p>
    <w:p w14:paraId="62CB8B28">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11)投标技术方案不明确，磋商文件未允许但响应文件中存在一个或者一个以上备选(替代)投标方案；</w:t>
      </w:r>
    </w:p>
    <w:p w14:paraId="3965810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12)未响应磋商文件实质性要求；</w:t>
      </w:r>
    </w:p>
    <w:p w14:paraId="0BF72F0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13)法律、法规和磋商文件规定的其他无效情形。</w:t>
      </w:r>
    </w:p>
    <w:p w14:paraId="2A3D678B">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(2)报价评审</w:t>
      </w:r>
    </w:p>
    <w:p w14:paraId="33C4B9A4">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1)响应文件未提供“供应商须知前附表”报价文件中规定的“响应报价表”；</w:t>
      </w:r>
    </w:p>
    <w:p w14:paraId="4AC7E455">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2)未采用人民币报价或者未按照磋商文件标明的币种报价；</w:t>
      </w:r>
    </w:p>
    <w:p w14:paraId="0026ED04">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供应商未就所投分标进行报价或者存在漏项报价；供应商未就所投分标的单项内容作唯一报价；供应商未就所投分标的全部内容作唯一总价报价；存在有选择、有条件报价的(磋商文件允许有备选方案或者其他约定的除外)；</w:t>
      </w:r>
    </w:p>
    <w:p w14:paraId="6EA10108">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4)响应报价(包含首次报价、最后报价)超过磋商文件规定的最高限价的；</w:t>
      </w:r>
    </w:p>
    <w:p w14:paraId="4B19ADF3">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5)修正后的报价，供应商不确认的；</w:t>
      </w:r>
    </w:p>
    <w:p w14:paraId="31AA5205">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6)响应文件响应的标的数量及单位与竞争性磋商采购文件要求实质性不一致的。</w:t>
      </w:r>
    </w:p>
    <w:p w14:paraId="0941F4FB">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793BE87">
      <w:pPr>
        <w:pStyle w:val="5"/>
        <w:pageBreakBefore w:val="0"/>
        <w:kinsoku w:val="0"/>
        <w:overflowPunct/>
        <w:topLinePunct w:val="0"/>
        <w:autoSpaceDE w:val="0"/>
        <w:autoSpaceDN w:val="0"/>
        <w:bidi w:val="0"/>
        <w:adjustRightInd w:val="0"/>
        <w:snapToGrid w:val="0"/>
        <w:spacing w:before="86" w:line="360" w:lineRule="auto"/>
        <w:ind w:left="485" w:right="0"/>
        <w:textAlignment w:val="baseline"/>
        <w:rPr>
          <w:rFonts w:hint="eastAsia" w:ascii="仿宋" w:hAnsi="仿宋" w:eastAsia="仿宋" w:cs="仿宋"/>
          <w:sz w:val="23"/>
          <w:szCs w:val="23"/>
        </w:rPr>
      </w:pPr>
      <w:r>
        <w:rPr>
          <w:rFonts w:hint="eastAsia" w:ascii="仿宋" w:hAnsi="仿宋" w:eastAsia="仿宋" w:cs="仿宋"/>
          <w:spacing w:val="13"/>
          <w:sz w:val="23"/>
          <w:szCs w:val="23"/>
          <w14:textOutline w14:w="4388" w14:cap="flat" w14:cmpd="sng">
            <w14:solidFill>
              <w14:srgbClr w14:val="000000"/>
            </w14:solidFill>
            <w14:prstDash w14:val="solid"/>
            <w14:miter w14:val="0"/>
          </w14:textOutline>
        </w:rPr>
        <w:t>3.磋商程序</w:t>
      </w:r>
    </w:p>
    <w:p w14:paraId="338D53C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3.1磋商小组按照政采云平台随机提取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D8D0E3D">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3.2在磋商过程中，磋商小组可以根据磋商文件和磋商情况实质性变动技术参数、规格及要求中的技术、服务要求以及合同草案条款，但不得变动磋商文件中的其他内容。实质性变动的内容，须经采购人代表确认。可能实质性变动的内容为技术参数、规格及要求中的技术、服务要求以及合同草案条款。</w:t>
      </w:r>
    </w:p>
    <w:p w14:paraId="3F3DE20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3.3对磋商文件作出的实质性变动是磋商文件的有效组成部分，由磋商小组及时以电子澄清函形式同时通知所有参加磋商的供应商。</w:t>
      </w:r>
    </w:p>
    <w:p w14:paraId="00673BB0">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3.4供应商必须按照磋商文件的变动情况和磋商小组的要求以回函的形式重新提交响应文件，并加盖电子公章。供应商为自然人的，必须由本人签字并附身份证明。</w:t>
      </w:r>
    </w:p>
    <w:p w14:paraId="1F4E324D">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参加磋商的供应商未在规定时间内重新提交响应文件的，视同退出磋商。</w:t>
      </w:r>
    </w:p>
    <w:p w14:paraId="45D47DD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3.5磋商中，磋商的任何一方不得透露与磋商有关的其他供应商的技术资料、价格和其他信息。</w:t>
      </w:r>
    </w:p>
    <w:p w14:paraId="0104D8C2">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3.6磋商小组应对磋商过程和重要磋商内容进行记录，作为评标报告一部分，磋商小组在记录上签字确认。主要内容包括：</w:t>
      </w:r>
    </w:p>
    <w:p w14:paraId="25FD1CC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(1)开标日期和地点；</w:t>
      </w:r>
    </w:p>
    <w:p w14:paraId="61DFFBD4">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(2)购买磋商文件的投标人名单和磋商小组成员名单；</w:t>
      </w:r>
    </w:p>
    <w:p w14:paraId="646B7D6B">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(3)评标方法和评分标准；</w:t>
      </w:r>
    </w:p>
    <w:p w14:paraId="00B1CC1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(4)开标记录和评标情况及说明，包括投标无效投标人名单及原因；</w:t>
      </w:r>
    </w:p>
    <w:p w14:paraId="6875B556">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(5)评标结果和成交候选供应商排序</w:t>
      </w:r>
    </w:p>
    <w:p w14:paraId="6854611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3.7磋商过程中重新提交的响应文件，供应商可以在开启前补充、修改。</w:t>
      </w:r>
    </w:p>
    <w:p w14:paraId="5F62BA6F">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3.8对磋商过程提交的响应文件进行有效性、完整性和响应程度审查，通过审查的合格供应商不足3家的，采购人或者采购代理机构应当重新开展采购活动。</w:t>
      </w:r>
    </w:p>
    <w:p w14:paraId="5C62FBBB">
      <w:pPr>
        <w:pStyle w:val="5"/>
        <w:pageBreakBefore w:val="0"/>
        <w:kinsoku w:val="0"/>
        <w:overflowPunct/>
        <w:topLinePunct w:val="0"/>
        <w:autoSpaceDE w:val="0"/>
        <w:autoSpaceDN w:val="0"/>
        <w:bidi w:val="0"/>
        <w:adjustRightInd w:val="0"/>
        <w:snapToGrid w:val="0"/>
        <w:spacing w:before="86" w:line="360" w:lineRule="auto"/>
        <w:ind w:left="479" w:right="0"/>
        <w:textAlignment w:val="baseline"/>
        <w:rPr>
          <w:rFonts w:hint="eastAsia" w:ascii="仿宋" w:hAnsi="仿宋" w:eastAsia="仿宋" w:cs="仿宋"/>
          <w:sz w:val="24"/>
          <w:szCs w:val="24"/>
        </w:rPr>
      </w:pPr>
      <w:r>
        <w:rPr>
          <w:rFonts w:hint="eastAsia" w:ascii="仿宋" w:hAnsi="仿宋" w:eastAsia="仿宋" w:cs="仿宋"/>
          <w:spacing w:val="14"/>
          <w:sz w:val="24"/>
          <w:szCs w:val="24"/>
          <w14:textOutline w14:w="4388" w14:cap="flat" w14:cmpd="sng">
            <w14:solidFill>
              <w14:srgbClr w14:val="000000"/>
            </w14:solidFill>
            <w14:prstDash w14:val="solid"/>
            <w14:miter w14:val="0"/>
          </w14:textOutline>
        </w:rPr>
        <w:t>4.最后报价</w:t>
      </w:r>
    </w:p>
    <w:p w14:paraId="0BDE32EF">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4.1磋商文件能够详细列明采购标的的技术、服务要求的，磋商结束后，由磋商小组要求所有继续参加磋商的供应商在规定时间内密封提交最后报价，提交最后报价的供应商不得少于3家，否则必须重新采购。</w:t>
      </w:r>
    </w:p>
    <w:p w14:paraId="69769CE8">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D7CC542">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4.3已经提交响应文件的供应商，在提交最后报价之前，可以根据磋商情况退出磋商，退出磋商的供应商的响应文件按无效响应处理。</w:t>
      </w:r>
    </w:p>
    <w:p w14:paraId="77515F0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4.4供应商未在规定时间内提交最后报价的，视同退出磋商。</w:t>
      </w:r>
    </w:p>
    <w:p w14:paraId="57AC074D">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4.5磋商小组收齐某一分标最后报价后统一开启，磋商小组对最后报价进行有效性、完整性和响应程度的审查。</w:t>
      </w:r>
    </w:p>
    <w:p w14:paraId="5896D1E6">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4.6最终响应文件的报价出现前后不一致的，按照本章第2.4的规定修正。</w:t>
      </w:r>
    </w:p>
    <w:p w14:paraId="30B5449F">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4.7修正后的最终报价出现下列情形的，按无效响应处理：</w:t>
      </w:r>
    </w:p>
    <w:p w14:paraId="4CB6E11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(1)供应商不确认的(全流程电子化评标采取在线确认)；</w:t>
      </w:r>
    </w:p>
    <w:p w14:paraId="036E24FA">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(2)经供应商确认修正后的响应报价(包含首次报价、最后报价)超过磋商文件规定的最高限价的。</w:t>
      </w:r>
    </w:p>
    <w:p w14:paraId="636B990B">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4.8经供应商确认修正后的最后报价作为评审及签订合同的依据。</w:t>
      </w:r>
    </w:p>
    <w:p w14:paraId="210A661A">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4.9供应商出现最后报价按无效响应处理或者响应文件按无效处理时，磋商小组应当告知有关供应商。</w:t>
      </w:r>
    </w:p>
    <w:p w14:paraId="4141112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4.10最后报价结束后</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磋商小组不得再与供应商进行任何形式的商谈。</w:t>
      </w:r>
    </w:p>
    <w:p w14:paraId="0EC3330E">
      <w:pPr>
        <w:pStyle w:val="5"/>
        <w:pageBreakBefore w:val="0"/>
        <w:kinsoku w:val="0"/>
        <w:overflowPunct/>
        <w:topLinePunct w:val="0"/>
        <w:autoSpaceDE w:val="0"/>
        <w:autoSpaceDN w:val="0"/>
        <w:bidi w:val="0"/>
        <w:adjustRightInd w:val="0"/>
        <w:snapToGrid w:val="0"/>
        <w:spacing w:before="84" w:line="360" w:lineRule="auto"/>
        <w:ind w:left="486" w:right="0"/>
        <w:textAlignment w:val="baseline"/>
        <w:rPr>
          <w:rFonts w:hint="eastAsia" w:ascii="仿宋" w:hAnsi="仿宋" w:eastAsia="仿宋" w:cs="仿宋"/>
          <w:sz w:val="24"/>
          <w:szCs w:val="24"/>
        </w:rPr>
      </w:pPr>
      <w:r>
        <w:rPr>
          <w:rFonts w:hint="eastAsia" w:ascii="仿宋" w:hAnsi="仿宋" w:eastAsia="仿宋" w:cs="仿宋"/>
          <w:spacing w:val="13"/>
          <w:sz w:val="24"/>
          <w:szCs w:val="24"/>
          <w14:textOutline w14:w="4388" w14:cap="flat" w14:cmpd="sng">
            <w14:solidFill>
              <w14:srgbClr w14:val="000000"/>
            </w14:solidFill>
            <w14:prstDash w14:val="solid"/>
            <w14:miter w14:val="0"/>
          </w14:textOutline>
        </w:rPr>
        <w:t>5.比较与评价</w:t>
      </w:r>
    </w:p>
    <w:p w14:paraId="29DC690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5.1评审方法：综合评分法。</w:t>
      </w:r>
    </w:p>
    <w:p w14:paraId="1B6B9C3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5.2经磋商确定最终采购需求和提交最后报价的供应商后，由磋商小组采用综合评分法对提交最后报价的供应商的响应文件和最后报价进行综合评分。</w:t>
      </w:r>
    </w:p>
    <w:p w14:paraId="70C26CD4">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5.3评审时，磋商小组各成员应当独立对每个有效响应的文件进行评价、打分，然后汇总每个供应商每项评分因素的得分。</w:t>
      </w:r>
    </w:p>
    <w:p w14:paraId="3E64BDAB">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99FD45C">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(2)磋商小组按照磋商文件中规定的评审标准计算各供应商的报价得分。项目评审过程中，不得去掉最后报价中的最高报价和最低报价。</w:t>
      </w:r>
    </w:p>
    <w:p w14:paraId="2514F0B8">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(3)各供应商的得分为磋商小组所有成员的有效评分的算术平均数。</w:t>
      </w:r>
    </w:p>
    <w:p w14:paraId="12659C1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5.4评审价为供应商的最后报价进行政策性扣除后的价格</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评审价只是作为评审时使用。最终成交供应商的成交金额等于最后报价(如有修正，以确认修正后的最后报价为准)。</w:t>
      </w:r>
    </w:p>
    <w:p w14:paraId="4079874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5.5由磋商小组根据综合评分情况，按照评审得分由高到低顺序推荐成交候选供应商，并编写评审报告。评审得分相同的，按照最后报价由低到高的顺序推荐。评审得分且最后报价相同的，按照技术指标优劣顺序推荐。</w:t>
      </w:r>
    </w:p>
    <w:p w14:paraId="30B792CB">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C617F48">
      <w:pPr>
        <w:pStyle w:val="5"/>
        <w:pageBreakBefore w:val="0"/>
        <w:kinsoku w:val="0"/>
        <w:overflowPunct/>
        <w:topLinePunct w:val="0"/>
        <w:autoSpaceDE w:val="0"/>
        <w:autoSpaceDN w:val="0"/>
        <w:bidi w:val="0"/>
        <w:adjustRightInd w:val="0"/>
        <w:snapToGrid w:val="0"/>
        <w:spacing w:before="88" w:line="360" w:lineRule="auto"/>
        <w:ind w:left="483" w:right="0"/>
        <w:textAlignment w:val="baseline"/>
        <w:rPr>
          <w:rFonts w:hint="eastAsia" w:ascii="仿宋" w:hAnsi="仿宋" w:eastAsia="仿宋" w:cs="仿宋"/>
          <w:sz w:val="24"/>
          <w:szCs w:val="24"/>
        </w:rPr>
      </w:pPr>
      <w:r>
        <w:rPr>
          <w:rFonts w:hint="eastAsia" w:ascii="仿宋" w:hAnsi="仿宋" w:eastAsia="仿宋" w:cs="仿宋"/>
          <w:spacing w:val="13"/>
          <w:sz w:val="24"/>
          <w:szCs w:val="24"/>
          <w14:textOutline w14:w="4388" w14:cap="flat" w14:cmpd="sng">
            <w14:solidFill>
              <w14:srgbClr w14:val="000000"/>
            </w14:solidFill>
            <w14:prstDash w14:val="solid"/>
            <w14:miter w14:val="0"/>
          </w14:textOutline>
        </w:rPr>
        <w:t>6.评审复核</w:t>
      </w:r>
    </w:p>
    <w:p w14:paraId="0D0360E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6.1评审报告签署前，评审委员会要对评审结果进行复核，复核意见要体现在评审报告中。</w:t>
      </w:r>
    </w:p>
    <w:p w14:paraId="7B40E7C0">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6.2评审结果汇总完成后，采购人、采购代理机构和评审委员会均不得修改评审结果或者要求重新评审，除下列情形外，任何人不得修改评标结果：</w:t>
      </w:r>
    </w:p>
    <w:p w14:paraId="2BEC7993">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(一)分值汇总计算错误的；</w:t>
      </w:r>
    </w:p>
    <w:p w14:paraId="38CEA733">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(二)分项评分超出评分标准范围的；</w:t>
      </w:r>
    </w:p>
    <w:p w14:paraId="2A86AE8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(三)评标委员会成员对客观评审因素评分不一致的；</w:t>
      </w:r>
    </w:p>
    <w:p w14:paraId="778D241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(四)经评标委员会认定评分畸高、畸低的。</w:t>
      </w:r>
    </w:p>
    <w:p w14:paraId="4E13A9D5">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出现上述除外情形的，评审委员会应当现场修改评审结果，并在评审报告中明确记载。</w:t>
      </w:r>
    </w:p>
    <w:p w14:paraId="020DE95F">
      <w:pPr>
        <w:pStyle w:val="5"/>
        <w:pageBreakBefore w:val="0"/>
        <w:kinsoku w:val="0"/>
        <w:overflowPunct/>
        <w:topLinePunct w:val="0"/>
        <w:autoSpaceDE w:val="0"/>
        <w:autoSpaceDN w:val="0"/>
        <w:bidi w:val="0"/>
        <w:adjustRightInd w:val="0"/>
        <w:snapToGrid w:val="0"/>
        <w:spacing w:before="84" w:line="360" w:lineRule="auto"/>
        <w:ind w:left="487" w:right="0"/>
        <w:textAlignment w:val="baseline"/>
        <w:rPr>
          <w:rFonts w:hint="eastAsia" w:ascii="仿宋" w:hAnsi="仿宋" w:eastAsia="仿宋" w:cs="仿宋"/>
          <w:sz w:val="24"/>
          <w:szCs w:val="24"/>
        </w:rPr>
      </w:pPr>
      <w:r>
        <w:rPr>
          <w:rFonts w:hint="eastAsia" w:ascii="仿宋" w:hAnsi="仿宋" w:eastAsia="仿宋" w:cs="仿宋"/>
          <w:spacing w:val="13"/>
          <w:sz w:val="24"/>
          <w:szCs w:val="24"/>
          <w14:textOutline w14:w="4388" w14:cap="flat" w14:cmpd="sng">
            <w14:solidFill>
              <w14:srgbClr w14:val="000000"/>
            </w14:solidFill>
            <w14:prstDash w14:val="solid"/>
            <w14:miter w14:val="0"/>
          </w14:textOutline>
        </w:rPr>
        <w:t>7.评审标准</w:t>
      </w:r>
    </w:p>
    <w:p w14:paraId="129B45F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7.1评审依据：磋商小组将以磋商响应文件为评审依据，对供应商的报价、技术、商务等方面内容按百分制打分。(计分方法按四舍五入取至百分位)</w:t>
      </w:r>
    </w:p>
    <w:p w14:paraId="3F635726">
      <w:pPr>
        <w:pStyle w:val="5"/>
        <w:pageBreakBefore w:val="0"/>
        <w:kinsoku w:val="0"/>
        <w:overflowPunct/>
        <w:topLinePunct w:val="0"/>
        <w:autoSpaceDE w:val="0"/>
        <w:autoSpaceDN w:val="0"/>
        <w:bidi w:val="0"/>
        <w:adjustRightInd w:val="0"/>
        <w:snapToGrid w:val="0"/>
        <w:spacing w:before="94" w:line="360" w:lineRule="auto"/>
        <w:ind w:left="600" w:right="0"/>
        <w:textAlignment w:val="baseline"/>
        <w:rPr>
          <w:rFonts w:hint="eastAsia" w:ascii="仿宋" w:hAnsi="仿宋" w:eastAsia="仿宋" w:cs="仿宋"/>
          <w:sz w:val="24"/>
          <w:szCs w:val="24"/>
        </w:rPr>
      </w:pPr>
      <w:r>
        <w:rPr>
          <w:rFonts w:hint="eastAsia" w:ascii="仿宋" w:hAnsi="仿宋" w:eastAsia="仿宋" w:cs="仿宋"/>
          <w:spacing w:val="1"/>
          <w:sz w:val="24"/>
          <w:szCs w:val="24"/>
        </w:rPr>
        <w:t>评标因素权重表：</w:t>
      </w:r>
    </w:p>
    <w:tbl>
      <w:tblPr>
        <w:tblStyle w:val="26"/>
        <w:tblW w:w="115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3"/>
        <w:gridCol w:w="2166"/>
        <w:gridCol w:w="2145"/>
        <w:gridCol w:w="2235"/>
      </w:tblGrid>
      <w:tr w14:paraId="524C3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753" w:type="dxa"/>
            <w:vAlign w:val="top"/>
          </w:tcPr>
          <w:p w14:paraId="3B3D8A52">
            <w:pPr>
              <w:pStyle w:val="27"/>
              <w:pageBreakBefore w:val="0"/>
              <w:kinsoku w:val="0"/>
              <w:overflowPunct/>
              <w:topLinePunct w:val="0"/>
              <w:autoSpaceDE w:val="0"/>
              <w:autoSpaceDN w:val="0"/>
              <w:bidi w:val="0"/>
              <w:adjustRightInd w:val="0"/>
              <w:snapToGrid w:val="0"/>
              <w:spacing w:before="118"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序号</w:t>
            </w:r>
          </w:p>
        </w:tc>
        <w:tc>
          <w:tcPr>
            <w:tcW w:w="2166" w:type="dxa"/>
            <w:vAlign w:val="top"/>
          </w:tcPr>
          <w:p w14:paraId="17584F62">
            <w:pPr>
              <w:pStyle w:val="27"/>
              <w:pageBreakBefore w:val="0"/>
              <w:kinsoku w:val="0"/>
              <w:overflowPunct/>
              <w:topLinePunct w:val="0"/>
              <w:autoSpaceDE w:val="0"/>
              <w:autoSpaceDN w:val="0"/>
              <w:bidi w:val="0"/>
              <w:adjustRightInd w:val="0"/>
              <w:snapToGrid w:val="0"/>
              <w:spacing w:before="155"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position w:val="-2"/>
                <w:sz w:val="24"/>
                <w:szCs w:val="24"/>
              </w:rPr>
              <w:t>1</w:t>
            </w:r>
          </w:p>
        </w:tc>
        <w:tc>
          <w:tcPr>
            <w:tcW w:w="2145" w:type="dxa"/>
            <w:vAlign w:val="top"/>
          </w:tcPr>
          <w:p w14:paraId="50367EB3">
            <w:pPr>
              <w:pStyle w:val="27"/>
              <w:pageBreakBefore w:val="0"/>
              <w:kinsoku w:val="0"/>
              <w:overflowPunct/>
              <w:topLinePunct w:val="0"/>
              <w:autoSpaceDE w:val="0"/>
              <w:autoSpaceDN w:val="0"/>
              <w:bidi w:val="0"/>
              <w:adjustRightInd w:val="0"/>
              <w:snapToGrid w:val="0"/>
              <w:spacing w:before="156"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position w:val="-2"/>
                <w:sz w:val="24"/>
                <w:szCs w:val="24"/>
              </w:rPr>
              <w:t>2</w:t>
            </w:r>
          </w:p>
        </w:tc>
        <w:tc>
          <w:tcPr>
            <w:tcW w:w="2235" w:type="dxa"/>
            <w:vAlign w:val="top"/>
          </w:tcPr>
          <w:p w14:paraId="04438C34">
            <w:pPr>
              <w:pStyle w:val="27"/>
              <w:pageBreakBefore w:val="0"/>
              <w:kinsoku w:val="0"/>
              <w:overflowPunct/>
              <w:topLinePunct w:val="0"/>
              <w:autoSpaceDE w:val="0"/>
              <w:autoSpaceDN w:val="0"/>
              <w:bidi w:val="0"/>
              <w:adjustRightInd w:val="0"/>
              <w:snapToGrid w:val="0"/>
              <w:spacing w:before="156"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position w:val="-1"/>
                <w:sz w:val="24"/>
                <w:szCs w:val="24"/>
              </w:rPr>
              <w:t>4</w:t>
            </w:r>
          </w:p>
        </w:tc>
      </w:tr>
      <w:tr w14:paraId="5E337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753" w:type="dxa"/>
            <w:vAlign w:val="top"/>
          </w:tcPr>
          <w:p w14:paraId="50279C5A">
            <w:pPr>
              <w:pStyle w:val="27"/>
              <w:pageBreakBefore w:val="0"/>
              <w:kinsoku w:val="0"/>
              <w:overflowPunct/>
              <w:topLinePunct w:val="0"/>
              <w:autoSpaceDE w:val="0"/>
              <w:autoSpaceDN w:val="0"/>
              <w:bidi w:val="0"/>
              <w:adjustRightInd w:val="0"/>
              <w:snapToGrid w:val="0"/>
              <w:spacing w:before="116"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评标因素</w:t>
            </w:r>
          </w:p>
        </w:tc>
        <w:tc>
          <w:tcPr>
            <w:tcW w:w="2166" w:type="dxa"/>
            <w:vAlign w:val="top"/>
          </w:tcPr>
          <w:p w14:paraId="2756DBE5">
            <w:pPr>
              <w:pStyle w:val="27"/>
              <w:pageBreakBefore w:val="0"/>
              <w:kinsoku w:val="0"/>
              <w:overflowPunct/>
              <w:topLinePunct w:val="0"/>
              <w:autoSpaceDE w:val="0"/>
              <w:autoSpaceDN w:val="0"/>
              <w:bidi w:val="0"/>
              <w:adjustRightInd w:val="0"/>
              <w:snapToGrid w:val="0"/>
              <w:spacing w:before="116"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报价部分</w:t>
            </w:r>
          </w:p>
        </w:tc>
        <w:tc>
          <w:tcPr>
            <w:tcW w:w="2145" w:type="dxa"/>
            <w:vAlign w:val="top"/>
          </w:tcPr>
          <w:p w14:paraId="329FCF8B">
            <w:pPr>
              <w:pStyle w:val="27"/>
              <w:pageBreakBefore w:val="0"/>
              <w:kinsoku w:val="0"/>
              <w:overflowPunct/>
              <w:topLinePunct w:val="0"/>
              <w:autoSpaceDE w:val="0"/>
              <w:autoSpaceDN w:val="0"/>
              <w:bidi w:val="0"/>
              <w:adjustRightInd w:val="0"/>
              <w:snapToGrid w:val="0"/>
              <w:spacing w:before="116"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商务技术务部分</w:t>
            </w:r>
          </w:p>
        </w:tc>
        <w:tc>
          <w:tcPr>
            <w:tcW w:w="2235" w:type="dxa"/>
            <w:vAlign w:val="top"/>
          </w:tcPr>
          <w:p w14:paraId="087882F3">
            <w:pPr>
              <w:pStyle w:val="27"/>
              <w:pageBreakBefore w:val="0"/>
              <w:kinsoku w:val="0"/>
              <w:overflowPunct/>
              <w:topLinePunct w:val="0"/>
              <w:autoSpaceDE w:val="0"/>
              <w:autoSpaceDN w:val="0"/>
              <w:bidi w:val="0"/>
              <w:adjustRightInd w:val="0"/>
              <w:snapToGrid w:val="0"/>
              <w:spacing w:before="116"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合计</w:t>
            </w:r>
          </w:p>
        </w:tc>
      </w:tr>
      <w:tr w14:paraId="378A0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53" w:type="dxa"/>
            <w:vAlign w:val="top"/>
          </w:tcPr>
          <w:p w14:paraId="38198AB2">
            <w:pPr>
              <w:pStyle w:val="27"/>
              <w:pageBreakBefore w:val="0"/>
              <w:kinsoku w:val="0"/>
              <w:overflowPunct/>
              <w:topLinePunct w:val="0"/>
              <w:autoSpaceDE w:val="0"/>
              <w:autoSpaceDN w:val="0"/>
              <w:bidi w:val="0"/>
              <w:adjustRightInd w:val="0"/>
              <w:snapToGrid w:val="0"/>
              <w:spacing w:before="280"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权重</w:t>
            </w:r>
          </w:p>
        </w:tc>
        <w:tc>
          <w:tcPr>
            <w:tcW w:w="2166" w:type="dxa"/>
            <w:vAlign w:val="top"/>
          </w:tcPr>
          <w:p w14:paraId="5FD57347">
            <w:pPr>
              <w:pStyle w:val="27"/>
              <w:pageBreakBefore w:val="0"/>
              <w:kinsoku w:val="0"/>
              <w:overflowPunct/>
              <w:topLinePunct w:val="0"/>
              <w:autoSpaceDE w:val="0"/>
              <w:autoSpaceDN w:val="0"/>
              <w:bidi w:val="0"/>
              <w:adjustRightInd w:val="0"/>
              <w:snapToGrid w:val="0"/>
              <w:spacing w:before="318"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2</w:t>
            </w:r>
            <w:r>
              <w:rPr>
                <w:rFonts w:hint="eastAsia" w:ascii="仿宋" w:hAnsi="仿宋" w:eastAsia="仿宋" w:cs="仿宋"/>
                <w:spacing w:val="0"/>
                <w:w w:val="100"/>
                <w:sz w:val="24"/>
                <w:szCs w:val="24"/>
              </w:rPr>
              <w:t>0%</w:t>
            </w:r>
          </w:p>
        </w:tc>
        <w:tc>
          <w:tcPr>
            <w:tcW w:w="2145" w:type="dxa"/>
            <w:vAlign w:val="top"/>
          </w:tcPr>
          <w:p w14:paraId="1E0BA376">
            <w:pPr>
              <w:pStyle w:val="27"/>
              <w:pageBreakBefore w:val="0"/>
              <w:kinsoku w:val="0"/>
              <w:overflowPunct/>
              <w:topLinePunct w:val="0"/>
              <w:autoSpaceDE w:val="0"/>
              <w:autoSpaceDN w:val="0"/>
              <w:bidi w:val="0"/>
              <w:adjustRightInd w:val="0"/>
              <w:snapToGrid w:val="0"/>
              <w:spacing w:before="318"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lang w:val="en-US" w:eastAsia="zh-CN"/>
              </w:rPr>
              <w:t>8</w:t>
            </w:r>
            <w:r>
              <w:rPr>
                <w:rFonts w:hint="eastAsia" w:ascii="仿宋" w:hAnsi="仿宋" w:eastAsia="仿宋" w:cs="仿宋"/>
                <w:spacing w:val="0"/>
                <w:w w:val="100"/>
                <w:sz w:val="24"/>
                <w:szCs w:val="24"/>
              </w:rPr>
              <w:t>0%</w:t>
            </w:r>
          </w:p>
        </w:tc>
        <w:tc>
          <w:tcPr>
            <w:tcW w:w="2235" w:type="dxa"/>
            <w:vAlign w:val="top"/>
          </w:tcPr>
          <w:p w14:paraId="2263D9DB">
            <w:pPr>
              <w:pStyle w:val="27"/>
              <w:pageBreakBefore w:val="0"/>
              <w:kinsoku w:val="0"/>
              <w:overflowPunct/>
              <w:topLinePunct w:val="0"/>
              <w:autoSpaceDE w:val="0"/>
              <w:autoSpaceDN w:val="0"/>
              <w:bidi w:val="0"/>
              <w:adjustRightInd w:val="0"/>
              <w:snapToGrid w:val="0"/>
              <w:spacing w:before="318" w:line="360" w:lineRule="auto"/>
              <w:ind w:right="0"/>
              <w:jc w:val="center"/>
              <w:textAlignment w:val="baseline"/>
              <w:rPr>
                <w:rFonts w:hint="eastAsia" w:ascii="仿宋" w:hAnsi="仿宋" w:eastAsia="仿宋" w:cs="仿宋"/>
                <w:spacing w:val="0"/>
                <w:w w:val="100"/>
                <w:sz w:val="24"/>
                <w:szCs w:val="24"/>
              </w:rPr>
            </w:pPr>
            <w:r>
              <w:rPr>
                <w:rFonts w:hint="eastAsia" w:ascii="仿宋" w:hAnsi="仿宋" w:eastAsia="仿宋" w:cs="仿宋"/>
                <w:spacing w:val="0"/>
                <w:w w:val="100"/>
                <w:sz w:val="24"/>
                <w:szCs w:val="24"/>
              </w:rPr>
              <w:t>100%</w:t>
            </w:r>
          </w:p>
        </w:tc>
      </w:tr>
    </w:tbl>
    <w:tbl>
      <w:tblPr>
        <w:tblStyle w:val="20"/>
        <w:tblW w:w="830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
        <w:gridCol w:w="711"/>
        <w:gridCol w:w="1045"/>
        <w:gridCol w:w="5658"/>
        <w:gridCol w:w="882"/>
      </w:tblGrid>
      <w:tr w14:paraId="1550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629"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F71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评分项目</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304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评审因素</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A83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评审内容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6E0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snapToGrid w:val="0"/>
                <w:color w:val="000000"/>
                <w:kern w:val="0"/>
                <w:sz w:val="20"/>
                <w:szCs w:val="20"/>
                <w:u w:val="none"/>
                <w:lang w:val="en-US" w:eastAsia="zh-CN" w:bidi="ar"/>
              </w:rPr>
              <w:t>分值</w:t>
            </w:r>
          </w:p>
        </w:tc>
      </w:tr>
      <w:tr w14:paraId="12F4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127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10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价格部分（20分）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93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磋商报价（20分）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6087">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综合评分法中的价格分统一采用低价优先法计算，即满足磋商文件要求（通过资格、符合性审查）且最后报价最低的供应商的价格（指价格核准后的价格，下同）为磋商基准价，其价格得分为满分。其他供应商的价格得分统一按照下列公式计算：</w:t>
            </w:r>
          </w:p>
          <w:p w14:paraId="6613B63A">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磋商报价得分=(磋商基准价/最后磋商报价)×价格权重×100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183B">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snapToGrid w:val="0"/>
                <w:color w:val="000000"/>
                <w:kern w:val="0"/>
                <w:sz w:val="20"/>
                <w:szCs w:val="20"/>
                <w:u w:val="none"/>
                <w:lang w:val="en-US" w:eastAsia="zh-CN" w:bidi="ar"/>
              </w:rPr>
              <w:t>20</w:t>
            </w:r>
          </w:p>
        </w:tc>
      </w:tr>
      <w:tr w14:paraId="13CE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613"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E64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技术部分（70）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27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项目理解（10分）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0D51">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1、项目的特色和定位，对新疆农业职业技术大学校史进行深入调研，确定完整的总体设计思想，明确的校史馆主题；                                                  2、充分理解新疆农业职业技术大学校史馆建设的意义，立意新颖，展陈架构明晰，符合历史事实；                                                                    3、充分结合新疆农业职业技术大学校史和办学特色，凸出每个篇章重点；                                                                4、充分了解新疆农业职业技术大学校史的实质内涵提炼每个篇章亮点；                                                  5、各部分主题贴合学校以新疆农业职业技术大学校史铸魂育人的内涵。                                          针对上述5项要求，描述理解准确、分析专业、针对性强，得10分，每缺一项扣2分，每有一处缺陷的扣1分，扣完为止。  </w:t>
            </w:r>
          </w:p>
          <w:p w14:paraId="117B7FC9">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注：缺陷是指存在凭空编造、没有具体说明、内容与项目无关、内容前后不一致、前后逻辑错误、逻辑漏洞、涉及的规范及标准错误、地点区域错误、内容缺失、套用其他项目方案、科学原理错误以及不可能实现的夸大情形等情况。后续评审项中“缺陷”定义同此项。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F2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10</w:t>
            </w:r>
          </w:p>
        </w:tc>
      </w:tr>
      <w:tr w14:paraId="4ED3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368"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4001">
            <w:pPr>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FE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效果图设计（10分）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E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1、要求结合空间结构特点，有场地分析，展示效果大气、厚重且具有艺术感，参观线路流畅；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2、要求空间效果图艺术美观、流线清晰合理，体现消防安全规划，空间效果图数量不低于25张；                                                                         3、对每张效果设计结合陈展内容有充分解读、以及展示效果的分析；                                                              4、能够深度挖掘学院故事点、育人内涵；                                                       5、保障设计符合科学性、合理性，契合展示需要：                                       针对上述5项要求，描述理解准确、空间设计连贯，分析专业、针对性强，得10分，每缺一项扣2分，每有一处缺陷的扣1分，扣完为止。</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CF0">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snapToGrid w:val="0"/>
                <w:color w:val="000000"/>
                <w:kern w:val="0"/>
                <w:sz w:val="20"/>
                <w:szCs w:val="20"/>
                <w:u w:val="none"/>
                <w:lang w:val="en-US" w:eastAsia="zh-CN" w:bidi="ar"/>
              </w:rPr>
              <w:t>10</w:t>
            </w:r>
          </w:p>
        </w:tc>
      </w:tr>
      <w:tr w14:paraId="127F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30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43178">
            <w:pPr>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C0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项目后期的布展规划方案（10分）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A25A">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1、在资料搜集、有新技术、新创意优势，布展实施具体方案明确，思路清新；</w:t>
            </w:r>
          </w:p>
          <w:p w14:paraId="0BC719F7">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2、布展实施方案包括但不限于服务方式、资料收集清单、内容布展大纲、后期培训方案等布展文字方案；</w:t>
            </w:r>
          </w:p>
          <w:p w14:paraId="06CF2101">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3、展品陈列措施及注意事项，描述详细、完整、具有实用性；</w:t>
            </w:r>
          </w:p>
          <w:p w14:paraId="0368A661">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4、本项目多媒体技术运用方案详实，能充分展现对多媒体设备内容制作的理解，并能提供对应的设计效果说明。</w:t>
            </w:r>
          </w:p>
          <w:p w14:paraId="18734F77">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针对上述4项要求，描述理解准确、分析专业、针对性强，得10分，每缺一项扣2.5分，每有一处缺陷的扣1分，扣完为止。</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501C">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snapToGrid w:val="0"/>
                <w:color w:val="000000"/>
                <w:kern w:val="0"/>
                <w:sz w:val="20"/>
                <w:szCs w:val="20"/>
                <w:u w:val="none"/>
                <w:lang w:val="en-US" w:eastAsia="zh-CN" w:bidi="ar"/>
              </w:rPr>
              <w:t>10</w:t>
            </w:r>
          </w:p>
        </w:tc>
      </w:tr>
      <w:tr w14:paraId="2B84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1484"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4BC7A">
            <w:pPr>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F3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施工图设计（10分）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D75D">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针对项目施工图的设计的合理性进行评审：                                                         1、施工图等相关设计图完整，有详细的设计说明；                                      2、各工序相关专业平面图设计清晰；                                                             3、各展墙立面图全面，准确；                                                                                      4、所有工艺剖面图设计合理；                                                                                 5、节点图齐全，表达全面、清晰，设计合理。</w:t>
            </w:r>
          </w:p>
          <w:p w14:paraId="13A6D33D">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针对上述5项要求，描述理解准确、分析专业、针对性强，得10分，每缺一项扣2分，每有一处缺陷的扣1分，扣完为止。</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B1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10</w:t>
            </w:r>
          </w:p>
        </w:tc>
      </w:tr>
      <w:tr w14:paraId="7C05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54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1C0DB">
            <w:pPr>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96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平面设计（5分）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74BE">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提供版面平面设计图：</w:t>
            </w:r>
          </w:p>
          <w:p w14:paraId="4AA05ECE">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1、提供版面布展立面图（内容丰富、资料详实且不少于20张效果图，需包含各区域开篇布展平面效果图）；</w:t>
            </w:r>
          </w:p>
          <w:p w14:paraId="55ACADD5">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2、要求版面设计能贴合新疆农业职业技术大学校史特点，根据新疆农业职业技术大学校史内核进行整体设计，凸出重点，版面的整体布局、色彩运用、图文搭配等元素，准确传达新疆农业职业技术大学校史的独特气质和价值理念；</w:t>
            </w:r>
          </w:p>
          <w:p w14:paraId="74258AC6">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3、考虑版面调整、更换便利性，阐述新材质、新工艺，满足布展与后期持续更新。                             针对上述3项要求，描述理解准确、分析专业、针对性强，得5分。</w:t>
            </w:r>
          </w:p>
          <w:p w14:paraId="0A7C02DD">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布展立面参考效果图低于15张扣1分，低于10张扣2分；设计完全偏离新疆农业职业技术大学校史内核的扣2分，部分体现但不够深入的扣1分；布展手段单一，无法体现便利更换的扣2分，部分考虑材质环保、美观、更换便利的扣1分，扣完为止。</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A2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w:t>
            </w:r>
          </w:p>
        </w:tc>
      </w:tr>
      <w:tr w14:paraId="2CEA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9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CA866">
            <w:pPr>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53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施工组织总体设计（10分）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D020">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针对项目后期的施工组织进行评审：                                                               1、主要施工方法及技术措施；</w:t>
            </w:r>
          </w:p>
          <w:p w14:paraId="008B75A8">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2、确保工程质量的技术组织措施；</w:t>
            </w:r>
          </w:p>
          <w:p w14:paraId="151380C7">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3、施工总进度计划及保证措施（总进度工期安排及进度网络图、进度节点控制阶段划分及节点完成时间；总工期及节点工期的控制及保证措施等）；</w:t>
            </w:r>
          </w:p>
          <w:p w14:paraId="33741BA5">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4、任何可能的紧急情况的处理措施、预案以及抵抗风险（包括工程施工过程中可能遇到的各种风险）的措施；</w:t>
            </w:r>
          </w:p>
          <w:p w14:paraId="3FEF8928">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针对上述4项要求，描述理解准确、分析专业、针对性强，得10分，每缺一项扣2.5分，每有一处缺陷的扣1分，扣完为止。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0112">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snapToGrid w:val="0"/>
                <w:color w:val="000000"/>
                <w:kern w:val="0"/>
                <w:sz w:val="20"/>
                <w:szCs w:val="20"/>
                <w:u w:val="none"/>
                <w:lang w:val="en-US" w:eastAsia="zh-CN" w:bidi="ar"/>
              </w:rPr>
              <w:t>10</w:t>
            </w:r>
          </w:p>
        </w:tc>
      </w:tr>
      <w:tr w14:paraId="2BF9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35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ECA77">
            <w:pPr>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73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质量、安全、文明、工期的保证措施（5分）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B823">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针对项目后期的文明施工的措施进行评审：                                                          1、确保安全生产、文明施工的技术组织措施；</w:t>
            </w:r>
          </w:p>
          <w:p w14:paraId="5E7CE2B2">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2、确保环境保护、扬尘污染的技术组织措施。                                      方案详实完整，针对性、可操作性强。</w:t>
            </w:r>
          </w:p>
          <w:p w14:paraId="5217E864">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针对上述2项要求，描述理解准确、分析专业、针对性强，得5分，每缺一项扣2.5分，每有一处缺陷的扣0.5分，扣完为止。</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9A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w:t>
            </w:r>
          </w:p>
        </w:tc>
      </w:tr>
      <w:tr w14:paraId="5300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54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C63BD">
            <w:pPr>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2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方案演示（6分）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8A9B">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针对方案动态演示进行评审：</w:t>
            </w:r>
          </w:p>
          <w:p w14:paraId="6004A931">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提供时长15分钟以内的原创设计效果演示片，文件为自动播放视频格式(包含但不限于AVI、MP4格式等)，视频分附上语音同步陈述讲解。演示文件是否设计构思完整、内容解读清晰、演示效果震撼、观展印象深刻进行打分(6分，5分，4分，3分，2分，1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注:投标人须将效果演示文件拷备在U盘后，密封包装，标注项目名称及编号，加盖投标单位公章，在截止时间前现场递交(或邮寄，以代理机构在开标前收到为准)。</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4B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6</w:t>
            </w:r>
          </w:p>
        </w:tc>
      </w:tr>
      <w:tr w14:paraId="21DB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91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2DABE">
            <w:pPr>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27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售后服务（4分）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AF2B">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1、投标人提供针对本项目的售后服务方案，包括但不限于：售后服务计划、维保计划、服务响应时间、售后服务人员配置，最高得2分，每有一处缺陷扣0.5分，扣完为止。</w:t>
            </w:r>
          </w:p>
          <w:p w14:paraId="74B42878">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2、质保期（质量保证期）：2年，在此基础上，每增加一年加1分，最多加2分。</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50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4</w:t>
            </w:r>
          </w:p>
        </w:tc>
      </w:tr>
      <w:tr w14:paraId="3C46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94"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AC9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商务部分（10分）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87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企业业绩（5分）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3494">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供应商提供近三年（2022年6月以来）与本项目内容</w:t>
            </w:r>
            <w:r>
              <w:rPr>
                <w:rStyle w:val="35"/>
                <w:rFonts w:hint="eastAsia" w:ascii="仿宋" w:hAnsi="仿宋" w:eastAsia="仿宋" w:cs="仿宋"/>
                <w:snapToGrid w:val="0"/>
                <w:color w:val="000000"/>
                <w:lang w:val="en-US" w:eastAsia="zh-CN" w:bidi="ar"/>
              </w:rPr>
              <w:t>相似（博物馆，校史馆，纪念馆）</w:t>
            </w:r>
            <w:r>
              <w:rPr>
                <w:rFonts w:hint="eastAsia" w:ascii="仿宋" w:hAnsi="仿宋" w:eastAsia="仿宋" w:cs="仿宋"/>
                <w:i w:val="0"/>
                <w:iCs w:val="0"/>
                <w:snapToGrid w:val="0"/>
                <w:color w:val="000000"/>
                <w:kern w:val="0"/>
                <w:sz w:val="20"/>
                <w:szCs w:val="20"/>
                <w:u w:val="none"/>
                <w:lang w:val="en-US" w:eastAsia="zh-CN" w:bidi="ar"/>
              </w:rPr>
              <w:t>的已完成的业绩，每提供一份完整业绩得1分，最多得5分。</w:t>
            </w:r>
          </w:p>
          <w:p w14:paraId="2F37C761">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完整业绩是指：1、合同或中标通知书；2、验收单。</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2C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w:t>
            </w:r>
          </w:p>
        </w:tc>
      </w:tr>
      <w:tr w14:paraId="2992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39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5AC67">
            <w:pPr>
              <w:jc w:val="center"/>
              <w:rPr>
                <w:rFonts w:hint="eastAsia" w:ascii="仿宋" w:hAnsi="仿宋" w:eastAsia="仿宋" w:cs="仿宋"/>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B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专业人员配置（5分）</w:t>
            </w:r>
          </w:p>
        </w:tc>
        <w:tc>
          <w:tcPr>
            <w:tcW w:w="5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FC23">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专业人员配置齐全合理，配备艺术设计类（室内设计、建筑装饰设计等专业）、结构类（建筑结构、装饰结构等专业）、暖通类（注册暖通、装饰暖通等专业）、工艺美术类（环境艺术设计、装饰设计等专业）、电气类（注册电气、装饰水电、电气工程等专业）等人员，每配备以上其中一类相关人员，得1分，最高得5分。</w:t>
            </w:r>
          </w:p>
          <w:p w14:paraId="58F168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注：需提供职称证书或注册资格证书复印件及2024年6月以来任意连续三个月在供应商名下缴纳社保的证明材料复印件并加盖供应商公章，不提供或提供不全不得分。</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1F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5</w:t>
            </w:r>
          </w:p>
        </w:tc>
      </w:tr>
      <w:tr w14:paraId="3403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7B2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合计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97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100</w:t>
            </w:r>
          </w:p>
        </w:tc>
      </w:tr>
    </w:tbl>
    <w:p w14:paraId="2D8B7F16">
      <w:pPr>
        <w:pStyle w:val="5"/>
        <w:keepNext w:val="0"/>
        <w:keepLines w:val="0"/>
        <w:pageBreakBefore w:val="0"/>
        <w:widowControl/>
        <w:kinsoku w:val="0"/>
        <w:wordWrap/>
        <w:overflowPunct/>
        <w:topLinePunct w:val="0"/>
        <w:autoSpaceDE w:val="0"/>
        <w:autoSpaceDN w:val="0"/>
        <w:bidi w:val="0"/>
        <w:adjustRightInd/>
        <w:snapToGrid w:val="0"/>
        <w:spacing w:line="324" w:lineRule="auto"/>
        <w:ind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说明：1、评委在上表设定的分值范围内打分(四舍五入保留两位小数)，平均分值计算四舍五入保留两位小数点。</w:t>
      </w:r>
    </w:p>
    <w:p w14:paraId="7C9FA5F0">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7.2.磋商小组决定的响应性只根据响应文件本身的真实无误的内容，而不依据外部的证据，但响应文件有不真实不正确的内容时响应无效。</w:t>
      </w:r>
    </w:p>
    <w:p w14:paraId="1EB5C9D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7.3.供应商通过初审后，按综合得分从高到低排序，推荐中选人。如综合评分相等则评审总价低者排名高于评审总价高者；如综合评分、评审总价均相等，则按综合评分标准的第一项比较，得分高者排名高于得分低者，以此类推。</w:t>
      </w:r>
    </w:p>
    <w:p w14:paraId="0DAFFF1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7.4.排名在前的候选成交投标人放弃成交、因不可抗力不能履行合同或者被查实存在影响采购结果的违法行为等情形，不符合成交条件的，采购人可按照评审委员会提出的候选成交供应商名单排序依次确定其它供应商为拟成交供应商，或重新组织采购。</w:t>
      </w:r>
    </w:p>
    <w:p w14:paraId="192F6655">
      <w:pPr>
        <w:pStyle w:val="6"/>
        <w:rPr>
          <w:rFonts w:hint="eastAsia"/>
        </w:rPr>
      </w:pPr>
    </w:p>
    <w:p w14:paraId="7D18E57C">
      <w:pPr>
        <w:pStyle w:val="5"/>
        <w:pageBreakBefore w:val="0"/>
        <w:kinsoku w:val="0"/>
        <w:overflowPunct/>
        <w:topLinePunct w:val="0"/>
        <w:autoSpaceDE w:val="0"/>
        <w:autoSpaceDN w:val="0"/>
        <w:bidi w:val="0"/>
        <w:adjustRightInd w:val="0"/>
        <w:snapToGrid w:val="0"/>
        <w:spacing w:before="120" w:line="360" w:lineRule="auto"/>
        <w:ind w:left="3646" w:right="0"/>
        <w:textAlignment w:val="baseline"/>
        <w:outlineLvl w:val="1"/>
        <w:rPr>
          <w:rFonts w:hint="eastAsia" w:ascii="仿宋" w:hAnsi="仿宋" w:eastAsia="仿宋" w:cs="仿宋"/>
          <w:sz w:val="24"/>
          <w:szCs w:val="24"/>
        </w:rPr>
      </w:pPr>
      <w:r>
        <w:rPr>
          <w:rFonts w:hint="eastAsia" w:ascii="仿宋" w:hAnsi="仿宋" w:eastAsia="仿宋" w:cs="仿宋"/>
          <w:spacing w:val="5"/>
          <w:sz w:val="24"/>
          <w:szCs w:val="24"/>
          <w14:textOutline w14:w="5137" w14:cap="flat" w14:cmpd="sng">
            <w14:solidFill>
              <w14:srgbClr w14:val="000000"/>
            </w14:solidFill>
            <w14:prstDash w14:val="solid"/>
            <w14:miter w14:val="0"/>
          </w14:textOutline>
        </w:rPr>
        <w:t>二、评审原则</w:t>
      </w:r>
    </w:p>
    <w:p w14:paraId="7BE74D00">
      <w:pPr>
        <w:pStyle w:val="5"/>
        <w:pageBreakBefore w:val="0"/>
        <w:kinsoku w:val="0"/>
        <w:overflowPunct/>
        <w:topLinePunct w:val="0"/>
        <w:autoSpaceDE w:val="0"/>
        <w:autoSpaceDN w:val="0"/>
        <w:bidi w:val="0"/>
        <w:adjustRightInd w:val="0"/>
        <w:snapToGrid w:val="0"/>
        <w:spacing w:before="71" w:line="360" w:lineRule="auto"/>
        <w:ind w:left="499" w:right="0"/>
        <w:textAlignment w:val="baseline"/>
        <w:rPr>
          <w:rFonts w:hint="eastAsia" w:ascii="仿宋" w:hAnsi="仿宋" w:eastAsia="仿宋" w:cs="仿宋"/>
          <w:sz w:val="24"/>
          <w:szCs w:val="24"/>
        </w:rPr>
      </w:pPr>
      <w:r>
        <w:rPr>
          <w:rFonts w:hint="eastAsia" w:ascii="仿宋" w:hAnsi="仿宋" w:eastAsia="仿宋" w:cs="仿宋"/>
          <w:spacing w:val="-8"/>
          <w:sz w:val="24"/>
          <w:szCs w:val="24"/>
          <w14:textOutline w14:w="4388" w14:cap="flat" w14:cmpd="sng">
            <w14:solidFill>
              <w14:srgbClr w14:val="000000"/>
            </w14:solidFill>
            <w14:prstDash w14:val="solid"/>
            <w14:miter w14:val="0"/>
          </w14:textOutline>
        </w:rPr>
        <w:t>1、总则</w:t>
      </w:r>
    </w:p>
    <w:p w14:paraId="229D89A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1.1根据《中华人民共和国政府采购法》和《政府采购货物和服务招标投标管理办法》(财政部第87号令)等法律规章，结合采购项目特点制定本评标办法。</w:t>
      </w:r>
    </w:p>
    <w:p w14:paraId="748CF1A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1.2评标工作由招标人负责组织，具体评标事务由招标人依法组建的评标委员会负责。评标委员会由采购人代表和有关技术、经济等方面的专家组成。</w:t>
      </w:r>
    </w:p>
    <w:p w14:paraId="2B1D2F9F">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1.3评标工作应遵循公平、公正、科学及择优的原则，并以相同的评标程序和标准对待所有的投标人。</w:t>
      </w:r>
    </w:p>
    <w:p w14:paraId="542C33E2">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1.4评标委员会按照招标文件规定的评标方法和标准进行评标，并独立履行下列职责：</w:t>
      </w:r>
    </w:p>
    <w:p w14:paraId="54625172">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(1)审查投标文件是否符合招标文件要求，并作出评价；</w:t>
      </w:r>
    </w:p>
    <w:p w14:paraId="642A3620">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(2)要求投标供应商对投标文件有关事项作出解释或者澄清；</w:t>
      </w:r>
    </w:p>
    <w:p w14:paraId="4F7644D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(3)推荐中标候选供应商名单，或者受采购人委托按照事先确定的办法直接确定中标供应商；</w:t>
      </w:r>
    </w:p>
    <w:p w14:paraId="724D0640">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(4)向招标采购单位或者有关部门报告非法干预评标工作的行为。</w:t>
      </w:r>
    </w:p>
    <w:p w14:paraId="3788BE8C">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1.5评标过程严格保密。投标人对评委会的评标过程或合同授予决定施加影响的任何行为都可能导致其投标被拒绝。</w:t>
      </w:r>
    </w:p>
    <w:p w14:paraId="5E21F080">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1.6评委会决定投标文件的响应性依据投标文件本身的内容，而不寻求外部的证据。</w:t>
      </w:r>
    </w:p>
    <w:p w14:paraId="4CD0E295">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1.7评委会发现招标文件表述不明确或需要说明的事项，可提请招标采购单位书面解释说明。发现招标文件违反有关法律、法规和规章的，可以拒绝评标，并向招标采购单位书面说明情况。</w:t>
      </w:r>
    </w:p>
    <w:p w14:paraId="5F9CBC71">
      <w:pPr>
        <w:pStyle w:val="5"/>
        <w:pageBreakBefore w:val="0"/>
        <w:kinsoku w:val="0"/>
        <w:overflowPunct/>
        <w:topLinePunct w:val="0"/>
        <w:autoSpaceDE w:val="0"/>
        <w:autoSpaceDN w:val="0"/>
        <w:bidi w:val="0"/>
        <w:adjustRightInd w:val="0"/>
        <w:snapToGrid w:val="0"/>
        <w:spacing w:before="83" w:line="360" w:lineRule="auto"/>
        <w:ind w:left="484" w:right="0"/>
        <w:textAlignment w:val="baseline"/>
        <w:rPr>
          <w:rFonts w:hint="eastAsia" w:ascii="仿宋" w:hAnsi="仿宋" w:eastAsia="仿宋" w:cs="仿宋"/>
          <w:sz w:val="24"/>
          <w:szCs w:val="24"/>
        </w:rPr>
      </w:pPr>
      <w:r>
        <w:rPr>
          <w:rFonts w:hint="eastAsia" w:ascii="仿宋" w:hAnsi="仿宋" w:eastAsia="仿宋" w:cs="仿宋"/>
          <w:spacing w:val="11"/>
          <w:sz w:val="24"/>
          <w:szCs w:val="24"/>
          <w14:textOutline w14:w="4388" w14:cap="flat" w14:cmpd="sng">
            <w14:solidFill>
              <w14:srgbClr w14:val="000000"/>
            </w14:solidFill>
            <w14:prstDash w14:val="solid"/>
            <w14:miter w14:val="0"/>
          </w14:textOutline>
        </w:rPr>
        <w:t>2.评标方法</w:t>
      </w:r>
    </w:p>
    <w:p w14:paraId="5CCA760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本项目评标方法为：综合评分法。是指投标文件满足招标文件全部实质性要求，且按照评审因素的量化指标评审得分最高的投标人为中标候选人的评标方法。</w:t>
      </w:r>
    </w:p>
    <w:p w14:paraId="15869FC9">
      <w:pPr>
        <w:pStyle w:val="5"/>
        <w:pageBreakBefore w:val="0"/>
        <w:kinsoku w:val="0"/>
        <w:overflowPunct/>
        <w:topLinePunct w:val="0"/>
        <w:autoSpaceDE w:val="0"/>
        <w:autoSpaceDN w:val="0"/>
        <w:bidi w:val="0"/>
        <w:adjustRightInd w:val="0"/>
        <w:snapToGrid w:val="0"/>
        <w:spacing w:before="85" w:line="360" w:lineRule="auto"/>
        <w:ind w:left="486" w:right="0"/>
        <w:textAlignment w:val="baseline"/>
        <w:rPr>
          <w:rFonts w:hint="eastAsia" w:ascii="仿宋" w:hAnsi="仿宋" w:eastAsia="仿宋" w:cs="仿宋"/>
          <w:sz w:val="24"/>
          <w:szCs w:val="24"/>
        </w:rPr>
      </w:pPr>
      <w:r>
        <w:rPr>
          <w:rFonts w:hint="eastAsia" w:ascii="仿宋" w:hAnsi="仿宋" w:eastAsia="仿宋" w:cs="仿宋"/>
          <w:spacing w:val="11"/>
          <w:sz w:val="24"/>
          <w:szCs w:val="24"/>
          <w14:textOutline w14:w="4388" w14:cap="flat" w14:cmpd="sng">
            <w14:solidFill>
              <w14:srgbClr w14:val="000000"/>
            </w14:solidFill>
            <w14:prstDash w14:val="solid"/>
            <w14:miter w14:val="0"/>
          </w14:textOutline>
        </w:rPr>
        <w:t>3.评标细则</w:t>
      </w:r>
    </w:p>
    <w:p w14:paraId="446AEF75">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3.1磋商小组只对通过初审的响应文件，根据磋商文件的要求采用相同的评标程序、评分办法及标准进行评价和比较。</w:t>
      </w:r>
    </w:p>
    <w:p w14:paraId="1B6F78E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3.2本次综合评分的因素是：价格、服务、信誉、业绩、对磋商文件的响应程度和(如涉及)节能、环境标志产品及响应文件规范性等。</w:t>
      </w:r>
    </w:p>
    <w:p w14:paraId="5F231A5D">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3.3除价格因素外，磋商小组成员应依据响应文件规定的评分标准和方法独立对其他因素进行比较打分。</w:t>
      </w:r>
    </w:p>
    <w:p w14:paraId="33EA963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3.4在评标过程中，响应文件有下列情况之一，磋商小组成员应当按照磋商文件规定的非实质性偏离进行扣分：</w:t>
      </w:r>
    </w:p>
    <w:p w14:paraId="0BCAEA5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14:paraId="2962181C">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(2)响应文件未编制目录、页码；</w:t>
      </w:r>
    </w:p>
    <w:p w14:paraId="52F4154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lang w:eastAsia="zh-CN"/>
        </w:rPr>
      </w:pPr>
      <w:r>
        <w:rPr>
          <w:rFonts w:hint="eastAsia" w:ascii="仿宋" w:hAnsi="仿宋" w:eastAsia="仿宋" w:cs="仿宋"/>
          <w:spacing w:val="-1"/>
          <w:sz w:val="24"/>
          <w:szCs w:val="24"/>
        </w:rPr>
        <w:t>(3)认定的与磋商文件第三章规定的技术、商务和其他规定要求不符的非实质性偏离</w:t>
      </w:r>
      <w:r>
        <w:rPr>
          <w:rFonts w:hint="eastAsia" w:ascii="仿宋" w:hAnsi="仿宋" w:eastAsia="仿宋" w:cs="仿宋"/>
          <w:spacing w:val="-1"/>
          <w:sz w:val="24"/>
          <w:szCs w:val="24"/>
          <w:lang w:eastAsia="zh-CN"/>
        </w:rPr>
        <w:t>；</w:t>
      </w:r>
    </w:p>
    <w:p w14:paraId="0CEDEDD8">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(4)认定的其他非实质性偏离。</w:t>
      </w:r>
    </w:p>
    <w:p w14:paraId="6B2F9142">
      <w:pPr>
        <w:pStyle w:val="5"/>
        <w:pageBreakBefore w:val="0"/>
        <w:kinsoku w:val="0"/>
        <w:overflowPunct/>
        <w:topLinePunct w:val="0"/>
        <w:autoSpaceDE w:val="0"/>
        <w:autoSpaceDN w:val="0"/>
        <w:bidi w:val="0"/>
        <w:adjustRightInd w:val="0"/>
        <w:snapToGrid w:val="0"/>
        <w:spacing w:before="93" w:line="360" w:lineRule="auto"/>
        <w:ind w:left="479" w:right="0"/>
        <w:textAlignment w:val="baseline"/>
        <w:rPr>
          <w:rFonts w:hint="eastAsia" w:ascii="仿宋" w:hAnsi="仿宋" w:eastAsia="仿宋" w:cs="仿宋"/>
          <w:sz w:val="24"/>
          <w:szCs w:val="24"/>
        </w:rPr>
      </w:pPr>
      <w:r>
        <w:rPr>
          <w:rFonts w:hint="eastAsia" w:ascii="仿宋" w:hAnsi="仿宋" w:eastAsia="仿宋" w:cs="仿宋"/>
          <w:b/>
          <w:bCs/>
          <w:spacing w:val="8"/>
          <w:sz w:val="24"/>
          <w:szCs w:val="24"/>
          <w14:textOutline w14:w="4388" w14:cap="flat" w14:cmpd="sng">
            <w14:solidFill>
              <w14:srgbClr w14:val="000000"/>
            </w14:solidFill>
            <w14:prstDash w14:val="solid"/>
            <w14:miter w14:val="0"/>
          </w14:textOutline>
        </w:rPr>
        <w:t>4.废标</w:t>
      </w:r>
    </w:p>
    <w:p w14:paraId="507102DD">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本次政府采购活动中，出现下列情形之一的，予以废标：</w:t>
      </w:r>
    </w:p>
    <w:p w14:paraId="1D5F202E">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(1)符合专业条件的供应商或者对招标文件作实质响应的供应商不足三家的；</w:t>
      </w:r>
    </w:p>
    <w:p w14:paraId="373BFCD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(2)出现影响采购公正的违法、违规行为的；</w:t>
      </w:r>
    </w:p>
    <w:p w14:paraId="0A1751B8">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(3)投标人的报价均超过了采购预算，采购人不能支付的；</w:t>
      </w:r>
    </w:p>
    <w:p w14:paraId="0E022765">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(4)因重大变故，采购任务取消的。</w:t>
      </w:r>
    </w:p>
    <w:p w14:paraId="18B106A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废标后，采购代理机构应在发布招标公告的媒体上发布废标公告，并公告废标的详细理由。</w:t>
      </w:r>
    </w:p>
    <w:p w14:paraId="5BDBB456">
      <w:pPr>
        <w:pStyle w:val="5"/>
        <w:pageBreakBefore w:val="0"/>
        <w:kinsoku w:val="0"/>
        <w:overflowPunct/>
        <w:topLinePunct w:val="0"/>
        <w:autoSpaceDE w:val="0"/>
        <w:autoSpaceDN w:val="0"/>
        <w:bidi w:val="0"/>
        <w:adjustRightInd w:val="0"/>
        <w:snapToGrid w:val="0"/>
        <w:spacing w:before="83" w:line="360" w:lineRule="auto"/>
        <w:ind w:left="485" w:right="0"/>
        <w:textAlignment w:val="baseline"/>
        <w:rPr>
          <w:rFonts w:hint="eastAsia" w:ascii="仿宋" w:hAnsi="仿宋" w:eastAsia="仿宋" w:cs="仿宋"/>
          <w:sz w:val="24"/>
          <w:szCs w:val="24"/>
        </w:rPr>
      </w:pPr>
      <w:r>
        <w:rPr>
          <w:rFonts w:hint="eastAsia" w:ascii="仿宋" w:hAnsi="仿宋" w:eastAsia="仿宋" w:cs="仿宋"/>
          <w:b/>
          <w:bCs/>
          <w:spacing w:val="8"/>
          <w:sz w:val="24"/>
          <w:szCs w:val="24"/>
          <w14:textOutline w14:w="4388" w14:cap="flat" w14:cmpd="sng">
            <w14:solidFill>
              <w14:srgbClr w14:val="000000"/>
            </w14:solidFill>
            <w14:prstDash w14:val="solid"/>
            <w14:miter w14:val="0"/>
          </w14:textOutline>
        </w:rPr>
        <w:t>5.评标专家在政府采购活动中承担以下义务：</w:t>
      </w:r>
    </w:p>
    <w:p w14:paraId="34A72AFF">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5.1遵纪守法，客观、公正、廉洁地履行职责。</w:t>
      </w:r>
    </w:p>
    <w:p w14:paraId="40B33AF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5.2按照政府采购法律法规和采购文件的规定要求对供应商的资格条件和供应商提供的工程质量、价格、技术、服务等方面严格进行评判，提供科学合理、公平公正的评审意见，参与起草评审报告，并予签字确认。</w:t>
      </w:r>
    </w:p>
    <w:p w14:paraId="6250852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5.3保守秘密。不得透露采购文件咨询情况，不得泄漏供应商的投标文件及知悉的商业秘密，不得向供应商透露评审情况。</w:t>
      </w:r>
    </w:p>
    <w:p w14:paraId="782486B4">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5.4发现供应商在政府采购活动中有不正当竞争或恶意串通等违规行为，及时向政府采购评审工作的组织者或财政部门报告并加以制止。发现采购人、政府采购代理机构及其工作人员在政府采购活动中有干预评审、发表倾向性和歧视性言论、受贿或者接受供应商的其他好处及其他违法违规行为，及时向财政部门报告。</w:t>
      </w:r>
    </w:p>
    <w:p w14:paraId="4FDF824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5.5解答有关方面对政府采购评审工作中有关问题的询问，配合采购人或者政府采购代理机构答复供应商质疑，配合财政部门的投诉处理工作等事宜。</w:t>
      </w:r>
    </w:p>
    <w:p w14:paraId="009D71D3">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5.6法律、法规和规章规定的其他义务。</w:t>
      </w:r>
    </w:p>
    <w:p w14:paraId="4BF77B10">
      <w:pPr>
        <w:pStyle w:val="5"/>
        <w:pageBreakBefore w:val="0"/>
        <w:kinsoku w:val="0"/>
        <w:overflowPunct/>
        <w:topLinePunct w:val="0"/>
        <w:autoSpaceDE w:val="0"/>
        <w:autoSpaceDN w:val="0"/>
        <w:bidi w:val="0"/>
        <w:adjustRightInd w:val="0"/>
        <w:snapToGrid w:val="0"/>
        <w:spacing w:before="87" w:line="360" w:lineRule="auto"/>
        <w:ind w:left="482" w:right="0"/>
        <w:textAlignment w:val="baseline"/>
        <w:rPr>
          <w:rFonts w:hint="eastAsia" w:ascii="仿宋" w:hAnsi="仿宋" w:eastAsia="仿宋" w:cs="仿宋"/>
          <w:sz w:val="24"/>
          <w:szCs w:val="24"/>
        </w:rPr>
      </w:pPr>
      <w:r>
        <w:rPr>
          <w:rFonts w:hint="eastAsia" w:ascii="仿宋" w:hAnsi="仿宋" w:eastAsia="仿宋" w:cs="仿宋"/>
          <w:b/>
          <w:bCs/>
          <w:spacing w:val="10"/>
          <w:sz w:val="24"/>
          <w:szCs w:val="24"/>
          <w14:textOutline w14:w="4388" w14:cap="flat" w14:cmpd="sng">
            <w14:solidFill>
              <w14:srgbClr w14:val="000000"/>
            </w14:solidFill>
            <w14:prstDash w14:val="solid"/>
            <w14:miter w14:val="0"/>
          </w14:textOutline>
        </w:rPr>
        <w:t>6.评审专家在政府采购活动中应当遵守以下工作纪律：</w:t>
      </w:r>
    </w:p>
    <w:p w14:paraId="69D6DF1B">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6.1应邀按时参加评审和咨询活动。遇特殊情况不能出席或途中遇阻不能按时参加评审或咨询的，应及时告知财政部门或者采购人或者政府采购代理机构，不得私自转托他人。</w:t>
      </w:r>
    </w:p>
    <w:p w14:paraId="68FCF451">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6.2不得参加与自己有利害关系的政府采购项目的评审活动。对与自己有利害关系的评审项目，如受到邀请，应主动提出回避。财政部门、采购人或政府采购代理机构也可要求该评审专家回避。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7CBD4282">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6.3评审或咨询过程中关闭通讯设备，不得与外界联系。因发生不可预见情况，确实需要与外界联系的，应当有在场工作人员陪同。</w:t>
      </w:r>
    </w:p>
    <w:p w14:paraId="24B4BB92">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6.4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0FC6D866">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6.5在咨询工作中，严格执行国家产业政策和产品标准，认真听取咨询方的合理要求，提出科学合理的、无倾向性和歧视性的咨询方案，并对所提出的意见和建议承担个人责任。</w:t>
      </w:r>
    </w:p>
    <w:p w14:paraId="5336334B">
      <w:pPr>
        <w:pStyle w:val="5"/>
        <w:pageBreakBefore w:val="0"/>
        <w:kinsoku w:val="0"/>
        <w:overflowPunct/>
        <w:topLinePunct w:val="0"/>
        <w:autoSpaceDE w:val="0"/>
        <w:autoSpaceDN w:val="0"/>
        <w:bidi w:val="0"/>
        <w:adjustRightInd w:val="0"/>
        <w:snapToGrid w:val="0"/>
        <w:spacing w:before="120" w:line="360" w:lineRule="auto"/>
        <w:ind w:left="3640" w:right="0"/>
        <w:textAlignment w:val="baseline"/>
        <w:outlineLvl w:val="1"/>
        <w:rPr>
          <w:rFonts w:hint="eastAsia" w:ascii="仿宋" w:hAnsi="仿宋" w:eastAsia="仿宋" w:cs="仿宋"/>
          <w:sz w:val="24"/>
          <w:szCs w:val="24"/>
        </w:rPr>
      </w:pPr>
      <w:r>
        <w:rPr>
          <w:rFonts w:hint="eastAsia" w:ascii="仿宋" w:hAnsi="仿宋" w:eastAsia="仿宋" w:cs="仿宋"/>
          <w:spacing w:val="14"/>
          <w:sz w:val="24"/>
          <w:szCs w:val="24"/>
          <w14:textOutline w14:w="5137" w14:cap="flat" w14:cmpd="sng">
            <w14:solidFill>
              <w14:srgbClr w14:val="000000"/>
            </w14:solidFill>
            <w14:prstDash w14:val="solid"/>
            <w14:miter w14:val="0"/>
          </w14:textOutline>
        </w:rPr>
        <w:t>三、评标报告</w:t>
      </w:r>
    </w:p>
    <w:p w14:paraId="19809248">
      <w:pPr>
        <w:pStyle w:val="5"/>
        <w:pageBreakBefore w:val="0"/>
        <w:kinsoku w:val="0"/>
        <w:overflowPunct/>
        <w:topLinePunct w:val="0"/>
        <w:autoSpaceDE w:val="0"/>
        <w:autoSpaceDN w:val="0"/>
        <w:bidi w:val="0"/>
        <w:adjustRightInd w:val="0"/>
        <w:snapToGrid w:val="0"/>
        <w:spacing w:before="2" w:line="360" w:lineRule="auto"/>
        <w:ind w:left="498" w:right="0"/>
        <w:textAlignment w:val="baseline"/>
        <w:outlineLvl w:val="2"/>
        <w:rPr>
          <w:rFonts w:hint="eastAsia" w:ascii="仿宋" w:hAnsi="仿宋" w:eastAsia="仿宋" w:cs="仿宋"/>
          <w:sz w:val="24"/>
          <w:szCs w:val="24"/>
        </w:rPr>
      </w:pPr>
      <w:r>
        <w:rPr>
          <w:rFonts w:hint="eastAsia" w:ascii="仿宋" w:hAnsi="仿宋" w:eastAsia="仿宋" w:cs="仿宋"/>
          <w:sz w:val="24"/>
          <w:szCs w:val="24"/>
          <w14:textOutline w14:w="4388" w14:cap="flat" w14:cmpd="sng">
            <w14:solidFill>
              <w14:srgbClr w14:val="000000"/>
            </w14:solidFill>
            <w14:prstDash w14:val="solid"/>
            <w14:miter w14:val="0"/>
          </w14:textOutline>
        </w:rPr>
        <w:t>1、成交标准</w:t>
      </w:r>
    </w:p>
    <w:p w14:paraId="1AD6D3F8">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由磋商小组根据综合评分情况按照评审得分由高到低顺序推荐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并在线编写电子评审报告评标报告是磋商小组根据全体评标成员签字的原始评标记录和评标结果编写的报告，其主要内容包括：</w:t>
      </w:r>
    </w:p>
    <w:p w14:paraId="700C4650">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(1)开标日期和地点；</w:t>
      </w:r>
    </w:p>
    <w:p w14:paraId="4BECF799">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(2)下载了磋商文件的供应商名单和磋商小组成员名单；</w:t>
      </w:r>
    </w:p>
    <w:p w14:paraId="5857AF1F">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(3)评标方法和标准；</w:t>
      </w:r>
    </w:p>
    <w:p w14:paraId="64EF5F27">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(4)开标记录和评标情况及说明，包括投标无效供应商名单及原因；</w:t>
      </w:r>
    </w:p>
    <w:p w14:paraId="72E9CA13">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(5)评标结果和成交候选供应商名单及排序</w:t>
      </w:r>
    </w:p>
    <w:p w14:paraId="3ADCC11C">
      <w:pPr>
        <w:pStyle w:val="5"/>
        <w:pageBreakBefore w:val="0"/>
        <w:kinsoku w:val="0"/>
        <w:overflowPunct/>
        <w:topLinePunct w:val="0"/>
        <w:autoSpaceDE w:val="0"/>
        <w:autoSpaceDN w:val="0"/>
        <w:bidi w:val="0"/>
        <w:adjustRightInd w:val="0"/>
        <w:snapToGrid w:val="0"/>
        <w:spacing w:before="47" w:line="360" w:lineRule="auto"/>
        <w:ind w:left="481" w:right="0"/>
        <w:textAlignment w:val="baseline"/>
        <w:outlineLvl w:val="2"/>
        <w:rPr>
          <w:rFonts w:hint="eastAsia" w:ascii="仿宋" w:hAnsi="仿宋" w:eastAsia="仿宋" w:cs="仿宋"/>
          <w:sz w:val="24"/>
          <w:szCs w:val="24"/>
        </w:rPr>
      </w:pPr>
      <w:r>
        <w:rPr>
          <w:rFonts w:hint="eastAsia" w:ascii="仿宋" w:hAnsi="仿宋" w:eastAsia="仿宋" w:cs="仿宋"/>
          <w:spacing w:val="6"/>
          <w:sz w:val="24"/>
          <w:szCs w:val="24"/>
          <w14:textOutline w14:w="4388" w14:cap="flat" w14:cmpd="sng">
            <w14:solidFill>
              <w14:srgbClr w14:val="000000"/>
            </w14:solidFill>
            <w14:prstDash w14:val="solid"/>
            <w14:miter w14:val="0"/>
          </w14:textOutline>
        </w:rPr>
        <w:t>2、评标争议事项处理</w:t>
      </w:r>
    </w:p>
    <w:p w14:paraId="33B2E64D">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磋商小组成员对需要共同认定的事项存在争议的，应当按照少数服从多数的原则作出结论持不同意见的磋商小组成员应当在评标报告上签署不同意见及理由，否则视为同意评标报告。</w:t>
      </w:r>
    </w:p>
    <w:p w14:paraId="6B87218D">
      <w:pPr>
        <w:pStyle w:val="5"/>
        <w:keepNext w:val="0"/>
        <w:keepLines w:val="0"/>
        <w:pageBreakBefore w:val="0"/>
        <w:widowControl/>
        <w:kinsoku w:val="0"/>
        <w:wordWrap/>
        <w:overflowPunct/>
        <w:topLinePunct w:val="0"/>
        <w:autoSpaceDE w:val="0"/>
        <w:autoSpaceDN w:val="0"/>
        <w:bidi w:val="0"/>
        <w:adjustRightInd/>
        <w:snapToGrid w:val="0"/>
        <w:spacing w:line="324" w:lineRule="auto"/>
        <w:ind w:left="0" w:leftChars="0" w:right="0" w:firstLine="518" w:firstLineChars="218"/>
        <w:textAlignment w:val="baseline"/>
        <w:rPr>
          <w:rFonts w:hint="eastAsia" w:ascii="仿宋" w:hAnsi="仿宋" w:eastAsia="仿宋" w:cs="仿宋"/>
          <w:spacing w:val="-1"/>
          <w:sz w:val="24"/>
          <w:szCs w:val="24"/>
        </w:rPr>
        <w:sectPr>
          <w:footerReference r:id="rId9" w:type="default"/>
          <w:pgSz w:w="11905" w:h="16838"/>
          <w:pgMar w:top="1440" w:right="1803" w:bottom="1440" w:left="1803" w:header="0" w:footer="567" w:gutter="0"/>
          <w:pgNumType w:fmt="decimal"/>
          <w:cols w:space="0" w:num="1"/>
          <w:rtlGutter w:val="0"/>
          <w:docGrid w:linePitch="0" w:charSpace="0"/>
        </w:sectPr>
      </w:pPr>
    </w:p>
    <w:p w14:paraId="427EE94A">
      <w:pPr>
        <w:pStyle w:val="5"/>
        <w:pageBreakBefore w:val="0"/>
        <w:kinsoku w:val="0"/>
        <w:overflowPunct/>
        <w:topLinePunct w:val="0"/>
        <w:autoSpaceDE w:val="0"/>
        <w:autoSpaceDN w:val="0"/>
        <w:bidi w:val="0"/>
        <w:adjustRightInd w:val="0"/>
        <w:snapToGrid w:val="0"/>
        <w:spacing w:before="64" w:line="360" w:lineRule="auto"/>
        <w:ind w:right="0"/>
        <w:jc w:val="center"/>
        <w:textAlignment w:val="baseline"/>
        <w:outlineLvl w:val="0"/>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pPr>
      <w:bookmarkStart w:id="7" w:name="_Toc245"/>
      <w:r>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t>第五章合同主要条款</w:t>
      </w:r>
      <w:bookmarkEnd w:id="7"/>
    </w:p>
    <w:p w14:paraId="03FB0D57">
      <w:pPr>
        <w:shd w:val="clear" w:color="auto" w:fill="auto"/>
        <w:spacing w:line="580" w:lineRule="exact"/>
        <w:rPr>
          <w:rFonts w:hint="default" w:ascii="Times New Roman" w:hAnsi="Times New Roman" w:eastAsia="仿宋" w:cs="Times New Roman"/>
          <w:b/>
          <w:color w:val="auto"/>
          <w:sz w:val="32"/>
          <w:szCs w:val="32"/>
          <w:highlight w:val="none"/>
        </w:rPr>
      </w:pPr>
      <w:bookmarkStart w:id="8" w:name="_Toc13411"/>
      <w:bookmarkStart w:id="9" w:name="_Toc351203652"/>
      <w:bookmarkStart w:id="10" w:name="_Toc13039"/>
      <w:bookmarkStart w:id="11" w:name="EB0241872a782746df84ab771927209b83"/>
      <w:r>
        <w:rPr>
          <w:rFonts w:hint="default" w:ascii="Times New Roman" w:hAnsi="Times New Roman" w:eastAsia="仿宋" w:cs="Times New Roman"/>
          <w:b/>
          <w:color w:val="auto"/>
          <w:sz w:val="32"/>
          <w:szCs w:val="32"/>
          <w:highlight w:val="none"/>
        </w:rPr>
        <w:t>GF—2017—0201</w:t>
      </w:r>
    </w:p>
    <w:p w14:paraId="6C43B7A9">
      <w:pPr>
        <w:shd w:val="clear" w:color="auto" w:fill="auto"/>
        <w:spacing w:line="580" w:lineRule="exact"/>
        <w:rPr>
          <w:rFonts w:hint="default" w:ascii="Times New Roman" w:hAnsi="Times New Roman" w:eastAsia="仿宋" w:cs="Times New Roman"/>
          <w:b/>
          <w:color w:val="auto"/>
          <w:highlight w:val="none"/>
        </w:rPr>
      </w:pPr>
    </w:p>
    <w:p w14:paraId="201862BF">
      <w:pPr>
        <w:shd w:val="clear" w:color="auto" w:fill="auto"/>
        <w:spacing w:line="580" w:lineRule="exact"/>
        <w:rPr>
          <w:rFonts w:hint="default" w:ascii="Times New Roman" w:hAnsi="Times New Roman" w:eastAsia="仿宋" w:cs="Times New Roman"/>
          <w:b/>
          <w:color w:val="auto"/>
          <w:highlight w:val="none"/>
        </w:rPr>
      </w:pPr>
    </w:p>
    <w:p w14:paraId="319341E0">
      <w:pPr>
        <w:shd w:val="clear" w:color="auto" w:fill="auto"/>
        <w:spacing w:line="1100" w:lineRule="exact"/>
        <w:rPr>
          <w:rFonts w:hint="default" w:ascii="Times New Roman" w:hAnsi="Times New Roman" w:eastAsia="仿宋" w:cs="Times New Roman"/>
          <w:b/>
          <w:color w:val="auto"/>
          <w:highlight w:val="none"/>
        </w:rPr>
      </w:pPr>
    </w:p>
    <w:p w14:paraId="5A534877">
      <w:pPr>
        <w:shd w:val="clear" w:color="auto" w:fill="auto"/>
        <w:spacing w:line="1100" w:lineRule="exact"/>
        <w:jc w:val="center"/>
        <w:rPr>
          <w:rFonts w:hint="default" w:ascii="Times New Roman" w:hAnsi="Times New Roman" w:eastAsia="仿宋" w:cs="Times New Roman"/>
          <w:b/>
          <w:bCs/>
          <w:color w:val="auto"/>
          <w:spacing w:val="60"/>
          <w:sz w:val="72"/>
          <w:szCs w:val="72"/>
          <w:highlight w:val="none"/>
        </w:rPr>
      </w:pPr>
      <w:r>
        <w:rPr>
          <w:rFonts w:hint="default" w:ascii="Times New Roman" w:hAnsi="Times New Roman" w:eastAsia="仿宋" w:cs="Times New Roman"/>
          <w:b/>
          <w:bCs/>
          <w:color w:val="auto"/>
          <w:spacing w:val="60"/>
          <w:sz w:val="72"/>
          <w:szCs w:val="72"/>
          <w:highlight w:val="none"/>
        </w:rPr>
        <w:t>建设工程施工合同</w:t>
      </w:r>
    </w:p>
    <w:p w14:paraId="166A3AB5">
      <w:pPr>
        <w:shd w:val="clear" w:color="auto" w:fill="auto"/>
        <w:spacing w:line="1100" w:lineRule="exact"/>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（示范文本）</w:t>
      </w:r>
    </w:p>
    <w:p w14:paraId="5795FD83">
      <w:pPr>
        <w:shd w:val="clear" w:color="auto" w:fill="auto"/>
        <w:spacing w:line="1100" w:lineRule="exact"/>
        <w:rPr>
          <w:rFonts w:hint="default" w:ascii="Times New Roman" w:hAnsi="Times New Roman" w:eastAsia="仿宋" w:cs="Times New Roman"/>
          <w:b/>
          <w:color w:val="auto"/>
          <w:highlight w:val="none"/>
        </w:rPr>
      </w:pPr>
    </w:p>
    <w:p w14:paraId="4F7D56CA">
      <w:pPr>
        <w:shd w:val="clear" w:color="auto" w:fill="auto"/>
        <w:spacing w:line="580" w:lineRule="exact"/>
        <w:rPr>
          <w:rFonts w:hint="default" w:ascii="Times New Roman" w:hAnsi="Times New Roman" w:eastAsia="仿宋" w:cs="Times New Roman"/>
          <w:b/>
          <w:color w:val="auto"/>
          <w:highlight w:val="none"/>
        </w:rPr>
      </w:pPr>
    </w:p>
    <w:p w14:paraId="1E5547AB">
      <w:pPr>
        <w:shd w:val="clear" w:color="auto" w:fill="auto"/>
        <w:spacing w:line="580" w:lineRule="exact"/>
        <w:rPr>
          <w:rFonts w:hint="default" w:ascii="Times New Roman" w:hAnsi="Times New Roman" w:eastAsia="仿宋" w:cs="Times New Roman"/>
          <w:b/>
          <w:color w:val="auto"/>
          <w:highlight w:val="none"/>
        </w:rPr>
      </w:pPr>
    </w:p>
    <w:p w14:paraId="41BCB5F5">
      <w:pPr>
        <w:shd w:val="clear" w:color="auto" w:fill="auto"/>
        <w:spacing w:line="580" w:lineRule="exact"/>
        <w:rPr>
          <w:rFonts w:hint="default" w:ascii="Times New Roman" w:hAnsi="Times New Roman" w:eastAsia="仿宋" w:cs="Times New Roman"/>
          <w:b/>
          <w:color w:val="auto"/>
          <w:highlight w:val="none"/>
        </w:rPr>
      </w:pPr>
    </w:p>
    <w:p w14:paraId="2B86F1D3">
      <w:pPr>
        <w:shd w:val="clear" w:color="auto" w:fill="auto"/>
        <w:spacing w:line="580" w:lineRule="exact"/>
        <w:rPr>
          <w:rFonts w:hint="default" w:ascii="Times New Roman" w:hAnsi="Times New Roman" w:eastAsia="仿宋" w:cs="Times New Roman"/>
          <w:b/>
          <w:color w:val="auto"/>
          <w:highlight w:val="none"/>
        </w:rPr>
      </w:pPr>
    </w:p>
    <w:p w14:paraId="44CB4300">
      <w:pPr>
        <w:shd w:val="clear" w:color="auto" w:fill="auto"/>
        <w:spacing w:line="580" w:lineRule="exact"/>
        <w:rPr>
          <w:rFonts w:hint="default" w:ascii="Times New Roman" w:hAnsi="Times New Roman" w:eastAsia="仿宋" w:cs="Times New Roman"/>
          <w:b/>
          <w:color w:val="auto"/>
          <w:highlight w:val="none"/>
        </w:rPr>
      </w:pPr>
    </w:p>
    <w:p w14:paraId="2D27C7D6">
      <w:pPr>
        <w:shd w:val="clear" w:color="auto" w:fill="auto"/>
        <w:tabs>
          <w:tab w:val="left" w:pos="645"/>
        </w:tabs>
        <w:spacing w:line="580" w:lineRule="exact"/>
        <w:rPr>
          <w:rFonts w:hint="default" w:ascii="Times New Roman" w:hAnsi="Times New Roman" w:eastAsia="仿宋" w:cs="Times New Roman"/>
          <w:b/>
          <w:color w:val="auto"/>
          <w:highlight w:val="none"/>
        </w:rPr>
      </w:pPr>
    </w:p>
    <w:p w14:paraId="4081B526">
      <w:pPr>
        <w:shd w:val="clear" w:color="auto" w:fill="auto"/>
        <w:spacing w:line="580" w:lineRule="exact"/>
        <w:ind w:firstLine="2240" w:firstLineChars="800"/>
        <w:rPr>
          <w:rFonts w:hint="default" w:ascii="Times New Roman" w:hAnsi="Times New Roman" w:eastAsia="仿宋" w:cs="Times New Roman"/>
          <w:b/>
          <w:color w:val="auto"/>
          <w:spacing w:val="20"/>
          <w:w w:val="107"/>
          <w:sz w:val="28"/>
          <w:szCs w:val="28"/>
          <w:highlight w:val="none"/>
        </w:rPr>
      </w:pPr>
      <w:r>
        <w:rPr>
          <w:rFonts w:hint="default" w:ascii="Times New Roman" w:hAnsi="Times New Roman" w:eastAsia="仿宋" w:cs="Times New Roman"/>
          <w:color w:val="auto"/>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3600450</wp:posOffset>
                </wp:positionH>
                <wp:positionV relativeFrom="paragraph">
                  <wp:posOffset>198120</wp:posOffset>
                </wp:positionV>
                <wp:extent cx="723900" cy="457200"/>
                <wp:effectExtent l="4445" t="4445" r="18415" b="10795"/>
                <wp:wrapNone/>
                <wp:docPr id="12" name="文本框 1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45B9FE53">
                            <w:pPr>
                              <w:rPr>
                                <w:rFonts w:ascii="楷体" w:hAnsi="楷体" w:eastAsia="楷体"/>
                                <w:b/>
                                <w:bCs/>
                                <w:sz w:val="32"/>
                              </w:rPr>
                            </w:pPr>
                            <w:r>
                              <w:rPr>
                                <w:rFonts w:hint="eastAsia" w:ascii="楷体" w:hAnsi="楷体" w:eastAsia="楷体"/>
                                <w:b/>
                                <w:bCs/>
                                <w:sz w:val="32"/>
                              </w:rPr>
                              <w:t>制定</w:t>
                            </w:r>
                          </w:p>
                        </w:txbxContent>
                      </wps:txbx>
                      <wps:bodyPr upright="1"/>
                    </wps:wsp>
                  </a:graphicData>
                </a:graphic>
              </wp:anchor>
            </w:drawing>
          </mc:Choice>
          <mc:Fallback>
            <w:pict>
              <v:shape id="_x0000_s1026" o:spid="_x0000_s1026" o:spt="202" type="#_x0000_t202" style="position:absolute;left:0pt;margin-left:283.5pt;margin-top:15.6pt;height:36pt;width:57pt;z-index:251666432;mso-width-relative:page;mso-height-relative:page;" filled="f" stroked="t" coordsize="21600,21600" o:gfxdata="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A/JSbZAAAACgEAAA8AAAAAAAAAAQAgAAAA&#10;IgAAAGRycy9kb3ducmV2LnhtbFBLAQIUABQAAAAIAIdO4kBW3a0UCgIAABwEAAAOAAAAAAAAAAEA&#10;IAAAACgBAABkcnMvZTJvRG9jLnhtbFBLBQYAAAAABgAGAFkBAACkBQAAAAA=&#10;">
                <v:fill on="f" focussize="0,0"/>
                <v:stroke color="#FFFFFF" joinstyle="miter"/>
                <v:imagedata o:title=""/>
                <o:lock v:ext="edit" aspectratio="f"/>
                <v:textbox>
                  <w:txbxContent>
                    <w:p w14:paraId="45B9FE53">
                      <w:pPr>
                        <w:rPr>
                          <w:rFonts w:ascii="楷体" w:hAnsi="楷体" w:eastAsia="楷体"/>
                          <w:b/>
                          <w:bCs/>
                          <w:sz w:val="32"/>
                        </w:rPr>
                      </w:pPr>
                      <w:r>
                        <w:rPr>
                          <w:rFonts w:hint="eastAsia" w:ascii="楷体" w:hAnsi="楷体" w:eastAsia="楷体"/>
                          <w:b/>
                          <w:bCs/>
                          <w:sz w:val="32"/>
                        </w:rPr>
                        <w:t>制定</w:t>
                      </w:r>
                    </w:p>
                  </w:txbxContent>
                </v:textbox>
              </v:shape>
            </w:pict>
          </mc:Fallback>
        </mc:AlternateContent>
      </w:r>
      <w:r>
        <w:rPr>
          <w:rFonts w:hint="default" w:ascii="Times New Roman" w:hAnsi="Times New Roman" w:eastAsia="仿宋" w:cs="Times New Roman"/>
          <w:b/>
          <w:color w:val="auto"/>
          <w:spacing w:val="20"/>
          <w:w w:val="107"/>
          <w:sz w:val="28"/>
          <w:szCs w:val="28"/>
          <w:highlight w:val="none"/>
        </w:rPr>
        <w:t>住房和城乡建设部</w:t>
      </w:r>
    </w:p>
    <w:p w14:paraId="48F349CB">
      <w:pPr>
        <w:shd w:val="clear" w:color="auto" w:fill="auto"/>
        <w:spacing w:line="580" w:lineRule="exact"/>
        <w:ind w:firstLine="2041" w:firstLineChars="600"/>
        <w:rPr>
          <w:rFonts w:hint="default" w:ascii="Times New Roman" w:hAnsi="Times New Roman" w:eastAsia="仿宋" w:cs="Times New Roman"/>
          <w:b/>
          <w:color w:val="auto"/>
          <w:spacing w:val="20"/>
          <w:w w:val="107"/>
          <w:sz w:val="28"/>
          <w:szCs w:val="28"/>
          <w:highlight w:val="none"/>
        </w:rPr>
      </w:pPr>
      <w:r>
        <w:rPr>
          <w:rFonts w:hint="default" w:ascii="Times New Roman" w:hAnsi="Times New Roman" w:eastAsia="仿宋" w:cs="Times New Roman"/>
          <w:b/>
          <w:color w:val="auto"/>
          <w:spacing w:val="20"/>
          <w:w w:val="107"/>
          <w:sz w:val="28"/>
          <w:szCs w:val="28"/>
          <w:highlight w:val="none"/>
        </w:rPr>
        <w:t>国家工商行政管理总局</w:t>
      </w:r>
    </w:p>
    <w:p w14:paraId="0E5EE1DF">
      <w:pPr>
        <w:shd w:val="clear" w:color="auto" w:fill="auto"/>
        <w:spacing w:line="580" w:lineRule="exact"/>
        <w:rPr>
          <w:rFonts w:hint="default" w:ascii="Times New Roman" w:hAnsi="Times New Roman" w:eastAsia="宋体" w:cs="Times New Roman"/>
          <w:color w:val="auto"/>
          <w:highlight w:val="none"/>
        </w:rPr>
      </w:pPr>
      <w:bookmarkStart w:id="12" w:name="_Toc296890982"/>
      <w:bookmarkStart w:id="13" w:name="_Toc296503025"/>
    </w:p>
    <w:p w14:paraId="7186A9AF">
      <w:pPr>
        <w:shd w:val="clear" w:color="auto" w:fill="auto"/>
        <w:spacing w:line="580" w:lineRule="exact"/>
        <w:ind w:firstLine="1897" w:firstLineChars="900"/>
        <w:rPr>
          <w:rFonts w:hint="default" w:ascii="Times New Roman" w:hAnsi="Times New Roman" w:eastAsia="宋体" w:cs="Times New Roman"/>
          <w:b/>
          <w:color w:val="auto"/>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418" w:bottom="1418" w:left="1644" w:header="851" w:footer="680" w:gutter="0"/>
          <w:pgNumType w:fmt="decimal"/>
          <w:cols w:space="720" w:num="1"/>
          <w:titlePg/>
          <w:docGrid w:type="lines" w:linePitch="312" w:charSpace="0"/>
        </w:sectPr>
      </w:pPr>
    </w:p>
    <w:p w14:paraId="5236812A">
      <w:pPr>
        <w:shd w:val="clear" w:color="auto" w:fill="auto"/>
        <w:bidi w:val="0"/>
        <w:jc w:val="center"/>
        <w:rPr>
          <w:rFonts w:hint="default"/>
          <w:b/>
          <w:bCs/>
          <w:color w:val="auto"/>
          <w:highlight w:val="none"/>
        </w:rPr>
      </w:pPr>
      <w:bookmarkStart w:id="14" w:name="_Toc25062"/>
      <w:r>
        <w:rPr>
          <w:rFonts w:hint="default"/>
          <w:b/>
          <w:bCs/>
          <w:color w:val="auto"/>
          <w:highlight w:val="none"/>
        </w:rPr>
        <w:t>说    明</w:t>
      </w:r>
      <w:bookmarkEnd w:id="14"/>
    </w:p>
    <w:p w14:paraId="4EE20E8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14:paraId="0A24C50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一、《示范文本》的组成</w:t>
      </w:r>
    </w:p>
    <w:p w14:paraId="47D5C61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《示范文本》由合同协议书、通用合同条款和专用合同条款三部分组成。</w:t>
      </w:r>
    </w:p>
    <w:p w14:paraId="719A4BB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（一）合同协议书</w:t>
      </w:r>
    </w:p>
    <w:p w14:paraId="585C4F2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13546A7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（二）通用合同条款</w:t>
      </w:r>
    </w:p>
    <w:p w14:paraId="3B34D29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通用合同条款是合同当事人根据《中华人民共和国建筑法》《中华人民共和国民法典》等法律法规的规定，就工程建设的实施及相关事项，对合同当事人的权利义务作出的原则性约定。</w:t>
      </w:r>
    </w:p>
    <w:p w14:paraId="4A9E70B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4A4237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（三）专用合同条款</w:t>
      </w:r>
    </w:p>
    <w:p w14:paraId="62C01CB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3D145C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1、专用合同条款的编号应与相应的通用合同条款的编号一致；</w:t>
      </w:r>
    </w:p>
    <w:p w14:paraId="1E474D7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2、合同当事人可以通过对专用合同条款的修改，满足具体建设工程的特殊要求，避免直接修改通用合同条款；</w:t>
      </w:r>
    </w:p>
    <w:p w14:paraId="251338B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p>
    <w:p w14:paraId="66FBEB2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二、《示范文本》的性质和适用范围</w:t>
      </w:r>
    </w:p>
    <w:p w14:paraId="753C53E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sectPr>
          <w:footerReference r:id="rId17" w:type="first"/>
          <w:footerReference r:id="rId16" w:type="default"/>
          <w:pgSz w:w="11906" w:h="16838"/>
          <w:pgMar w:top="1418" w:right="1418" w:bottom="1418" w:left="1644" w:header="851" w:footer="680" w:gutter="0"/>
          <w:pgNumType w:fmt="decimal"/>
          <w:cols w:space="720" w:num="1"/>
          <w:titlePg/>
          <w:docGrid w:type="lines" w:linePitch="312" w:charSpace="0"/>
        </w:sectPr>
      </w:pPr>
      <w:r>
        <w:rPr>
          <w:rFonts w:hint="default" w:ascii="Times New Roman" w:hAnsi="Times New Roman" w:eastAsia="宋体" w:cs="Times New Roman"/>
          <w:color w:val="auto"/>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bookmarkEnd w:id="12"/>
    <w:bookmarkEnd w:id="13"/>
    <w:p w14:paraId="148747C0">
      <w:pPr>
        <w:keepNext w:val="0"/>
        <w:keepLines w:val="0"/>
        <w:pageBreakBefore w:val="0"/>
        <w:shd w:val="clear" w:color="auto" w:fill="auto"/>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rPr>
      </w:pPr>
      <w:bookmarkStart w:id="15" w:name="_Toc9280"/>
      <w:r>
        <w:rPr>
          <w:rFonts w:hint="default" w:ascii="Times New Roman" w:hAnsi="Times New Roman" w:eastAsia="宋体" w:cs="Times New Roman"/>
          <w:b/>
          <w:bCs/>
          <w:color w:val="auto"/>
          <w:sz w:val="24"/>
          <w:szCs w:val="24"/>
          <w:highlight w:val="none"/>
        </w:rPr>
        <w:t>第一部分 合同协议书</w:t>
      </w:r>
      <w:bookmarkEnd w:id="8"/>
      <w:bookmarkEnd w:id="15"/>
    </w:p>
    <w:p w14:paraId="2A2A3452">
      <w:pPr>
        <w:keepNext w:val="0"/>
        <w:keepLines w:val="0"/>
        <w:pageBreakBefore w:val="0"/>
        <w:shd w:val="clear" w:color="auto" w:fill="auto"/>
        <w:kinsoku/>
        <w:wordWrap/>
        <w:overflowPunct/>
        <w:topLinePunct w:val="0"/>
        <w:bidi w:val="0"/>
        <w:snapToGrid/>
        <w:spacing w:line="480" w:lineRule="exact"/>
        <w:ind w:firstLine="482"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b/>
          <w:bCs/>
          <w:color w:val="auto"/>
          <w:sz w:val="24"/>
          <w:szCs w:val="24"/>
          <w:highlight w:val="none"/>
        </w:rPr>
        <w:t>发包人（全称）：</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b/>
          <w:bCs/>
          <w:color w:val="auto"/>
          <w:sz w:val="24"/>
          <w:szCs w:val="24"/>
          <w:highlight w:val="none"/>
          <w:u w:val="single"/>
          <w:lang w:val="en-US" w:eastAsia="zh-CN"/>
        </w:rPr>
        <w:t>新疆农业职业技术大学</w:t>
      </w:r>
      <w:r>
        <w:rPr>
          <w:rFonts w:hint="default" w:ascii="Times New Roman" w:hAnsi="Times New Roman" w:eastAsia="宋体" w:cs="Times New Roman"/>
          <w:b/>
          <w:bCs/>
          <w:color w:val="auto"/>
          <w:sz w:val="24"/>
          <w:szCs w:val="24"/>
          <w:highlight w:val="none"/>
          <w:u w:val="single"/>
        </w:rPr>
        <w:t xml:space="preserve">                   </w:t>
      </w:r>
    </w:p>
    <w:p w14:paraId="77ACC4EA">
      <w:pPr>
        <w:keepNext w:val="0"/>
        <w:keepLines w:val="0"/>
        <w:pageBreakBefore w:val="0"/>
        <w:shd w:val="clear" w:color="auto" w:fill="auto"/>
        <w:kinsoku/>
        <w:wordWrap/>
        <w:overflowPunct/>
        <w:topLinePunct w:val="0"/>
        <w:bidi w:val="0"/>
        <w:snapToGrid/>
        <w:spacing w:line="480" w:lineRule="exact"/>
        <w:ind w:firstLine="482"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b/>
          <w:bCs/>
          <w:color w:val="auto"/>
          <w:sz w:val="24"/>
          <w:szCs w:val="24"/>
          <w:highlight w:val="none"/>
        </w:rPr>
        <w:t>承包人（全称）：</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p>
    <w:p w14:paraId="4794AB3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根据《中华人民共和国民法典》《中华人民共和国建筑法》及有关法律规定，遵循平等、自愿、公平和诚实信用的原则，双方就</w:t>
      </w:r>
      <w:r>
        <w:rPr>
          <w:rFonts w:hint="default" w:ascii="Times New Roman" w:hAnsi="Times New Roman" w:eastAsia="宋体" w:cs="Times New Roman"/>
          <w:b/>
          <w:bCs/>
          <w:color w:val="auto"/>
          <w:sz w:val="24"/>
          <w:szCs w:val="24"/>
          <w:highlight w:val="none"/>
          <w:u w:val="single"/>
          <w:lang w:val="en-US" w:eastAsia="zh-CN"/>
        </w:rPr>
        <w:t xml:space="preserve">  </w:t>
      </w:r>
      <w:r>
        <w:rPr>
          <w:rFonts w:hint="eastAsia" w:ascii="Times New Roman" w:hAnsi="Times New Roman" w:eastAsia="宋体" w:cs="Times New Roman"/>
          <w:b/>
          <w:bCs/>
          <w:color w:val="auto"/>
          <w:sz w:val="24"/>
          <w:szCs w:val="24"/>
          <w:highlight w:val="none"/>
          <w:u w:val="single"/>
          <w:lang w:val="en-US" w:eastAsia="zh-CN"/>
        </w:rPr>
        <w:t>新疆农业职业技术大学校史馆建设项目</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工程施工及有关事项协商一致，共同达成如下协议：</w:t>
      </w:r>
    </w:p>
    <w:p w14:paraId="58326FF1">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 xml:space="preserve"> 一、工程概况</w:t>
      </w:r>
    </w:p>
    <w:p w14:paraId="2D07D1CC">
      <w:pPr>
        <w:keepNext w:val="0"/>
        <w:keepLines w:val="0"/>
        <w:pageBreakBefore w:val="0"/>
        <w:shd w:val="clear" w:color="auto" w:fill="auto"/>
        <w:kinsoku/>
        <w:wordWrap/>
        <w:overflowPunct/>
        <w:topLinePunct w:val="0"/>
        <w:bidi w:val="0"/>
        <w:snapToGrid/>
        <w:spacing w:line="480" w:lineRule="exact"/>
        <w:ind w:left="1860" w:leftChars="200" w:hanging="1440" w:hangingChars="6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工程名称：</w:t>
      </w:r>
      <w:r>
        <w:rPr>
          <w:rFonts w:hint="eastAsia" w:ascii="Times New Roman" w:hAnsi="Times New Roman" w:eastAsia="宋体" w:cs="Times New Roman"/>
          <w:b/>
          <w:bCs/>
          <w:color w:val="auto"/>
          <w:sz w:val="24"/>
          <w:szCs w:val="24"/>
          <w:highlight w:val="none"/>
          <w:u w:val="single"/>
          <w:lang w:val="en-US" w:eastAsia="zh-CN"/>
        </w:rPr>
        <w:t>新疆农业职业技术大学校史馆建设项目</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p>
    <w:p w14:paraId="267EA001">
      <w:pPr>
        <w:keepNext w:val="0"/>
        <w:keepLines w:val="0"/>
        <w:pageBreakBefore w:val="0"/>
        <w:shd w:val="clear" w:color="auto" w:fill="auto"/>
        <w:kinsoku/>
        <w:wordWrap/>
        <w:overflowPunct/>
        <w:topLinePunct w:val="0"/>
        <w:bidi w:val="0"/>
        <w:snapToGrid/>
        <w:spacing w:line="480" w:lineRule="exact"/>
        <w:ind w:left="1860" w:leftChars="200" w:hanging="1440" w:hangingChars="600"/>
        <w:textAlignment w:val="auto"/>
        <w:rPr>
          <w:rFonts w:hint="default" w:ascii="Times New Roman" w:hAnsi="Times New Roman" w:eastAsia="宋体" w:cs="Times New Roman"/>
          <w:b/>
          <w:bCs/>
          <w:color w:val="auto"/>
          <w:sz w:val="24"/>
          <w:szCs w:val="24"/>
          <w:highlight w:val="none"/>
          <w:u w:val="single"/>
        </w:rPr>
      </w:pPr>
      <w:r>
        <w:rPr>
          <w:rFonts w:hint="default" w:ascii="Times New Roman" w:hAnsi="Times New Roman" w:eastAsia="宋体" w:cs="Times New Roman"/>
          <w:color w:val="auto"/>
          <w:sz w:val="24"/>
          <w:szCs w:val="24"/>
          <w:highlight w:val="none"/>
        </w:rPr>
        <w:t>2.工程地点：</w:t>
      </w:r>
      <w:r>
        <w:rPr>
          <w:rFonts w:hint="default" w:ascii="Times New Roman" w:hAnsi="Times New Roman" w:eastAsia="宋体" w:cs="Times New Roman"/>
          <w:color w:val="auto"/>
          <w:sz w:val="24"/>
          <w:szCs w:val="24"/>
          <w:highlight w:val="none"/>
          <w:u w:val="single"/>
          <w:lang w:val="en-US" w:eastAsia="zh-CN"/>
        </w:rPr>
        <w:t xml:space="preserve"> 新疆农业职业技术大学本部</w:t>
      </w:r>
      <w:r>
        <w:rPr>
          <w:rFonts w:hint="default" w:ascii="Times New Roman" w:hAnsi="Times New Roman" w:eastAsia="宋体" w:cs="Times New Roman"/>
          <w:color w:val="auto"/>
          <w:sz w:val="24"/>
          <w:szCs w:val="24"/>
          <w:highlight w:val="none"/>
          <w:u w:val="single"/>
        </w:rPr>
        <w:t xml:space="preserve">  </w:t>
      </w:r>
    </w:p>
    <w:p w14:paraId="2114AA2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3.工程立项批准文号：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p>
    <w:p w14:paraId="23285D9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yellow"/>
        </w:rPr>
        <w:t>资金来源：</w:t>
      </w:r>
      <w:r>
        <w:rPr>
          <w:rFonts w:hint="eastAsia" w:ascii="Times New Roman" w:hAnsi="Times New Roman" w:eastAsia="宋体" w:cs="Times New Roman"/>
          <w:color w:val="auto"/>
          <w:kern w:val="2"/>
          <w:sz w:val="24"/>
          <w:szCs w:val="24"/>
          <w:highlight w:val="yellow"/>
          <w:u w:val="single"/>
          <w:lang w:val="en-US" w:eastAsia="zh-CN"/>
        </w:rPr>
        <w:t xml:space="preserve">            </w:t>
      </w:r>
      <w:r>
        <w:rPr>
          <w:rFonts w:hint="eastAsia" w:ascii="Times New Roman" w:hAnsi="Times New Roman" w:eastAsia="宋体" w:cs="Times New Roman"/>
          <w:color w:val="auto"/>
          <w:kern w:val="2"/>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w:t>
      </w:r>
    </w:p>
    <w:p w14:paraId="2B2D73E7">
      <w:pPr>
        <w:pStyle w:val="4"/>
        <w:keepNext w:val="0"/>
        <w:keepLines w:val="0"/>
        <w:pageBreakBefore w:val="0"/>
        <w:shd w:val="clear" w:color="auto" w:fill="auto"/>
        <w:kinsoku/>
        <w:wordWrap/>
        <w:overflowPunct/>
        <w:topLinePunct w:val="0"/>
        <w:autoSpaceDE w:val="0"/>
        <w:autoSpaceDN w:val="0"/>
        <w:bidi w:val="0"/>
        <w:snapToGrid/>
        <w:spacing w:line="480" w:lineRule="exact"/>
        <w:ind w:firstLine="480" w:firstLineChars="200"/>
        <w:textAlignment w:val="auto"/>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eastAsia="宋体" w:cs="Times New Roman"/>
          <w:color w:val="auto"/>
          <w:kern w:val="2"/>
          <w:sz w:val="24"/>
          <w:szCs w:val="24"/>
          <w:highlight w:val="none"/>
          <w:u w:val="none"/>
          <w:lang w:val="en-US" w:eastAsia="zh-CN" w:bidi="ar-SA"/>
        </w:rPr>
        <w:t>5.工程内容：</w:t>
      </w:r>
      <w:r>
        <w:rPr>
          <w:rFonts w:hint="eastAsia" w:ascii="Times New Roman" w:hAnsi="Times New Roman" w:eastAsia="宋体" w:cs="Times New Roman"/>
          <w:color w:val="auto"/>
          <w:kern w:val="2"/>
          <w:sz w:val="24"/>
          <w:szCs w:val="24"/>
          <w:highlight w:val="none"/>
          <w:u w:val="single"/>
          <w:lang w:val="en-US" w:eastAsia="zh-CN" w:bidi="ar-SA"/>
        </w:rPr>
        <w:t>新疆农业职业技术大学校史馆项目（深化设计与布展）建筑与装饰、电气设备安装工程、通风工程、智能化设备、多媒体程序开发及软件制作视频制作等</w:t>
      </w:r>
      <w:r>
        <w:rPr>
          <w:rFonts w:hint="default" w:ascii="Times New Roman" w:hAnsi="Times New Roman" w:eastAsia="宋体" w:cs="Times New Roman"/>
          <w:color w:val="auto"/>
          <w:kern w:val="2"/>
          <w:sz w:val="24"/>
          <w:szCs w:val="24"/>
          <w:highlight w:val="none"/>
          <w:u w:val="single"/>
          <w:lang w:val="en-US" w:eastAsia="zh-CN" w:bidi="ar-SA"/>
        </w:rPr>
        <w:t>。</w:t>
      </w:r>
    </w:p>
    <w:p w14:paraId="782A48E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6.工程承包范围：</w:t>
      </w:r>
      <w:r>
        <w:rPr>
          <w:rFonts w:hint="default" w:ascii="Times New Roman" w:hAnsi="Times New Roman" w:eastAsia="宋体" w:cs="Times New Roman"/>
          <w:color w:val="auto"/>
          <w:sz w:val="24"/>
          <w:szCs w:val="24"/>
          <w:highlight w:val="none"/>
          <w:u w:val="single"/>
        </w:rPr>
        <w:t>招标文件、工程量清单、答疑文件、招标文件补充、施工图纸及设计变更范围内的所有工作内容和发包人另行要求的其他工作。</w:t>
      </w:r>
    </w:p>
    <w:p w14:paraId="3515D478">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二、合同工期</w:t>
      </w:r>
    </w:p>
    <w:p w14:paraId="4E35A67E">
      <w:pPr>
        <w:keepNext w:val="0"/>
        <w:keepLines w:val="0"/>
        <w:pageBreakBefore w:val="0"/>
        <w:shd w:val="clear" w:color="auto" w:fill="auto"/>
        <w:kinsoku/>
        <w:wordWrap/>
        <w:overflowPunct/>
        <w:topLinePunct w:val="0"/>
        <w:bidi w:val="0"/>
        <w:snapToGrid/>
        <w:spacing w:line="480" w:lineRule="exact"/>
        <w:ind w:firstLine="45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计划开工日期：</w:t>
      </w:r>
      <w:r>
        <w:rPr>
          <w:rFonts w:hint="default" w:ascii="Times New Roman" w:hAnsi="Times New Roman" w:eastAsia="宋体" w:cs="Times New Roman"/>
          <w:color w:val="auto"/>
          <w:sz w:val="24"/>
          <w:szCs w:val="24"/>
          <w:highlight w:val="none"/>
          <w:u w:val="single"/>
        </w:rPr>
        <w:t>2025</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29305E51">
      <w:pPr>
        <w:keepNext w:val="0"/>
        <w:keepLines w:val="0"/>
        <w:pageBreakBefore w:val="0"/>
        <w:shd w:val="clear" w:color="auto" w:fill="auto"/>
        <w:kinsoku/>
        <w:wordWrap/>
        <w:overflowPunct/>
        <w:topLinePunct w:val="0"/>
        <w:bidi w:val="0"/>
        <w:snapToGrid/>
        <w:spacing w:line="480" w:lineRule="exact"/>
        <w:ind w:firstLine="45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计划竣工日期：</w:t>
      </w:r>
      <w:r>
        <w:rPr>
          <w:rFonts w:hint="default" w:ascii="Times New Roman" w:hAnsi="Times New Roman" w:eastAsia="宋体" w:cs="Times New Roman"/>
          <w:color w:val="auto"/>
          <w:sz w:val="24"/>
          <w:szCs w:val="24"/>
          <w:highlight w:val="none"/>
          <w:u w:val="single"/>
        </w:rPr>
        <w:t>2025</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月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533ABD87">
      <w:pPr>
        <w:keepNext w:val="0"/>
        <w:keepLines w:val="0"/>
        <w:pageBreakBefore w:val="0"/>
        <w:shd w:val="clear" w:color="auto" w:fill="auto"/>
        <w:kinsoku/>
        <w:wordWrap/>
        <w:overflowPunct/>
        <w:topLinePunct w:val="0"/>
        <w:bidi w:val="0"/>
        <w:snapToGrid/>
        <w:spacing w:line="480" w:lineRule="exact"/>
        <w:ind w:firstLine="459"/>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工期总日历天数：</w:t>
      </w:r>
      <w:r>
        <w:rPr>
          <w:rFonts w:hint="eastAsia" w:ascii="Times New Roman" w:hAnsi="Times New Roman" w:eastAsia="宋体" w:cs="Times New Roman"/>
          <w:color w:val="auto"/>
          <w:sz w:val="24"/>
          <w:szCs w:val="24"/>
          <w:highlight w:val="none"/>
          <w:u w:val="single"/>
          <w:lang w:val="en-US" w:eastAsia="zh-CN"/>
        </w:rPr>
        <w:t>自</w:t>
      </w:r>
      <w:r>
        <w:rPr>
          <w:rFonts w:hint="default" w:ascii="Times New Roman" w:hAnsi="Times New Roman" w:eastAsia="宋体" w:cs="Times New Roman"/>
          <w:color w:val="auto"/>
          <w:sz w:val="24"/>
          <w:szCs w:val="24"/>
          <w:highlight w:val="none"/>
          <w:u w:val="single"/>
          <w:lang w:val="en-US" w:eastAsia="zh-CN"/>
        </w:rPr>
        <w:t>合同签订</w:t>
      </w:r>
      <w:r>
        <w:rPr>
          <w:rFonts w:hint="eastAsia" w:ascii="Times New Roman" w:hAnsi="Times New Roman" w:eastAsia="宋体" w:cs="Times New Roman"/>
          <w:color w:val="auto"/>
          <w:sz w:val="24"/>
          <w:szCs w:val="24"/>
          <w:highlight w:val="none"/>
          <w:u w:val="single"/>
          <w:lang w:val="en-US" w:eastAsia="zh-CN"/>
        </w:rPr>
        <w:t>之日起9</w:t>
      </w:r>
      <w:r>
        <w:rPr>
          <w:rFonts w:hint="default" w:ascii="Times New Roman" w:hAnsi="Times New Roman" w:eastAsia="宋体" w:cs="Times New Roman"/>
          <w:color w:val="auto"/>
          <w:sz w:val="24"/>
          <w:szCs w:val="24"/>
          <w:highlight w:val="none"/>
          <w:u w:val="single"/>
          <w:lang w:val="en-US" w:eastAsia="zh-CN"/>
        </w:rPr>
        <w:t>0日历</w:t>
      </w:r>
      <w:r>
        <w:rPr>
          <w:rFonts w:hint="eastAsia" w:ascii="Times New Roman" w:hAnsi="Times New Roman" w:eastAsia="宋体" w:cs="Times New Roman"/>
          <w:color w:val="auto"/>
          <w:sz w:val="24"/>
          <w:szCs w:val="24"/>
          <w:highlight w:val="none"/>
          <w:u w:val="single"/>
          <w:lang w:val="en-US" w:eastAsia="zh-CN"/>
        </w:rPr>
        <w:t>天，</w:t>
      </w:r>
      <w:r>
        <w:rPr>
          <w:rFonts w:hint="default" w:ascii="Times New Roman" w:hAnsi="Times New Roman" w:eastAsia="宋体" w:cs="Times New Roman"/>
          <w:color w:val="auto"/>
          <w:sz w:val="24"/>
          <w:szCs w:val="24"/>
          <w:highlight w:val="none"/>
        </w:rPr>
        <w:t>工期总日历天数与根据前述计划开竣工日期计算的工期天数不一致的，以工期总日历天数为准。</w:t>
      </w:r>
    </w:p>
    <w:p w14:paraId="7318EDD8">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三、质量标准</w:t>
      </w:r>
    </w:p>
    <w:p w14:paraId="4DF3D912">
      <w:pPr>
        <w:keepNext w:val="0"/>
        <w:keepLines w:val="0"/>
        <w:pageBreakBefore w:val="0"/>
        <w:shd w:val="clear" w:color="auto" w:fill="auto"/>
        <w:kinsoku/>
        <w:wordWrap/>
        <w:overflowPunct/>
        <w:topLinePunct w:val="0"/>
        <w:bidi w:val="0"/>
        <w:snapToGrid/>
        <w:spacing w:line="480" w:lineRule="exact"/>
        <w:ind w:firstLine="45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工程质量符合</w:t>
      </w:r>
      <w:r>
        <w:rPr>
          <w:rFonts w:hint="default" w:ascii="Times New Roman" w:hAnsi="Times New Roman" w:eastAsia="宋体" w:cs="Times New Roman"/>
          <w:color w:val="auto"/>
          <w:sz w:val="24"/>
          <w:szCs w:val="24"/>
          <w:highlight w:val="none"/>
          <w:u w:val="single"/>
        </w:rPr>
        <w:t>合格</w:t>
      </w:r>
      <w:r>
        <w:rPr>
          <w:rFonts w:hint="default" w:ascii="Times New Roman" w:hAnsi="Times New Roman" w:eastAsia="宋体" w:cs="Times New Roman"/>
          <w:color w:val="auto"/>
          <w:sz w:val="24"/>
          <w:szCs w:val="24"/>
          <w:highlight w:val="none"/>
        </w:rPr>
        <w:t>标准。</w:t>
      </w:r>
    </w:p>
    <w:p w14:paraId="65A0CA79">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iCs/>
          <w:color w:val="auto"/>
          <w:sz w:val="24"/>
          <w:szCs w:val="24"/>
          <w:highlight w:val="none"/>
        </w:rPr>
      </w:pPr>
      <w:r>
        <w:rPr>
          <w:rFonts w:hint="default" w:ascii="Times New Roman" w:hAnsi="Times New Roman" w:eastAsia="宋体" w:cs="Times New Roman"/>
          <w:b/>
          <w:bCs/>
          <w:iCs/>
          <w:color w:val="auto"/>
          <w:sz w:val="24"/>
          <w:szCs w:val="24"/>
          <w:highlight w:val="none"/>
        </w:rPr>
        <w:t>四、签约合同价与合同价格形式</w:t>
      </w:r>
      <w:r>
        <w:rPr>
          <w:rFonts w:hint="default" w:ascii="Times New Roman" w:hAnsi="Times New Roman" w:eastAsia="宋体" w:cs="Times New Roman"/>
          <w:b/>
          <w:bCs/>
          <w:iCs/>
          <w:color w:val="auto"/>
          <w:sz w:val="24"/>
          <w:szCs w:val="24"/>
          <w:highlight w:val="none"/>
        </w:rPr>
        <w:tab/>
      </w:r>
    </w:p>
    <w:p w14:paraId="562CF15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1.签约合同价为：</w:t>
      </w:r>
    </w:p>
    <w:p w14:paraId="1DED6BEE">
      <w:pPr>
        <w:keepNext w:val="0"/>
        <w:keepLines w:val="0"/>
        <w:pageBreakBefore w:val="0"/>
        <w:shd w:val="clear" w:color="auto" w:fill="auto"/>
        <w:kinsoku/>
        <w:wordWrap/>
        <w:overflowPunct/>
        <w:topLinePunct w:val="0"/>
        <w:bidi w:val="0"/>
        <w:snapToGrid/>
        <w:spacing w:line="480" w:lineRule="exact"/>
        <w:ind w:firstLine="600" w:firstLineChars="2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人民币（大写）</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2FEF15B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p w14:paraId="30B373D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（1）安全文明施工费</w:t>
      </w:r>
    </w:p>
    <w:p w14:paraId="142C5DDD">
      <w:pPr>
        <w:keepNext w:val="0"/>
        <w:keepLines w:val="0"/>
        <w:pageBreakBefore w:val="0"/>
        <w:widowControl/>
        <w:suppressLineNumbers w:val="0"/>
        <w:shd w:val="clear" w:color="auto" w:fill="auto"/>
        <w:kinsoku/>
        <w:wordWrap/>
        <w:overflowPunct/>
        <w:topLinePunct w:val="0"/>
        <w:bidi w:val="0"/>
        <w:snapToGrid/>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kern w:val="0"/>
          <w:sz w:val="24"/>
          <w:szCs w:val="24"/>
          <w:highlight w:val="none"/>
          <w:u w:val="single"/>
          <w:lang w:val="en-US" w:eastAsia="zh-CN" w:bidi="ar"/>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6A8047E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（2）材料和工程设备暂估价金额：</w:t>
      </w:r>
    </w:p>
    <w:p w14:paraId="60B31F9F">
      <w:pPr>
        <w:keepNext w:val="0"/>
        <w:keepLines w:val="0"/>
        <w:pageBreakBefore w:val="0"/>
        <w:shd w:val="clear" w:color="auto" w:fill="auto"/>
        <w:kinsoku/>
        <w:wordWrap/>
        <w:overflowPunct/>
        <w:topLinePunct w:val="0"/>
        <w:bidi w:val="0"/>
        <w:snapToGrid/>
        <w:spacing w:line="480" w:lineRule="exact"/>
        <w:ind w:firstLine="1080" w:firstLineChars="4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52E8BA1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（3）专业工程暂估价金额</w:t>
      </w:r>
    </w:p>
    <w:p w14:paraId="14455C07">
      <w:pPr>
        <w:keepNext w:val="0"/>
        <w:keepLines w:val="0"/>
        <w:pageBreakBefore w:val="0"/>
        <w:shd w:val="clear" w:color="auto" w:fill="auto"/>
        <w:kinsoku/>
        <w:wordWrap/>
        <w:overflowPunct/>
        <w:topLinePunct w:val="0"/>
        <w:bidi w:val="0"/>
        <w:snapToGrid/>
        <w:spacing w:line="480" w:lineRule="exact"/>
        <w:ind w:firstLine="1080" w:firstLineChars="4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3EA5994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（4）暂列金额：人民币（大写）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4136EEAF">
      <w:pPr>
        <w:keepNext w:val="0"/>
        <w:keepLines w:val="0"/>
        <w:pageBreakBefore w:val="0"/>
        <w:shd w:val="clear" w:color="auto" w:fill="auto"/>
        <w:kinsoku/>
        <w:wordWrap/>
        <w:overflowPunct/>
        <w:topLinePunct w:val="0"/>
        <w:bidi w:val="0"/>
        <w:snapToGrid/>
        <w:spacing w:line="480" w:lineRule="exact"/>
        <w:ind w:firstLine="720" w:firstLineChars="3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2.合同价格形式：</w:t>
      </w:r>
      <w:r>
        <w:rPr>
          <w:rFonts w:hint="default" w:ascii="Times New Roman" w:hAnsi="Times New Roman" w:eastAsia="宋体" w:cs="Times New Roman"/>
          <w:color w:val="auto"/>
          <w:sz w:val="24"/>
          <w:szCs w:val="24"/>
          <w:highlight w:val="none"/>
          <w:u w:val="single"/>
        </w:rPr>
        <w:t>单价合同。</w:t>
      </w:r>
    </w:p>
    <w:p w14:paraId="6F388BFC">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iCs/>
          <w:color w:val="auto"/>
          <w:sz w:val="24"/>
          <w:szCs w:val="24"/>
          <w:highlight w:val="none"/>
        </w:rPr>
      </w:pPr>
      <w:r>
        <w:rPr>
          <w:rFonts w:hint="default" w:ascii="Times New Roman" w:hAnsi="Times New Roman" w:eastAsia="宋体" w:cs="Times New Roman"/>
          <w:b/>
          <w:bCs/>
          <w:iCs/>
          <w:color w:val="auto"/>
          <w:sz w:val="24"/>
          <w:szCs w:val="24"/>
          <w:highlight w:val="none"/>
        </w:rPr>
        <w:t>五、项目经理</w:t>
      </w:r>
      <w:r>
        <w:rPr>
          <w:rFonts w:hint="default" w:ascii="Times New Roman" w:hAnsi="Times New Roman" w:eastAsia="宋体" w:cs="Times New Roman"/>
          <w:b/>
          <w:bCs/>
          <w:iCs/>
          <w:color w:val="auto"/>
          <w:sz w:val="24"/>
          <w:szCs w:val="24"/>
          <w:highlight w:val="none"/>
        </w:rPr>
        <w:tab/>
      </w:r>
    </w:p>
    <w:p w14:paraId="7FA3504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承包人项目经理：</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w:t>
      </w:r>
    </w:p>
    <w:p w14:paraId="1B501B1F">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六、合同文件构成</w:t>
      </w:r>
    </w:p>
    <w:p w14:paraId="4F73DEC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本协议书与下列文件一起构成合同文件：</w:t>
      </w:r>
    </w:p>
    <w:p w14:paraId="7BC395B7">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（1）中标通知书（如果有）；</w:t>
      </w:r>
    </w:p>
    <w:p w14:paraId="70CB8528">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（2）投标函及其附录（如果有）；</w:t>
      </w:r>
    </w:p>
    <w:p w14:paraId="6876C679">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（3）专用合同条款及其附件；</w:t>
      </w:r>
    </w:p>
    <w:p w14:paraId="104E80CA">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（4）通用合同条款；</w:t>
      </w:r>
    </w:p>
    <w:p w14:paraId="14F1C1EA">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（5）技术标准和要求；</w:t>
      </w:r>
    </w:p>
    <w:p w14:paraId="7777D09D">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（6）图纸；</w:t>
      </w:r>
    </w:p>
    <w:p w14:paraId="41A2E912">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（7）已标价工程量清单或预算书；</w:t>
      </w:r>
    </w:p>
    <w:p w14:paraId="00D6568E">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（8）其他合同文件。</w:t>
      </w:r>
    </w:p>
    <w:p w14:paraId="0779AEE3">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在合同订立及履行过程中形成的与合同有关的文件均构成合同文件组成部分。</w:t>
      </w:r>
    </w:p>
    <w:p w14:paraId="0CDC0D9B">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2E585A3">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七、承诺</w:t>
      </w:r>
    </w:p>
    <w:p w14:paraId="3112C4C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1.发包人承诺按照法律规定履行项目审批手续、筹集工程建设资金并按照合同约定的期限和方式支付合同价款。</w:t>
      </w:r>
    </w:p>
    <w:p w14:paraId="3C03499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379C5A5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3.发包人和承包人通过招投标形式签订合同的，双方理解并承诺不再就同一工程另行签订与合同实质性内容相背离的协议。</w:t>
      </w:r>
    </w:p>
    <w:p w14:paraId="7E4E66F2">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八、词语含义</w:t>
      </w:r>
    </w:p>
    <w:p w14:paraId="3D711E9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本协议书中词语含义与第二部分通用合同条款中赋予的含义相同。</w:t>
      </w:r>
    </w:p>
    <w:p w14:paraId="17644632">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九、签订时间</w:t>
      </w:r>
    </w:p>
    <w:p w14:paraId="10C4E76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本合同于</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年</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月</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rPr>
        <w:t>日签订。</w:t>
      </w:r>
    </w:p>
    <w:p w14:paraId="0999E20E">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iCs/>
          <w:color w:val="auto"/>
          <w:sz w:val="24"/>
          <w:szCs w:val="24"/>
          <w:highlight w:val="none"/>
        </w:rPr>
      </w:pPr>
      <w:r>
        <w:rPr>
          <w:rFonts w:hint="default" w:ascii="Times New Roman" w:hAnsi="Times New Roman" w:eastAsia="宋体" w:cs="Times New Roman"/>
          <w:b/>
          <w:bCs/>
          <w:iCs/>
          <w:color w:val="auto"/>
          <w:sz w:val="24"/>
          <w:szCs w:val="24"/>
          <w:highlight w:val="none"/>
        </w:rPr>
        <w:t>十、签订地点</w:t>
      </w:r>
    </w:p>
    <w:p w14:paraId="0907293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本合同在</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cs="Times New Roman"/>
          <w:b/>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签订。</w:t>
      </w:r>
    </w:p>
    <w:p w14:paraId="029BDFF5">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十一、补充协议</w:t>
      </w:r>
    </w:p>
    <w:p w14:paraId="4562A6C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合同未尽事宜，合同当事人另行签订补充协议，补充协议是合同的组成部分。</w:t>
      </w:r>
    </w:p>
    <w:p w14:paraId="26A4F76F">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十二、合同生效</w:t>
      </w:r>
    </w:p>
    <w:p w14:paraId="36361B63">
      <w:pPr>
        <w:keepNext w:val="0"/>
        <w:keepLines w:val="0"/>
        <w:pageBreakBefore w:val="0"/>
        <w:shd w:val="clear" w:color="auto" w:fill="auto"/>
        <w:kinsoku/>
        <w:wordWrap/>
        <w:overflowPunct/>
        <w:topLinePunct w:val="0"/>
        <w:bidi w:val="0"/>
        <w:snapToGrid/>
        <w:spacing w:line="480" w:lineRule="exact"/>
        <w:ind w:left="42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本合同自</w:t>
      </w:r>
      <w:r>
        <w:rPr>
          <w:rFonts w:hint="default" w:ascii="Times New Roman" w:hAnsi="Times New Roman" w:eastAsia="宋体" w:cs="Times New Roman"/>
          <w:bCs/>
          <w:color w:val="auto"/>
          <w:sz w:val="24"/>
          <w:szCs w:val="24"/>
          <w:highlight w:val="none"/>
          <w:u w:val="single"/>
        </w:rPr>
        <w:t xml:space="preserve">  双方签字、盖章  </w:t>
      </w:r>
      <w:r>
        <w:rPr>
          <w:rFonts w:hint="default" w:ascii="Times New Roman" w:hAnsi="Times New Roman" w:eastAsia="宋体" w:cs="Times New Roman"/>
          <w:bCs/>
          <w:color w:val="auto"/>
          <w:sz w:val="24"/>
          <w:szCs w:val="24"/>
          <w:highlight w:val="none"/>
        </w:rPr>
        <w:t>生效。</w:t>
      </w:r>
    </w:p>
    <w:p w14:paraId="46812958">
      <w:pPr>
        <w:keepNext w:val="0"/>
        <w:keepLines w:val="0"/>
        <w:pageBreakBefore w:val="0"/>
        <w:shd w:val="clear" w:color="auto" w:fill="auto"/>
        <w:kinsoku/>
        <w:wordWrap/>
        <w:overflowPunct/>
        <w:topLinePunct w:val="0"/>
        <w:bidi w:val="0"/>
        <w:snapToGrid/>
        <w:spacing w:line="480" w:lineRule="exact"/>
        <w:ind w:lef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本合同生效后，如任何一方违约，守约方为维护权益，向违约方追偿的一切费用包括但不限于律师费，诉讼费，保全申请费，保全保险费，鉴定费，差旅费等由违约方承担。</w:t>
      </w:r>
    </w:p>
    <w:p w14:paraId="6AA00606">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iCs/>
          <w:color w:val="auto"/>
          <w:sz w:val="24"/>
          <w:szCs w:val="24"/>
          <w:highlight w:val="none"/>
        </w:rPr>
      </w:pPr>
      <w:r>
        <w:rPr>
          <w:rFonts w:hint="default" w:ascii="Times New Roman" w:hAnsi="Times New Roman" w:eastAsia="宋体" w:cs="Times New Roman"/>
          <w:b/>
          <w:iCs/>
          <w:color w:val="auto"/>
          <w:sz w:val="24"/>
          <w:szCs w:val="24"/>
          <w:highlight w:val="none"/>
        </w:rPr>
        <w:t xml:space="preserve"> 十三、合同份数</w:t>
      </w:r>
    </w:p>
    <w:p w14:paraId="3C2B3F0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本合同一式</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份，均具有同等法律效力，发包人执</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份，承包人执</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lang w:val="en-US" w:eastAsia="zh-CN"/>
        </w:rPr>
        <w:t xml:space="preserve"> </w:t>
      </w: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份。</w:t>
      </w:r>
    </w:p>
    <w:p w14:paraId="3EC5AA9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bCs/>
          <w:color w:val="auto"/>
          <w:sz w:val="24"/>
          <w:szCs w:val="24"/>
          <w:highlight w:val="none"/>
        </w:rPr>
      </w:pPr>
    </w:p>
    <w:p w14:paraId="42C8BB8E">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发包人：新疆农业职业技术</w:t>
      </w:r>
      <w:r>
        <w:rPr>
          <w:rFonts w:hint="default" w:ascii="Times New Roman" w:hAnsi="Times New Roman" w:eastAsia="宋体" w:cs="Times New Roman"/>
          <w:color w:val="auto"/>
          <w:kern w:val="0"/>
          <w:sz w:val="24"/>
          <w:szCs w:val="24"/>
          <w:highlight w:val="none"/>
          <w:lang w:val="en-US" w:eastAsia="zh-CN"/>
        </w:rPr>
        <w:t>大学</w:t>
      </w:r>
      <w:r>
        <w:rPr>
          <w:rFonts w:hint="default" w:ascii="Times New Roman" w:hAnsi="Times New Roman" w:eastAsia="宋体" w:cs="Times New Roman"/>
          <w:color w:val="auto"/>
          <w:kern w:val="0"/>
          <w:sz w:val="24"/>
          <w:szCs w:val="24"/>
          <w:highlight w:val="none"/>
        </w:rPr>
        <w:t xml:space="preserve">（公章）     承包人（盖章）： </w:t>
      </w:r>
    </w:p>
    <w:p w14:paraId="2DA69751">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法定代表人签字（盖章）：               </w:t>
      </w:r>
      <w:r>
        <w:rPr>
          <w:rFonts w:hint="eastAsia"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  法定代表人签字（盖章）：</w:t>
      </w:r>
    </w:p>
    <w:p w14:paraId="17B68F2B">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委托代理人签字：                    </w:t>
      </w:r>
      <w:r>
        <w:rPr>
          <w:rFonts w:hint="eastAsia"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     委托代理人签字：</w:t>
      </w:r>
    </w:p>
    <w:p w14:paraId="0909C2A2">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电话：                                 </w:t>
      </w:r>
      <w:r>
        <w:rPr>
          <w:rFonts w:hint="eastAsia"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电话：</w:t>
      </w:r>
    </w:p>
    <w:p w14:paraId="729775E8">
      <w:pPr>
        <w:keepNext w:val="0"/>
        <w:keepLines w:val="0"/>
        <w:pageBreakBefore w:val="0"/>
        <w:widowControl/>
        <w:shd w:val="clear" w:color="auto" w:fill="auto"/>
        <w:kinsoku/>
        <w:wordWrap/>
        <w:overflowPunct/>
        <w:topLinePunct w:val="0"/>
        <w:bidi w:val="0"/>
        <w:snapToGrid/>
        <w:spacing w:line="480" w:lineRule="exact"/>
        <w:ind w:left="6905" w:leftChars="88" w:hanging="6720" w:hangingChars="2800"/>
        <w:textAlignment w:val="auto"/>
        <w:rPr>
          <w:rFonts w:hint="default" w:ascii="Times New Roman" w:hAnsi="Times New Roman" w:eastAsia="宋体" w:cs="Times New Roman"/>
          <w:bCs/>
          <w:color w:val="auto"/>
          <w:spacing w:val="-14"/>
          <w:kern w:val="0"/>
          <w:sz w:val="24"/>
          <w:szCs w:val="24"/>
          <w:highlight w:val="none"/>
        </w:rPr>
      </w:pPr>
      <w:r>
        <w:rPr>
          <w:rFonts w:hint="default" w:ascii="Times New Roman" w:hAnsi="Times New Roman" w:eastAsia="宋体" w:cs="Times New Roman"/>
          <w:color w:val="auto"/>
          <w:kern w:val="0"/>
          <w:sz w:val="24"/>
          <w:szCs w:val="24"/>
          <w:highlight w:val="none"/>
        </w:rPr>
        <w:t xml:space="preserve">单位地址：                              </w:t>
      </w:r>
      <w:r>
        <w:rPr>
          <w:rFonts w:hint="eastAsia"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单位地址：</w:t>
      </w:r>
      <w:r>
        <w:rPr>
          <w:rFonts w:hint="default" w:ascii="Times New Roman" w:hAnsi="Times New Roman" w:eastAsia="宋体" w:cs="Times New Roman"/>
          <w:bCs/>
          <w:color w:val="auto"/>
          <w:spacing w:val="-14"/>
          <w:kern w:val="0"/>
          <w:sz w:val="24"/>
          <w:szCs w:val="24"/>
          <w:highlight w:val="none"/>
        </w:rPr>
        <w:t xml:space="preserve"> </w:t>
      </w:r>
    </w:p>
    <w:p w14:paraId="123C70DA">
      <w:pPr>
        <w:keepNext w:val="0"/>
        <w:keepLines w:val="0"/>
        <w:pageBreakBefore w:val="0"/>
        <w:widowControl/>
        <w:shd w:val="clear" w:color="auto" w:fill="auto"/>
        <w:kinsoku/>
        <w:wordWrap/>
        <w:overflowPunct/>
        <w:topLinePunct w:val="0"/>
        <w:bidi w:val="0"/>
        <w:snapToGrid/>
        <w:spacing w:line="480" w:lineRule="exact"/>
        <w:ind w:left="6121" w:leftChars="88" w:hanging="5936" w:hangingChars="2800"/>
        <w:textAlignment w:val="auto"/>
        <w:rPr>
          <w:rFonts w:hint="default" w:ascii="Times New Roman" w:hAnsi="Times New Roman" w:eastAsia="宋体" w:cs="Times New Roman"/>
          <w:bCs/>
          <w:color w:val="auto"/>
          <w:spacing w:val="-14"/>
          <w:kern w:val="0"/>
          <w:sz w:val="24"/>
          <w:szCs w:val="24"/>
          <w:highlight w:val="none"/>
        </w:rPr>
      </w:pPr>
      <w:r>
        <w:rPr>
          <w:rFonts w:hint="default" w:ascii="Times New Roman" w:hAnsi="Times New Roman" w:eastAsia="宋体" w:cs="Times New Roman"/>
          <w:bCs/>
          <w:color w:val="auto"/>
          <w:spacing w:val="-14"/>
          <w:kern w:val="0"/>
          <w:sz w:val="24"/>
          <w:szCs w:val="24"/>
          <w:highlight w:val="none"/>
        </w:rPr>
        <w:t xml:space="preserve">组织机构代码、税号：                      </w:t>
      </w:r>
      <w:r>
        <w:rPr>
          <w:rFonts w:hint="default" w:ascii="Times New Roman" w:hAnsi="Times New Roman" w:eastAsia="宋体" w:cs="Times New Roman"/>
          <w:bCs/>
          <w:color w:val="auto"/>
          <w:spacing w:val="-14"/>
          <w:kern w:val="0"/>
          <w:sz w:val="24"/>
          <w:szCs w:val="24"/>
          <w:highlight w:val="none"/>
          <w:lang w:val="en-US" w:eastAsia="zh-CN"/>
        </w:rPr>
        <w:t xml:space="preserve"> </w:t>
      </w:r>
      <w:r>
        <w:rPr>
          <w:rFonts w:hint="eastAsia" w:ascii="Times New Roman" w:hAnsi="Times New Roman" w:eastAsia="宋体" w:cs="Times New Roman"/>
          <w:bCs/>
          <w:color w:val="auto"/>
          <w:spacing w:val="-14"/>
          <w:kern w:val="0"/>
          <w:sz w:val="24"/>
          <w:szCs w:val="24"/>
          <w:highlight w:val="none"/>
          <w:lang w:val="en-US" w:eastAsia="zh-CN"/>
        </w:rPr>
        <w:t xml:space="preserve">                        </w:t>
      </w:r>
      <w:r>
        <w:rPr>
          <w:rFonts w:hint="default" w:ascii="Times New Roman" w:hAnsi="Times New Roman" w:eastAsia="宋体" w:cs="Times New Roman"/>
          <w:bCs/>
          <w:color w:val="auto"/>
          <w:spacing w:val="-14"/>
          <w:kern w:val="0"/>
          <w:sz w:val="24"/>
          <w:szCs w:val="24"/>
          <w:highlight w:val="none"/>
          <w:lang w:val="en-US" w:eastAsia="zh-CN"/>
        </w:rPr>
        <w:t xml:space="preserve">   </w:t>
      </w:r>
      <w:r>
        <w:rPr>
          <w:rFonts w:hint="default" w:ascii="Times New Roman" w:hAnsi="Times New Roman" w:eastAsia="宋体" w:cs="Times New Roman"/>
          <w:bCs/>
          <w:color w:val="auto"/>
          <w:spacing w:val="-14"/>
          <w:kern w:val="0"/>
          <w:sz w:val="24"/>
          <w:szCs w:val="24"/>
          <w:highlight w:val="none"/>
        </w:rPr>
        <w:t xml:space="preserve">   组织机构代码、税号：</w:t>
      </w:r>
    </w:p>
    <w:p w14:paraId="5B5B9236">
      <w:pPr>
        <w:keepNext w:val="0"/>
        <w:keepLines w:val="0"/>
        <w:pageBreakBefore w:val="0"/>
        <w:widowControl/>
        <w:shd w:val="clear" w:color="auto" w:fill="auto"/>
        <w:kinsoku/>
        <w:wordWrap/>
        <w:overflowPunct/>
        <w:topLinePunct w:val="0"/>
        <w:bidi w:val="0"/>
        <w:snapToGrid/>
        <w:spacing w:line="480" w:lineRule="exact"/>
        <w:ind w:left="6690" w:leftChars="100" w:hanging="6480" w:hangingChars="27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开户银行：                          </w:t>
      </w:r>
      <w:r>
        <w:rPr>
          <w:rFonts w:hint="eastAsia"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    开户银行： </w:t>
      </w:r>
    </w:p>
    <w:p w14:paraId="1F769756">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账</w:t>
      </w:r>
      <w:r>
        <w:rPr>
          <w:rFonts w:hint="default" w:ascii="Times New Roman" w:hAnsi="Times New Roman" w:eastAsia="宋体" w:cs="Times New Roman"/>
          <w:color w:val="auto"/>
          <w:kern w:val="0"/>
          <w:sz w:val="24"/>
          <w:szCs w:val="24"/>
          <w:highlight w:val="none"/>
        </w:rPr>
        <w:t xml:space="preserve">   号：                              </w:t>
      </w:r>
      <w:r>
        <w:rPr>
          <w:rFonts w:hint="eastAsia"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 </w:t>
      </w:r>
      <w:r>
        <w:rPr>
          <w:rFonts w:hint="default" w:ascii="Times New Roman" w:hAnsi="Times New Roman" w:eastAsia="宋体" w:cs="Times New Roman"/>
          <w:color w:val="auto"/>
          <w:kern w:val="0"/>
          <w:sz w:val="24"/>
          <w:szCs w:val="24"/>
          <w:highlight w:val="none"/>
          <w:lang w:val="en-US" w:eastAsia="zh-CN"/>
        </w:rPr>
        <w:t>账</w:t>
      </w:r>
      <w:r>
        <w:rPr>
          <w:rFonts w:hint="default" w:ascii="Times New Roman" w:hAnsi="Times New Roman" w:eastAsia="宋体" w:cs="Times New Roman"/>
          <w:color w:val="auto"/>
          <w:kern w:val="0"/>
          <w:sz w:val="24"/>
          <w:szCs w:val="24"/>
          <w:highlight w:val="none"/>
        </w:rPr>
        <w:t xml:space="preserve">    号：</w:t>
      </w:r>
    </w:p>
    <w:p w14:paraId="575F8F58">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联系电话：                      </w:t>
      </w:r>
      <w:r>
        <w:rPr>
          <w:rFonts w:hint="eastAsia"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        联系电话：</w:t>
      </w:r>
    </w:p>
    <w:p w14:paraId="6AB1350C">
      <w:pPr>
        <w:keepNext w:val="0"/>
        <w:keepLines w:val="0"/>
        <w:pageBreakBefore w:val="0"/>
        <w:widowControl/>
        <w:shd w:val="clear" w:color="auto" w:fill="auto"/>
        <w:kinsoku/>
        <w:wordWrap/>
        <w:overflowPunct/>
        <w:topLinePunct w:val="0"/>
        <w:bidi w:val="0"/>
        <w:snapToGrid/>
        <w:spacing w:line="480" w:lineRule="exact"/>
        <w:ind w:firstLine="240" w:firstLineChars="1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传    真：                        </w:t>
      </w:r>
      <w:r>
        <w:rPr>
          <w:rFonts w:hint="eastAsia"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rPr>
        <w:t xml:space="preserve">      传    真：</w:t>
      </w:r>
    </w:p>
    <w:p w14:paraId="755DB42A">
      <w:pPr>
        <w:shd w:val="clear" w:color="auto" w:fill="auto"/>
        <w:bidi w:val="0"/>
        <w:jc w:val="center"/>
        <w:rPr>
          <w:rFonts w:hint="default"/>
          <w:b/>
          <w:bCs/>
          <w:color w:val="auto"/>
          <w:highlight w:val="none"/>
        </w:rPr>
      </w:pPr>
      <w:bookmarkStart w:id="16" w:name="_Toc1867"/>
      <w:bookmarkStart w:id="17" w:name="_Toc13562"/>
      <w:r>
        <w:rPr>
          <w:rFonts w:hint="default" w:ascii="Times New Roman" w:hAnsi="Times New Roman" w:eastAsia="宋体" w:cs="Times New Roman"/>
          <w:color w:val="auto"/>
          <w:szCs w:val="24"/>
          <w:highlight w:val="none"/>
        </w:rPr>
        <w:br w:type="page"/>
      </w:r>
      <w:r>
        <w:rPr>
          <w:rFonts w:hint="default"/>
          <w:b/>
          <w:bCs/>
          <w:color w:val="auto"/>
          <w:highlight w:val="none"/>
        </w:rPr>
        <w:t>第二部分 通用合同条款</w:t>
      </w:r>
      <w:bookmarkEnd w:id="16"/>
      <w:bookmarkEnd w:id="17"/>
    </w:p>
    <w:p w14:paraId="53133F28">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20"/>
        <w:jc w:val="center"/>
        <w:textAlignment w:val="auto"/>
        <w:rPr>
          <w:rFonts w:hint="default" w:ascii="Times New Roman" w:hAnsi="Times New Roman" w:eastAsia="宋体" w:cs="Times New Roman"/>
          <w:b/>
          <w:color w:val="auto"/>
          <w:sz w:val="24"/>
          <w:szCs w:val="24"/>
          <w:highlight w:val="none"/>
          <w:lang w:val="zh-CN"/>
        </w:rPr>
      </w:pPr>
    </w:p>
    <w:p w14:paraId="6F72125C">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执行《建设工程施工合同（示范文本）》（GF-2017-0201）通用合同条款。</w:t>
      </w:r>
    </w:p>
    <w:p w14:paraId="60F59608">
      <w:pPr>
        <w:keepNext w:val="0"/>
        <w:keepLines w:val="0"/>
        <w:pageBreakBefore w:val="0"/>
        <w:shd w:val="clear" w:color="auto" w:fill="auto"/>
        <w:kinsoku/>
        <w:wordWrap/>
        <w:overflowPunct/>
        <w:topLinePunct w:val="0"/>
        <w:bidi w:val="0"/>
        <w:snapToGrid/>
        <w:spacing w:line="480" w:lineRule="exact"/>
        <w:ind w:firstLine="420" w:firstLineChars="175"/>
        <w:textAlignment w:val="auto"/>
        <w:rPr>
          <w:rFonts w:hint="default" w:ascii="Times New Roman" w:hAnsi="Times New Roman" w:eastAsia="宋体" w:cs="Times New Roman"/>
          <w:color w:val="auto"/>
          <w:sz w:val="24"/>
          <w:szCs w:val="24"/>
          <w:highlight w:val="none"/>
        </w:rPr>
      </w:pPr>
    </w:p>
    <w:p w14:paraId="4A28112F">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6E1D3C10">
      <w:pPr>
        <w:keepNext w:val="0"/>
        <w:keepLines w:val="0"/>
        <w:pageBreakBefore w:val="0"/>
        <w:shd w:val="clear" w:color="auto" w:fill="auto"/>
        <w:kinsoku/>
        <w:wordWrap/>
        <w:overflowPunct/>
        <w:topLinePunct w:val="0"/>
        <w:bidi w:val="0"/>
        <w:snapToGrid/>
        <w:spacing w:line="48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br w:type="page"/>
      </w:r>
      <w:bookmarkStart w:id="18" w:name="_Toc32404"/>
      <w:bookmarkStart w:id="19" w:name="_Toc2460"/>
      <w:r>
        <w:rPr>
          <w:rFonts w:hint="default" w:ascii="Times New Roman" w:hAnsi="Times New Roman" w:eastAsia="宋体" w:cs="Times New Roman"/>
          <w:b/>
          <w:color w:val="auto"/>
          <w:sz w:val="24"/>
          <w:szCs w:val="24"/>
          <w:highlight w:val="none"/>
        </w:rPr>
        <w:t>第三部分 专用合同条款</w:t>
      </w:r>
      <w:bookmarkEnd w:id="18"/>
      <w:bookmarkEnd w:id="19"/>
    </w:p>
    <w:p w14:paraId="21584FD1">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p>
    <w:p w14:paraId="483D8B2F">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 一般约定</w:t>
      </w:r>
    </w:p>
    <w:p w14:paraId="3D0150B8">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 词语定义</w:t>
      </w:r>
    </w:p>
    <w:p w14:paraId="03A3331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1.1.1合同</w:t>
      </w:r>
    </w:p>
    <w:p w14:paraId="0245C4AC">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1.1.1.10其他合同文件包括：</w:t>
      </w:r>
      <w:r>
        <w:rPr>
          <w:rFonts w:hint="default" w:ascii="Times New Roman" w:hAnsi="Times New Roman" w:eastAsia="宋体" w:cs="Times New Roman"/>
          <w:color w:val="auto"/>
          <w:sz w:val="24"/>
          <w:szCs w:val="24"/>
          <w:highlight w:val="none"/>
          <w:u w:val="single"/>
        </w:rPr>
        <w:t>施工组织设计、招标文件（含澄清文件、暂列金、暂估价）、洽谈记录、会议纪要、图纸会审记录、发包人相关制度、施工过程中的专项施工方案、廉政协议等</w:t>
      </w:r>
      <w:r>
        <w:rPr>
          <w:rFonts w:hint="default" w:ascii="Times New Roman" w:hAnsi="Times New Roman" w:eastAsia="宋体" w:cs="Times New Roman"/>
          <w:color w:val="auto"/>
          <w:sz w:val="24"/>
          <w:szCs w:val="24"/>
          <w:highlight w:val="none"/>
        </w:rPr>
        <w:t>。</w:t>
      </w:r>
    </w:p>
    <w:p w14:paraId="597110D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 合同当事人及其他相关方</w:t>
      </w:r>
    </w:p>
    <w:p w14:paraId="61C9DAEF">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1.1.2.4监理人：</w:t>
      </w:r>
    </w:p>
    <w:p w14:paraId="1FECF3C4">
      <w:pPr>
        <w:keepNext w:val="0"/>
        <w:keepLines w:val="0"/>
        <w:pageBreakBefore w:val="0"/>
        <w:widowControl/>
        <w:suppressLineNumbers w:val="0"/>
        <w:shd w:val="clear" w:color="auto" w:fill="auto"/>
        <w:kinsoku/>
        <w:wordWrap/>
        <w:overflowPunct/>
        <w:topLinePunct w:val="0"/>
        <w:autoSpaceDE w:val="0"/>
        <w:autoSpaceDN w:val="0"/>
        <w:bidi w:val="0"/>
        <w:adjustRightInd w:val="0"/>
        <w:snapToGrid/>
        <w:spacing w:line="44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3319730F">
      <w:pPr>
        <w:keepNext w:val="0"/>
        <w:keepLines w:val="0"/>
        <w:pageBreakBefore w:val="0"/>
        <w:widowControl/>
        <w:suppressLineNumbers w:val="0"/>
        <w:shd w:val="clear" w:color="auto" w:fill="auto"/>
        <w:kinsoku/>
        <w:wordWrap/>
        <w:overflowPunct/>
        <w:topLinePunct w:val="0"/>
        <w:autoSpaceDE w:val="0"/>
        <w:autoSpaceDN w:val="0"/>
        <w:bidi w:val="0"/>
        <w:adjustRightInd w:val="0"/>
        <w:snapToGrid/>
        <w:spacing w:line="44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资质类别和等级：</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E9C1868">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联系电话：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5CA9D9C">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电子信箱：</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20773BE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通信地址：</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w:t>
      </w:r>
    </w:p>
    <w:p w14:paraId="56883C27">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1.1.2.5 设计人：</w:t>
      </w:r>
    </w:p>
    <w:p w14:paraId="627E5785">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3BAF42B8">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资质类别和等级：</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69D28F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25F45DCC">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电子信箱：</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A3CF73D">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通信地址：</w:t>
      </w:r>
      <w:r>
        <w:rPr>
          <w:rFonts w:hint="default" w:ascii="Times New Roman" w:hAnsi="Times New Roman" w:eastAsia="宋体" w:cs="Times New Roman"/>
          <w:color w:val="auto"/>
          <w:sz w:val="24"/>
          <w:szCs w:val="24"/>
          <w:highlight w:val="none"/>
          <w:u w:val="single"/>
        </w:rPr>
        <w:t xml:space="preserve">                            。</w:t>
      </w:r>
    </w:p>
    <w:p w14:paraId="3DBEACE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 工程和设备</w:t>
      </w:r>
    </w:p>
    <w:p w14:paraId="181B0E4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1.1.3.7 作为施工现场组成部分的其他场所包括：</w:t>
      </w:r>
      <w:r>
        <w:rPr>
          <w:rFonts w:hint="default" w:ascii="Times New Roman" w:hAnsi="Times New Roman" w:eastAsia="宋体" w:cs="Times New Roman"/>
          <w:color w:val="auto"/>
          <w:sz w:val="24"/>
          <w:szCs w:val="24"/>
          <w:highlight w:val="none"/>
          <w:u w:val="single"/>
        </w:rPr>
        <w:t xml:space="preserve">生活、办公等临时设施及设备、材料加工、堆放场地  </w:t>
      </w:r>
      <w:r>
        <w:rPr>
          <w:rFonts w:hint="default" w:ascii="Times New Roman" w:hAnsi="Times New Roman" w:eastAsia="宋体" w:cs="Times New Roman"/>
          <w:color w:val="auto"/>
          <w:sz w:val="24"/>
          <w:szCs w:val="24"/>
          <w:highlight w:val="none"/>
        </w:rPr>
        <w:t>。</w:t>
      </w:r>
    </w:p>
    <w:p w14:paraId="1BD3F409">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1.1.3.9 永久占地包括：</w:t>
      </w:r>
      <w:r>
        <w:rPr>
          <w:rFonts w:hint="default" w:ascii="Times New Roman" w:hAnsi="Times New Roman" w:eastAsia="宋体" w:cs="Times New Roman"/>
          <w:color w:val="auto"/>
          <w:sz w:val="24"/>
          <w:szCs w:val="24"/>
          <w:highlight w:val="none"/>
          <w:u w:val="single"/>
        </w:rPr>
        <w:t>工程建设用地红线范围内的</w:t>
      </w:r>
      <w:r>
        <w:rPr>
          <w:rFonts w:hint="default" w:ascii="Times New Roman" w:hAnsi="Times New Roman" w:eastAsia="宋体" w:cs="Times New Roman"/>
          <w:color w:val="auto"/>
          <w:sz w:val="24"/>
          <w:szCs w:val="24"/>
          <w:highlight w:val="none"/>
          <w:u w:val="single"/>
          <w:lang w:val="en-US" w:eastAsia="zh-CN"/>
        </w:rPr>
        <w:t>所有</w:t>
      </w:r>
      <w:r>
        <w:rPr>
          <w:rFonts w:hint="default" w:ascii="Times New Roman" w:hAnsi="Times New Roman" w:eastAsia="宋体" w:cs="Times New Roman"/>
          <w:color w:val="auto"/>
          <w:sz w:val="24"/>
          <w:szCs w:val="24"/>
          <w:highlight w:val="none"/>
          <w:u w:val="single"/>
        </w:rPr>
        <w:t xml:space="preserve">用地   </w:t>
      </w:r>
      <w:r>
        <w:rPr>
          <w:rFonts w:hint="default" w:ascii="Times New Roman" w:hAnsi="Times New Roman" w:eastAsia="宋体" w:cs="Times New Roman"/>
          <w:color w:val="auto"/>
          <w:sz w:val="24"/>
          <w:szCs w:val="24"/>
          <w:highlight w:val="none"/>
        </w:rPr>
        <w:t>。</w:t>
      </w:r>
    </w:p>
    <w:p w14:paraId="35C1F940">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1.1.3.10 临时占地包括：</w:t>
      </w:r>
      <w:r>
        <w:rPr>
          <w:rFonts w:hint="default" w:ascii="Times New Roman" w:hAnsi="Times New Roman" w:eastAsia="宋体" w:cs="Times New Roman"/>
          <w:color w:val="auto"/>
          <w:sz w:val="24"/>
          <w:szCs w:val="24"/>
          <w:highlight w:val="none"/>
          <w:u w:val="single"/>
        </w:rPr>
        <w:t>生活、办公等临时设施及设备、材料加工，堆放场地</w:t>
      </w:r>
      <w:r>
        <w:rPr>
          <w:rFonts w:hint="default" w:ascii="Times New Roman" w:hAnsi="Times New Roman" w:eastAsia="宋体" w:cs="Times New Roman"/>
          <w:color w:val="auto"/>
          <w:sz w:val="24"/>
          <w:szCs w:val="24"/>
          <w:highlight w:val="none"/>
        </w:rPr>
        <w:t>。</w:t>
      </w:r>
    </w:p>
    <w:p w14:paraId="35F4E509">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1.3法律 </w:t>
      </w:r>
    </w:p>
    <w:p w14:paraId="227933DC">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left="0" w:leftChars="0"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适用于合同的其他规范性文件：</w:t>
      </w:r>
      <w:r>
        <w:rPr>
          <w:rFonts w:hint="default" w:ascii="Times New Roman" w:hAnsi="Times New Roman" w:eastAsia="宋体" w:cs="Times New Roman"/>
          <w:color w:val="auto"/>
          <w:sz w:val="24"/>
          <w:szCs w:val="24"/>
          <w:highlight w:val="none"/>
          <w:u w:val="single"/>
        </w:rPr>
        <w:t>《建筑法》《民法典》《安全生产法》《建设工程质量管理条例》等国家的法律法规及自治区和地方的有关规定。</w:t>
      </w:r>
    </w:p>
    <w:p w14:paraId="0AF54A6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 标准和规范</w:t>
      </w:r>
    </w:p>
    <w:p w14:paraId="7B998D6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1.4.1适用于工程的标准规范包括：</w:t>
      </w:r>
      <w:r>
        <w:rPr>
          <w:rFonts w:hint="default" w:ascii="Times New Roman" w:hAnsi="Times New Roman" w:eastAsia="宋体" w:cs="Times New Roman"/>
          <w:color w:val="auto"/>
          <w:sz w:val="24"/>
          <w:szCs w:val="24"/>
          <w:highlight w:val="none"/>
          <w:u w:val="single"/>
        </w:rPr>
        <w:t>执行建筑、市政等工程国家、自治区、州、市现行施工及验收规范标准以及材料设备所涉及的现行国家，省，市或行业的工程建设标准。</w:t>
      </w:r>
    </w:p>
    <w:p w14:paraId="64DFABBF">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1.4.2 发包人提供国外标准、规范的名称：</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3C215138">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发包人提供国外标准、规范的份数：</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B57C25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发包人提供国外标准、规范的名称：</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B2E6297">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left="596" w:leftChars="284"/>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1.4.3发包人对工程的技术标准和功能要求的特殊要求：</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9D3C5F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 合同文件的优先顺序</w:t>
      </w:r>
    </w:p>
    <w:p w14:paraId="48166F4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合同文件组成及优先顺序为：</w:t>
      </w:r>
      <w:r>
        <w:rPr>
          <w:rFonts w:hint="default" w:ascii="Times New Roman" w:hAnsi="Times New Roman" w:eastAsia="宋体" w:cs="Times New Roman"/>
          <w:color w:val="auto"/>
          <w:sz w:val="24"/>
          <w:szCs w:val="24"/>
          <w:highlight w:val="none"/>
          <w:u w:val="single"/>
        </w:rPr>
        <w:t xml:space="preserve">  执行</w:t>
      </w:r>
      <w:r>
        <w:rPr>
          <w:rFonts w:hint="default" w:ascii="Times New Roman" w:hAnsi="Times New Roman" w:eastAsia="宋体" w:cs="Times New Roman"/>
          <w:color w:val="auto"/>
          <w:sz w:val="24"/>
          <w:szCs w:val="24"/>
          <w:highlight w:val="none"/>
          <w:u w:val="single"/>
          <w:lang w:val="en-US"/>
        </w:rPr>
        <w:t>通用条款</w:t>
      </w:r>
      <w:r>
        <w:rPr>
          <w:rFonts w:hint="default" w:ascii="Times New Roman" w:hAnsi="Times New Roman" w:eastAsia="宋体" w:cs="Times New Roman"/>
          <w:color w:val="auto"/>
          <w:sz w:val="24"/>
          <w:szCs w:val="24"/>
          <w:highlight w:val="none"/>
          <w:u w:val="single"/>
        </w:rPr>
        <w:t xml:space="preserve">  </w:t>
      </w:r>
    </w:p>
    <w:p w14:paraId="66D6E3C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 图纸和承包人文件</w:t>
      </w:r>
      <w:r>
        <w:rPr>
          <w:rFonts w:hint="default" w:ascii="Times New Roman" w:hAnsi="Times New Roman" w:eastAsia="宋体" w:cs="Times New Roman"/>
          <w:color w:val="auto"/>
          <w:sz w:val="24"/>
          <w:szCs w:val="24"/>
          <w:highlight w:val="none"/>
        </w:rPr>
        <w:tab/>
      </w:r>
    </w:p>
    <w:p w14:paraId="5B5FFAC9">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 图纸的提供</w:t>
      </w:r>
    </w:p>
    <w:p w14:paraId="7867544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发包人向承包人提供图纸的期限：</w:t>
      </w:r>
      <w:r>
        <w:rPr>
          <w:rFonts w:hint="default" w:ascii="Times New Roman" w:hAnsi="Times New Roman" w:eastAsia="宋体" w:cs="Times New Roman"/>
          <w:color w:val="auto"/>
          <w:sz w:val="24"/>
          <w:szCs w:val="24"/>
          <w:highlight w:val="none"/>
          <w:u w:val="single"/>
        </w:rPr>
        <w:t xml:space="preserve">合同签订后七日内提供审查合格的施工图  </w:t>
      </w:r>
      <w:r>
        <w:rPr>
          <w:rFonts w:hint="default" w:ascii="Times New Roman" w:hAnsi="Times New Roman" w:eastAsia="宋体" w:cs="Times New Roman"/>
          <w:color w:val="auto"/>
          <w:sz w:val="24"/>
          <w:szCs w:val="24"/>
          <w:highlight w:val="none"/>
        </w:rPr>
        <w:t>。</w:t>
      </w:r>
    </w:p>
    <w:p w14:paraId="268949AC">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发包人向承包人提供图纸的数量：</w:t>
      </w:r>
      <w:r>
        <w:rPr>
          <w:rFonts w:hint="default" w:ascii="Times New Roman" w:hAnsi="Times New Roman" w:eastAsia="宋体" w:cs="Times New Roman"/>
          <w:color w:val="auto"/>
          <w:sz w:val="24"/>
          <w:szCs w:val="24"/>
          <w:highlight w:val="none"/>
          <w:u w:val="single"/>
        </w:rPr>
        <w:t xml:space="preserve">      2 套                </w:t>
      </w:r>
      <w:r>
        <w:rPr>
          <w:rFonts w:hint="default" w:ascii="Times New Roman" w:hAnsi="Times New Roman" w:eastAsia="宋体" w:cs="Times New Roman"/>
          <w:color w:val="auto"/>
          <w:sz w:val="24"/>
          <w:szCs w:val="24"/>
          <w:highlight w:val="none"/>
        </w:rPr>
        <w:t>。</w:t>
      </w:r>
    </w:p>
    <w:p w14:paraId="7062A29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发包人向承包人提供图纸的内容：</w:t>
      </w:r>
      <w:r>
        <w:rPr>
          <w:rFonts w:hint="default" w:ascii="Times New Roman" w:hAnsi="Times New Roman" w:eastAsia="宋体" w:cs="Times New Roman"/>
          <w:color w:val="auto"/>
          <w:sz w:val="24"/>
          <w:szCs w:val="24"/>
          <w:highlight w:val="none"/>
          <w:u w:val="single"/>
        </w:rPr>
        <w:t xml:space="preserve">    本合同发包内容中的全部图纸  </w:t>
      </w:r>
      <w:r>
        <w:rPr>
          <w:rFonts w:hint="default" w:ascii="Times New Roman" w:hAnsi="Times New Roman" w:eastAsia="宋体" w:cs="Times New Roman"/>
          <w:color w:val="auto"/>
          <w:sz w:val="24"/>
          <w:szCs w:val="24"/>
          <w:highlight w:val="none"/>
        </w:rPr>
        <w:t>。</w:t>
      </w:r>
    </w:p>
    <w:p w14:paraId="34C7251F">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1.6.4 承包人文件</w:t>
      </w:r>
    </w:p>
    <w:p w14:paraId="0A94743A">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需要由承包人提供的文件，包括：</w:t>
      </w:r>
      <w:r>
        <w:rPr>
          <w:rFonts w:hint="default" w:ascii="Times New Roman" w:hAnsi="Times New Roman" w:eastAsia="宋体" w:cs="Times New Roman"/>
          <w:color w:val="auto"/>
          <w:sz w:val="24"/>
          <w:szCs w:val="24"/>
          <w:highlight w:val="none"/>
          <w:u w:val="single"/>
        </w:rPr>
        <w:t xml:space="preserve">  开工前 3 日应提供完善的施工组织设计和安全专项方案，每月 25 日前提供下月完成工程量报表、月进度报表等。</w:t>
      </w:r>
    </w:p>
    <w:p w14:paraId="26794476">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承包人提供的文件的期限为：</w:t>
      </w:r>
      <w:r>
        <w:rPr>
          <w:rFonts w:hint="default" w:ascii="Times New Roman" w:hAnsi="Times New Roman" w:eastAsia="宋体" w:cs="Times New Roman"/>
          <w:color w:val="auto"/>
          <w:sz w:val="24"/>
          <w:szCs w:val="24"/>
          <w:highlight w:val="none"/>
          <w:u w:val="single"/>
        </w:rPr>
        <w:t xml:space="preserve"> 每月 25 日前                 。</w:t>
      </w:r>
    </w:p>
    <w:p w14:paraId="2AEFDF26">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承包人提供的文件的数量为：</w:t>
      </w:r>
      <w:r>
        <w:rPr>
          <w:rFonts w:hint="default" w:ascii="Times New Roman" w:hAnsi="Times New Roman" w:eastAsia="宋体" w:cs="Times New Roman"/>
          <w:color w:val="auto"/>
          <w:sz w:val="24"/>
          <w:szCs w:val="24"/>
          <w:highlight w:val="none"/>
          <w:u w:val="single"/>
        </w:rPr>
        <w:t xml:space="preserve">  8 份                      。</w:t>
      </w:r>
    </w:p>
    <w:p w14:paraId="52DFC35C">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承包人提供的文件的形式为：</w:t>
      </w:r>
      <w:r>
        <w:rPr>
          <w:rFonts w:hint="default" w:ascii="Times New Roman" w:hAnsi="Times New Roman" w:eastAsia="宋体" w:cs="Times New Roman"/>
          <w:color w:val="auto"/>
          <w:sz w:val="24"/>
          <w:szCs w:val="24"/>
          <w:highlight w:val="none"/>
          <w:u w:val="single"/>
        </w:rPr>
        <w:t>书面形式和电子文档           。</w:t>
      </w:r>
    </w:p>
    <w:p w14:paraId="00B0D9AB">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发包人审批承包人文件的期限：</w:t>
      </w:r>
      <w:r>
        <w:rPr>
          <w:rFonts w:hint="default" w:ascii="Times New Roman" w:hAnsi="Times New Roman" w:eastAsia="宋体" w:cs="Times New Roman"/>
          <w:color w:val="auto"/>
          <w:sz w:val="24"/>
          <w:szCs w:val="24"/>
          <w:highlight w:val="none"/>
          <w:u w:val="single"/>
        </w:rPr>
        <w:t>收到文件后 10 天内            。</w:t>
      </w:r>
    </w:p>
    <w:p w14:paraId="57C42FF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1.6.5 现场图纸准备</w:t>
      </w:r>
    </w:p>
    <w:p w14:paraId="74518D36">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关于现场图纸准备的约定：</w:t>
      </w:r>
      <w:r>
        <w:rPr>
          <w:rFonts w:hint="default" w:ascii="Times New Roman" w:hAnsi="Times New Roman" w:eastAsia="宋体" w:cs="Times New Roman"/>
          <w:color w:val="auto"/>
          <w:sz w:val="24"/>
          <w:szCs w:val="24"/>
          <w:highlight w:val="none"/>
          <w:u w:val="single"/>
        </w:rPr>
        <w:t>施工现场保留一套完整图纸供发包人、监理人及有关人员使用  。</w:t>
      </w:r>
    </w:p>
    <w:p w14:paraId="0273865F">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 联络</w:t>
      </w:r>
    </w:p>
    <w:p w14:paraId="1AE906F6">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1.7.1发包人和承包人应当在</w:t>
      </w:r>
      <w:r>
        <w:rPr>
          <w:rFonts w:hint="default" w:ascii="Times New Roman" w:hAnsi="Times New Roman" w:eastAsia="宋体" w:cs="Times New Roman"/>
          <w:color w:val="auto"/>
          <w:sz w:val="24"/>
          <w:szCs w:val="24"/>
          <w:highlight w:val="none"/>
          <w:u w:val="single"/>
        </w:rPr>
        <w:t xml:space="preserve">7  </w:t>
      </w:r>
      <w:r>
        <w:rPr>
          <w:rFonts w:hint="default" w:ascii="Times New Roman" w:hAnsi="Times New Roman" w:eastAsia="宋体" w:cs="Times New Roman"/>
          <w:color w:val="auto"/>
          <w:sz w:val="24"/>
          <w:szCs w:val="24"/>
          <w:highlight w:val="none"/>
        </w:rPr>
        <w:t>天内将与合同有关的通知、批准、证明、证书、指示、指令、要求、请求、同意、意见、确定和决定等书面函件送达对方当事人。</w:t>
      </w:r>
    </w:p>
    <w:p w14:paraId="33819E8C">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1.7.2 发包人接收文件的地点：</w:t>
      </w:r>
      <w:r>
        <w:rPr>
          <w:rFonts w:hint="default" w:ascii="Times New Roman" w:hAnsi="Times New Roman" w:eastAsia="宋体" w:cs="Times New Roman"/>
          <w:color w:val="auto"/>
          <w:sz w:val="24"/>
          <w:szCs w:val="24"/>
          <w:highlight w:val="none"/>
          <w:u w:val="single"/>
        </w:rPr>
        <w:t xml:space="preserve">   发包人办公场所；</w:t>
      </w:r>
    </w:p>
    <w:p w14:paraId="12AFBDDD">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发包人指定的接收人为：</w:t>
      </w:r>
      <w:r>
        <w:rPr>
          <w:rFonts w:hint="default" w:ascii="Times New Roman" w:hAnsi="Times New Roman" w:eastAsia="宋体" w:cs="Times New Roman"/>
          <w:color w:val="auto"/>
          <w:sz w:val="24"/>
          <w:szCs w:val="24"/>
          <w:highlight w:val="none"/>
          <w:u w:val="single"/>
        </w:rPr>
        <w:t xml:space="preserve">    发包人代表。</w:t>
      </w:r>
    </w:p>
    <w:p w14:paraId="39AA248D">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承包人接收文件的地点：</w:t>
      </w:r>
      <w:r>
        <w:rPr>
          <w:rFonts w:hint="default" w:ascii="Times New Roman" w:hAnsi="Times New Roman" w:eastAsia="宋体" w:cs="Times New Roman"/>
          <w:color w:val="auto"/>
          <w:sz w:val="24"/>
          <w:szCs w:val="24"/>
          <w:highlight w:val="none"/>
          <w:u w:val="single"/>
        </w:rPr>
        <w:t xml:space="preserve">     项目所在地承包人项目部；</w:t>
      </w:r>
    </w:p>
    <w:p w14:paraId="50122B1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承包人指定的接收人为：</w:t>
      </w:r>
      <w:r>
        <w:rPr>
          <w:rFonts w:hint="default" w:ascii="Times New Roman" w:hAnsi="Times New Roman" w:eastAsia="宋体" w:cs="Times New Roman"/>
          <w:color w:val="auto"/>
          <w:sz w:val="24"/>
          <w:szCs w:val="24"/>
          <w:highlight w:val="none"/>
          <w:u w:val="single"/>
        </w:rPr>
        <w:t xml:space="preserve">    项目经理    。</w:t>
      </w:r>
    </w:p>
    <w:p w14:paraId="35095277">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监理人接收文件的地点：</w:t>
      </w:r>
      <w:r>
        <w:rPr>
          <w:rFonts w:hint="default" w:ascii="Times New Roman" w:hAnsi="Times New Roman" w:eastAsia="宋体" w:cs="Times New Roman"/>
          <w:color w:val="auto"/>
          <w:sz w:val="24"/>
          <w:szCs w:val="24"/>
          <w:highlight w:val="none"/>
          <w:u w:val="single"/>
        </w:rPr>
        <w:t xml:space="preserve">  项目所在地监理人办公室   ；</w:t>
      </w:r>
    </w:p>
    <w:p w14:paraId="72ADE2EA">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监理人指定的接收人为：</w:t>
      </w:r>
      <w:r>
        <w:rPr>
          <w:rFonts w:hint="default" w:ascii="Times New Roman" w:hAnsi="Times New Roman" w:eastAsia="宋体" w:cs="Times New Roman"/>
          <w:color w:val="auto"/>
          <w:sz w:val="24"/>
          <w:szCs w:val="24"/>
          <w:highlight w:val="none"/>
          <w:u w:val="single"/>
        </w:rPr>
        <w:t xml:space="preserve">    总监理工程师  </w:t>
      </w:r>
      <w:r>
        <w:rPr>
          <w:rFonts w:hint="default" w:ascii="Times New Roman" w:hAnsi="Times New Roman" w:eastAsia="宋体" w:cs="Times New Roman"/>
          <w:color w:val="auto"/>
          <w:sz w:val="24"/>
          <w:szCs w:val="24"/>
          <w:highlight w:val="none"/>
        </w:rPr>
        <w:t>。</w:t>
      </w:r>
    </w:p>
    <w:p w14:paraId="0912D9CE">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1.10 交通运输</w:t>
      </w:r>
    </w:p>
    <w:p w14:paraId="3844122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1.10.1 出入现场的权利</w:t>
      </w:r>
    </w:p>
    <w:p w14:paraId="14C4304F">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关于出入现场的权利的约定：</w:t>
      </w:r>
      <w:r>
        <w:rPr>
          <w:rFonts w:hint="default" w:ascii="Times New Roman" w:hAnsi="Times New Roman" w:eastAsia="宋体" w:cs="Times New Roman"/>
          <w:color w:val="auto"/>
          <w:sz w:val="24"/>
          <w:szCs w:val="24"/>
          <w:highlight w:val="none"/>
          <w:u w:val="single"/>
        </w:rPr>
        <w:t xml:space="preserve">  根据施工需要，由承包方负责办理出入施工现场的相关手续、负责建设并承担相关费用</w:t>
      </w:r>
      <w:r>
        <w:rPr>
          <w:rFonts w:hint="default" w:ascii="Times New Roman" w:hAnsi="Times New Roman" w:eastAsia="宋体" w:cs="Times New Roman"/>
          <w:color w:val="auto"/>
          <w:sz w:val="24"/>
          <w:szCs w:val="24"/>
          <w:highlight w:val="none"/>
        </w:rPr>
        <w:t>。</w:t>
      </w:r>
    </w:p>
    <w:p w14:paraId="5117970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1.10.3 场内交通</w:t>
      </w:r>
    </w:p>
    <w:p w14:paraId="04A06B55">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关于场外交通和场内交通的边界的约定：</w:t>
      </w:r>
      <w:r>
        <w:rPr>
          <w:rFonts w:hint="default" w:ascii="Times New Roman" w:hAnsi="Times New Roman" w:eastAsia="宋体" w:cs="Times New Roman"/>
          <w:color w:val="auto"/>
          <w:sz w:val="24"/>
          <w:szCs w:val="24"/>
          <w:highlight w:val="none"/>
          <w:u w:val="single"/>
        </w:rPr>
        <w:t xml:space="preserve">   以规划红线为边界   。</w:t>
      </w:r>
    </w:p>
    <w:p w14:paraId="7805AC9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关于发包人向承包人免费提供满足工程施工需要的场内道路和交通设施的约定：</w:t>
      </w:r>
      <w:r>
        <w:rPr>
          <w:rFonts w:hint="default" w:ascii="Times New Roman" w:hAnsi="Times New Roman" w:eastAsia="宋体" w:cs="Times New Roman"/>
          <w:color w:val="auto"/>
          <w:sz w:val="24"/>
          <w:szCs w:val="24"/>
          <w:highlight w:val="none"/>
          <w:u w:val="single"/>
        </w:rPr>
        <w:t xml:space="preserve">    发包方协助，承包方办理并承担相应费用   。</w:t>
      </w:r>
      <w:r>
        <w:rPr>
          <w:rFonts w:hint="default" w:ascii="Times New Roman" w:hAnsi="Times New Roman" w:eastAsia="宋体" w:cs="Times New Roman"/>
          <w:color w:val="auto"/>
          <w:sz w:val="24"/>
          <w:szCs w:val="24"/>
          <w:highlight w:val="none"/>
        </w:rPr>
        <w:t xml:space="preserve">  </w:t>
      </w:r>
    </w:p>
    <w:p w14:paraId="648FA75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1.10.4超大件和超重件的运输</w:t>
      </w:r>
    </w:p>
    <w:p w14:paraId="130809EC">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运输超大件或超重件所需的道路和桥梁临时加固改造费用和其他有关费用由</w:t>
      </w:r>
      <w:r>
        <w:rPr>
          <w:rFonts w:hint="default" w:ascii="Times New Roman" w:hAnsi="Times New Roman" w:eastAsia="宋体" w:cs="Times New Roman"/>
          <w:color w:val="auto"/>
          <w:sz w:val="24"/>
          <w:szCs w:val="24"/>
          <w:highlight w:val="none"/>
          <w:u w:val="single"/>
        </w:rPr>
        <w:t xml:space="preserve">  承包人  </w:t>
      </w:r>
      <w:r>
        <w:rPr>
          <w:rFonts w:hint="default" w:ascii="Times New Roman" w:hAnsi="Times New Roman" w:eastAsia="宋体" w:cs="Times New Roman"/>
          <w:color w:val="auto"/>
          <w:sz w:val="24"/>
          <w:szCs w:val="24"/>
          <w:highlight w:val="none"/>
        </w:rPr>
        <w:t>承担。</w:t>
      </w:r>
    </w:p>
    <w:p w14:paraId="625ADCCB">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 知识产权</w:t>
      </w:r>
    </w:p>
    <w:p w14:paraId="4D6093B5">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宋体" w:cs="Times New Roman"/>
          <w:color w:val="auto"/>
          <w:sz w:val="24"/>
          <w:szCs w:val="24"/>
          <w:highlight w:val="none"/>
          <w:u w:val="single"/>
        </w:rPr>
        <w:t xml:space="preserve">  属于发包人</w:t>
      </w:r>
      <w:r>
        <w:rPr>
          <w:rFonts w:hint="default" w:ascii="Times New Roman" w:hAnsi="Times New Roman" w:eastAsia="宋体" w:cs="Times New Roman"/>
          <w:color w:val="auto"/>
          <w:sz w:val="24"/>
          <w:szCs w:val="24"/>
          <w:highlight w:val="none"/>
        </w:rPr>
        <w:t>。</w:t>
      </w:r>
    </w:p>
    <w:p w14:paraId="32CBFF66">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关于发包人提供的上述文件的使用限制的要求：</w:t>
      </w:r>
      <w:r>
        <w:rPr>
          <w:rFonts w:hint="default" w:ascii="Times New Roman" w:hAnsi="Times New Roman" w:eastAsia="宋体" w:cs="Times New Roman"/>
          <w:color w:val="auto"/>
          <w:sz w:val="24"/>
          <w:szCs w:val="24"/>
          <w:highlight w:val="none"/>
          <w:u w:val="single"/>
        </w:rPr>
        <w:t xml:space="preserve">   按通用条款执行  </w:t>
      </w:r>
      <w:r>
        <w:rPr>
          <w:rFonts w:hint="default" w:ascii="Times New Roman" w:hAnsi="Times New Roman" w:eastAsia="宋体" w:cs="Times New Roman"/>
          <w:color w:val="auto"/>
          <w:sz w:val="24"/>
          <w:szCs w:val="24"/>
          <w:highlight w:val="none"/>
        </w:rPr>
        <w:t>。</w:t>
      </w:r>
    </w:p>
    <w:p w14:paraId="5EF9914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1.11.2 关于承包人为实施工程所编制文件的著作权的归属：</w:t>
      </w:r>
      <w:r>
        <w:rPr>
          <w:rFonts w:hint="default" w:ascii="Times New Roman" w:hAnsi="Times New Roman" w:eastAsia="宋体" w:cs="Times New Roman"/>
          <w:color w:val="auto"/>
          <w:sz w:val="24"/>
          <w:szCs w:val="24"/>
          <w:highlight w:val="none"/>
          <w:u w:val="single"/>
        </w:rPr>
        <w:t xml:space="preserve">     按通用条款执行  </w:t>
      </w:r>
      <w:r>
        <w:rPr>
          <w:rFonts w:hint="default" w:ascii="Times New Roman" w:hAnsi="Times New Roman" w:eastAsia="宋体" w:cs="Times New Roman"/>
          <w:color w:val="auto"/>
          <w:sz w:val="24"/>
          <w:szCs w:val="24"/>
          <w:highlight w:val="none"/>
        </w:rPr>
        <w:t>。</w:t>
      </w:r>
    </w:p>
    <w:p w14:paraId="31AF277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关于承包人提供的上述文件的使用限制的要求：</w:t>
      </w:r>
      <w:r>
        <w:rPr>
          <w:rFonts w:hint="default" w:ascii="Times New Roman" w:hAnsi="Times New Roman" w:eastAsia="宋体" w:cs="Times New Roman"/>
          <w:color w:val="auto"/>
          <w:sz w:val="24"/>
          <w:szCs w:val="24"/>
          <w:highlight w:val="none"/>
          <w:u w:val="single"/>
        </w:rPr>
        <w:t xml:space="preserve">   承包人不得向与本工程无关的第三方提供本工程的图纸和资料，需要提供时，须经发包人书面同意</w:t>
      </w:r>
      <w:r>
        <w:rPr>
          <w:rFonts w:hint="default" w:ascii="Times New Roman" w:hAnsi="Times New Roman" w:eastAsia="宋体" w:cs="Times New Roman"/>
          <w:color w:val="auto"/>
          <w:sz w:val="24"/>
          <w:szCs w:val="24"/>
          <w:highlight w:val="none"/>
        </w:rPr>
        <w:t>。</w:t>
      </w:r>
    </w:p>
    <w:p w14:paraId="67E9DB77">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1.11.4 承包人在施工过程中所采用的专利、专有技术、技术秘密的使用费的承担方式：</w:t>
      </w:r>
      <w:r>
        <w:rPr>
          <w:rFonts w:hint="default" w:ascii="Times New Roman" w:hAnsi="Times New Roman" w:eastAsia="宋体" w:cs="Times New Roman"/>
          <w:color w:val="auto"/>
          <w:sz w:val="24"/>
          <w:szCs w:val="24"/>
          <w:highlight w:val="none"/>
          <w:u w:val="single"/>
        </w:rPr>
        <w:t xml:space="preserve">       包含在合同价中</w:t>
      </w:r>
      <w:r>
        <w:rPr>
          <w:rFonts w:hint="default" w:ascii="Times New Roman" w:hAnsi="Times New Roman" w:eastAsia="宋体" w:cs="Times New Roman"/>
          <w:color w:val="auto"/>
          <w:sz w:val="24"/>
          <w:szCs w:val="24"/>
          <w:highlight w:val="none"/>
        </w:rPr>
        <w:t>。</w:t>
      </w:r>
    </w:p>
    <w:p w14:paraId="4C172B7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1.13工程量清单错误的修正</w:t>
      </w:r>
    </w:p>
    <w:p w14:paraId="016717D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出现工程量清单错误时，是否调整合同价格：</w:t>
      </w:r>
      <w:r>
        <w:rPr>
          <w:rFonts w:hint="default" w:ascii="Times New Roman" w:hAnsi="Times New Roman" w:eastAsia="宋体" w:cs="Times New Roman"/>
          <w:color w:val="auto"/>
          <w:sz w:val="24"/>
          <w:szCs w:val="24"/>
          <w:highlight w:val="none"/>
          <w:u w:val="single"/>
        </w:rPr>
        <w:t>是</w:t>
      </w:r>
      <w:r>
        <w:rPr>
          <w:rFonts w:hint="default" w:ascii="Times New Roman" w:hAnsi="Times New Roman" w:eastAsia="宋体" w:cs="Times New Roman"/>
          <w:color w:val="auto"/>
          <w:sz w:val="24"/>
          <w:szCs w:val="24"/>
          <w:highlight w:val="none"/>
        </w:rPr>
        <w:t>。</w:t>
      </w:r>
    </w:p>
    <w:p w14:paraId="7D8FFDB9">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允许调整合同价格的工程量偏差范围：</w:t>
      </w:r>
      <w:r>
        <w:rPr>
          <w:rFonts w:hint="default" w:ascii="Times New Roman" w:hAnsi="Times New Roman" w:eastAsia="宋体" w:cs="Times New Roman"/>
          <w:color w:val="auto"/>
          <w:sz w:val="24"/>
          <w:szCs w:val="24"/>
          <w:highlight w:val="none"/>
          <w:u w:val="single"/>
        </w:rPr>
        <w:t>当工程量清单项目工程量的变化幅度在±15%（含15%）以内时，其综合单价不作调整，执行原有综合单价。当工程量清单项目工程量的变化幅度在±15%以外时，其综合单价调整方法为；工程量偏差+15%以上的部分执行原综合单价；工程量偏差-15%以下部分，减少后剩余部分执行原综合单价。当清单出现漏项项目，漏项造价超出投标总价（不含暂列金额）的5%时，5%以内（含5%）按当地预算定额进行结算。超出5%部分按当地预算定额取费后下浮10%结算。当确认变更的费用发生争议时，施工方不得以该争议作为怠工、停工等的理由，必须正常施工</w:t>
      </w:r>
      <w:r>
        <w:rPr>
          <w:rFonts w:hint="default" w:ascii="Times New Roman" w:hAnsi="Times New Roman" w:eastAsia="宋体" w:cs="Times New Roman"/>
          <w:color w:val="auto"/>
          <w:sz w:val="24"/>
          <w:szCs w:val="24"/>
          <w:highlight w:val="none"/>
        </w:rPr>
        <w:t>。</w:t>
      </w:r>
    </w:p>
    <w:p w14:paraId="301C6941">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 发包人</w:t>
      </w:r>
    </w:p>
    <w:p w14:paraId="77E4908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 发包人代表</w:t>
      </w:r>
    </w:p>
    <w:p w14:paraId="05127E1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发包人代表：</w:t>
      </w:r>
      <w:r>
        <w:rPr>
          <w:rFonts w:hint="default" w:ascii="Times New Roman" w:hAnsi="Times New Roman" w:eastAsia="宋体" w:cs="Times New Roman"/>
          <w:color w:val="auto"/>
          <w:sz w:val="24"/>
          <w:szCs w:val="24"/>
          <w:highlight w:val="none"/>
          <w:u w:val="single"/>
          <w:lang w:val="en-US" w:eastAsia="zh-CN"/>
        </w:rPr>
        <w:t xml:space="preserve">                          </w:t>
      </w:r>
    </w:p>
    <w:p w14:paraId="6143D7D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    名：</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4D8698A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身份证号：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9D0ACD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    务：</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36D74D1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62A332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电子信箱：</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09245A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通信地址：</w:t>
      </w:r>
      <w:r>
        <w:rPr>
          <w:rFonts w:hint="default" w:ascii="Times New Roman" w:hAnsi="Times New Roman" w:eastAsia="宋体" w:cs="Times New Roman"/>
          <w:color w:val="auto"/>
          <w:sz w:val="24"/>
          <w:szCs w:val="24"/>
          <w:highlight w:val="none"/>
          <w:u w:val="single"/>
        </w:rPr>
        <w:t xml:space="preserve">                         。</w:t>
      </w:r>
    </w:p>
    <w:p w14:paraId="28E7A69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发包人对发包人代表的授权范围如下：</w:t>
      </w:r>
      <w:r>
        <w:rPr>
          <w:rFonts w:hint="default" w:ascii="Times New Roman" w:hAnsi="Times New Roman" w:eastAsia="宋体" w:cs="Times New Roman"/>
          <w:color w:val="auto"/>
          <w:sz w:val="24"/>
          <w:szCs w:val="24"/>
          <w:highlight w:val="none"/>
          <w:u w:val="single"/>
        </w:rPr>
        <w:t xml:space="preserve">  协调各部门工作，施工现场全过程的质量、进度、安全、投资等进行全面协调管理。</w:t>
      </w:r>
    </w:p>
    <w:p w14:paraId="0450FBC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 施工现场、施工条件和基础资料的提供</w:t>
      </w:r>
    </w:p>
    <w:p w14:paraId="304D218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2.4.1 提供施工现场</w:t>
      </w:r>
    </w:p>
    <w:p w14:paraId="6EB4B3D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关于发包人移交施工现场的期限要求：</w:t>
      </w:r>
      <w:r>
        <w:rPr>
          <w:rFonts w:hint="default" w:ascii="Times New Roman" w:hAnsi="Times New Roman" w:eastAsia="宋体" w:cs="Times New Roman"/>
          <w:color w:val="auto"/>
          <w:sz w:val="24"/>
          <w:szCs w:val="24"/>
          <w:highlight w:val="none"/>
          <w:u w:val="single"/>
        </w:rPr>
        <w:t xml:space="preserve">  开工前七天 。</w:t>
      </w:r>
    </w:p>
    <w:p w14:paraId="5F62AF5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2.4.2 提供施工条件</w:t>
      </w:r>
    </w:p>
    <w:p w14:paraId="19CEB99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关于发包人应负责提供施工所需要的条件，包括：</w:t>
      </w:r>
      <w:r>
        <w:rPr>
          <w:rFonts w:hint="default" w:ascii="Times New Roman" w:hAnsi="Times New Roman" w:eastAsia="宋体" w:cs="Times New Roman"/>
          <w:color w:val="auto"/>
          <w:sz w:val="24"/>
          <w:szCs w:val="24"/>
          <w:highlight w:val="none"/>
          <w:u w:val="single"/>
        </w:rPr>
        <w:t xml:space="preserve">  发包人协调，承包人完成，费用包含在合同价中。 </w:t>
      </w:r>
    </w:p>
    <w:p w14:paraId="1BFB18E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2.5 资金来源证明及支付担保</w:t>
      </w:r>
    </w:p>
    <w:p w14:paraId="08D9B87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发包人提供资金来源证明的期限要求：</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42AC19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发包人是否提供支付担保：</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048D1D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发包人提供支付担保的形式：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DE420FF">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 承包人</w:t>
      </w:r>
    </w:p>
    <w:p w14:paraId="509F72E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 承包人的一般义务</w:t>
      </w:r>
    </w:p>
    <w:p w14:paraId="038D25B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（1）承包人提交的竣工资料的内容：</w:t>
      </w:r>
      <w:r>
        <w:rPr>
          <w:rFonts w:hint="default" w:ascii="Times New Roman" w:hAnsi="Times New Roman" w:eastAsia="宋体" w:cs="Times New Roman"/>
          <w:color w:val="auto"/>
          <w:sz w:val="24"/>
          <w:szCs w:val="24"/>
          <w:highlight w:val="none"/>
          <w:u w:val="single"/>
        </w:rPr>
        <w:t xml:space="preserve">      符合城建档案馆要求   </w:t>
      </w:r>
      <w:r>
        <w:rPr>
          <w:rFonts w:hint="default" w:ascii="Times New Roman" w:hAnsi="Times New Roman" w:eastAsia="宋体" w:cs="Times New Roman"/>
          <w:color w:val="auto"/>
          <w:sz w:val="24"/>
          <w:szCs w:val="24"/>
          <w:highlight w:val="none"/>
        </w:rPr>
        <w:t>。</w:t>
      </w:r>
    </w:p>
    <w:p w14:paraId="7AFFF327">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承包人需要提交的竣工资料套数：</w:t>
      </w:r>
      <w:r>
        <w:rPr>
          <w:rFonts w:hint="default" w:ascii="Times New Roman" w:hAnsi="Times New Roman" w:eastAsia="宋体" w:cs="Times New Roman"/>
          <w:color w:val="auto"/>
          <w:sz w:val="24"/>
          <w:szCs w:val="24"/>
          <w:highlight w:val="none"/>
          <w:u w:val="single"/>
        </w:rPr>
        <w:t xml:space="preserve">     原件四套    </w:t>
      </w:r>
      <w:r>
        <w:rPr>
          <w:rFonts w:hint="default" w:ascii="Times New Roman" w:hAnsi="Times New Roman" w:eastAsia="宋体" w:cs="Times New Roman"/>
          <w:color w:val="auto"/>
          <w:sz w:val="24"/>
          <w:szCs w:val="24"/>
          <w:highlight w:val="none"/>
        </w:rPr>
        <w:t>。</w:t>
      </w:r>
    </w:p>
    <w:p w14:paraId="7C12BFE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承包人提交的竣工资料的费用承担：</w:t>
      </w:r>
      <w:r>
        <w:rPr>
          <w:rFonts w:hint="default" w:ascii="Times New Roman" w:hAnsi="Times New Roman" w:eastAsia="宋体" w:cs="Times New Roman"/>
          <w:color w:val="auto"/>
          <w:sz w:val="24"/>
          <w:szCs w:val="24"/>
          <w:highlight w:val="none"/>
          <w:u w:val="single"/>
        </w:rPr>
        <w:t xml:space="preserve">   由承包人承担   </w:t>
      </w:r>
      <w:r>
        <w:rPr>
          <w:rFonts w:hint="default" w:ascii="Times New Roman" w:hAnsi="Times New Roman" w:eastAsia="宋体" w:cs="Times New Roman"/>
          <w:color w:val="auto"/>
          <w:sz w:val="24"/>
          <w:szCs w:val="24"/>
          <w:highlight w:val="none"/>
        </w:rPr>
        <w:t>。</w:t>
      </w:r>
    </w:p>
    <w:p w14:paraId="6CD98686">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承包人提交的竣工资料移交时间：</w:t>
      </w:r>
      <w:r>
        <w:rPr>
          <w:rFonts w:hint="default" w:ascii="Times New Roman" w:hAnsi="Times New Roman" w:eastAsia="宋体" w:cs="Times New Roman"/>
          <w:color w:val="auto"/>
          <w:sz w:val="24"/>
          <w:szCs w:val="24"/>
          <w:highlight w:val="none"/>
          <w:u w:val="single"/>
        </w:rPr>
        <w:t xml:space="preserve">工程竣工验收合格后 1 个月内   </w:t>
      </w:r>
      <w:r>
        <w:rPr>
          <w:rFonts w:hint="default" w:ascii="Times New Roman" w:hAnsi="Times New Roman" w:eastAsia="宋体" w:cs="Times New Roman"/>
          <w:color w:val="auto"/>
          <w:sz w:val="24"/>
          <w:szCs w:val="24"/>
          <w:highlight w:val="none"/>
        </w:rPr>
        <w:t>。</w:t>
      </w:r>
    </w:p>
    <w:p w14:paraId="372C993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承包人提交的竣工资料形式要求：</w:t>
      </w:r>
      <w:r>
        <w:rPr>
          <w:rFonts w:hint="default" w:ascii="Times New Roman" w:hAnsi="Times New Roman" w:eastAsia="宋体" w:cs="Times New Roman"/>
          <w:color w:val="auto"/>
          <w:sz w:val="24"/>
          <w:szCs w:val="24"/>
          <w:highlight w:val="none"/>
          <w:u w:val="single"/>
        </w:rPr>
        <w:t xml:space="preserve">书面和电子文档（含竣工蓝图及CAD版、现场施工影像）  </w:t>
      </w:r>
      <w:r>
        <w:rPr>
          <w:rFonts w:hint="default" w:ascii="Times New Roman" w:hAnsi="Times New Roman" w:eastAsia="宋体" w:cs="Times New Roman"/>
          <w:color w:val="auto"/>
          <w:sz w:val="24"/>
          <w:szCs w:val="24"/>
          <w:highlight w:val="none"/>
        </w:rPr>
        <w:t>。</w:t>
      </w:r>
    </w:p>
    <w:p w14:paraId="7690F4A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（2）承包人应履行的其他义务：</w:t>
      </w:r>
      <w:r>
        <w:rPr>
          <w:rFonts w:hint="default" w:ascii="Times New Roman" w:hAnsi="Times New Roman" w:eastAsia="宋体" w:cs="Times New Roman"/>
          <w:color w:val="auto"/>
          <w:sz w:val="24"/>
          <w:szCs w:val="24"/>
          <w:highlight w:val="none"/>
          <w:u w:val="single"/>
        </w:rPr>
        <w:t xml:space="preserve">1.配合发包人办理项目前期手续；2.配合发包人办理施工过程所需手续；3.配合发包人办理竣工验收手续；4.配合发包人办理其他相关手续；5.配合费用均含在合同价中 。  </w:t>
      </w:r>
      <w:r>
        <w:rPr>
          <w:rFonts w:hint="default" w:ascii="Times New Roman" w:hAnsi="Times New Roman" w:eastAsia="宋体" w:cs="Times New Roman"/>
          <w:color w:val="auto"/>
          <w:sz w:val="24"/>
          <w:szCs w:val="24"/>
          <w:highlight w:val="none"/>
        </w:rPr>
        <w:t>。</w:t>
      </w:r>
    </w:p>
    <w:p w14:paraId="2128967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 项目经理</w:t>
      </w:r>
    </w:p>
    <w:p w14:paraId="51E0B657">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3.2.1 项目经理：</w:t>
      </w:r>
    </w:p>
    <w:p w14:paraId="784FCCF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    名：</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   </w:t>
      </w:r>
      <w:r>
        <w:rPr>
          <w:rFonts w:hint="default" w:ascii="Times New Roman" w:hAnsi="Times New Roman" w:eastAsia="宋体" w:cs="Times New Roman"/>
          <w:color w:val="auto"/>
          <w:sz w:val="24"/>
          <w:szCs w:val="24"/>
          <w:highlight w:val="none"/>
        </w:rPr>
        <w:t>；</w:t>
      </w:r>
    </w:p>
    <w:p w14:paraId="705B7680">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身份证号：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3703F40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建造师执业资格等级：</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rPr>
        <w:t>；</w:t>
      </w:r>
    </w:p>
    <w:p w14:paraId="7E51D8E8">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建造师注册证书号：</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w:t>
      </w:r>
      <w:r>
        <w:rPr>
          <w:rFonts w:hint="default" w:ascii="Times New Roman" w:hAnsi="Times New Roman" w:eastAsia="宋体" w:cs="Times New Roman"/>
          <w:color w:val="auto"/>
          <w:sz w:val="24"/>
          <w:szCs w:val="24"/>
          <w:highlight w:val="none"/>
        </w:rPr>
        <w:t>；</w:t>
      </w:r>
    </w:p>
    <w:p w14:paraId="159A16B0">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建造师执业印章号：</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07CC43B">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安全生产考核合格证书号：</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3E50F88B">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3CDF4F46">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电子信箱：</w:t>
      </w:r>
      <w:r>
        <w:rPr>
          <w:rFonts w:hint="default" w:ascii="Times New Roman" w:hAnsi="Times New Roman" w:eastAsia="宋体" w:cs="Times New Roman"/>
          <w:color w:val="auto"/>
          <w:sz w:val="24"/>
          <w:szCs w:val="24"/>
          <w:highlight w:val="none"/>
          <w:u w:val="single"/>
        </w:rPr>
        <w:fldChar w:fldCharType="begin"/>
      </w:r>
      <w:r>
        <w:rPr>
          <w:rFonts w:hint="default" w:ascii="Times New Roman" w:hAnsi="Times New Roman" w:eastAsia="宋体" w:cs="Times New Roman"/>
          <w:color w:val="auto"/>
          <w:sz w:val="24"/>
          <w:szCs w:val="24"/>
          <w:highlight w:val="none"/>
          <w:u w:val="single"/>
        </w:rPr>
        <w:instrText xml:space="preserve"> HYPERLINK "mailto:1624306080@qq.com" </w:instrText>
      </w:r>
      <w:r>
        <w:rPr>
          <w:rFonts w:hint="default" w:ascii="Times New Roman" w:hAnsi="Times New Roman" w:eastAsia="宋体" w:cs="Times New Roman"/>
          <w:color w:val="auto"/>
          <w:sz w:val="24"/>
          <w:szCs w:val="24"/>
          <w:highlight w:val="none"/>
          <w:u w:val="single"/>
        </w:rPr>
        <w:fldChar w:fldCharType="separate"/>
      </w:r>
      <w:r>
        <w:rPr>
          <w:rStyle w:val="24"/>
          <w:rFonts w:hint="default" w:ascii="Times New Roman" w:hAnsi="Times New Roman" w:eastAsia="宋体" w:cs="Times New Roman"/>
          <w:color w:val="auto"/>
          <w:sz w:val="24"/>
          <w:szCs w:val="24"/>
          <w:highlight w:val="none"/>
        </w:rPr>
        <w:t></w:t>
      </w:r>
      <w:r>
        <w:rPr>
          <w:rStyle w:val="24"/>
          <w:rFonts w:hint="default" w:ascii="Times New Roman" w:hAnsi="Times New Roman" w:eastAsia="宋体" w:cs="Times New Roman"/>
          <w:color w:val="auto"/>
          <w:sz w:val="24"/>
          <w:szCs w:val="24"/>
          <w:highlight w:val="none"/>
          <w:lang w:val="en-US" w:eastAsia="zh-CN"/>
        </w:rPr>
        <w:t xml:space="preserve">                 </w:t>
      </w:r>
      <w:r>
        <w:rPr>
          <w:rStyle w:val="24"/>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fldChar w:fldCharType="end"/>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p>
    <w:p w14:paraId="619FB23A">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通信地址：</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B99186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承包人对项目经理的授权范围如下：</w:t>
      </w:r>
      <w:r>
        <w:rPr>
          <w:rFonts w:hint="default" w:ascii="Times New Roman" w:hAnsi="Times New Roman" w:eastAsia="宋体" w:cs="Times New Roman"/>
          <w:color w:val="auto"/>
          <w:sz w:val="24"/>
          <w:szCs w:val="24"/>
          <w:highlight w:val="none"/>
          <w:u w:val="single"/>
        </w:rPr>
        <w:t xml:space="preserve">执行通用条款  </w:t>
      </w:r>
      <w:r>
        <w:rPr>
          <w:rFonts w:hint="default" w:ascii="Times New Roman" w:hAnsi="Times New Roman" w:eastAsia="宋体" w:cs="Times New Roman"/>
          <w:color w:val="auto"/>
          <w:sz w:val="24"/>
          <w:szCs w:val="24"/>
          <w:highlight w:val="none"/>
        </w:rPr>
        <w:t>。</w:t>
      </w:r>
    </w:p>
    <w:p w14:paraId="5326A6EC">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关于项目</w:t>
      </w:r>
      <w:r>
        <w:rPr>
          <w:rFonts w:hint="default" w:ascii="Times New Roman" w:hAnsi="Times New Roman" w:eastAsia="宋体" w:cs="Times New Roman"/>
          <w:color w:val="auto"/>
          <w:sz w:val="24"/>
          <w:szCs w:val="24"/>
          <w:highlight w:val="none"/>
          <w:lang w:val="en-US" w:eastAsia="zh-CN"/>
        </w:rPr>
        <w:t>人员</w:t>
      </w:r>
      <w:r>
        <w:rPr>
          <w:rFonts w:hint="default" w:ascii="Times New Roman" w:hAnsi="Times New Roman" w:eastAsia="宋体" w:cs="Times New Roman"/>
          <w:color w:val="auto"/>
          <w:sz w:val="24"/>
          <w:szCs w:val="24"/>
          <w:highlight w:val="none"/>
        </w:rPr>
        <w:t>每月在施工现场的时间要求：</w:t>
      </w:r>
      <w:r>
        <w:rPr>
          <w:rFonts w:hint="default" w:ascii="Times New Roman" w:hAnsi="Times New Roman" w:eastAsia="宋体" w:cs="Times New Roman"/>
          <w:color w:val="auto"/>
          <w:sz w:val="24"/>
          <w:szCs w:val="24"/>
          <w:highlight w:val="none"/>
          <w:u w:val="single"/>
        </w:rPr>
        <w:t xml:space="preserve"> 项目经理、技术负责人、安全员在施工期间现场时间每月不得小于22天，不足以上时限的，按照不履行招标文件及合同约定缴纳违约金2万元，</w:t>
      </w:r>
      <w:r>
        <w:rPr>
          <w:rFonts w:hint="default" w:ascii="Times New Roman" w:hAnsi="Times New Roman" w:eastAsia="宋体" w:cs="Times New Roman"/>
          <w:bCs/>
          <w:color w:val="auto"/>
          <w:sz w:val="24"/>
          <w:szCs w:val="24"/>
          <w:highlight w:val="none"/>
          <w:u w:val="single"/>
        </w:rPr>
        <w:t>而且必须参加各种工程例会，项目经理不得同时担任其他项目的项目经理</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69231E4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承包人未提交</w:t>
      </w:r>
      <w:r>
        <w:rPr>
          <w:rFonts w:hint="default" w:ascii="Times New Roman" w:hAnsi="Times New Roman" w:eastAsia="宋体" w:cs="Times New Roman"/>
          <w:color w:val="auto"/>
          <w:sz w:val="24"/>
          <w:szCs w:val="24"/>
          <w:highlight w:val="none"/>
          <w:lang w:val="en-US" w:eastAsia="zh-CN"/>
        </w:rPr>
        <w:t>项目经理的</w:t>
      </w:r>
      <w:r>
        <w:rPr>
          <w:rFonts w:hint="default" w:ascii="Times New Roman" w:hAnsi="Times New Roman" w:eastAsia="宋体" w:cs="Times New Roman"/>
          <w:color w:val="auto"/>
          <w:sz w:val="24"/>
          <w:szCs w:val="24"/>
          <w:highlight w:val="none"/>
        </w:rPr>
        <w:t>劳动合同，以及没有为项目经理缴纳社会保险证明的</w:t>
      </w:r>
      <w:r>
        <w:rPr>
          <w:rFonts w:hint="default" w:ascii="Times New Roman" w:hAnsi="Times New Roman" w:eastAsia="宋体" w:cs="Times New Roman"/>
          <w:color w:val="auto"/>
          <w:sz w:val="24"/>
          <w:szCs w:val="24"/>
          <w:highlight w:val="none"/>
          <w:lang w:val="en-US" w:eastAsia="zh-CN"/>
        </w:rPr>
        <w:t>需要承担</w:t>
      </w:r>
      <w:r>
        <w:rPr>
          <w:rFonts w:hint="default" w:ascii="Times New Roman" w:hAnsi="Times New Roman" w:eastAsia="宋体" w:cs="Times New Roman"/>
          <w:color w:val="auto"/>
          <w:sz w:val="24"/>
          <w:szCs w:val="24"/>
          <w:highlight w:val="none"/>
        </w:rPr>
        <w:t>违约责任：</w:t>
      </w:r>
      <w:r>
        <w:rPr>
          <w:rFonts w:hint="default" w:ascii="Times New Roman" w:hAnsi="Times New Roman" w:eastAsia="宋体" w:cs="Times New Roman"/>
          <w:color w:val="auto"/>
          <w:sz w:val="24"/>
          <w:szCs w:val="24"/>
          <w:highlight w:val="none"/>
          <w:u w:val="single"/>
        </w:rPr>
        <w:t xml:space="preserve"> 向业主缴纳违约金2万元，责令限期提交劳动合同并补缴社会保险 </w:t>
      </w:r>
      <w:r>
        <w:rPr>
          <w:rFonts w:hint="default" w:ascii="Times New Roman" w:hAnsi="Times New Roman" w:eastAsia="宋体" w:cs="Times New Roman"/>
          <w:color w:val="auto"/>
          <w:sz w:val="24"/>
          <w:szCs w:val="24"/>
          <w:highlight w:val="none"/>
        </w:rPr>
        <w:t>。</w:t>
      </w:r>
    </w:p>
    <w:p w14:paraId="077853ED">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项目经理未经批准，擅自离开施工现场的违约责任：</w:t>
      </w:r>
      <w:r>
        <w:rPr>
          <w:rFonts w:hint="default" w:ascii="Times New Roman" w:hAnsi="Times New Roman" w:eastAsia="宋体" w:cs="Times New Roman"/>
          <w:bCs/>
          <w:color w:val="auto"/>
          <w:sz w:val="24"/>
          <w:szCs w:val="24"/>
          <w:highlight w:val="none"/>
          <w:u w:val="single"/>
        </w:rPr>
        <w:t>承包人拟派驻现场项目经理在整个工程实施过程中不得更换，离开现场。由于特殊原因，暂时离开现场的项目经理，必须执行请假制度。</w:t>
      </w:r>
      <w:r>
        <w:rPr>
          <w:rFonts w:hint="default" w:ascii="Times New Roman" w:hAnsi="Times New Roman" w:eastAsia="宋体" w:cs="Times New Roman"/>
          <w:color w:val="auto"/>
          <w:sz w:val="24"/>
          <w:szCs w:val="24"/>
          <w:highlight w:val="none"/>
          <w:u w:val="single"/>
        </w:rPr>
        <w:t xml:space="preserve">项目经理未经批准擅自离场的，超过24小时的，按照不履行合同约定缴纳违约金2万元；超过72小时的，建设方有权更换项目经理，并按照不履行招标文件及合同约定扣除10万元违约金 </w:t>
      </w:r>
      <w:r>
        <w:rPr>
          <w:rFonts w:hint="default" w:ascii="Times New Roman" w:hAnsi="Times New Roman" w:eastAsia="宋体" w:cs="Times New Roman"/>
          <w:color w:val="auto"/>
          <w:sz w:val="24"/>
          <w:szCs w:val="24"/>
          <w:highlight w:val="none"/>
        </w:rPr>
        <w:t>。</w:t>
      </w:r>
    </w:p>
    <w:p w14:paraId="7CDEE628">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3.2.3 承包人擅自更换项目经理的违约责任：</w:t>
      </w:r>
      <w:r>
        <w:rPr>
          <w:rFonts w:hint="default" w:ascii="Times New Roman" w:hAnsi="Times New Roman" w:eastAsia="宋体" w:cs="Times New Roman"/>
          <w:color w:val="auto"/>
          <w:sz w:val="24"/>
          <w:szCs w:val="24"/>
          <w:highlight w:val="none"/>
          <w:u w:val="single"/>
        </w:rPr>
        <w:t xml:space="preserve"> 项目负责人的姓名、等级在专用条款内写明，且不得随意更换项目负责人</w:t>
      </w:r>
      <w:r>
        <w:rPr>
          <w:rFonts w:hint="default" w:ascii="Times New Roman" w:hAnsi="Times New Roman" w:eastAsia="宋体" w:cs="Times New Roman"/>
          <w:bCs/>
          <w:color w:val="auto"/>
          <w:sz w:val="24"/>
          <w:szCs w:val="24"/>
          <w:highlight w:val="none"/>
          <w:u w:val="single"/>
        </w:rPr>
        <w:t>及项目管理人员</w:t>
      </w:r>
      <w:r>
        <w:rPr>
          <w:rFonts w:hint="default" w:ascii="Times New Roman" w:hAnsi="Times New Roman" w:eastAsia="宋体" w:cs="Times New Roman"/>
          <w:color w:val="auto"/>
          <w:sz w:val="24"/>
          <w:szCs w:val="24"/>
          <w:highlight w:val="none"/>
          <w:u w:val="single"/>
        </w:rPr>
        <w:t>，若随意更换项目负责人需向业主缴纳5万元违约金，扣除全部履约保证金，按照不履行招标文件要求和合同约定原因终止合同、予以清场，承包人承担上述违约</w:t>
      </w:r>
      <w:r>
        <w:rPr>
          <w:rFonts w:hint="default" w:ascii="Times New Roman" w:hAnsi="Times New Roman" w:eastAsia="宋体" w:cs="Times New Roman"/>
          <w:color w:val="auto"/>
          <w:sz w:val="24"/>
          <w:szCs w:val="24"/>
          <w:highlight w:val="none"/>
          <w:u w:val="single"/>
          <w:lang w:val="en-US" w:eastAsia="zh-CN"/>
        </w:rPr>
        <w:t>行为</w:t>
      </w:r>
      <w:r>
        <w:rPr>
          <w:rFonts w:hint="default" w:ascii="Times New Roman" w:hAnsi="Times New Roman" w:eastAsia="宋体" w:cs="Times New Roman"/>
          <w:color w:val="auto"/>
          <w:sz w:val="24"/>
          <w:szCs w:val="24"/>
          <w:highlight w:val="none"/>
          <w:u w:val="single"/>
        </w:rPr>
        <w:t>给发包人造成的一切损失 ；若因特殊原因需更换项目负责人的，由承包人提前7日向建设方提出书面申请，</w:t>
      </w:r>
      <w:r>
        <w:rPr>
          <w:rFonts w:hint="default" w:ascii="Times New Roman" w:hAnsi="Times New Roman" w:eastAsia="宋体" w:cs="Times New Roman"/>
          <w:color w:val="auto"/>
          <w:sz w:val="24"/>
          <w:szCs w:val="24"/>
          <w:highlight w:val="none"/>
          <w:u w:val="single"/>
          <w:lang w:val="en-US" w:eastAsia="zh-CN"/>
        </w:rPr>
        <w:t>并</w:t>
      </w:r>
      <w:r>
        <w:rPr>
          <w:rFonts w:hint="default" w:ascii="Times New Roman" w:hAnsi="Times New Roman" w:eastAsia="宋体" w:cs="Times New Roman"/>
          <w:color w:val="auto"/>
          <w:sz w:val="24"/>
          <w:szCs w:val="24"/>
          <w:highlight w:val="none"/>
          <w:u w:val="single"/>
        </w:rPr>
        <w:t>以资质业绩以及信誉不低于</w:t>
      </w:r>
      <w:r>
        <w:rPr>
          <w:rFonts w:hint="default" w:ascii="Times New Roman" w:hAnsi="Times New Roman" w:eastAsia="宋体" w:cs="Times New Roman"/>
          <w:color w:val="auto"/>
          <w:sz w:val="24"/>
          <w:szCs w:val="24"/>
          <w:highlight w:val="none"/>
          <w:u w:val="single"/>
          <w:lang w:val="en-US" w:eastAsia="zh-CN"/>
        </w:rPr>
        <w:t>原来</w:t>
      </w:r>
      <w:r>
        <w:rPr>
          <w:rFonts w:hint="default" w:ascii="Times New Roman" w:hAnsi="Times New Roman" w:eastAsia="宋体" w:cs="Times New Roman"/>
          <w:color w:val="auto"/>
          <w:sz w:val="24"/>
          <w:szCs w:val="24"/>
          <w:highlight w:val="none"/>
          <w:u w:val="single"/>
        </w:rPr>
        <w:t xml:space="preserve">项目负责人的人员替换，并报业主审查，经审查通过，方可更换。在7日内更换期间，施工方不得以更换项目经理作为怠工、停工等的理由，必须正常施工  </w:t>
      </w:r>
      <w:r>
        <w:rPr>
          <w:rFonts w:hint="default" w:ascii="Times New Roman" w:hAnsi="Times New Roman" w:eastAsia="宋体" w:cs="Times New Roman"/>
          <w:color w:val="auto"/>
          <w:sz w:val="24"/>
          <w:szCs w:val="24"/>
          <w:highlight w:val="none"/>
        </w:rPr>
        <w:t>。</w:t>
      </w:r>
    </w:p>
    <w:p w14:paraId="58CE9B8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2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3.2.4 承包人无正当理由拒绝更换项目经理的违约责任：</w:t>
      </w:r>
      <w:r>
        <w:rPr>
          <w:rFonts w:hint="default" w:ascii="Times New Roman" w:hAnsi="Times New Roman" w:eastAsia="宋体" w:cs="Times New Roman"/>
          <w:color w:val="auto"/>
          <w:sz w:val="24"/>
          <w:szCs w:val="24"/>
          <w:highlight w:val="none"/>
          <w:u w:val="single"/>
        </w:rPr>
        <w:t xml:space="preserve">  需缴纳5万元违约金，扣除全部履约保证金，终止合同，承包人承担上述违约</w:t>
      </w:r>
      <w:r>
        <w:rPr>
          <w:rFonts w:hint="default" w:ascii="Times New Roman" w:hAnsi="Times New Roman" w:eastAsia="宋体" w:cs="Times New Roman"/>
          <w:color w:val="auto"/>
          <w:sz w:val="24"/>
          <w:szCs w:val="24"/>
          <w:highlight w:val="none"/>
          <w:u w:val="single"/>
          <w:lang w:val="en-US" w:eastAsia="zh-CN"/>
        </w:rPr>
        <w:t>行为</w:t>
      </w:r>
      <w:r>
        <w:rPr>
          <w:rFonts w:hint="default" w:ascii="Times New Roman" w:hAnsi="Times New Roman" w:eastAsia="宋体" w:cs="Times New Roman"/>
          <w:color w:val="auto"/>
          <w:sz w:val="24"/>
          <w:szCs w:val="24"/>
          <w:highlight w:val="none"/>
          <w:u w:val="single"/>
        </w:rPr>
        <w:t xml:space="preserve">给发包人造成的一切损失 </w:t>
      </w:r>
      <w:r>
        <w:rPr>
          <w:rFonts w:hint="default" w:ascii="Times New Roman" w:hAnsi="Times New Roman" w:eastAsia="宋体" w:cs="Times New Roman"/>
          <w:color w:val="auto"/>
          <w:sz w:val="24"/>
          <w:szCs w:val="24"/>
          <w:highlight w:val="none"/>
        </w:rPr>
        <w:t>。</w:t>
      </w:r>
    </w:p>
    <w:p w14:paraId="72A77ECF">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 承包人人员</w:t>
      </w:r>
    </w:p>
    <w:p w14:paraId="383D7147">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3.3.1 承包人提交项目管理机构及施工现场管理人员安排报告的期限：</w:t>
      </w:r>
      <w:r>
        <w:rPr>
          <w:rFonts w:hint="default" w:ascii="Times New Roman" w:hAnsi="Times New Roman" w:eastAsia="宋体" w:cs="Times New Roman"/>
          <w:color w:val="auto"/>
          <w:sz w:val="24"/>
          <w:szCs w:val="24"/>
          <w:highlight w:val="none"/>
          <w:u w:val="single"/>
        </w:rPr>
        <w:t xml:space="preserve"> 开工前三天；承包人的项目管理机构应当将具有与承包工程规模、技术复杂程度相适应的技术、管理人员配置到位，</w:t>
      </w:r>
      <w:r>
        <w:rPr>
          <w:rFonts w:hint="default" w:ascii="Times New Roman" w:hAnsi="Times New Roman" w:eastAsia="宋体" w:cs="Times New Roman"/>
          <w:bCs/>
          <w:color w:val="auto"/>
          <w:sz w:val="24"/>
          <w:szCs w:val="24"/>
          <w:highlight w:val="none"/>
          <w:u w:val="single"/>
        </w:rPr>
        <w:t>项目经理的通知中应当载明注册执业资格、管理经验等资料，该人员应具备履行相应职责的能力。</w:t>
      </w:r>
      <w:r>
        <w:rPr>
          <w:rFonts w:hint="default" w:ascii="Times New Roman" w:hAnsi="Times New Roman" w:eastAsia="宋体" w:cs="Times New Roman"/>
          <w:color w:val="auto"/>
          <w:sz w:val="24"/>
          <w:szCs w:val="24"/>
          <w:highlight w:val="none"/>
          <w:u w:val="single"/>
        </w:rPr>
        <w:t xml:space="preserve">其中：商务标中约定的项目经理、项目工程师、质量管理员、安全管理员、资料员、预算员必须为本单位自有人员，不允许临时挂靠人员参与中标工程建设  </w:t>
      </w:r>
      <w:r>
        <w:rPr>
          <w:rFonts w:hint="default" w:ascii="Times New Roman" w:hAnsi="Times New Roman" w:eastAsia="宋体" w:cs="Times New Roman"/>
          <w:color w:val="auto"/>
          <w:sz w:val="24"/>
          <w:szCs w:val="24"/>
          <w:highlight w:val="none"/>
        </w:rPr>
        <w:t>。</w:t>
      </w:r>
    </w:p>
    <w:p w14:paraId="20290FE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3.3.3 承包人无正当理由拒绝撤换主要施工管理人员的违约责任：</w:t>
      </w:r>
      <w:r>
        <w:rPr>
          <w:rFonts w:hint="default" w:ascii="Times New Roman" w:hAnsi="Times New Roman" w:eastAsia="宋体" w:cs="Times New Roman"/>
          <w:color w:val="auto"/>
          <w:sz w:val="24"/>
          <w:szCs w:val="24"/>
          <w:highlight w:val="none"/>
          <w:u w:val="single"/>
        </w:rPr>
        <w:t xml:space="preserve"> 需缴纳2万元违约金，承包人承担上述违约</w:t>
      </w:r>
      <w:r>
        <w:rPr>
          <w:rFonts w:hint="default" w:ascii="Times New Roman" w:hAnsi="Times New Roman" w:eastAsia="宋体" w:cs="Times New Roman"/>
          <w:color w:val="auto"/>
          <w:sz w:val="24"/>
          <w:szCs w:val="24"/>
          <w:highlight w:val="none"/>
          <w:u w:val="single"/>
          <w:lang w:val="en-US" w:eastAsia="zh-CN"/>
        </w:rPr>
        <w:t>行为</w:t>
      </w:r>
      <w:r>
        <w:rPr>
          <w:rFonts w:hint="default" w:ascii="Times New Roman" w:hAnsi="Times New Roman" w:eastAsia="宋体" w:cs="Times New Roman"/>
          <w:color w:val="auto"/>
          <w:sz w:val="24"/>
          <w:szCs w:val="24"/>
          <w:highlight w:val="none"/>
          <w:u w:val="single"/>
        </w:rPr>
        <w:t xml:space="preserve">给发包人造成的一切损失  </w:t>
      </w:r>
      <w:r>
        <w:rPr>
          <w:rFonts w:hint="default" w:ascii="Times New Roman" w:hAnsi="Times New Roman" w:eastAsia="宋体" w:cs="Times New Roman"/>
          <w:color w:val="auto"/>
          <w:sz w:val="24"/>
          <w:szCs w:val="24"/>
          <w:highlight w:val="none"/>
        </w:rPr>
        <w:t>。</w:t>
      </w:r>
    </w:p>
    <w:p w14:paraId="10A6095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3.3.4 承包人主要施工管理人员离开施工现场的批准要求：</w:t>
      </w:r>
      <w:r>
        <w:rPr>
          <w:rFonts w:hint="default" w:ascii="Times New Roman" w:hAnsi="Times New Roman" w:eastAsia="宋体" w:cs="Times New Roman"/>
          <w:color w:val="auto"/>
          <w:sz w:val="24"/>
          <w:szCs w:val="24"/>
          <w:highlight w:val="none"/>
          <w:u w:val="single"/>
        </w:rPr>
        <w:t>施工单位项目经理和主要项目管理人员应严格按照合同约定的在场时限组织施工，不得擅自离场，确需特殊原因离场的，应提前1日向现场监理及甲代提出书面申请，且离场时间不能超过24小时。</w:t>
      </w:r>
      <w:r>
        <w:rPr>
          <w:rFonts w:hint="default" w:ascii="Times New Roman" w:hAnsi="Times New Roman" w:eastAsia="宋体" w:cs="Times New Roman"/>
          <w:bCs/>
          <w:color w:val="auto"/>
          <w:sz w:val="24"/>
          <w:szCs w:val="24"/>
          <w:highlight w:val="none"/>
          <w:u w:val="single"/>
        </w:rPr>
        <w:t>未经工程师同意，</w:t>
      </w:r>
      <w:r>
        <w:rPr>
          <w:rFonts w:hint="default" w:ascii="Times New Roman" w:hAnsi="Times New Roman" w:eastAsia="宋体" w:cs="Times New Roman"/>
          <w:color w:val="auto"/>
          <w:sz w:val="24"/>
          <w:szCs w:val="24"/>
          <w:highlight w:val="none"/>
          <w:u w:val="single"/>
        </w:rPr>
        <w:t>施工单位项目经理和主要项目管理人员</w:t>
      </w:r>
      <w:r>
        <w:rPr>
          <w:rFonts w:hint="default" w:ascii="Times New Roman" w:hAnsi="Times New Roman" w:eastAsia="宋体" w:cs="Times New Roman"/>
          <w:bCs/>
          <w:color w:val="auto"/>
          <w:sz w:val="24"/>
          <w:szCs w:val="24"/>
          <w:highlight w:val="none"/>
          <w:u w:val="single"/>
        </w:rPr>
        <w:t>未按时进场或擅自离场，将按照500.00元/人/日，从支付款中扣除违约金，直到缺员到位为止</w:t>
      </w:r>
      <w:r>
        <w:rPr>
          <w:rFonts w:hint="default" w:ascii="Times New Roman" w:hAnsi="Times New Roman" w:eastAsia="宋体" w:cs="Times New Roman"/>
          <w:color w:val="auto"/>
          <w:sz w:val="24"/>
          <w:szCs w:val="24"/>
          <w:highlight w:val="none"/>
          <w:u w:val="single"/>
        </w:rPr>
        <w:t>。</w:t>
      </w:r>
      <w:r>
        <w:rPr>
          <w:rFonts w:hint="default" w:ascii="Times New Roman" w:hAnsi="Times New Roman" w:eastAsia="宋体" w:cs="Times New Roman"/>
          <w:bCs/>
          <w:color w:val="auto"/>
          <w:sz w:val="24"/>
          <w:szCs w:val="24"/>
          <w:highlight w:val="none"/>
          <w:u w:val="single"/>
        </w:rPr>
        <w:t>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44EAA52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3.3.5承包人擅自更换主要施工管理人员的违约责任：</w:t>
      </w:r>
      <w:r>
        <w:rPr>
          <w:rFonts w:hint="default" w:ascii="Times New Roman" w:hAnsi="Times New Roman" w:eastAsia="宋体" w:cs="Times New Roman"/>
          <w:color w:val="auto"/>
          <w:sz w:val="24"/>
          <w:szCs w:val="24"/>
          <w:highlight w:val="none"/>
          <w:u w:val="single"/>
        </w:rPr>
        <w:t xml:space="preserve"> 施工单位项目经理和项目管理人员原则上不准更换，确需特殊原因更换的，需提前7日向建设方提出书面申请，且更换人员资历及信誉不得低于商务标约定人员，</w:t>
      </w:r>
      <w:r>
        <w:rPr>
          <w:rFonts w:hint="default" w:ascii="Times New Roman" w:hAnsi="Times New Roman" w:eastAsia="宋体" w:cs="Times New Roman"/>
          <w:bCs/>
          <w:color w:val="auto"/>
          <w:sz w:val="24"/>
          <w:szCs w:val="24"/>
          <w:highlight w:val="none"/>
          <w:u w:val="single"/>
        </w:rPr>
        <w:t>通知中应当载明继任项目经理的注册执业资格、管理经验等资料，继任项目经理继续履行合同约定的职责</w:t>
      </w:r>
      <w:r>
        <w:rPr>
          <w:rFonts w:hint="default" w:ascii="Times New Roman" w:hAnsi="Times New Roman" w:eastAsia="宋体" w:cs="Times New Roman"/>
          <w:color w:val="auto"/>
          <w:sz w:val="24"/>
          <w:szCs w:val="24"/>
          <w:highlight w:val="none"/>
          <w:u w:val="single"/>
        </w:rPr>
        <w:t>；其中，更换项目经理或项目工程师的需缴纳违约金5万元，更换其他人员的需每人缴纳违约金2万元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u w:val="single"/>
        </w:rPr>
        <w:t xml:space="preserve">未经工程师及发包人批准，擅自更换项目主要施工管理人员，发包人可处以承包人10万元（人民币）以内（含10万元）的违约金，从支付款或履约保证金中扣除违约金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4724BC1A">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承包人主要施工管理人员擅自离开施工现场的违约责任：</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u w:val="single"/>
        </w:rPr>
        <w:t>由于特殊原因，暂时离开现场的主要人员，必须按请假制度，同时承包人应安排同等资历人员进行临时履行职责，经工程师批准。</w:t>
      </w:r>
      <w:r>
        <w:rPr>
          <w:rFonts w:hint="default" w:ascii="Times New Roman" w:hAnsi="Times New Roman" w:eastAsia="宋体" w:cs="Times New Roman"/>
          <w:color w:val="auto"/>
          <w:sz w:val="24"/>
          <w:szCs w:val="24"/>
          <w:highlight w:val="none"/>
          <w:u w:val="single"/>
        </w:rPr>
        <w:t xml:space="preserve">主要项目管理人员未经批准擅自离场的，超过24小时的，按照不履行合同约定缴纳违约金2万元；超过72小时的，建设方有权更换项目经理，并按照不履行招标文件及合同约定扣除10万元违约金 </w:t>
      </w:r>
      <w:r>
        <w:rPr>
          <w:rFonts w:hint="default" w:ascii="Times New Roman" w:hAnsi="Times New Roman" w:eastAsia="宋体" w:cs="Times New Roman"/>
          <w:color w:val="auto"/>
          <w:sz w:val="24"/>
          <w:szCs w:val="24"/>
          <w:highlight w:val="none"/>
        </w:rPr>
        <w:t>。</w:t>
      </w:r>
    </w:p>
    <w:p w14:paraId="40BC294E">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bookmarkStart w:id="20" w:name="_Toc297048345"/>
      <w:bookmarkStart w:id="21" w:name="_Toc296891199"/>
      <w:bookmarkStart w:id="22" w:name="_Toc303539102"/>
      <w:bookmarkStart w:id="23" w:name="_Toc292559364"/>
      <w:bookmarkStart w:id="24" w:name="_Toc292559869"/>
      <w:bookmarkStart w:id="25" w:name="_Toc297216151"/>
      <w:bookmarkStart w:id="26" w:name="_Toc296347158"/>
      <w:bookmarkStart w:id="27" w:name="_Toc312677988"/>
      <w:bookmarkStart w:id="28" w:name="_Toc296503159"/>
      <w:bookmarkStart w:id="29" w:name="_Toc300934945"/>
      <w:bookmarkStart w:id="30" w:name="_Toc297120459"/>
      <w:bookmarkStart w:id="31" w:name="_Toc297123492"/>
      <w:bookmarkStart w:id="32" w:name="_Toc304295523"/>
      <w:bookmarkStart w:id="33" w:name="_Toc296346660"/>
      <w:bookmarkStart w:id="34" w:name="_Toc296890987"/>
      <w:bookmarkStart w:id="35" w:name="_Toc296944498"/>
      <w:r>
        <w:rPr>
          <w:rFonts w:hint="default" w:ascii="Times New Roman" w:hAnsi="Times New Roman" w:eastAsia="宋体" w:cs="Times New Roman"/>
          <w:color w:val="auto"/>
          <w:sz w:val="24"/>
          <w:szCs w:val="24"/>
          <w:highlight w:val="none"/>
        </w:rPr>
        <w:t>.5 分包</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615B63C0">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bookmarkStart w:id="36" w:name="_Toc297216152"/>
      <w:bookmarkStart w:id="37" w:name="_Toc296346661"/>
      <w:bookmarkStart w:id="38" w:name="_Toc296503160"/>
      <w:bookmarkStart w:id="39" w:name="_Toc297123493"/>
      <w:bookmarkStart w:id="40" w:name="_Toc300934946"/>
      <w:bookmarkStart w:id="41" w:name="_Toc297048346"/>
      <w:bookmarkStart w:id="42" w:name="_Toc296891200"/>
      <w:bookmarkStart w:id="43" w:name="_Toc292559870"/>
      <w:bookmarkStart w:id="44" w:name="_Toc297120460"/>
      <w:bookmarkStart w:id="45" w:name="_Toc296944499"/>
      <w:bookmarkStart w:id="46" w:name="_Toc296890988"/>
      <w:bookmarkStart w:id="47" w:name="_Toc303539103"/>
      <w:bookmarkStart w:id="48" w:name="_Toc304295524"/>
      <w:bookmarkStart w:id="49" w:name="_Toc292559365"/>
      <w:bookmarkStart w:id="50" w:name="_Toc296347159"/>
      <w:bookmarkStart w:id="51" w:name="_Toc318581158"/>
      <w:bookmarkStart w:id="52" w:name="_Toc312677989"/>
      <w:r>
        <w:rPr>
          <w:rFonts w:hint="default" w:ascii="Times New Roman" w:hAnsi="Times New Roman" w:eastAsia="宋体" w:cs="Times New Roman"/>
          <w:color w:val="auto"/>
          <w:sz w:val="24"/>
          <w:szCs w:val="24"/>
          <w:highlight w:val="none"/>
        </w:rPr>
        <w:t>.5.1 分包的一般约定</w:t>
      </w:r>
    </w:p>
    <w:p w14:paraId="264638FB">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禁止分包的工程包括：</w:t>
      </w:r>
      <w:r>
        <w:rPr>
          <w:rFonts w:hint="default" w:ascii="Times New Roman" w:hAnsi="Times New Roman" w:eastAsia="宋体" w:cs="Times New Roman"/>
          <w:color w:val="auto"/>
          <w:sz w:val="24"/>
          <w:szCs w:val="24"/>
          <w:highlight w:val="none"/>
          <w:u w:val="single"/>
        </w:rPr>
        <w:t xml:space="preserve">执行通用条款     </w:t>
      </w:r>
      <w:r>
        <w:rPr>
          <w:rFonts w:hint="default" w:ascii="Times New Roman" w:hAnsi="Times New Roman" w:eastAsia="宋体" w:cs="Times New Roman"/>
          <w:color w:val="auto"/>
          <w:sz w:val="24"/>
          <w:szCs w:val="24"/>
          <w:highlight w:val="none"/>
        </w:rPr>
        <w:t>。</w:t>
      </w:r>
    </w:p>
    <w:p w14:paraId="014BF9CA">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主体结构、关键性工作的范围：</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Start w:id="53" w:name="_Toc304295525"/>
      <w:bookmarkStart w:id="54" w:name="_Toc296347160"/>
      <w:bookmarkStart w:id="55" w:name="_Toc297216153"/>
      <w:bookmarkStart w:id="56" w:name="_Toc300934947"/>
      <w:bookmarkStart w:id="57" w:name="_Toc297123494"/>
      <w:bookmarkStart w:id="58" w:name="_Toc296891201"/>
      <w:bookmarkStart w:id="59" w:name="_Toc296890989"/>
      <w:bookmarkStart w:id="60" w:name="_Toc297048347"/>
      <w:bookmarkStart w:id="61" w:name="_Toc296346662"/>
      <w:bookmarkStart w:id="62" w:name="_Toc296944500"/>
      <w:bookmarkStart w:id="63" w:name="_Toc303539104"/>
      <w:bookmarkStart w:id="64" w:name="_Toc297120461"/>
      <w:bookmarkStart w:id="65" w:name="_Toc296503161"/>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4603633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3</w:t>
      </w:r>
      <w:bookmarkStart w:id="66" w:name="_Toc318581159"/>
      <w:bookmarkStart w:id="67" w:name="_Toc312677990"/>
      <w:r>
        <w:rPr>
          <w:rFonts w:hint="default" w:ascii="Times New Roman" w:hAnsi="Times New Roman" w:eastAsia="宋体" w:cs="Times New Roman"/>
          <w:color w:val="auto"/>
          <w:sz w:val="24"/>
          <w:szCs w:val="24"/>
          <w:highlight w:val="none"/>
        </w:rPr>
        <w:t>.5.2分包的确定</w:t>
      </w:r>
    </w:p>
    <w:p w14:paraId="2FC8678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允许分包的专业工程包括：</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72F752EF">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其他关于分包的约定：</w:t>
      </w:r>
      <w:r>
        <w:rPr>
          <w:rFonts w:hint="default" w:ascii="Times New Roman" w:hAnsi="Times New Roman" w:eastAsia="宋体" w:cs="Times New Roman"/>
          <w:color w:val="auto"/>
          <w:sz w:val="24"/>
          <w:szCs w:val="24"/>
          <w:highlight w:val="none"/>
          <w:u w:val="single"/>
        </w:rPr>
        <w:t xml:space="preserve">  无                    </w:t>
      </w:r>
      <w:r>
        <w:rPr>
          <w:rFonts w:hint="default" w:ascii="Times New Roman" w:hAnsi="Times New Roman" w:eastAsia="宋体" w:cs="Times New Roman"/>
          <w:color w:val="auto"/>
          <w:sz w:val="24"/>
          <w:szCs w:val="24"/>
          <w:highlight w:val="none"/>
        </w:rPr>
        <w:t>。</w:t>
      </w:r>
    </w:p>
    <w:p w14:paraId="284D37BE">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3.5.4 分包合同价款</w:t>
      </w:r>
    </w:p>
    <w:p w14:paraId="46EBEF1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关于分包合同价款支付的约定：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bookmarkEnd w:id="66"/>
    <w:bookmarkEnd w:id="67"/>
    <w:p w14:paraId="385E397D">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3.6 工程照管与成品、半成品保护</w:t>
      </w:r>
    </w:p>
    <w:p w14:paraId="4DC3862B">
      <w:pPr>
        <w:keepNext w:val="0"/>
        <w:keepLines w:val="0"/>
        <w:pageBreakBefore w:val="0"/>
        <w:widowControl/>
        <w:shd w:val="clear" w:color="auto" w:fill="auto"/>
        <w:kinsoku/>
        <w:wordWrap/>
        <w:overflowPunct/>
        <w:topLinePunct w:val="0"/>
        <w:autoSpaceDE w:val="0"/>
        <w:autoSpaceDN w:val="0"/>
        <w:bidi w:val="0"/>
        <w:adjustRightInd w:val="0"/>
        <w:snapToGrid/>
        <w:spacing w:before="120"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承包人负责照管工程及工程相关的材料、工程设备的起始时间：</w:t>
      </w:r>
      <w:r>
        <w:rPr>
          <w:rFonts w:hint="default" w:ascii="Times New Roman" w:hAnsi="Times New Roman" w:eastAsia="宋体" w:cs="Times New Roman"/>
          <w:color w:val="auto"/>
          <w:sz w:val="24"/>
          <w:szCs w:val="24"/>
          <w:highlight w:val="none"/>
          <w:u w:val="single"/>
        </w:rPr>
        <w:t>设备、人员进场至竣工验收并交付使用前由承包人负责保修，无其他特殊要求的，费用由承包人承担</w:t>
      </w:r>
      <w:r>
        <w:rPr>
          <w:rFonts w:hint="default" w:ascii="Times New Roman" w:hAnsi="Times New Roman" w:eastAsia="宋体" w:cs="Times New Roman"/>
          <w:color w:val="auto"/>
          <w:sz w:val="24"/>
          <w:szCs w:val="24"/>
          <w:highlight w:val="none"/>
        </w:rPr>
        <w:t>。</w:t>
      </w:r>
    </w:p>
    <w:p w14:paraId="3DD27EE5">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3.7 履约担保</w:t>
      </w:r>
    </w:p>
    <w:p w14:paraId="3815128F">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承包人是否提供履约担保：</w:t>
      </w:r>
      <w:r>
        <w:rPr>
          <w:rFonts w:hint="default" w:ascii="Times New Roman" w:hAnsi="Times New Roman" w:eastAsia="宋体" w:cs="Times New Roman"/>
          <w:color w:val="auto"/>
          <w:sz w:val="24"/>
          <w:szCs w:val="24"/>
          <w:highlight w:val="none"/>
          <w:u w:val="single"/>
        </w:rPr>
        <w:t xml:space="preserve">  提供</w:t>
      </w:r>
      <w:r>
        <w:rPr>
          <w:rFonts w:hint="default" w:ascii="Times New Roman" w:hAnsi="Times New Roman" w:eastAsia="宋体" w:cs="Times New Roman"/>
          <w:color w:val="auto"/>
          <w:spacing w:val="14"/>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4DE3FB35">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承包人提供履约担保的形式、金额及期限：</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w:t>
      </w:r>
    </w:p>
    <w:p w14:paraId="45AFA9F5">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监理人</w:t>
      </w:r>
    </w:p>
    <w:p w14:paraId="49E6106E">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 监理人的一般规定</w:t>
      </w:r>
    </w:p>
    <w:p w14:paraId="79F1D5C7">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关于监理人的监理内容：</w:t>
      </w:r>
      <w:r>
        <w:rPr>
          <w:rFonts w:hint="default" w:ascii="Times New Roman" w:hAnsi="Times New Roman" w:eastAsia="宋体" w:cs="Times New Roman"/>
          <w:color w:val="auto"/>
          <w:sz w:val="24"/>
          <w:szCs w:val="24"/>
          <w:highlight w:val="none"/>
          <w:u w:val="single"/>
        </w:rPr>
        <w:t>对工程质量、进度、投资进行全面的控制，对施工安全、合同、信息进行管理， 协调业主与承包人在施工过程中工作关系。</w:t>
      </w:r>
    </w:p>
    <w:p w14:paraId="19834CF9">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关于监理人的监理权限：</w:t>
      </w:r>
      <w:r>
        <w:rPr>
          <w:rFonts w:hint="default" w:ascii="Times New Roman" w:hAnsi="Times New Roman" w:eastAsia="宋体" w:cs="Times New Roman"/>
          <w:color w:val="auto"/>
          <w:sz w:val="24"/>
          <w:szCs w:val="24"/>
          <w:highlight w:val="none"/>
          <w:u w:val="single"/>
        </w:rPr>
        <w:t xml:space="preserve">开工令、停工令、工程变更、经济签证须取得发包人同意。 </w:t>
      </w:r>
    </w:p>
    <w:p w14:paraId="6FE12ACE">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关于监理人在施工现场的办公场所、生活场所的提供和费用承担的约定：</w:t>
      </w:r>
      <w:r>
        <w:rPr>
          <w:rFonts w:hint="default" w:ascii="Times New Roman" w:hAnsi="Times New Roman" w:eastAsia="宋体" w:cs="Times New Roman"/>
          <w:color w:val="auto"/>
          <w:sz w:val="24"/>
          <w:szCs w:val="24"/>
          <w:highlight w:val="none"/>
          <w:u w:val="single"/>
        </w:rPr>
        <w:t xml:space="preserve">   由承包人提供，费用包含在合同价中 。 </w:t>
      </w:r>
    </w:p>
    <w:p w14:paraId="0461A1EE">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4.2 监理人员</w:t>
      </w:r>
    </w:p>
    <w:p w14:paraId="116E0A93">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总监理工程师：</w:t>
      </w:r>
    </w:p>
    <w:p w14:paraId="2A346B5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6F54D26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职务：</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5A4D67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监理工程师执业资格证书号：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01360F06">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BC89FAE">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电子信箱：</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30F72CD">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通信地址：</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4DA038A5">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关于监理人的其他约定：</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p>
    <w:p w14:paraId="29C56D64">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4.4 商定或确定</w:t>
      </w:r>
    </w:p>
    <w:p w14:paraId="1FDD1FEA">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在发包人和承包人不能通过协商达成一致意见时，发包人授权监理人对以下事项进行确定：</w:t>
      </w:r>
    </w:p>
    <w:p w14:paraId="6DC412FD">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u w:val="single"/>
        </w:rPr>
        <w:t xml:space="preserve">     执行通用条款      </w:t>
      </w:r>
      <w:r>
        <w:rPr>
          <w:rFonts w:hint="default" w:ascii="Times New Roman" w:hAnsi="Times New Roman" w:eastAsia="宋体" w:cs="Times New Roman"/>
          <w:color w:val="auto"/>
          <w:sz w:val="24"/>
          <w:szCs w:val="24"/>
          <w:highlight w:val="none"/>
        </w:rPr>
        <w:t>；</w:t>
      </w:r>
    </w:p>
    <w:p w14:paraId="230D301C">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u w:val="single"/>
        </w:rPr>
        <w:t xml:space="preserve">      执行通用条款     </w:t>
      </w:r>
      <w:r>
        <w:rPr>
          <w:rFonts w:hint="default" w:ascii="Times New Roman" w:hAnsi="Times New Roman" w:eastAsia="宋体" w:cs="Times New Roman"/>
          <w:color w:val="auto"/>
          <w:sz w:val="24"/>
          <w:szCs w:val="24"/>
          <w:highlight w:val="none"/>
        </w:rPr>
        <w:t>；</w:t>
      </w:r>
    </w:p>
    <w:p w14:paraId="6783F080">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u w:val="single"/>
        </w:rPr>
        <w:t xml:space="preserve">      执行通用条款      </w:t>
      </w:r>
      <w:r>
        <w:rPr>
          <w:rFonts w:hint="default" w:ascii="Times New Roman" w:hAnsi="Times New Roman" w:eastAsia="宋体" w:cs="Times New Roman"/>
          <w:color w:val="auto"/>
          <w:sz w:val="24"/>
          <w:szCs w:val="24"/>
          <w:highlight w:val="none"/>
        </w:rPr>
        <w:t>。</w:t>
      </w:r>
    </w:p>
    <w:p w14:paraId="28D7BC79">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68" w:name="_Toc351203637"/>
      <w:r>
        <w:rPr>
          <w:rFonts w:hint="default" w:ascii="Times New Roman" w:hAnsi="Times New Roman" w:eastAsia="宋体" w:cs="Times New Roman"/>
          <w:b/>
          <w:color w:val="auto"/>
          <w:sz w:val="24"/>
          <w:szCs w:val="24"/>
          <w:highlight w:val="none"/>
        </w:rPr>
        <w:t>5. 工程质量</w:t>
      </w:r>
      <w:bookmarkEnd w:id="68"/>
    </w:p>
    <w:p w14:paraId="14EE8805">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5.1 质量要求</w:t>
      </w:r>
    </w:p>
    <w:p w14:paraId="5B9F9208">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5.1.1 特殊质量标准和要求：</w:t>
      </w:r>
      <w:r>
        <w:rPr>
          <w:rFonts w:hint="default" w:ascii="Times New Roman" w:hAnsi="Times New Roman" w:eastAsia="宋体" w:cs="Times New Roman"/>
          <w:color w:val="auto"/>
          <w:sz w:val="24"/>
          <w:szCs w:val="24"/>
          <w:highlight w:val="none"/>
          <w:u w:val="single"/>
        </w:rPr>
        <w:t xml:space="preserve">   执行通用条款                  </w:t>
      </w:r>
      <w:r>
        <w:rPr>
          <w:rFonts w:hint="default" w:ascii="Times New Roman" w:hAnsi="Times New Roman" w:eastAsia="宋体" w:cs="Times New Roman"/>
          <w:color w:val="auto"/>
          <w:sz w:val="24"/>
          <w:szCs w:val="24"/>
          <w:highlight w:val="none"/>
        </w:rPr>
        <w:t>。</w:t>
      </w:r>
    </w:p>
    <w:p w14:paraId="4CDFD297">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关于工程奖项的约定：</w:t>
      </w:r>
      <w:r>
        <w:rPr>
          <w:rFonts w:hint="default" w:ascii="Times New Roman" w:hAnsi="Times New Roman" w:eastAsia="宋体" w:cs="Times New Roman"/>
          <w:color w:val="auto"/>
          <w:sz w:val="24"/>
          <w:szCs w:val="24"/>
          <w:highlight w:val="none"/>
          <w:u w:val="single"/>
        </w:rPr>
        <w:t>按照招标文件和施工合同的质量、工期约定，建设单位可根据竣工验收实际，对提前竣工达到合同约定质量标准，以及工程质量达到优良等级的工程，按照相应比例向施工单位返还扣除的违约金</w:t>
      </w:r>
      <w:r>
        <w:rPr>
          <w:rFonts w:hint="default" w:ascii="Times New Roman" w:hAnsi="Times New Roman" w:eastAsia="宋体" w:cs="Times New Roman"/>
          <w:color w:val="auto"/>
          <w:sz w:val="24"/>
          <w:szCs w:val="24"/>
          <w:highlight w:val="none"/>
        </w:rPr>
        <w:t>。</w:t>
      </w:r>
    </w:p>
    <w:p w14:paraId="4BFBD63B">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5.3 隐蔽工程检查</w:t>
      </w:r>
    </w:p>
    <w:p w14:paraId="20CF9732">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5.3.2承包人提前通知监理人隐蔽工程检查的期限的约定：</w:t>
      </w:r>
      <w:r>
        <w:rPr>
          <w:rFonts w:hint="default" w:ascii="Times New Roman" w:hAnsi="Times New Roman" w:eastAsia="宋体" w:cs="Times New Roman"/>
          <w:color w:val="auto"/>
          <w:sz w:val="24"/>
          <w:szCs w:val="24"/>
          <w:highlight w:val="none"/>
          <w:u w:val="single"/>
        </w:rPr>
        <w:t>共同检查前48 小时书面通知监理人</w:t>
      </w:r>
      <w:r>
        <w:rPr>
          <w:rFonts w:hint="default" w:ascii="Times New Roman" w:hAnsi="Times New Roman" w:eastAsia="宋体" w:cs="Times New Roman"/>
          <w:color w:val="auto"/>
          <w:sz w:val="24"/>
          <w:szCs w:val="24"/>
          <w:highlight w:val="none"/>
        </w:rPr>
        <w:t>。</w:t>
      </w:r>
    </w:p>
    <w:p w14:paraId="6D0B8BE9">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监理人不能按时进行检查时，应提前</w:t>
      </w:r>
      <w:r>
        <w:rPr>
          <w:rFonts w:hint="default" w:ascii="Times New Roman" w:hAnsi="Times New Roman" w:eastAsia="宋体" w:cs="Times New Roman"/>
          <w:color w:val="auto"/>
          <w:sz w:val="24"/>
          <w:szCs w:val="24"/>
          <w:highlight w:val="none"/>
          <w:u w:val="single"/>
        </w:rPr>
        <w:t xml:space="preserve">   24 </w:t>
      </w:r>
      <w:r>
        <w:rPr>
          <w:rFonts w:hint="default" w:ascii="Times New Roman" w:hAnsi="Times New Roman" w:eastAsia="宋体" w:cs="Times New Roman"/>
          <w:color w:val="auto"/>
          <w:sz w:val="24"/>
          <w:szCs w:val="24"/>
          <w:highlight w:val="none"/>
        </w:rPr>
        <w:t>小时提交书面延期要求。</w:t>
      </w:r>
    </w:p>
    <w:p w14:paraId="1382CAA1">
      <w:pPr>
        <w:keepNext w:val="0"/>
        <w:keepLines w:val="0"/>
        <w:pageBreakBefore w:val="0"/>
        <w:widowControl/>
        <w:shd w:val="clear" w:color="auto" w:fill="auto"/>
        <w:kinsoku/>
        <w:wordWrap/>
        <w:overflowPunct/>
        <w:topLinePunct w:val="0"/>
        <w:autoSpaceDE w:val="0"/>
        <w:autoSpaceDN w:val="0"/>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关于延期最长不得超过：</w:t>
      </w:r>
      <w:r>
        <w:rPr>
          <w:rFonts w:hint="default" w:ascii="Times New Roman" w:hAnsi="Times New Roman" w:eastAsia="宋体" w:cs="Times New Roman"/>
          <w:color w:val="auto"/>
          <w:sz w:val="24"/>
          <w:szCs w:val="24"/>
          <w:highlight w:val="none"/>
          <w:u w:val="single"/>
        </w:rPr>
        <w:t xml:space="preserve">   48  </w:t>
      </w:r>
      <w:r>
        <w:rPr>
          <w:rFonts w:hint="default" w:ascii="Times New Roman" w:hAnsi="Times New Roman" w:eastAsia="宋体" w:cs="Times New Roman"/>
          <w:color w:val="auto"/>
          <w:sz w:val="24"/>
          <w:szCs w:val="24"/>
          <w:highlight w:val="none"/>
        </w:rPr>
        <w:t>小时。</w:t>
      </w:r>
    </w:p>
    <w:p w14:paraId="61C45A04">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69" w:name="_Toc351203638"/>
      <w:r>
        <w:rPr>
          <w:rFonts w:hint="default" w:ascii="Times New Roman" w:hAnsi="Times New Roman" w:eastAsia="宋体" w:cs="Times New Roman"/>
          <w:b/>
          <w:color w:val="auto"/>
          <w:sz w:val="24"/>
          <w:szCs w:val="24"/>
          <w:highlight w:val="none"/>
        </w:rPr>
        <w:t>6. 安全文明施工与环境保护</w:t>
      </w:r>
      <w:bookmarkEnd w:id="69"/>
    </w:p>
    <w:p w14:paraId="0339114A">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6.1安全文明施工</w:t>
      </w:r>
    </w:p>
    <w:p w14:paraId="54EB203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6.1.1 项目安全生产的达标目标及相应事项的约定： </w:t>
      </w:r>
      <w:r>
        <w:rPr>
          <w:rFonts w:hint="default" w:ascii="Times New Roman" w:hAnsi="Times New Roman" w:eastAsia="宋体" w:cs="Times New Roman"/>
          <w:color w:val="auto"/>
          <w:sz w:val="24"/>
          <w:szCs w:val="24"/>
          <w:highlight w:val="none"/>
          <w:u w:val="single"/>
        </w:rPr>
        <w:t>要求达到《建筑施工安全检查标准》（JGJ59-2011）标准；承包方应切实抓好本工程安全施工工作，确保不发生一起安全事故，并应提前做好施工人员及机械设备保险办理工作；若发生人员伤亡事故，发包方将扣除承包方全部履约保证金，同时产生的一切后果由承包方承担，发包方不承担任何责任</w:t>
      </w:r>
      <w:r>
        <w:rPr>
          <w:rFonts w:hint="default" w:ascii="Times New Roman" w:hAnsi="Times New Roman" w:eastAsia="宋体" w:cs="Times New Roman"/>
          <w:color w:val="auto"/>
          <w:sz w:val="24"/>
          <w:szCs w:val="24"/>
          <w:highlight w:val="none"/>
        </w:rPr>
        <w:t>。</w:t>
      </w:r>
    </w:p>
    <w:p w14:paraId="1B1A355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6.1.4 关于治安保卫的特别约定：</w:t>
      </w:r>
      <w:r>
        <w:rPr>
          <w:rFonts w:hint="default" w:ascii="Times New Roman" w:hAnsi="Times New Roman" w:eastAsia="宋体" w:cs="Times New Roman"/>
          <w:color w:val="auto"/>
          <w:sz w:val="24"/>
          <w:szCs w:val="24"/>
          <w:highlight w:val="none"/>
          <w:u w:val="single"/>
        </w:rPr>
        <w:t>由承包人负责协调并履行治安保卫职责</w:t>
      </w:r>
      <w:r>
        <w:rPr>
          <w:rFonts w:hint="default" w:ascii="Times New Roman" w:hAnsi="Times New Roman" w:eastAsia="宋体" w:cs="Times New Roman"/>
          <w:color w:val="auto"/>
          <w:sz w:val="24"/>
          <w:szCs w:val="24"/>
          <w:highlight w:val="none"/>
        </w:rPr>
        <w:t>。</w:t>
      </w:r>
    </w:p>
    <w:p w14:paraId="7E817B0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关于编制施工场地治安管理计划的约定：</w:t>
      </w:r>
      <w:r>
        <w:rPr>
          <w:rFonts w:hint="default" w:ascii="Times New Roman" w:hAnsi="Times New Roman" w:eastAsia="宋体" w:cs="Times New Roman"/>
          <w:color w:val="auto"/>
          <w:sz w:val="24"/>
          <w:szCs w:val="24"/>
          <w:highlight w:val="none"/>
          <w:u w:val="single"/>
        </w:rPr>
        <w:t>承包人开工前三天提供施工场地治安管理计划 。</w:t>
      </w:r>
    </w:p>
    <w:p w14:paraId="43E18B3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6.1.5 文明施工</w:t>
      </w:r>
    </w:p>
    <w:p w14:paraId="798F573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合同当事人对文明施工的要求：</w:t>
      </w:r>
      <w:r>
        <w:rPr>
          <w:rFonts w:hint="default" w:ascii="Times New Roman" w:hAnsi="Times New Roman" w:eastAsia="宋体" w:cs="Times New Roman"/>
          <w:color w:val="auto"/>
          <w:sz w:val="24"/>
          <w:szCs w:val="24"/>
          <w:highlight w:val="none"/>
          <w:u w:val="single"/>
        </w:rPr>
        <w:t xml:space="preserve">达到《建筑施工现场环境与卫生标准》（JGJ146-2004、 J375-2004），并执行通用条款  </w:t>
      </w:r>
      <w:r>
        <w:rPr>
          <w:rFonts w:hint="default" w:ascii="Times New Roman" w:hAnsi="Times New Roman" w:eastAsia="宋体" w:cs="Times New Roman"/>
          <w:color w:val="auto"/>
          <w:sz w:val="24"/>
          <w:szCs w:val="24"/>
          <w:highlight w:val="none"/>
        </w:rPr>
        <w:t>。</w:t>
      </w:r>
    </w:p>
    <w:p w14:paraId="09F2A4F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6.1.6 关于安全文明施工费支付比例和支付期限的约定：</w:t>
      </w:r>
      <w:r>
        <w:rPr>
          <w:rFonts w:hint="default" w:ascii="Times New Roman" w:hAnsi="Times New Roman" w:eastAsia="宋体" w:cs="Times New Roman"/>
          <w:color w:val="auto"/>
          <w:sz w:val="24"/>
          <w:szCs w:val="24"/>
          <w:highlight w:val="none"/>
          <w:u w:val="single"/>
        </w:rPr>
        <w:t>按进度款支付比例进行支付</w:t>
      </w:r>
      <w:r>
        <w:rPr>
          <w:rFonts w:hint="default" w:ascii="Times New Roman" w:hAnsi="Times New Roman" w:eastAsia="宋体" w:cs="Times New Roman"/>
          <w:color w:val="auto"/>
          <w:sz w:val="24"/>
          <w:szCs w:val="24"/>
          <w:highlight w:val="none"/>
        </w:rPr>
        <w:t>。</w:t>
      </w:r>
    </w:p>
    <w:p w14:paraId="204E7B3B">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70" w:name="_Toc351203639"/>
      <w:r>
        <w:rPr>
          <w:rFonts w:hint="default" w:ascii="Times New Roman" w:hAnsi="Times New Roman" w:eastAsia="宋体" w:cs="Times New Roman"/>
          <w:b/>
          <w:color w:val="auto"/>
          <w:sz w:val="24"/>
          <w:szCs w:val="24"/>
          <w:highlight w:val="none"/>
        </w:rPr>
        <w:t>7. 工期和进度</w:t>
      </w:r>
      <w:bookmarkEnd w:id="70"/>
    </w:p>
    <w:p w14:paraId="6C043A6E">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 施工组织设计</w:t>
      </w:r>
    </w:p>
    <w:p w14:paraId="6B168BF5">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7.1.1 合同当事人约定的施工组织设计应包括的其他内容：</w:t>
      </w:r>
      <w:r>
        <w:rPr>
          <w:rFonts w:hint="default" w:ascii="Times New Roman" w:hAnsi="Times New Roman" w:eastAsia="宋体" w:cs="Times New Roman"/>
          <w:color w:val="auto"/>
          <w:sz w:val="24"/>
          <w:szCs w:val="24"/>
          <w:highlight w:val="none"/>
          <w:u w:val="single"/>
        </w:rPr>
        <w:t>中标施工单位应严格按照技术标约定的劳动力需用量计划、机械设备需用量计划组织施工人材机</w:t>
      </w:r>
      <w:r>
        <w:rPr>
          <w:rFonts w:hint="default"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 xml:space="preserve">未按照技术标约定全部到场的，按照不履行招标文件及合同约定缴纳违约金5万元 </w:t>
      </w:r>
      <w:r>
        <w:rPr>
          <w:rFonts w:hint="default" w:ascii="Times New Roman" w:hAnsi="Times New Roman" w:eastAsia="宋体" w:cs="Times New Roman"/>
          <w:color w:val="auto"/>
          <w:sz w:val="24"/>
          <w:szCs w:val="24"/>
          <w:highlight w:val="none"/>
        </w:rPr>
        <w:t>。</w:t>
      </w:r>
    </w:p>
    <w:p w14:paraId="2234A34D">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7.1.2 施工组织设计的提交和修改</w:t>
      </w:r>
    </w:p>
    <w:p w14:paraId="326257FE">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承包人提交详细施工组织设计的期限的约定：</w:t>
      </w:r>
      <w:r>
        <w:rPr>
          <w:rFonts w:hint="default" w:ascii="Times New Roman" w:hAnsi="Times New Roman" w:eastAsia="宋体" w:cs="Times New Roman"/>
          <w:color w:val="auto"/>
          <w:sz w:val="24"/>
          <w:szCs w:val="24"/>
          <w:highlight w:val="none"/>
          <w:u w:val="single"/>
        </w:rPr>
        <w:t>开工前三天</w:t>
      </w:r>
      <w:r>
        <w:rPr>
          <w:rFonts w:hint="default" w:ascii="Times New Roman" w:hAnsi="Times New Roman" w:eastAsia="宋体" w:cs="Times New Roman"/>
          <w:color w:val="auto"/>
          <w:sz w:val="24"/>
          <w:szCs w:val="24"/>
          <w:highlight w:val="none"/>
        </w:rPr>
        <w:t>。</w:t>
      </w:r>
    </w:p>
    <w:p w14:paraId="293FFED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发包人和监理人在收到详细的施工组织设计后确认或提出修改意见的期限：</w:t>
      </w:r>
      <w:r>
        <w:rPr>
          <w:rFonts w:hint="default" w:ascii="Times New Roman" w:hAnsi="Times New Roman" w:eastAsia="宋体" w:cs="Times New Roman"/>
          <w:color w:val="auto"/>
          <w:sz w:val="24"/>
          <w:szCs w:val="24"/>
          <w:highlight w:val="none"/>
          <w:u w:val="single"/>
        </w:rPr>
        <w:t xml:space="preserve">  收到后 7 天内  </w:t>
      </w:r>
      <w:r>
        <w:rPr>
          <w:rFonts w:hint="default" w:ascii="Times New Roman" w:hAnsi="Times New Roman" w:eastAsia="宋体" w:cs="Times New Roman"/>
          <w:color w:val="auto"/>
          <w:sz w:val="24"/>
          <w:szCs w:val="24"/>
          <w:highlight w:val="none"/>
        </w:rPr>
        <w:t>。</w:t>
      </w:r>
    </w:p>
    <w:p w14:paraId="6EF7AFC9">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bookmarkStart w:id="71" w:name="_Toc304295541"/>
      <w:bookmarkStart w:id="72" w:name="_Toc297216173"/>
      <w:bookmarkStart w:id="73" w:name="_Toc312677479"/>
      <w:bookmarkStart w:id="74" w:name="_Toc303539123"/>
      <w:bookmarkStart w:id="75" w:name="_Toc297123514"/>
      <w:bookmarkStart w:id="76" w:name="_Toc312678005"/>
      <w:bookmarkStart w:id="77" w:name="_Toc300934966"/>
      <w:r>
        <w:rPr>
          <w:rFonts w:hint="default" w:ascii="Times New Roman" w:hAnsi="Times New Roman" w:eastAsia="宋体" w:cs="Times New Roman"/>
          <w:color w:val="auto"/>
          <w:sz w:val="24"/>
          <w:szCs w:val="24"/>
          <w:highlight w:val="none"/>
        </w:rPr>
        <w:t>.2 施工进度计划</w:t>
      </w:r>
    </w:p>
    <w:p w14:paraId="28BA999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7.2.2 施工进度计划的修订</w:t>
      </w:r>
    </w:p>
    <w:p w14:paraId="19972F3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发包人和监理人在收到修订的施工进度计划后确认或提出修改意见的期限：</w:t>
      </w:r>
      <w:r>
        <w:rPr>
          <w:rFonts w:hint="default" w:ascii="Times New Roman" w:hAnsi="Times New Roman" w:eastAsia="宋体" w:cs="Times New Roman"/>
          <w:color w:val="auto"/>
          <w:sz w:val="24"/>
          <w:szCs w:val="24"/>
          <w:highlight w:val="none"/>
          <w:u w:val="single"/>
        </w:rPr>
        <w:t xml:space="preserve">  收到后 7 天内   </w:t>
      </w:r>
      <w:r>
        <w:rPr>
          <w:rFonts w:hint="default" w:ascii="Times New Roman" w:hAnsi="Times New Roman" w:eastAsia="宋体" w:cs="Times New Roman"/>
          <w:color w:val="auto"/>
          <w:sz w:val="24"/>
          <w:szCs w:val="24"/>
          <w:highlight w:val="none"/>
        </w:rPr>
        <w:t>。</w:t>
      </w:r>
    </w:p>
    <w:p w14:paraId="614BE1F5">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7.3 开工</w:t>
      </w:r>
    </w:p>
    <w:p w14:paraId="0BDE42E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7.3.1 开工准备</w:t>
      </w:r>
    </w:p>
    <w:p w14:paraId="30FBE3B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关于承包人提交工程开工报审表的期限：</w:t>
      </w:r>
      <w:r>
        <w:rPr>
          <w:rFonts w:hint="default" w:ascii="Times New Roman" w:hAnsi="Times New Roman" w:eastAsia="宋体" w:cs="Times New Roman"/>
          <w:color w:val="auto"/>
          <w:sz w:val="24"/>
          <w:szCs w:val="24"/>
          <w:highlight w:val="none"/>
          <w:u w:val="single"/>
        </w:rPr>
        <w:t xml:space="preserve">合同签订后、开工之前 7 日之内 </w:t>
      </w:r>
      <w:r>
        <w:rPr>
          <w:rFonts w:hint="default" w:ascii="Times New Roman" w:hAnsi="Times New Roman" w:eastAsia="宋体" w:cs="Times New Roman"/>
          <w:color w:val="auto"/>
          <w:sz w:val="24"/>
          <w:szCs w:val="24"/>
          <w:highlight w:val="none"/>
        </w:rPr>
        <w:t>。</w:t>
      </w:r>
    </w:p>
    <w:p w14:paraId="699B773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关于发包人应完成的其他开工准备工作及期限：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0440DE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关于承包人应完成的其他开工准备工作及期限：</w:t>
      </w:r>
      <w:r>
        <w:rPr>
          <w:rFonts w:hint="default" w:ascii="Times New Roman" w:hAnsi="Times New Roman" w:eastAsia="宋体" w:cs="Times New Roman"/>
          <w:color w:val="auto"/>
          <w:sz w:val="24"/>
          <w:szCs w:val="24"/>
          <w:highlight w:val="none"/>
          <w:u w:val="single"/>
        </w:rPr>
        <w:t xml:space="preserve">中标施工单位项目经理、项目管理人员、 施工人员必须按照投标文件约定到场，并应严格按照技术标准约定的劳动力需用量计划、机械设备需用量计划组织施工  </w:t>
      </w:r>
      <w:r>
        <w:rPr>
          <w:rFonts w:hint="default" w:ascii="Times New Roman" w:hAnsi="Times New Roman" w:eastAsia="宋体" w:cs="Times New Roman"/>
          <w:color w:val="auto"/>
          <w:sz w:val="24"/>
          <w:szCs w:val="24"/>
          <w:highlight w:val="none"/>
        </w:rPr>
        <w:t>。</w:t>
      </w:r>
    </w:p>
    <w:p w14:paraId="1FA7DEC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7.3.2开工通知</w:t>
      </w:r>
    </w:p>
    <w:p w14:paraId="69AD012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因发包人原因造成监理人未能在计划开工日期之日发出开工通知的，承包人不得提出价格调整要求或者解除合同。</w:t>
      </w:r>
    </w:p>
    <w:bookmarkEnd w:id="71"/>
    <w:bookmarkEnd w:id="72"/>
    <w:bookmarkEnd w:id="73"/>
    <w:bookmarkEnd w:id="74"/>
    <w:bookmarkEnd w:id="75"/>
    <w:bookmarkEnd w:id="76"/>
    <w:bookmarkEnd w:id="77"/>
    <w:p w14:paraId="3F9560A7">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7.4 测量放线</w:t>
      </w:r>
    </w:p>
    <w:p w14:paraId="054A940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7.4.1发包人通过监理人向承包人提供测量基准点、基准线和水准点及其书面资料的期限：</w:t>
      </w:r>
      <w:r>
        <w:rPr>
          <w:rFonts w:hint="default" w:ascii="Times New Roman" w:hAnsi="Times New Roman" w:eastAsia="宋体" w:cs="Times New Roman"/>
          <w:color w:val="auto"/>
          <w:sz w:val="24"/>
          <w:szCs w:val="24"/>
          <w:highlight w:val="none"/>
          <w:u w:val="single"/>
        </w:rPr>
        <w:t>开工三日内在施工现场进行交验，由承包方做好校验和保护；承包人应根据国家测绘基准，测绘系统和工程测量技术规范，按上述基准点（线）以及合同工程精度要求，测设施工控制网，并在专用条款约定的期限内，将施工控制网资料报送发包人和监理人审批 。</w:t>
      </w:r>
    </w:p>
    <w:p w14:paraId="00A7C094">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bookmarkStart w:id="78" w:name="_Toc304295546"/>
      <w:bookmarkStart w:id="79" w:name="_Toc312677484"/>
      <w:bookmarkStart w:id="80" w:name="_Toc297216175"/>
      <w:bookmarkStart w:id="81" w:name="_Toc297123516"/>
      <w:bookmarkStart w:id="82" w:name="_Toc303539125"/>
      <w:bookmarkStart w:id="83" w:name="_Toc312678010"/>
      <w:bookmarkStart w:id="84" w:name="_Toc300934968"/>
      <w:r>
        <w:rPr>
          <w:rFonts w:hint="default" w:ascii="Times New Roman" w:hAnsi="Times New Roman" w:eastAsia="宋体" w:cs="Times New Roman"/>
          <w:color w:val="auto"/>
          <w:sz w:val="24"/>
          <w:szCs w:val="24"/>
          <w:highlight w:val="none"/>
        </w:rPr>
        <w:t>.5 工期延误</w:t>
      </w:r>
    </w:p>
    <w:bookmarkEnd w:id="78"/>
    <w:bookmarkEnd w:id="79"/>
    <w:bookmarkEnd w:id="80"/>
    <w:bookmarkEnd w:id="81"/>
    <w:bookmarkEnd w:id="82"/>
    <w:bookmarkEnd w:id="83"/>
    <w:bookmarkEnd w:id="84"/>
    <w:p w14:paraId="329DDA4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7.5.1 因发包人原因导致工期延误</w:t>
      </w:r>
    </w:p>
    <w:p w14:paraId="27E4AE6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（7）因发包人原因导致工期延误的其他情形：</w:t>
      </w:r>
      <w:r>
        <w:rPr>
          <w:rFonts w:hint="default" w:ascii="Times New Roman" w:hAnsi="Times New Roman" w:eastAsia="宋体" w:cs="Times New Roman"/>
          <w:color w:val="auto"/>
          <w:sz w:val="24"/>
          <w:szCs w:val="24"/>
          <w:highlight w:val="none"/>
          <w:u w:val="single"/>
        </w:rPr>
        <w:t xml:space="preserve">非发包方原因，工期不顺延；因政策处理问题影响施工进度，不可抗力原因影响工程进度，需在发生后七日内办理签证，逾期不予认可  </w:t>
      </w:r>
      <w:r>
        <w:rPr>
          <w:rFonts w:hint="default" w:ascii="Times New Roman" w:hAnsi="Times New Roman" w:eastAsia="宋体" w:cs="Times New Roman"/>
          <w:color w:val="auto"/>
          <w:sz w:val="24"/>
          <w:szCs w:val="24"/>
          <w:highlight w:val="none"/>
        </w:rPr>
        <w:t>。</w:t>
      </w:r>
    </w:p>
    <w:p w14:paraId="3FEB74D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bookmarkStart w:id="85" w:name="_Toc318581169"/>
      <w:bookmarkStart w:id="86" w:name="_Toc312678012"/>
      <w:bookmarkStart w:id="87" w:name="_Toc312677486"/>
      <w:bookmarkStart w:id="88" w:name="_Toc297216177"/>
      <w:bookmarkStart w:id="89" w:name="_Toc304295548"/>
      <w:bookmarkStart w:id="90" w:name="_Toc300934970"/>
      <w:bookmarkStart w:id="91" w:name="_Toc297123518"/>
      <w:bookmarkStart w:id="92" w:name="_Toc303539127"/>
      <w:r>
        <w:rPr>
          <w:rFonts w:hint="default" w:ascii="Times New Roman" w:hAnsi="Times New Roman" w:eastAsia="宋体" w:cs="Times New Roman"/>
          <w:color w:val="auto"/>
          <w:sz w:val="24"/>
          <w:szCs w:val="24"/>
          <w:highlight w:val="none"/>
        </w:rPr>
        <w:t>.5.2 因承包人原因导致工期延误</w:t>
      </w:r>
    </w:p>
    <w:bookmarkEnd w:id="85"/>
    <w:bookmarkEnd w:id="86"/>
    <w:bookmarkEnd w:id="87"/>
    <w:p w14:paraId="426F830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pacing w:val="-5"/>
          <w:sz w:val="24"/>
          <w:szCs w:val="24"/>
          <w:highlight w:val="none"/>
          <w:u w:val="single"/>
        </w:rPr>
      </w:pPr>
      <w:r>
        <w:rPr>
          <w:rFonts w:hint="default" w:ascii="Times New Roman" w:hAnsi="Times New Roman" w:eastAsia="宋体" w:cs="Times New Roman"/>
          <w:color w:val="auto"/>
          <w:sz w:val="24"/>
          <w:szCs w:val="24"/>
          <w:highlight w:val="none"/>
        </w:rPr>
        <w:t>因</w:t>
      </w:r>
      <w:bookmarkStart w:id="93" w:name="_Toc312678013"/>
      <w:bookmarkStart w:id="94" w:name="_Toc318581170"/>
      <w:bookmarkStart w:id="95" w:name="_Toc312677487"/>
      <w:r>
        <w:rPr>
          <w:rFonts w:hint="default" w:ascii="Times New Roman" w:hAnsi="Times New Roman" w:eastAsia="宋体" w:cs="Times New Roman"/>
          <w:color w:val="auto"/>
          <w:sz w:val="24"/>
          <w:szCs w:val="24"/>
          <w:highlight w:val="none"/>
        </w:rPr>
        <w:t>承包人原因造成工期延误，逾期竣工违约金的计算方法为：</w:t>
      </w:r>
      <w:bookmarkEnd w:id="88"/>
      <w:bookmarkEnd w:id="89"/>
      <w:bookmarkEnd w:id="90"/>
      <w:bookmarkEnd w:id="91"/>
      <w:bookmarkEnd w:id="92"/>
      <w:bookmarkEnd w:id="93"/>
      <w:bookmarkEnd w:id="94"/>
      <w:bookmarkEnd w:id="95"/>
      <w:r>
        <w:rPr>
          <w:rFonts w:hint="default" w:ascii="Times New Roman" w:hAnsi="Times New Roman" w:eastAsia="宋体" w:cs="Times New Roman"/>
          <w:color w:val="auto"/>
          <w:spacing w:val="-5"/>
          <w:sz w:val="24"/>
          <w:szCs w:val="24"/>
          <w:highlight w:val="none"/>
          <w:u w:val="single"/>
        </w:rPr>
        <w:t>按照合同工期，每延误一天，缴纳违约金壹万元整。由于承包人原因未能按合同进度计划完成工作，或监理人认为承包人施工进度不能满足合同工期要求的，承包人应当采取措施加快进度，并承担加快进度所增加的费用。投标报价中计取的赶工期措施费扣除同时还得赔偿由于延误给发包人带来的其他损失。</w:t>
      </w:r>
    </w:p>
    <w:p w14:paraId="33B9C9F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因承包人原因造成工期延误，逾</w:t>
      </w:r>
      <w:bookmarkStart w:id="96" w:name="_Toc312678014"/>
      <w:bookmarkStart w:id="97" w:name="_Toc318581171"/>
      <w:r>
        <w:rPr>
          <w:rFonts w:hint="default" w:ascii="Times New Roman" w:hAnsi="Times New Roman" w:eastAsia="宋体" w:cs="Times New Roman"/>
          <w:color w:val="auto"/>
          <w:sz w:val="24"/>
          <w:szCs w:val="24"/>
          <w:highlight w:val="none"/>
        </w:rPr>
        <w:t>期竣工违约金的上限：</w:t>
      </w:r>
      <w:r>
        <w:rPr>
          <w:rFonts w:hint="default" w:ascii="Times New Roman" w:hAnsi="Times New Roman" w:eastAsia="宋体" w:cs="Times New Roman"/>
          <w:color w:val="auto"/>
          <w:spacing w:val="-6"/>
          <w:sz w:val="24"/>
          <w:szCs w:val="24"/>
          <w:highlight w:val="none"/>
          <w:u w:val="single"/>
        </w:rPr>
        <w:t>总额不超过合同价款的</w:t>
      </w:r>
      <w:r>
        <w:rPr>
          <w:rFonts w:hint="default" w:ascii="Times New Roman" w:hAnsi="Times New Roman" w:eastAsia="宋体" w:cs="Times New Roman"/>
          <w:color w:val="auto"/>
          <w:spacing w:val="-29"/>
          <w:sz w:val="24"/>
          <w:szCs w:val="24"/>
          <w:highlight w:val="none"/>
          <w:u w:val="single"/>
        </w:rPr>
        <w:t xml:space="preserve"> </w:t>
      </w:r>
      <w:r>
        <w:rPr>
          <w:rFonts w:hint="default" w:ascii="Times New Roman" w:hAnsi="Times New Roman" w:eastAsia="宋体" w:cs="Times New Roman"/>
          <w:color w:val="auto"/>
          <w:spacing w:val="-6"/>
          <w:sz w:val="24"/>
          <w:szCs w:val="24"/>
          <w:highlight w:val="none"/>
          <w:u w:val="single"/>
        </w:rPr>
        <w:t>10%</w:t>
      </w:r>
      <w:r>
        <w:rPr>
          <w:rFonts w:hint="default" w:ascii="Times New Roman" w:hAnsi="Times New Roman" w:eastAsia="宋体" w:cs="Times New Roman"/>
          <w:color w:val="auto"/>
          <w:spacing w:val="1"/>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bookmarkEnd w:id="96"/>
    <w:bookmarkEnd w:id="97"/>
    <w:p w14:paraId="388DFD63">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bookmarkStart w:id="98" w:name="_Toc312678015"/>
      <w:bookmarkStart w:id="99" w:name="_Toc303539128"/>
      <w:bookmarkStart w:id="100" w:name="_Toc297216178"/>
      <w:bookmarkStart w:id="101" w:name="_Toc297123519"/>
      <w:bookmarkStart w:id="102" w:name="_Toc300934971"/>
      <w:bookmarkStart w:id="103" w:name="_Toc304295549"/>
      <w:r>
        <w:rPr>
          <w:rFonts w:hint="default" w:ascii="Times New Roman" w:hAnsi="Times New Roman" w:eastAsia="宋体" w:cs="Times New Roman"/>
          <w:color w:val="auto"/>
          <w:sz w:val="24"/>
          <w:szCs w:val="24"/>
          <w:highlight w:val="none"/>
        </w:rPr>
        <w:t>.6 不</w:t>
      </w:r>
      <w:bookmarkEnd w:id="98"/>
      <w:bookmarkEnd w:id="99"/>
      <w:bookmarkEnd w:id="100"/>
      <w:bookmarkEnd w:id="101"/>
      <w:bookmarkEnd w:id="102"/>
      <w:bookmarkEnd w:id="103"/>
      <w:r>
        <w:rPr>
          <w:rFonts w:hint="default" w:ascii="Times New Roman" w:hAnsi="Times New Roman" w:eastAsia="宋体" w:cs="Times New Roman"/>
          <w:color w:val="auto"/>
          <w:sz w:val="24"/>
          <w:szCs w:val="24"/>
          <w:highlight w:val="none"/>
        </w:rPr>
        <w:t>利物质条件</w:t>
      </w:r>
    </w:p>
    <w:p w14:paraId="4252E44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104" w:name="_Toc297216179"/>
      <w:bookmarkStart w:id="105" w:name="_Toc304295550"/>
      <w:bookmarkStart w:id="106" w:name="_Toc318581172"/>
      <w:bookmarkStart w:id="107" w:name="_Toc303539129"/>
      <w:bookmarkStart w:id="108" w:name="_Toc300934972"/>
      <w:bookmarkStart w:id="109" w:name="_Toc312678016"/>
      <w:bookmarkStart w:id="110" w:name="_Toc297123520"/>
      <w:r>
        <w:rPr>
          <w:rFonts w:hint="default" w:ascii="Times New Roman" w:hAnsi="Times New Roman" w:eastAsia="宋体" w:cs="Times New Roman"/>
          <w:color w:val="auto"/>
          <w:sz w:val="24"/>
          <w:szCs w:val="24"/>
          <w:highlight w:val="none"/>
        </w:rPr>
        <w:t>不利物质条件的其他情形和有关约定：</w:t>
      </w:r>
      <w:r>
        <w:rPr>
          <w:rFonts w:hint="default" w:ascii="Times New Roman" w:hAnsi="Times New Roman" w:eastAsia="宋体" w:cs="Times New Roman"/>
          <w:color w:val="auto"/>
          <w:sz w:val="24"/>
          <w:szCs w:val="24"/>
          <w:highlight w:val="none"/>
          <w:u w:val="single"/>
        </w:rPr>
        <w:t xml:space="preserve">执行通用条款  </w:t>
      </w:r>
      <w:r>
        <w:rPr>
          <w:rFonts w:hint="default" w:ascii="Times New Roman" w:hAnsi="Times New Roman" w:eastAsia="宋体" w:cs="Times New Roman"/>
          <w:color w:val="auto"/>
          <w:sz w:val="24"/>
          <w:szCs w:val="24"/>
          <w:highlight w:val="none"/>
        </w:rPr>
        <w:t>。</w:t>
      </w:r>
    </w:p>
    <w:bookmarkEnd w:id="104"/>
    <w:bookmarkEnd w:id="105"/>
    <w:bookmarkEnd w:id="106"/>
    <w:bookmarkEnd w:id="107"/>
    <w:bookmarkEnd w:id="108"/>
    <w:bookmarkEnd w:id="109"/>
    <w:bookmarkEnd w:id="110"/>
    <w:p w14:paraId="1067D868">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bookmarkStart w:id="111" w:name="_Toc297123521"/>
      <w:bookmarkStart w:id="112" w:name="_Toc304295551"/>
      <w:bookmarkStart w:id="113" w:name="_Toc300934973"/>
      <w:bookmarkStart w:id="114" w:name="_Toc312678017"/>
      <w:bookmarkStart w:id="115" w:name="_Toc297216180"/>
      <w:bookmarkStart w:id="116" w:name="_Toc303539130"/>
      <w:r>
        <w:rPr>
          <w:rFonts w:hint="default" w:ascii="Times New Roman" w:hAnsi="Times New Roman" w:eastAsia="宋体" w:cs="Times New Roman"/>
          <w:color w:val="auto"/>
          <w:sz w:val="24"/>
          <w:szCs w:val="24"/>
          <w:highlight w:val="none"/>
        </w:rPr>
        <w:t>.7异常恶劣的气候条件</w:t>
      </w:r>
    </w:p>
    <w:bookmarkEnd w:id="111"/>
    <w:bookmarkEnd w:id="112"/>
    <w:bookmarkEnd w:id="113"/>
    <w:bookmarkEnd w:id="114"/>
    <w:bookmarkEnd w:id="115"/>
    <w:bookmarkEnd w:id="116"/>
    <w:p w14:paraId="73B1F46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发包人和承包人同意以下情形视为异常恶劣的气候条件：</w:t>
      </w:r>
    </w:p>
    <w:p w14:paraId="7DA7864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u w:val="single"/>
        </w:rPr>
        <w:t>气象部门发布的暴雨、大风、沙尘等不适合施工的天气灾害</w:t>
      </w:r>
      <w:r>
        <w:rPr>
          <w:rFonts w:hint="default" w:ascii="Times New Roman" w:hAnsi="Times New Roman" w:eastAsia="宋体" w:cs="Times New Roman"/>
          <w:color w:val="auto"/>
          <w:sz w:val="24"/>
          <w:szCs w:val="24"/>
          <w:highlight w:val="none"/>
        </w:rPr>
        <w:t>；</w:t>
      </w:r>
    </w:p>
    <w:p w14:paraId="4CA4E06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u w:val="single"/>
          <w:lang w:eastAsia="zh-CN"/>
        </w:rPr>
        <w:t>;</w:t>
      </w:r>
    </w:p>
    <w:p w14:paraId="4526EC7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41BBF78F">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7.9 提前竣工的奖励</w:t>
      </w:r>
    </w:p>
    <w:p w14:paraId="36F1DC1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7.9.2提前竣工的奖励：</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10325A2A">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117" w:name="_Toc351203640"/>
      <w:r>
        <w:rPr>
          <w:rFonts w:hint="default" w:ascii="Times New Roman" w:hAnsi="Times New Roman" w:eastAsia="宋体" w:cs="Times New Roman"/>
          <w:b/>
          <w:color w:val="auto"/>
          <w:sz w:val="24"/>
          <w:szCs w:val="24"/>
          <w:highlight w:val="none"/>
        </w:rPr>
        <w:t>8. 材料与设备</w:t>
      </w:r>
      <w:bookmarkEnd w:id="117"/>
    </w:p>
    <w:p w14:paraId="10419662">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bookmarkStart w:id="118" w:name="_Toc296347166"/>
      <w:bookmarkStart w:id="119" w:name="_Toc300934979"/>
      <w:bookmarkStart w:id="120" w:name="_Toc296503167"/>
      <w:bookmarkStart w:id="121" w:name="_Toc280868654"/>
      <w:bookmarkStart w:id="122" w:name="_Toc303539136"/>
      <w:bookmarkStart w:id="123" w:name="_Toc304295556"/>
      <w:bookmarkStart w:id="124" w:name="_Toc296890995"/>
      <w:bookmarkStart w:id="125" w:name="_Toc312677493"/>
      <w:bookmarkStart w:id="126" w:name="_Toc296891207"/>
      <w:bookmarkStart w:id="127" w:name="_Toc297048353"/>
      <w:bookmarkStart w:id="128" w:name="_Toc297120467"/>
      <w:bookmarkStart w:id="129" w:name="_Toc296346668"/>
      <w:bookmarkStart w:id="130" w:name="_Toc312678019"/>
      <w:bookmarkStart w:id="131" w:name="_Toc292559877"/>
      <w:bookmarkStart w:id="132" w:name="_Toc296944506"/>
      <w:bookmarkStart w:id="133" w:name="_Toc292559372"/>
      <w:bookmarkStart w:id="134" w:name="_Toc297123527"/>
      <w:bookmarkStart w:id="135" w:name="_Toc297216186"/>
      <w:bookmarkStart w:id="136" w:name="_Toc267251424"/>
      <w:bookmarkStart w:id="137" w:name="_Toc280868655"/>
      <w:bookmarkStart w:id="138" w:name="_Toc280868656"/>
      <w:r>
        <w:rPr>
          <w:rFonts w:hint="default" w:ascii="Times New Roman" w:hAnsi="Times New Roman" w:eastAsia="宋体" w:cs="Times New Roman"/>
          <w:color w:val="auto"/>
          <w:sz w:val="24"/>
          <w:szCs w:val="24"/>
          <w:highlight w:val="none"/>
        </w:rPr>
        <w:t>.4材料与工程设备的保管与使用</w:t>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42D3BDB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bookmarkStart w:id="139" w:name="_Toc292559373"/>
      <w:bookmarkStart w:id="140" w:name="_Toc292559878"/>
      <w:bookmarkStart w:id="141" w:name="_Toc296347167"/>
      <w:bookmarkStart w:id="142" w:name="_Toc296346669"/>
      <w:bookmarkStart w:id="143" w:name="_Toc296891208"/>
      <w:bookmarkStart w:id="144" w:name="_Toc297216187"/>
      <w:bookmarkStart w:id="145" w:name="_Toc300934980"/>
      <w:bookmarkStart w:id="146" w:name="_Toc296944507"/>
      <w:bookmarkStart w:id="147" w:name="_Toc296890996"/>
      <w:bookmarkStart w:id="148" w:name="_Toc297048354"/>
      <w:bookmarkStart w:id="149" w:name="_Toc297120468"/>
      <w:bookmarkStart w:id="150" w:name="_Toc318581173"/>
      <w:bookmarkStart w:id="151" w:name="_Toc312678020"/>
      <w:bookmarkStart w:id="152" w:name="_Toc297123528"/>
      <w:bookmarkStart w:id="153" w:name="_Toc303539137"/>
      <w:bookmarkStart w:id="154" w:name="_Toc312677494"/>
      <w:bookmarkStart w:id="155" w:name="_Toc296503168"/>
      <w:bookmarkStart w:id="156" w:name="_Toc304295557"/>
      <w:r>
        <w:rPr>
          <w:rFonts w:hint="default" w:ascii="Times New Roman" w:hAnsi="Times New Roman" w:eastAsia="宋体" w:cs="Times New Roman"/>
          <w:color w:val="auto"/>
          <w:sz w:val="24"/>
          <w:szCs w:val="24"/>
          <w:highlight w:val="none"/>
        </w:rPr>
        <w:t>.4.1发包人供应的材料设备的保管费用的承担：</w:t>
      </w:r>
      <w:r>
        <w:rPr>
          <w:rFonts w:hint="default" w:ascii="Times New Roman" w:hAnsi="Times New Roman" w:eastAsia="宋体" w:cs="Times New Roman"/>
          <w:color w:val="auto"/>
          <w:sz w:val="24"/>
          <w:szCs w:val="24"/>
          <w:highlight w:val="none"/>
          <w:u w:val="single"/>
        </w:rPr>
        <w:t>由承包人承担，费用含在合同价中</w:t>
      </w:r>
      <w:r>
        <w:rPr>
          <w:rFonts w:hint="default" w:ascii="Times New Roman" w:hAnsi="Times New Roman" w:eastAsia="宋体" w:cs="Times New Roman"/>
          <w:color w:val="auto"/>
          <w:sz w:val="24"/>
          <w:szCs w:val="24"/>
          <w:highlight w:val="none"/>
        </w:rPr>
        <w:t>。</w:t>
      </w:r>
      <w:bookmarkEnd w:id="139"/>
      <w:bookmarkEnd w:id="140"/>
    </w:p>
    <w:p w14:paraId="3BC37367">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8.6 样品</w:t>
      </w:r>
    </w:p>
    <w:p w14:paraId="7AA09450">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8.6.1样品的报送与封存</w:t>
      </w:r>
    </w:p>
    <w:p w14:paraId="509229D4">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需要承包人报送样品的材料或工程设备，样品的种类、名称、规格、数量要求：</w:t>
      </w:r>
      <w:r>
        <w:rPr>
          <w:rFonts w:hint="default" w:ascii="Times New Roman" w:hAnsi="Times New Roman" w:eastAsia="宋体" w:cs="Times New Roman"/>
          <w:color w:val="auto"/>
          <w:sz w:val="24"/>
          <w:szCs w:val="24"/>
          <w:highlight w:val="none"/>
          <w:u w:val="single"/>
        </w:rPr>
        <w:t xml:space="preserve">  按管理部门要求和发包人需求确定   </w:t>
      </w:r>
      <w:r>
        <w:rPr>
          <w:rFonts w:hint="default" w:ascii="Times New Roman" w:hAnsi="Times New Roman" w:eastAsia="宋体" w:cs="Times New Roman"/>
          <w:color w:val="auto"/>
          <w:sz w:val="24"/>
          <w:szCs w:val="24"/>
          <w:highlight w:val="none"/>
        </w:rPr>
        <w:t>。</w:t>
      </w:r>
    </w:p>
    <w:p w14:paraId="4CE7018D">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8.8 施工设备和临时设施</w:t>
      </w:r>
    </w:p>
    <w:p w14:paraId="12A359CB">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8.8.1 承包人提供的施工设备和临时设施</w:t>
      </w:r>
    </w:p>
    <w:p w14:paraId="65DD6552">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关于修建临时设施费用承担的约定：</w:t>
      </w:r>
      <w:r>
        <w:rPr>
          <w:rFonts w:hint="default" w:ascii="Times New Roman" w:hAnsi="Times New Roman" w:eastAsia="宋体" w:cs="Times New Roman"/>
          <w:color w:val="auto"/>
          <w:spacing w:val="-7"/>
          <w:sz w:val="24"/>
          <w:szCs w:val="24"/>
          <w:highlight w:val="none"/>
          <w:u w:val="single"/>
        </w:rPr>
        <w:t>由承包人承担，费用包含在合同价中</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43B660C3">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157" w:name="_Toc351203641"/>
      <w:r>
        <w:rPr>
          <w:rFonts w:hint="default" w:ascii="Times New Roman" w:hAnsi="Times New Roman" w:eastAsia="宋体" w:cs="Times New Roman"/>
          <w:b/>
          <w:color w:val="auto"/>
          <w:sz w:val="24"/>
          <w:szCs w:val="24"/>
          <w:highlight w:val="none"/>
        </w:rPr>
        <w:t>9</w:t>
      </w:r>
      <w:bookmarkEnd w:id="136"/>
      <w:bookmarkEnd w:id="137"/>
      <w:bookmarkEnd w:id="138"/>
      <w:bookmarkStart w:id="158" w:name="_Toc303539139"/>
      <w:bookmarkStart w:id="159" w:name="_Toc312677495"/>
      <w:bookmarkStart w:id="160" w:name="_Toc297216192"/>
      <w:bookmarkStart w:id="161" w:name="_Toc304295559"/>
      <w:bookmarkStart w:id="162" w:name="_Toc300934982"/>
      <w:bookmarkStart w:id="163" w:name="_Toc312678021"/>
      <w:bookmarkStart w:id="164" w:name="_Toc297123533"/>
      <w:bookmarkStart w:id="165" w:name="_Toc297048359"/>
      <w:bookmarkStart w:id="166" w:name="_Toc297120473"/>
      <w:bookmarkStart w:id="167" w:name="_Toc267251427"/>
      <w:bookmarkStart w:id="168" w:name="_Toc296347172"/>
      <w:bookmarkStart w:id="169" w:name="_Toc296891001"/>
      <w:bookmarkStart w:id="170" w:name="_Toc296503173"/>
      <w:bookmarkStart w:id="171" w:name="_Toc296891213"/>
      <w:bookmarkStart w:id="172" w:name="_Toc267251428"/>
      <w:bookmarkStart w:id="173" w:name="_Toc296346674"/>
      <w:bookmarkStart w:id="174" w:name="_Toc292559378"/>
      <w:bookmarkStart w:id="175" w:name="_Toc296944512"/>
      <w:bookmarkStart w:id="176" w:name="_Toc292559883"/>
      <w:r>
        <w:rPr>
          <w:rFonts w:hint="default" w:ascii="Times New Roman" w:hAnsi="Times New Roman" w:eastAsia="宋体" w:cs="Times New Roman"/>
          <w:b/>
          <w:color w:val="auto"/>
          <w:sz w:val="24"/>
          <w:szCs w:val="24"/>
          <w:highlight w:val="none"/>
        </w:rPr>
        <w:t>. 试验与检验</w:t>
      </w:r>
      <w:bookmarkEnd w:id="157"/>
    </w:p>
    <w:bookmarkEnd w:id="158"/>
    <w:bookmarkEnd w:id="159"/>
    <w:bookmarkEnd w:id="160"/>
    <w:bookmarkEnd w:id="161"/>
    <w:bookmarkEnd w:id="162"/>
    <w:bookmarkEnd w:id="163"/>
    <w:bookmarkEnd w:id="164"/>
    <w:p w14:paraId="5CE2F269">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bookmarkStart w:id="177" w:name="_Toc300934983"/>
      <w:bookmarkStart w:id="178" w:name="_Toc304295560"/>
      <w:bookmarkStart w:id="179" w:name="_Toc303539140"/>
      <w:bookmarkStart w:id="180" w:name="_Toc297123534"/>
      <w:bookmarkStart w:id="181" w:name="_Toc297216193"/>
      <w:bookmarkStart w:id="182" w:name="_Toc312677496"/>
      <w:bookmarkStart w:id="183" w:name="_Toc312678022"/>
      <w:r>
        <w:rPr>
          <w:rFonts w:hint="default" w:ascii="Times New Roman" w:hAnsi="Times New Roman" w:eastAsia="宋体" w:cs="Times New Roman"/>
          <w:color w:val="auto"/>
          <w:sz w:val="24"/>
          <w:szCs w:val="24"/>
          <w:highlight w:val="none"/>
        </w:rPr>
        <w:t>.1试验设备与试验人员</w:t>
      </w:r>
    </w:p>
    <w:bookmarkEnd w:id="177"/>
    <w:bookmarkEnd w:id="178"/>
    <w:bookmarkEnd w:id="179"/>
    <w:bookmarkEnd w:id="180"/>
    <w:bookmarkEnd w:id="181"/>
    <w:bookmarkEnd w:id="182"/>
    <w:bookmarkEnd w:id="183"/>
    <w:p w14:paraId="1080F6B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bookmarkStart w:id="184" w:name="_Toc312678023"/>
      <w:bookmarkStart w:id="185" w:name="_Toc312677497"/>
      <w:bookmarkStart w:id="186" w:name="_Toc297123535"/>
      <w:bookmarkStart w:id="187" w:name="_Toc304295561"/>
      <w:bookmarkStart w:id="188" w:name="_Toc303539141"/>
      <w:bookmarkStart w:id="189" w:name="_Toc297216194"/>
      <w:bookmarkStart w:id="190" w:name="_Toc300934984"/>
      <w:bookmarkStart w:id="191" w:name="_Toc318581174"/>
      <w:r>
        <w:rPr>
          <w:rFonts w:hint="default" w:ascii="Times New Roman" w:hAnsi="Times New Roman" w:eastAsia="宋体" w:cs="Times New Roman"/>
          <w:color w:val="auto"/>
          <w:sz w:val="24"/>
          <w:szCs w:val="24"/>
          <w:highlight w:val="none"/>
        </w:rPr>
        <w:t>.1.2 试验设备</w:t>
      </w:r>
    </w:p>
    <w:p w14:paraId="386A6A9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施工现场需要配置的试验场所：</w:t>
      </w:r>
      <w:bookmarkEnd w:id="184"/>
      <w:bookmarkEnd w:id="185"/>
      <w:bookmarkEnd w:id="186"/>
      <w:bookmarkEnd w:id="187"/>
      <w:bookmarkEnd w:id="188"/>
      <w:bookmarkEnd w:id="189"/>
      <w:bookmarkEnd w:id="190"/>
      <w:bookmarkStart w:id="192" w:name="_Toc312677498"/>
      <w:bookmarkStart w:id="193" w:name="_Toc297216195"/>
      <w:bookmarkStart w:id="194" w:name="_Toc297123536"/>
      <w:bookmarkStart w:id="195" w:name="_Toc304295562"/>
      <w:bookmarkStart w:id="196" w:name="_Toc303539142"/>
      <w:bookmarkStart w:id="197" w:name="_Toc300934985"/>
      <w:bookmarkStart w:id="198" w:name="_Toc312678024"/>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 xml:space="preserve">。 </w:t>
      </w:r>
    </w:p>
    <w:p w14:paraId="7FC5D65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施工现场需要配备的试验设备：</w:t>
      </w:r>
      <w:r>
        <w:rPr>
          <w:rFonts w:hint="default" w:ascii="Times New Roman" w:hAnsi="Times New Roman" w:eastAsia="宋体" w:cs="Times New Roman"/>
          <w:color w:val="auto"/>
          <w:sz w:val="24"/>
          <w:szCs w:val="24"/>
          <w:highlight w:val="none"/>
          <w:u w:val="single"/>
        </w:rPr>
        <w:t>由承包人自行解决</w:t>
      </w:r>
      <w:r>
        <w:rPr>
          <w:rFonts w:hint="default" w:ascii="Times New Roman" w:hAnsi="Times New Roman" w:eastAsia="宋体" w:cs="Times New Roman"/>
          <w:color w:val="auto"/>
          <w:sz w:val="24"/>
          <w:szCs w:val="24"/>
          <w:highlight w:val="none"/>
        </w:rPr>
        <w:t>。</w:t>
      </w:r>
    </w:p>
    <w:p w14:paraId="40785D4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施工现场需要具备的其他试验条件：</w:t>
      </w:r>
      <w:r>
        <w:rPr>
          <w:rFonts w:hint="default" w:ascii="Times New Roman" w:hAnsi="Times New Roman" w:eastAsia="宋体" w:cs="Times New Roman"/>
          <w:color w:val="auto"/>
          <w:sz w:val="24"/>
          <w:szCs w:val="24"/>
          <w:highlight w:val="none"/>
          <w:u w:val="single"/>
        </w:rPr>
        <w:t>由承包人自行解决</w:t>
      </w:r>
      <w:r>
        <w:rPr>
          <w:rFonts w:hint="default" w:ascii="Times New Roman" w:hAnsi="Times New Roman" w:eastAsia="宋体" w:cs="Times New Roman"/>
          <w:color w:val="auto"/>
          <w:sz w:val="24"/>
          <w:szCs w:val="24"/>
          <w:highlight w:val="none"/>
        </w:rPr>
        <w:t>。</w:t>
      </w:r>
    </w:p>
    <w:p w14:paraId="36768E93">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9.4 现场工艺试验 </w:t>
      </w:r>
    </w:p>
    <w:p w14:paraId="2083FEE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现场工艺试验的有关约定：</w:t>
      </w:r>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w:t>
      </w:r>
    </w:p>
    <w:bookmarkEnd w:id="191"/>
    <w:bookmarkEnd w:id="192"/>
    <w:bookmarkEnd w:id="193"/>
    <w:bookmarkEnd w:id="194"/>
    <w:bookmarkEnd w:id="195"/>
    <w:bookmarkEnd w:id="196"/>
    <w:bookmarkEnd w:id="197"/>
    <w:bookmarkEnd w:id="198"/>
    <w:p w14:paraId="6605982D">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199" w:name="_Toc351203642"/>
      <w:r>
        <w:rPr>
          <w:rFonts w:hint="default" w:ascii="Times New Roman" w:hAnsi="Times New Roman" w:eastAsia="宋体" w:cs="Times New Roman"/>
          <w:b/>
          <w:color w:val="auto"/>
          <w:sz w:val="24"/>
          <w:szCs w:val="24"/>
          <w:highlight w:val="none"/>
        </w:rPr>
        <w:t>1</w:t>
      </w:r>
      <w:bookmarkEnd w:id="165"/>
      <w:bookmarkEnd w:id="166"/>
      <w:bookmarkEnd w:id="167"/>
      <w:bookmarkEnd w:id="168"/>
      <w:bookmarkEnd w:id="169"/>
      <w:bookmarkEnd w:id="170"/>
      <w:bookmarkEnd w:id="171"/>
      <w:bookmarkEnd w:id="172"/>
      <w:bookmarkEnd w:id="173"/>
      <w:bookmarkEnd w:id="174"/>
      <w:bookmarkEnd w:id="175"/>
      <w:bookmarkEnd w:id="176"/>
      <w:bookmarkStart w:id="200" w:name="_Toc296347192"/>
      <w:bookmarkStart w:id="201" w:name="_Toc297120493"/>
      <w:bookmarkStart w:id="202" w:name="_Toc297048379"/>
      <w:bookmarkStart w:id="203" w:name="_Toc300934989"/>
      <w:bookmarkStart w:id="204" w:name="_Toc296503193"/>
      <w:bookmarkStart w:id="205" w:name="_Toc297216199"/>
      <w:bookmarkStart w:id="206" w:name="_Toc292559903"/>
      <w:bookmarkStart w:id="207" w:name="_Toc292559398"/>
      <w:bookmarkStart w:id="208" w:name="_Toc296944532"/>
      <w:bookmarkStart w:id="209" w:name="_Toc304295566"/>
      <w:bookmarkStart w:id="210" w:name="_Toc296891233"/>
      <w:bookmarkStart w:id="211" w:name="_Toc297123540"/>
      <w:bookmarkStart w:id="212" w:name="_Toc296891021"/>
      <w:bookmarkStart w:id="213" w:name="_Toc296346694"/>
      <w:bookmarkStart w:id="214" w:name="_Toc303539146"/>
      <w:bookmarkStart w:id="215" w:name="_Toc312678025"/>
      <w:bookmarkStart w:id="216" w:name="_Toc312677499"/>
      <w:r>
        <w:rPr>
          <w:rFonts w:hint="default" w:ascii="Times New Roman" w:hAnsi="Times New Roman" w:eastAsia="宋体" w:cs="Times New Roman"/>
          <w:b/>
          <w:color w:val="auto"/>
          <w:sz w:val="24"/>
          <w:szCs w:val="24"/>
          <w:highlight w:val="none"/>
        </w:rPr>
        <w:t>0. 变更</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bookmarkEnd w:id="215"/>
    <w:bookmarkEnd w:id="216"/>
    <w:p w14:paraId="5ED8919B">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bookmarkStart w:id="217" w:name="_Toc296891234"/>
      <w:bookmarkStart w:id="218" w:name="_Toc312677500"/>
      <w:bookmarkStart w:id="219" w:name="_Toc312678026"/>
      <w:bookmarkStart w:id="220" w:name="_Toc296891022"/>
      <w:bookmarkStart w:id="221" w:name="_Toc297123541"/>
      <w:bookmarkStart w:id="222" w:name="_Toc296347193"/>
      <w:bookmarkStart w:id="223" w:name="_Toc297048380"/>
      <w:bookmarkStart w:id="224" w:name="_Toc296346695"/>
      <w:bookmarkStart w:id="225" w:name="_Toc304295567"/>
      <w:bookmarkStart w:id="226" w:name="_Toc296503194"/>
      <w:bookmarkStart w:id="227" w:name="_Toc300934990"/>
      <w:bookmarkStart w:id="228" w:name="_Toc303539147"/>
      <w:bookmarkStart w:id="229" w:name="_Toc292559904"/>
      <w:bookmarkStart w:id="230" w:name="_Toc296944533"/>
      <w:bookmarkStart w:id="231" w:name="_Toc292559399"/>
      <w:bookmarkStart w:id="232" w:name="_Toc297120494"/>
      <w:bookmarkStart w:id="233" w:name="_Toc297216200"/>
      <w:r>
        <w:rPr>
          <w:rFonts w:hint="default" w:ascii="Times New Roman" w:hAnsi="Times New Roman" w:eastAsia="宋体" w:cs="Times New Roman"/>
          <w:color w:val="auto"/>
          <w:sz w:val="24"/>
          <w:szCs w:val="24"/>
          <w:highlight w:val="none"/>
        </w:rPr>
        <w:t>0.1变更的范围</w:t>
      </w:r>
    </w:p>
    <w:p w14:paraId="30896F8F">
      <w:pPr>
        <w:keepNext w:val="0"/>
        <w:keepLines w:val="0"/>
        <w:pageBreakBefore w:val="0"/>
        <w:shd w:val="clear" w:color="auto" w:fill="auto"/>
        <w:kinsoku/>
        <w:wordWrap/>
        <w:overflowPunct/>
        <w:topLinePunct w:val="0"/>
        <w:bidi w:val="0"/>
        <w:snapToGrid/>
        <w:spacing w:line="480" w:lineRule="exact"/>
        <w:ind w:firstLine="42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关于变更的范围的约定：</w:t>
      </w:r>
      <w:r>
        <w:rPr>
          <w:rFonts w:hint="default" w:ascii="Times New Roman" w:hAnsi="Times New Roman" w:eastAsia="宋体" w:cs="Times New Roman"/>
          <w:color w:val="auto"/>
          <w:sz w:val="24"/>
          <w:szCs w:val="24"/>
          <w:highlight w:val="none"/>
          <w:u w:val="single"/>
        </w:rPr>
        <w:t>工程设计变更或因发包人原因增加的工程量确认需有设计单位、监理单位、发包人、承包人同时确定并加盖公章方可有效，否则无效</w:t>
      </w:r>
      <w:r>
        <w:rPr>
          <w:rFonts w:hint="default" w:ascii="Times New Roman" w:hAnsi="Times New Roman" w:eastAsia="宋体" w:cs="Times New Roman"/>
          <w:color w:val="auto"/>
          <w:sz w:val="24"/>
          <w:szCs w:val="24"/>
          <w:highlight w:val="none"/>
        </w:rPr>
        <w:t>。</w:t>
      </w:r>
    </w:p>
    <w:p w14:paraId="61C309F0">
      <w:pPr>
        <w:keepNext w:val="0"/>
        <w:keepLines w:val="0"/>
        <w:pageBreakBefore w:val="0"/>
        <w:shd w:val="clear" w:color="auto" w:fill="auto"/>
        <w:kinsoku/>
        <w:wordWrap/>
        <w:overflowPunct/>
        <w:topLinePunct w:val="0"/>
        <w:bidi w:val="0"/>
        <w:snapToGrid/>
        <w:spacing w:after="120" w:line="480" w:lineRule="exact"/>
        <w:ind w:firstLine="484" w:firstLineChars="20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10.4 变更估价</w:t>
      </w:r>
    </w:p>
    <w:p w14:paraId="6F4D82D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10.4.1 变更估价原则</w:t>
      </w:r>
    </w:p>
    <w:p w14:paraId="6725B47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关于变更估价的约定：</w:t>
      </w:r>
      <w:r>
        <w:rPr>
          <w:rFonts w:hint="default" w:ascii="Times New Roman" w:hAnsi="Times New Roman" w:eastAsia="宋体" w:cs="Times New Roman"/>
          <w:color w:val="auto"/>
          <w:sz w:val="24"/>
          <w:szCs w:val="24"/>
          <w:highlight w:val="none"/>
          <w:u w:val="single"/>
        </w:rPr>
        <w:t>（1）已标价工程量清单中有适用于变更工程项目相同子目综合单价的，应采用该项目相同子目综合单价；但当工程变更导致该清单项目的工程数量发生变化，且工程量偏差超过 15%时，该项目执行详见专用条款1.13 条工程量清单错误的修正。</w:t>
      </w:r>
    </w:p>
    <w:p w14:paraId="3432E95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（2）已标价工程量清单中没有适用但有类似于变更工程项目的，可在合理范围内参照类似子目的综合单价（相同子目综合单价或类似子目综合单价由多个报价的以有利于发包人的综合单价为结算价）计算。</w:t>
      </w:r>
    </w:p>
    <w:p w14:paraId="57B77D6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3）已标价工程量清单中没有适用也没有类似于变更工程项目的，应由承包人提出，监理工程师审核，其相应部分的变更造价根据变更工程资料、计量规则和现行的相关定额、本地区的估价表，工程造价管理机构发布的信息价格和承包人报价浮动率提出变更工程项目的单价，并应报发包人确认后调整。承包人报价浮动率可按下列公式计算：招标工程：承包人报价浮动 L＝（1－中标价／招标控制价）×100%。 </w:t>
      </w:r>
    </w:p>
    <w:p w14:paraId="58E3168C">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Start w:id="234" w:name="_Toc297123544"/>
      <w:bookmarkStart w:id="235" w:name="_Toc296891237"/>
      <w:bookmarkStart w:id="236" w:name="_Toc297048383"/>
      <w:bookmarkStart w:id="237" w:name="_Toc300934993"/>
      <w:bookmarkStart w:id="238" w:name="_Toc297216203"/>
      <w:bookmarkStart w:id="239" w:name="_Toc296503197"/>
      <w:bookmarkStart w:id="240" w:name="_Toc296346698"/>
      <w:bookmarkStart w:id="241" w:name="_Toc296944536"/>
      <w:bookmarkStart w:id="242" w:name="_Toc296891025"/>
      <w:bookmarkStart w:id="243" w:name="_Toc296347196"/>
      <w:bookmarkStart w:id="244" w:name="_Toc292559907"/>
      <w:bookmarkStart w:id="245" w:name="_Toc292559402"/>
      <w:bookmarkStart w:id="246" w:name="_Toc297120497"/>
      <w:bookmarkStart w:id="247" w:name="_Toc303539150"/>
      <w:bookmarkStart w:id="248" w:name="_Toc304295570"/>
      <w:bookmarkStart w:id="249" w:name="_Toc312677503"/>
      <w:bookmarkStart w:id="250" w:name="_Toc312678029"/>
      <w:r>
        <w:rPr>
          <w:rFonts w:hint="default" w:ascii="Times New Roman" w:hAnsi="Times New Roman" w:eastAsia="宋体" w:cs="Times New Roman"/>
          <w:color w:val="auto"/>
          <w:sz w:val="24"/>
          <w:szCs w:val="24"/>
          <w:highlight w:val="none"/>
        </w:rPr>
        <w:t>0.5承</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Start w:id="251" w:name="_Toc303539151"/>
      <w:bookmarkStart w:id="252" w:name="_Toc297048389"/>
      <w:bookmarkStart w:id="253" w:name="_Toc300934994"/>
      <w:bookmarkStart w:id="254" w:name="_Toc296944542"/>
      <w:bookmarkStart w:id="255" w:name="_Toc292559408"/>
      <w:bookmarkStart w:id="256" w:name="_Toc292559913"/>
      <w:bookmarkStart w:id="257" w:name="_Toc297120503"/>
      <w:bookmarkStart w:id="258" w:name="_Toc297216204"/>
      <w:bookmarkStart w:id="259" w:name="_Toc296503203"/>
      <w:bookmarkStart w:id="260" w:name="_Toc297123545"/>
      <w:bookmarkStart w:id="261" w:name="_Toc296346704"/>
      <w:bookmarkStart w:id="262" w:name="_Toc296891031"/>
      <w:bookmarkStart w:id="263" w:name="_Toc296347202"/>
      <w:bookmarkStart w:id="264" w:name="_Toc296891243"/>
      <w:r>
        <w:rPr>
          <w:rFonts w:hint="default" w:ascii="Times New Roman" w:hAnsi="Times New Roman" w:eastAsia="宋体" w:cs="Times New Roman"/>
          <w:color w:val="auto"/>
          <w:sz w:val="24"/>
          <w:szCs w:val="24"/>
          <w:highlight w:val="none"/>
        </w:rPr>
        <w:t>包人的合理化建议</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0AAFFA6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监理人审查承包人合理化建议的期限：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17BD74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发包人审批承包人合理化建议的期限：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51D50F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w:t>
      </w:r>
      <w:bookmarkStart w:id="265" w:name="_Toc292559409"/>
      <w:bookmarkStart w:id="266" w:name="_Toc296891032"/>
      <w:bookmarkStart w:id="267" w:name="_Toc304295571"/>
      <w:bookmarkStart w:id="268" w:name="_Toc297216205"/>
      <w:bookmarkStart w:id="269" w:name="_Toc312677504"/>
      <w:bookmarkStart w:id="270" w:name="_Toc296891244"/>
      <w:bookmarkStart w:id="271" w:name="_Toc296944543"/>
      <w:bookmarkStart w:id="272" w:name="_Toc297123546"/>
      <w:bookmarkStart w:id="273" w:name="_Toc318581175"/>
      <w:bookmarkStart w:id="274" w:name="_Toc300934995"/>
      <w:bookmarkStart w:id="275" w:name="_Toc296346705"/>
      <w:bookmarkStart w:id="276" w:name="_Toc297048390"/>
      <w:bookmarkStart w:id="277" w:name="_Toc312678030"/>
      <w:bookmarkStart w:id="278" w:name="_Toc292559914"/>
      <w:bookmarkStart w:id="279" w:name="_Toc297120504"/>
      <w:bookmarkStart w:id="280" w:name="_Toc296347203"/>
      <w:bookmarkStart w:id="281" w:name="_Toc296503204"/>
      <w:bookmarkStart w:id="282" w:name="_Toc303539152"/>
      <w:r>
        <w:rPr>
          <w:rFonts w:hint="default" w:ascii="Times New Roman" w:hAnsi="Times New Roman" w:eastAsia="宋体" w:cs="Times New Roman"/>
          <w:color w:val="auto"/>
          <w:sz w:val="24"/>
          <w:szCs w:val="24"/>
          <w:highlight w:val="none"/>
        </w:rPr>
        <w:t>包人提出的合理化建议降低了合同价格或者提高了工程经济效益的奖励的方法和金额为：</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71B69AC3">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bookmarkStart w:id="283" w:name="_Toc297123548"/>
      <w:bookmarkStart w:id="284" w:name="_Toc312678033"/>
      <w:bookmarkStart w:id="285" w:name="_Toc292559909"/>
      <w:bookmarkStart w:id="286" w:name="_Toc292559404"/>
      <w:bookmarkStart w:id="287" w:name="_Toc296891239"/>
      <w:bookmarkStart w:id="288" w:name="_Toc303539154"/>
      <w:bookmarkStart w:id="289" w:name="_Toc300934997"/>
      <w:bookmarkStart w:id="290" w:name="_Toc296944538"/>
      <w:bookmarkStart w:id="291" w:name="_Toc297216207"/>
      <w:bookmarkStart w:id="292" w:name="_Toc304295574"/>
      <w:bookmarkStart w:id="293" w:name="_Toc312677507"/>
      <w:bookmarkStart w:id="294" w:name="_Toc296347198"/>
      <w:bookmarkStart w:id="295" w:name="_Toc297120499"/>
      <w:bookmarkStart w:id="296" w:name="_Toc296346700"/>
      <w:bookmarkStart w:id="297" w:name="_Toc296891027"/>
      <w:bookmarkStart w:id="298" w:name="_Toc297048385"/>
      <w:bookmarkStart w:id="299" w:name="_Toc296503199"/>
      <w:r>
        <w:rPr>
          <w:rFonts w:hint="default" w:ascii="Times New Roman" w:hAnsi="Times New Roman" w:eastAsia="宋体" w:cs="Times New Roman"/>
          <w:color w:val="auto"/>
          <w:sz w:val="24"/>
          <w:szCs w:val="24"/>
          <w:highlight w:val="none"/>
        </w:rPr>
        <w:t>0.7 暂估价</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14:paraId="342746F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暂</w:t>
      </w:r>
      <w:bookmarkStart w:id="300" w:name="_Toc318581176"/>
      <w:bookmarkStart w:id="301" w:name="_Toc312677508"/>
      <w:bookmarkStart w:id="302" w:name="_Toc312678034"/>
      <w:r>
        <w:rPr>
          <w:rFonts w:hint="default" w:ascii="Times New Roman" w:hAnsi="Times New Roman" w:eastAsia="宋体" w:cs="Times New Roman"/>
          <w:color w:val="auto"/>
          <w:sz w:val="24"/>
          <w:szCs w:val="24"/>
          <w:highlight w:val="none"/>
        </w:rPr>
        <w:t>估价材料和工程设备的明细详见附件11：《暂估价一览表》。</w:t>
      </w:r>
    </w:p>
    <w:bookmarkEnd w:id="300"/>
    <w:bookmarkEnd w:id="301"/>
    <w:bookmarkEnd w:id="302"/>
    <w:p w14:paraId="42F2EB9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bookmarkStart w:id="303" w:name="_Toc312677509"/>
      <w:bookmarkStart w:id="304" w:name="_Toc318581177"/>
      <w:bookmarkStart w:id="305" w:name="_Toc312678035"/>
      <w:r>
        <w:rPr>
          <w:rFonts w:hint="default" w:ascii="Times New Roman" w:hAnsi="Times New Roman" w:eastAsia="宋体" w:cs="Times New Roman"/>
          <w:color w:val="auto"/>
          <w:sz w:val="24"/>
          <w:szCs w:val="24"/>
          <w:highlight w:val="none"/>
        </w:rPr>
        <w:t>0.7.1 依法必须招标的暂估价项目</w:t>
      </w:r>
    </w:p>
    <w:bookmarkEnd w:id="303"/>
    <w:bookmarkEnd w:id="304"/>
    <w:bookmarkEnd w:id="305"/>
    <w:p w14:paraId="0CEB3CB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对于依法必须招标的暂估价项目的确认和批准采取第</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种方式确定。</w:t>
      </w:r>
    </w:p>
    <w:p w14:paraId="13B4384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10.7.2 不属于依法必须招标的暂估价项目</w:t>
      </w:r>
    </w:p>
    <w:p w14:paraId="0F2F033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对于不属于依法必须招标的暂估价项目的确认和批准采取第</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种方式确定。</w:t>
      </w:r>
    </w:p>
    <w:p w14:paraId="52C3A19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第3种方式：承包人直接实施的暂估价项目</w:t>
      </w:r>
    </w:p>
    <w:p w14:paraId="1BB0A89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承包人直接实施的暂估价项目的约定：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096754F">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10.8 暂列金额</w:t>
      </w:r>
    </w:p>
    <w:p w14:paraId="52FBD7C7">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合同当事人关于暂列金额使用的约定：</w:t>
      </w:r>
      <w:r>
        <w:rPr>
          <w:rFonts w:hint="default" w:ascii="Times New Roman" w:hAnsi="Times New Roman" w:eastAsia="宋体" w:cs="Times New Roman"/>
          <w:color w:val="auto"/>
          <w:sz w:val="24"/>
          <w:szCs w:val="24"/>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暂列金是招标人自行确定设立的，承包</w:t>
      </w:r>
      <w:r>
        <w:rPr>
          <w:rFonts w:hint="default" w:ascii="Times New Roman" w:hAnsi="Times New Roman" w:eastAsia="宋体" w:cs="Times New Roman"/>
          <w:color w:val="auto"/>
          <w:sz w:val="24"/>
          <w:szCs w:val="24"/>
          <w:highlight w:val="none"/>
          <w:u w:val="single"/>
          <w:lang w:val="en-US" w:eastAsia="zh-CN"/>
        </w:rPr>
        <w:t>人</w:t>
      </w:r>
      <w:r>
        <w:rPr>
          <w:rFonts w:hint="default" w:ascii="Times New Roman" w:hAnsi="Times New Roman" w:eastAsia="宋体" w:cs="Times New Roman"/>
          <w:color w:val="auto"/>
          <w:sz w:val="24"/>
          <w:szCs w:val="24"/>
          <w:highlight w:val="none"/>
          <w:u w:val="single"/>
        </w:rPr>
        <w:t>无权使用此笔费用。此费用按实际发生经招标人签证后确定全部使用、部分使用或不使用。暂列金不计入工程款付款的基数。</w:t>
      </w:r>
      <w:bookmarkStart w:id="306" w:name="_Toc351203643"/>
    </w:p>
    <w:p w14:paraId="509C0E3A">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 价格调整</w:t>
      </w:r>
      <w:bookmarkEnd w:id="306"/>
    </w:p>
    <w:p w14:paraId="6948984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307" w:name="_Toc292559911"/>
      <w:bookmarkStart w:id="308" w:name="_Toc312678039"/>
      <w:bookmarkStart w:id="309" w:name="_Toc303539157"/>
      <w:bookmarkStart w:id="310" w:name="_Toc296944540"/>
      <w:bookmarkStart w:id="311" w:name="_Toc297123550"/>
      <w:bookmarkStart w:id="312" w:name="_Toc304295577"/>
      <w:bookmarkStart w:id="313" w:name="_Toc296891241"/>
      <w:bookmarkStart w:id="314" w:name="_Toc296503201"/>
      <w:bookmarkStart w:id="315" w:name="_Toc297048387"/>
      <w:bookmarkStart w:id="316" w:name="_Toc296347200"/>
      <w:bookmarkStart w:id="317" w:name="_Toc300935000"/>
      <w:bookmarkStart w:id="318" w:name="_Toc296891029"/>
      <w:bookmarkStart w:id="319" w:name="_Toc296346702"/>
      <w:bookmarkStart w:id="320" w:name="_Toc297120501"/>
      <w:bookmarkStart w:id="321" w:name="_Toc292559406"/>
      <w:bookmarkStart w:id="322" w:name="_Toc297216209"/>
      <w:r>
        <w:rPr>
          <w:rFonts w:hint="default" w:ascii="Times New Roman" w:hAnsi="Times New Roman" w:eastAsia="宋体" w:cs="Times New Roman"/>
          <w:color w:val="auto"/>
          <w:sz w:val="24"/>
          <w:szCs w:val="24"/>
          <w:highlight w:val="none"/>
        </w:rPr>
        <w:t>11.1 市场价格波动引起的调整</w:t>
      </w:r>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14:paraId="3E0B3E0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市场价格波动是否调整合同价格的约定：</w:t>
      </w:r>
      <w:r>
        <w:rPr>
          <w:rFonts w:hint="default" w:ascii="Times New Roman" w:hAnsi="Times New Roman" w:eastAsia="宋体" w:cs="Times New Roman"/>
          <w:color w:val="auto"/>
          <w:sz w:val="24"/>
          <w:szCs w:val="24"/>
          <w:highlight w:val="none"/>
          <w:u w:val="single"/>
        </w:rPr>
        <w:t xml:space="preserve">    调整    </w:t>
      </w:r>
      <w:r>
        <w:rPr>
          <w:rFonts w:hint="default" w:ascii="Times New Roman" w:hAnsi="Times New Roman" w:eastAsia="宋体" w:cs="Times New Roman"/>
          <w:color w:val="auto"/>
          <w:sz w:val="24"/>
          <w:szCs w:val="24"/>
          <w:highlight w:val="none"/>
        </w:rPr>
        <w:t xml:space="preserve"> 。</w:t>
      </w:r>
    </w:p>
    <w:p w14:paraId="3710076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因市场价格波动调整合同价格，采用以下第</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种方式对合同价格进行调整：</w:t>
      </w:r>
    </w:p>
    <w:p w14:paraId="3F1A311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第1种方式：采用价格指数进行价格调整。</w:t>
      </w:r>
    </w:p>
    <w:p w14:paraId="17943AC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关于各可调因子、定值和变值权重，以及基本价格指数及其来源的约定：</w:t>
      </w:r>
    </w:p>
    <w:p w14:paraId="02E9CEA7">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 xml:space="preserve">；  </w:t>
      </w:r>
    </w:p>
    <w:p w14:paraId="5945CB7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第2种方式：采用造价信息进行价格调整。</w:t>
      </w:r>
    </w:p>
    <w:p w14:paraId="7F51935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（2）关于基准价格的约定：</w:t>
      </w:r>
      <w:r>
        <w:rPr>
          <w:rFonts w:hint="default" w:ascii="Times New Roman" w:hAnsi="Times New Roman" w:eastAsia="宋体" w:cs="Times New Roman"/>
          <w:color w:val="auto"/>
          <w:sz w:val="24"/>
          <w:szCs w:val="24"/>
          <w:highlight w:val="none"/>
          <w:u w:val="single"/>
        </w:rPr>
        <w:t>以投标截止之日前 28 天为基准日， 昌吉州工程造价管理机构发布的最新造价信息为基准价，政府发布的信息价中没有的材料、设备价格不调整。基准价格仅作为调整单价的依据，不作为投标制定单价。</w:t>
      </w:r>
    </w:p>
    <w:p w14:paraId="677E00B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%时，或材料单价跌幅以已标价工程量清单或预算书中载明材料单价为基础超过</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%时，其超过部分据实调整。</w:t>
      </w:r>
    </w:p>
    <w:p w14:paraId="1978091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②承包人在已标价工程量清单或预算书中载明的材料单价高于基准价格的：专用合同条款合同履行期间材料单价跌幅以基准价格为基础超过</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%时，材料单价涨幅以已标价工程量清单或预算书中载明材料单价为基础超过</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%时，其超过部分据实调整。</w:t>
      </w:r>
    </w:p>
    <w:p w14:paraId="2CFCB0B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③承包人在已标价工程量清单或预算书中载明的材料单价等于基准单价的：专用合同条款合同履行期间材料单价涨跌幅以基准单价为基础超过±</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%时，其超过部分据实调整。</w:t>
      </w:r>
    </w:p>
    <w:p w14:paraId="1B979D97">
      <w:pPr>
        <w:keepNext w:val="0"/>
        <w:keepLines w:val="0"/>
        <w:pageBreakBefore w:val="0"/>
        <w:shd w:val="clear" w:color="auto" w:fill="auto"/>
        <w:kinsoku/>
        <w:wordWrap/>
        <w:overflowPunct/>
        <w:topLinePunct w:val="0"/>
        <w:bidi w:val="0"/>
        <w:snapToGrid/>
        <w:spacing w:line="480" w:lineRule="exact"/>
        <w:ind w:firstLine="645"/>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第3种方式：其他价格调整方式：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0D5896C4">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323" w:name="_Toc296944544"/>
      <w:bookmarkStart w:id="324" w:name="_Toc296891033"/>
      <w:bookmarkStart w:id="325" w:name="_Toc292559410"/>
      <w:bookmarkStart w:id="326" w:name="_Toc296503205"/>
      <w:bookmarkStart w:id="327" w:name="_Toc292559915"/>
      <w:bookmarkStart w:id="328" w:name="_Toc296347204"/>
      <w:bookmarkStart w:id="329" w:name="_Toc296346706"/>
      <w:bookmarkStart w:id="330" w:name="_Toc297120505"/>
      <w:bookmarkStart w:id="331" w:name="_Toc297048391"/>
      <w:bookmarkStart w:id="332" w:name="_Toc296891245"/>
      <w:bookmarkStart w:id="333" w:name="_Toc351203644"/>
      <w:bookmarkStart w:id="334" w:name="_Toc297123552"/>
      <w:bookmarkStart w:id="335" w:name="_Toc312678040"/>
      <w:bookmarkStart w:id="336" w:name="_Toc297216211"/>
      <w:bookmarkStart w:id="337" w:name="_Toc300935002"/>
      <w:bookmarkStart w:id="338" w:name="_Toc303539159"/>
      <w:bookmarkStart w:id="339" w:name="_Toc304295579"/>
      <w:r>
        <w:rPr>
          <w:rFonts w:hint="default" w:ascii="Times New Roman" w:hAnsi="Times New Roman" w:eastAsia="宋体" w:cs="Times New Roman"/>
          <w:b/>
          <w:color w:val="auto"/>
          <w:sz w:val="24"/>
          <w:szCs w:val="24"/>
          <w:highlight w:val="none"/>
        </w:rPr>
        <w:t xml:space="preserve">12. </w:t>
      </w:r>
      <w:bookmarkEnd w:id="323"/>
      <w:bookmarkEnd w:id="324"/>
      <w:bookmarkEnd w:id="325"/>
      <w:bookmarkEnd w:id="326"/>
      <w:bookmarkEnd w:id="327"/>
      <w:bookmarkEnd w:id="328"/>
      <w:bookmarkEnd w:id="329"/>
      <w:bookmarkEnd w:id="330"/>
      <w:bookmarkEnd w:id="331"/>
      <w:bookmarkEnd w:id="332"/>
      <w:r>
        <w:rPr>
          <w:rFonts w:hint="default" w:ascii="Times New Roman" w:hAnsi="Times New Roman" w:eastAsia="宋体" w:cs="Times New Roman"/>
          <w:b/>
          <w:color w:val="auto"/>
          <w:sz w:val="24"/>
          <w:szCs w:val="24"/>
          <w:highlight w:val="none"/>
        </w:rPr>
        <w:t>合同价格、计量与支付</w:t>
      </w:r>
      <w:bookmarkEnd w:id="333"/>
    </w:p>
    <w:bookmarkEnd w:id="334"/>
    <w:bookmarkEnd w:id="335"/>
    <w:bookmarkEnd w:id="336"/>
    <w:bookmarkEnd w:id="337"/>
    <w:bookmarkEnd w:id="338"/>
    <w:bookmarkEnd w:id="339"/>
    <w:p w14:paraId="7A060E8B">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340" w:name="_Toc292559916"/>
      <w:bookmarkStart w:id="341" w:name="_Toc292559411"/>
      <w:bookmarkStart w:id="342" w:name="_Toc267251461"/>
      <w:bookmarkStart w:id="343" w:name="_Toc296346707"/>
      <w:bookmarkStart w:id="344" w:name="_Toc296347205"/>
      <w:bookmarkStart w:id="345" w:name="_Toc297048392"/>
      <w:bookmarkStart w:id="346" w:name="_Toc296944545"/>
      <w:bookmarkStart w:id="347" w:name="_Toc297120506"/>
      <w:bookmarkStart w:id="348" w:name="_Toc296891034"/>
      <w:bookmarkStart w:id="349" w:name="_Toc296503206"/>
      <w:bookmarkStart w:id="350" w:name="_Toc296891246"/>
      <w:bookmarkStart w:id="351" w:name="_Toc303539160"/>
      <w:bookmarkStart w:id="352" w:name="_Toc312678041"/>
      <w:bookmarkStart w:id="353" w:name="_Toc297123553"/>
      <w:bookmarkStart w:id="354" w:name="_Toc297216212"/>
      <w:bookmarkStart w:id="355" w:name="_Toc304295580"/>
      <w:bookmarkStart w:id="356" w:name="_Toc300935003"/>
      <w:r>
        <w:rPr>
          <w:rFonts w:hint="default" w:ascii="Times New Roman" w:hAnsi="Times New Roman" w:eastAsia="宋体" w:cs="Times New Roman"/>
          <w:color w:val="auto"/>
          <w:sz w:val="24"/>
          <w:szCs w:val="24"/>
          <w:highlight w:val="none"/>
        </w:rPr>
        <w:t>12.1 合</w:t>
      </w:r>
      <w:bookmarkEnd w:id="340"/>
      <w:bookmarkEnd w:id="341"/>
      <w:bookmarkEnd w:id="342"/>
      <w:r>
        <w:rPr>
          <w:rFonts w:hint="default" w:ascii="Times New Roman" w:hAnsi="Times New Roman" w:eastAsia="宋体" w:cs="Times New Roman"/>
          <w:color w:val="auto"/>
          <w:sz w:val="24"/>
          <w:szCs w:val="24"/>
          <w:highlight w:val="none"/>
        </w:rPr>
        <w:t>同价</w:t>
      </w:r>
      <w:bookmarkEnd w:id="343"/>
      <w:bookmarkEnd w:id="344"/>
      <w:bookmarkEnd w:id="345"/>
      <w:bookmarkEnd w:id="346"/>
      <w:bookmarkEnd w:id="347"/>
      <w:bookmarkEnd w:id="348"/>
      <w:bookmarkEnd w:id="349"/>
      <w:bookmarkEnd w:id="350"/>
      <w:r>
        <w:rPr>
          <w:rFonts w:hint="default" w:ascii="Times New Roman" w:hAnsi="Times New Roman" w:eastAsia="宋体" w:cs="Times New Roman"/>
          <w:color w:val="auto"/>
          <w:sz w:val="24"/>
          <w:szCs w:val="24"/>
          <w:highlight w:val="none"/>
        </w:rPr>
        <w:t>格形式</w:t>
      </w:r>
    </w:p>
    <w:bookmarkEnd w:id="351"/>
    <w:bookmarkEnd w:id="352"/>
    <w:bookmarkEnd w:id="353"/>
    <w:bookmarkEnd w:id="354"/>
    <w:bookmarkEnd w:id="355"/>
    <w:bookmarkEnd w:id="356"/>
    <w:p w14:paraId="4311B08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1、单价合同。</w:t>
      </w:r>
    </w:p>
    <w:p w14:paraId="434902D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综合单价包含的风险范围：</w:t>
      </w:r>
    </w:p>
    <w:p w14:paraId="046091B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1.对于法律法规、规章或有关政策出台导致工程税金、规费、人工费发生变化，并由省级、行业建设行政主管部门或其授权的工程造价管理机构根据上述变化发布的政策性调整，承包人不承担此类风险，按照有关调整规定执行。对于市场价格波动采用造价信息进行合同价格调整时，价格变化在约定幅度范围以内。</w:t>
      </w:r>
    </w:p>
    <w:p w14:paraId="6CDED9A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2.承包人使用机械设备、施工技术以及组织管理水平等自身原因造成施工费用增加的，承包人全部承担。  </w:t>
      </w:r>
    </w:p>
    <w:p w14:paraId="21FE8D8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3.对于承包人自身技术水平、管理、经营状况能够自主控制的风险，如承包人的管理费、 利润的风险，承包人应结合市场情况、自身实际合理自主报价，该部分风险由承包人全部承担。  </w:t>
      </w:r>
    </w:p>
    <w:p w14:paraId="209366F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风险费用的计算方法：</w:t>
      </w:r>
      <w:r>
        <w:rPr>
          <w:rFonts w:hint="default" w:ascii="Times New Roman" w:hAnsi="Times New Roman" w:eastAsia="宋体" w:cs="Times New Roman"/>
          <w:color w:val="auto"/>
          <w:sz w:val="24"/>
          <w:szCs w:val="24"/>
          <w:highlight w:val="none"/>
          <w:u w:val="single"/>
        </w:rPr>
        <w:t xml:space="preserve">依据现行计价规范规定  </w:t>
      </w:r>
      <w:r>
        <w:rPr>
          <w:rFonts w:hint="default" w:ascii="Times New Roman" w:hAnsi="Times New Roman" w:eastAsia="宋体" w:cs="Times New Roman"/>
          <w:color w:val="auto"/>
          <w:sz w:val="24"/>
          <w:szCs w:val="24"/>
          <w:highlight w:val="none"/>
        </w:rPr>
        <w:t>。</w:t>
      </w:r>
    </w:p>
    <w:p w14:paraId="4B14E70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风险范围以外合同价格的调整方法：</w:t>
      </w:r>
      <w:r>
        <w:rPr>
          <w:rFonts w:hint="default" w:ascii="Times New Roman" w:hAnsi="Times New Roman" w:eastAsia="宋体" w:cs="Times New Roman"/>
          <w:color w:val="auto"/>
          <w:sz w:val="24"/>
          <w:szCs w:val="24"/>
          <w:highlight w:val="none"/>
          <w:u w:val="single"/>
        </w:rPr>
        <w:t>1.因清单工程量调整，引起总价措施项目发生变化， 包括物价因素引起的价格调整等其他原因均不对总价措施项目费用（除环境保护费、文明施工费及安全防护费）进行调整。</w:t>
      </w:r>
    </w:p>
    <w:p w14:paraId="1B58A56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2.当工程量清单项目工程量的变化幅度在±15%（含 15%） 以内时， 其综合单价不做调整，</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执行原有综合单价。当工程量清单项目工程量的变化幅度在 15%以外时， 其综合单价调整方法为：工程量偏差+15%以上的部分原综合单价下浮 10%； 工程量偏差-15%以下部分，减少后剩余部分执行原综合单价；当清单出现漏项项目， 漏项造价超出投标总价（不含暂列金额） 的 5%时， 5%以内（含 5%）按当地预算定额进行结算。超出 5%部分按当地预算定额取费后下浮 10%结算。当确认变更的费用发生争议时， 施工方不得以该争议作为怠工、停工等的理由，必须正常施工</w:t>
      </w:r>
      <w:r>
        <w:rPr>
          <w:rFonts w:hint="default" w:ascii="Times New Roman" w:hAnsi="Times New Roman" w:eastAsia="宋体" w:cs="Times New Roman"/>
          <w:color w:val="auto"/>
          <w:sz w:val="24"/>
          <w:szCs w:val="24"/>
          <w:highlight w:val="none"/>
        </w:rPr>
        <w:t>。</w:t>
      </w:r>
    </w:p>
    <w:p w14:paraId="171DCF3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3.合同价中暂列金额是发包人为可能发生的工程变更、经济签证而预留的金额，并非支付给承包</w:t>
      </w:r>
      <w:r>
        <w:rPr>
          <w:rFonts w:hint="default" w:ascii="Times New Roman" w:hAnsi="Times New Roman" w:eastAsia="宋体" w:cs="Times New Roman"/>
          <w:color w:val="auto"/>
          <w:sz w:val="24"/>
          <w:szCs w:val="24"/>
          <w:highlight w:val="none"/>
        </w:rPr>
        <w:t>人的实际费用， 应按实际完成的情况进行结算，剩余部分仍归发包人所有。</w:t>
      </w:r>
    </w:p>
    <w:p w14:paraId="7585C8D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 xml:space="preserve">4.对于法律法规、规章或有关政策出台导致工程税金、规费发生变化，并由省级、行业建设行政主管部门或其授权的工程造价管理机构根据上述变化发布的政策性调整，承包人不应承担此类风险，应按照有关调整规定执行。  </w:t>
      </w:r>
    </w:p>
    <w:p w14:paraId="3B26361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2、总价合同。</w:t>
      </w:r>
    </w:p>
    <w:p w14:paraId="6A48958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总价包含的风险范围：</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2A2579A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风险费用的计算方法：</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B1BFC0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风险范围以外合同价格的调整方法：</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44DCB7D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3、其他价格方式：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3CEC8FF2">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357" w:name="_Toc304295581"/>
      <w:bookmarkStart w:id="358" w:name="_Toc297216213"/>
      <w:bookmarkStart w:id="359" w:name="_Toc303539161"/>
      <w:bookmarkStart w:id="360" w:name="_Toc312678042"/>
      <w:bookmarkStart w:id="361" w:name="_Toc297123554"/>
      <w:bookmarkStart w:id="362" w:name="_Toc300935004"/>
      <w:bookmarkStart w:id="363" w:name="_Toc296944546"/>
      <w:bookmarkStart w:id="364" w:name="_Toc292559917"/>
      <w:bookmarkStart w:id="365" w:name="_Toc296347206"/>
      <w:bookmarkStart w:id="366" w:name="_Toc296891035"/>
      <w:bookmarkStart w:id="367" w:name="_Toc296503207"/>
      <w:bookmarkStart w:id="368" w:name="_Toc297048393"/>
      <w:bookmarkStart w:id="369" w:name="_Toc296891247"/>
      <w:bookmarkStart w:id="370" w:name="_Toc296346708"/>
      <w:bookmarkStart w:id="371" w:name="_Toc292559412"/>
      <w:bookmarkStart w:id="372" w:name="_Toc297120507"/>
      <w:r>
        <w:rPr>
          <w:rFonts w:hint="default" w:ascii="Times New Roman" w:hAnsi="Times New Roman" w:eastAsia="宋体" w:cs="Times New Roman"/>
          <w:color w:val="auto"/>
          <w:sz w:val="24"/>
          <w:szCs w:val="24"/>
          <w:highlight w:val="none"/>
        </w:rPr>
        <w:t>12.2 预付款</w:t>
      </w:r>
    </w:p>
    <w:bookmarkEnd w:id="357"/>
    <w:bookmarkEnd w:id="358"/>
    <w:bookmarkEnd w:id="359"/>
    <w:bookmarkEnd w:id="360"/>
    <w:bookmarkEnd w:id="361"/>
    <w:bookmarkEnd w:id="362"/>
    <w:p w14:paraId="3C41E11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12.2.1 预付款的支付</w:t>
      </w:r>
    </w:p>
    <w:p w14:paraId="1F9B6E1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rPr>
        <w:t>预付款支付比例或金额：</w:t>
      </w:r>
      <w:r>
        <w:rPr>
          <w:rFonts w:hint="default" w:ascii="Times New Roman" w:hAnsi="Times New Roman" w:cs="Times New Roman"/>
          <w:color w:val="auto"/>
          <w:sz w:val="24"/>
          <w:szCs w:val="24"/>
          <w:highlight w:val="none"/>
          <w:u w:val="single"/>
          <w:lang w:val="en-US" w:eastAsia="zh-CN"/>
        </w:rPr>
        <w:t xml:space="preserve">合同价的30%                                 </w:t>
      </w:r>
    </w:p>
    <w:p w14:paraId="1AFEC41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预付款支付期限：</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合同签订后7日内</w:t>
      </w:r>
      <w:r>
        <w:rPr>
          <w:rFonts w:hint="default" w:ascii="Times New Roman" w:hAnsi="Times New Roman" w:eastAsia="宋体" w:cs="Times New Roman"/>
          <w:color w:val="auto"/>
          <w:sz w:val="24"/>
          <w:szCs w:val="24"/>
          <w:highlight w:val="none"/>
          <w:u w:val="single"/>
        </w:rPr>
        <w:t xml:space="preserve"> 。</w:t>
      </w:r>
    </w:p>
    <w:p w14:paraId="302D35F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预付款扣回的方式：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0883EF9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12.2.2 预付款担保</w:t>
      </w:r>
    </w:p>
    <w:p w14:paraId="5432D3A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承包人提交预付款担保的期限：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323E3E5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预付款担保的形式为：</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bookmarkEnd w:id="363"/>
    <w:bookmarkEnd w:id="364"/>
    <w:bookmarkEnd w:id="365"/>
    <w:bookmarkEnd w:id="366"/>
    <w:bookmarkEnd w:id="367"/>
    <w:bookmarkEnd w:id="368"/>
    <w:bookmarkEnd w:id="369"/>
    <w:bookmarkEnd w:id="370"/>
    <w:bookmarkEnd w:id="371"/>
    <w:bookmarkEnd w:id="372"/>
    <w:p w14:paraId="68715902">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 计量</w:t>
      </w:r>
    </w:p>
    <w:p w14:paraId="48AD5BD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12.3.1 计量原则 : </w:t>
      </w:r>
      <w:r>
        <w:rPr>
          <w:rFonts w:hint="default" w:ascii="Times New Roman" w:hAnsi="Times New Roman" w:eastAsia="宋体" w:cs="Times New Roman"/>
          <w:color w:val="auto"/>
          <w:sz w:val="24"/>
          <w:szCs w:val="24"/>
          <w:highlight w:val="none"/>
          <w:u w:val="single"/>
        </w:rPr>
        <w:t xml:space="preserve">《建设工程量清单计价规范》 GB50500-2013      </w:t>
      </w:r>
      <w:r>
        <w:rPr>
          <w:rFonts w:hint="default" w:ascii="Times New Roman" w:hAnsi="Times New Roman" w:eastAsia="宋体" w:cs="Times New Roman"/>
          <w:color w:val="auto"/>
          <w:sz w:val="24"/>
          <w:szCs w:val="24"/>
          <w:highlight w:val="none"/>
        </w:rPr>
        <w:t>。</w:t>
      </w:r>
    </w:p>
    <w:p w14:paraId="5C7EC50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12.3.2 计量周期</w:t>
      </w:r>
    </w:p>
    <w:p w14:paraId="71C39BC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关于计量周期的约定：</w:t>
      </w:r>
      <w:r>
        <w:rPr>
          <w:rFonts w:hint="default" w:ascii="Times New Roman" w:hAnsi="Times New Roman" w:eastAsia="宋体" w:cs="Times New Roman"/>
          <w:color w:val="auto"/>
          <w:sz w:val="24"/>
          <w:szCs w:val="24"/>
          <w:highlight w:val="none"/>
          <w:u w:val="single"/>
        </w:rPr>
        <w:t xml:space="preserve">    每月 20 日           </w:t>
      </w:r>
      <w:r>
        <w:rPr>
          <w:rFonts w:hint="default" w:ascii="Times New Roman" w:hAnsi="Times New Roman" w:eastAsia="宋体" w:cs="Times New Roman"/>
          <w:color w:val="auto"/>
          <w:sz w:val="24"/>
          <w:szCs w:val="24"/>
          <w:highlight w:val="none"/>
        </w:rPr>
        <w:t>。</w:t>
      </w:r>
    </w:p>
    <w:p w14:paraId="02C7F4E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12.3.3 单价合同的计量</w:t>
      </w:r>
    </w:p>
    <w:p w14:paraId="2D13E30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关于单价合同计量的约定：</w:t>
      </w:r>
      <w:r>
        <w:rPr>
          <w:rFonts w:hint="default" w:ascii="Times New Roman" w:hAnsi="Times New Roman" w:eastAsia="宋体" w:cs="Times New Roman"/>
          <w:color w:val="auto"/>
          <w:sz w:val="24"/>
          <w:szCs w:val="24"/>
          <w:highlight w:val="none"/>
          <w:u w:val="single"/>
        </w:rPr>
        <w:t xml:space="preserve">      执行通用条款 12.3.3   </w:t>
      </w:r>
      <w:r>
        <w:rPr>
          <w:rFonts w:hint="default" w:ascii="Times New Roman" w:hAnsi="Times New Roman" w:eastAsia="宋体" w:cs="Times New Roman"/>
          <w:color w:val="auto"/>
          <w:sz w:val="24"/>
          <w:szCs w:val="24"/>
          <w:highlight w:val="none"/>
        </w:rPr>
        <w:t>。</w:t>
      </w:r>
    </w:p>
    <w:p w14:paraId="6F80FDB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12.3.4 总价合同的计量</w:t>
      </w:r>
    </w:p>
    <w:p w14:paraId="5513C1A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关于总价合同计量的约定：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29D6458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12.3.5总价合同采用支付分解表计量支付的，是否适用第12.3.4 项〔总价合同的计量〕约定进行计量：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442E048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12.3.6 其他价格形式合同的计量</w:t>
      </w:r>
    </w:p>
    <w:p w14:paraId="2A91189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其他价格形式的计量方式和程序：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3D42942C">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12.4 工程进度款支付</w:t>
      </w:r>
    </w:p>
    <w:p w14:paraId="5C6FD50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373" w:name="_Toc292559921"/>
      <w:bookmarkStart w:id="374" w:name="_Toc297123556"/>
      <w:bookmarkStart w:id="375" w:name="_Toc297216215"/>
      <w:bookmarkStart w:id="376" w:name="_Toc303539163"/>
      <w:bookmarkStart w:id="377" w:name="_Toc296944550"/>
      <w:bookmarkStart w:id="378" w:name="_Toc292559416"/>
      <w:bookmarkStart w:id="379" w:name="_Toc300935006"/>
      <w:bookmarkStart w:id="380" w:name="_Toc297120511"/>
      <w:bookmarkStart w:id="381" w:name="_Toc296503211"/>
      <w:bookmarkStart w:id="382" w:name="_Toc296891251"/>
      <w:bookmarkStart w:id="383" w:name="_Toc296347210"/>
      <w:bookmarkStart w:id="384" w:name="_Toc296346712"/>
      <w:bookmarkStart w:id="385" w:name="_Toc296891039"/>
      <w:bookmarkStart w:id="386" w:name="_Toc297048397"/>
      <w:r>
        <w:rPr>
          <w:rFonts w:hint="default" w:ascii="Times New Roman" w:hAnsi="Times New Roman" w:eastAsia="宋体" w:cs="Times New Roman"/>
          <w:color w:val="auto"/>
          <w:sz w:val="24"/>
          <w:szCs w:val="24"/>
          <w:highlight w:val="none"/>
        </w:rPr>
        <w:t>12.4.1 付款周期</w:t>
      </w:r>
    </w:p>
    <w:p w14:paraId="19DD290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关于付款周期的约定：</w:t>
      </w:r>
      <w:r>
        <w:rPr>
          <w:rFonts w:hint="eastAsia" w:ascii="Times New Roman" w:hAnsi="Times New Roman" w:eastAsia="宋体" w:cs="Times New Roman"/>
          <w:color w:val="auto"/>
          <w:sz w:val="24"/>
          <w:szCs w:val="24"/>
          <w:highlight w:val="yellow"/>
          <w:u w:val="single"/>
          <w:lang w:val="en-US" w:eastAsia="zh-CN"/>
        </w:rPr>
        <w:t>合同签订后7日内支付合同价的30%预付款，完工验收合格后支付至合同价的80%，审计完成后支付至审计价的100%。</w:t>
      </w:r>
      <w:r>
        <w:rPr>
          <w:rFonts w:hint="default" w:ascii="Times New Roman" w:hAnsi="Times New Roman" w:eastAsia="宋体" w:cs="Times New Roman"/>
          <w:color w:val="auto"/>
          <w:sz w:val="24"/>
          <w:szCs w:val="24"/>
          <w:highlight w:val="yellow"/>
          <w:u w:val="single"/>
        </w:rPr>
        <w:t>本项目预留工程终审价格的3%作为工程质量保证金，由乙方在领取竣工结算款前以银行保函（不附加任何前提条件的见索即付型）形式递交至甲方，保函有效期同缺陷责任期（24个月）。工程款必须专用不得挪用。</w:t>
      </w:r>
    </w:p>
    <w:p w14:paraId="406E21A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12.4.2 进度付款申请单的编制</w:t>
      </w:r>
    </w:p>
    <w:p w14:paraId="72B4605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关于进度付款申请单编制的约定：</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36E4CC9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hint="default" w:ascii="Times New Roman" w:hAnsi="Times New Roman" w:eastAsia="宋体" w:cs="Times New Roman"/>
          <w:color w:val="auto"/>
          <w:sz w:val="24"/>
          <w:szCs w:val="24"/>
          <w:highlight w:val="none"/>
        </w:rPr>
        <w:t>2.4.3 进度付款申请单的提交</w:t>
      </w:r>
    </w:p>
    <w:p w14:paraId="0C7E49A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（1）单价合同进度付款申请单提交的约定：</w:t>
      </w:r>
      <w:r>
        <w:rPr>
          <w:rFonts w:hint="default" w:ascii="Times New Roman" w:hAnsi="Times New Roman" w:eastAsia="宋体" w:cs="Times New Roman"/>
          <w:color w:val="auto"/>
          <w:sz w:val="24"/>
          <w:szCs w:val="24"/>
          <w:highlight w:val="none"/>
          <w:u w:val="single"/>
        </w:rPr>
        <w:t xml:space="preserve"> 每月25日前 </w:t>
      </w:r>
      <w:r>
        <w:rPr>
          <w:rFonts w:hint="default" w:ascii="Times New Roman" w:hAnsi="Times New Roman" w:eastAsia="宋体" w:cs="Times New Roman"/>
          <w:color w:val="auto"/>
          <w:sz w:val="24"/>
          <w:szCs w:val="24"/>
          <w:highlight w:val="none"/>
        </w:rPr>
        <w:t>。</w:t>
      </w:r>
    </w:p>
    <w:p w14:paraId="04E380D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（2）总价合同进度付款申请单提交的约定：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EFF0B7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（3）其他价格形式合同进度付款申请单提交的约定：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483A0C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12.4.4 进度款审核和支付</w:t>
      </w:r>
    </w:p>
    <w:p w14:paraId="461FB43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（1）监理人审查并报送发包人的期限：</w:t>
      </w:r>
      <w:r>
        <w:rPr>
          <w:rFonts w:hint="default" w:ascii="Times New Roman" w:hAnsi="Times New Roman" w:eastAsia="宋体" w:cs="Times New Roman"/>
          <w:color w:val="auto"/>
          <w:sz w:val="24"/>
          <w:szCs w:val="24"/>
          <w:highlight w:val="none"/>
          <w:u w:val="single"/>
        </w:rPr>
        <w:t xml:space="preserve">   收到申请 7 天内     </w:t>
      </w:r>
      <w:r>
        <w:rPr>
          <w:rFonts w:hint="default" w:ascii="Times New Roman" w:hAnsi="Times New Roman" w:eastAsia="宋体" w:cs="Times New Roman"/>
          <w:color w:val="auto"/>
          <w:sz w:val="24"/>
          <w:szCs w:val="24"/>
          <w:highlight w:val="none"/>
        </w:rPr>
        <w:t>。</w:t>
      </w:r>
    </w:p>
    <w:p w14:paraId="37108AD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发包人完成审批并签发进度款支付证书的期限：</w:t>
      </w:r>
      <w:r>
        <w:rPr>
          <w:rFonts w:hint="default" w:ascii="Times New Roman" w:hAnsi="Times New Roman" w:eastAsia="宋体" w:cs="Times New Roman"/>
          <w:color w:val="auto"/>
          <w:sz w:val="24"/>
          <w:szCs w:val="24"/>
          <w:highlight w:val="none"/>
          <w:u w:val="single"/>
        </w:rPr>
        <w:t xml:space="preserve">收到申请 7 天内  </w:t>
      </w:r>
      <w:r>
        <w:rPr>
          <w:rFonts w:hint="default" w:ascii="Times New Roman" w:hAnsi="Times New Roman" w:eastAsia="宋体" w:cs="Times New Roman"/>
          <w:color w:val="auto"/>
          <w:sz w:val="24"/>
          <w:szCs w:val="24"/>
          <w:highlight w:val="none"/>
        </w:rPr>
        <w:t>。</w:t>
      </w:r>
    </w:p>
    <w:p w14:paraId="14A86E3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（2）发包人支付进度款的期限：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E9AABEF">
      <w:pPr>
        <w:keepNext w:val="0"/>
        <w:keepLines w:val="0"/>
        <w:pageBreakBefore w:val="0"/>
        <w:shd w:val="clear" w:color="auto" w:fill="auto"/>
        <w:kinsoku/>
        <w:wordWrap/>
        <w:overflowPunct/>
        <w:topLinePunct w:val="0"/>
        <w:bidi w:val="0"/>
        <w:snapToGrid/>
        <w:spacing w:line="480" w:lineRule="exact"/>
        <w:ind w:firstLine="600" w:firstLineChars="25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发包人逾期支付进度款的违约金的计算方式：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E8F67A2">
      <w:pPr>
        <w:keepNext w:val="0"/>
        <w:keepLines w:val="0"/>
        <w:pageBreakBefore w:val="0"/>
        <w:widowControl/>
        <w:numPr>
          <w:ilvl w:val="2"/>
          <w:numId w:val="4"/>
        </w:numPr>
        <w:shd w:val="clear" w:color="auto" w:fill="auto"/>
        <w:kinsoku/>
        <w:wordWrap/>
        <w:overflowPunct/>
        <w:topLinePunct w:val="0"/>
        <w:bidi w:val="0"/>
        <w:snapToGrid/>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支付分解表的编制</w:t>
      </w:r>
    </w:p>
    <w:p w14:paraId="5DBCBED7">
      <w:pPr>
        <w:keepNext w:val="0"/>
        <w:keepLines w:val="0"/>
        <w:pageBreakBefore w:val="0"/>
        <w:widowControl/>
        <w:shd w:val="clear" w:color="auto" w:fill="auto"/>
        <w:kinsoku/>
        <w:wordWrap/>
        <w:overflowPunct/>
        <w:topLinePunct w:val="0"/>
        <w:bidi w:val="0"/>
        <w:snapToGrid/>
        <w:spacing w:line="480" w:lineRule="exact"/>
        <w:ind w:firstLine="720" w:firstLineChars="3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1、总价合同支付分解表的编制与审批：</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71F3A5D3">
      <w:pPr>
        <w:keepNext w:val="0"/>
        <w:keepLines w:val="0"/>
        <w:pageBreakBefore w:val="0"/>
        <w:widowControl/>
        <w:shd w:val="clear" w:color="auto" w:fill="auto"/>
        <w:kinsoku/>
        <w:wordWrap/>
        <w:overflowPunct/>
        <w:topLinePunct w:val="0"/>
        <w:bidi w:val="0"/>
        <w:snapToGrid/>
        <w:spacing w:line="480" w:lineRule="exact"/>
        <w:ind w:firstLine="720" w:firstLineChars="3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2、单价合同的总价项目支付分解表的编制与审批：</w:t>
      </w:r>
      <w:r>
        <w:rPr>
          <w:rFonts w:hint="default" w:ascii="Times New Roman" w:hAnsi="Times New Roman" w:eastAsia="宋体" w:cs="Times New Roman"/>
          <w:color w:val="auto"/>
          <w:sz w:val="24"/>
          <w:szCs w:val="24"/>
          <w:highlight w:val="none"/>
          <w:u w:val="single"/>
        </w:rPr>
        <w:t>执行通用条款</w:t>
      </w:r>
      <w:r>
        <w:rPr>
          <w:rFonts w:hint="default" w:ascii="Times New Roman" w:hAnsi="Times New Roman" w:eastAsia="宋体" w:cs="Times New Roman"/>
          <w:color w:val="auto"/>
          <w:sz w:val="24"/>
          <w:szCs w:val="24"/>
          <w:highlight w:val="none"/>
        </w:rPr>
        <w:t>。</w:t>
      </w:r>
    </w:p>
    <w:p w14:paraId="2EAF0DAB">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387" w:name="_Toc351203645"/>
      <w:bookmarkStart w:id="388" w:name="_Toc312678053"/>
      <w:bookmarkStart w:id="389" w:name="_Toc296503219"/>
      <w:bookmarkStart w:id="390" w:name="_Toc297048405"/>
      <w:bookmarkStart w:id="391" w:name="_Toc297123564"/>
      <w:bookmarkStart w:id="392" w:name="_Toc300935015"/>
      <w:bookmarkStart w:id="393" w:name="_Toc292559929"/>
      <w:bookmarkStart w:id="394" w:name="_Toc296346720"/>
      <w:bookmarkStart w:id="395" w:name="_Toc303539172"/>
      <w:bookmarkStart w:id="396" w:name="_Toc297216223"/>
      <w:bookmarkStart w:id="397" w:name="_Toc304295593"/>
      <w:bookmarkStart w:id="398" w:name="_Toc296347218"/>
      <w:bookmarkStart w:id="399" w:name="_Toc297120519"/>
      <w:bookmarkStart w:id="400" w:name="_Toc296891259"/>
      <w:bookmarkStart w:id="401" w:name="_Toc296891047"/>
      <w:bookmarkStart w:id="402" w:name="_Toc296944558"/>
      <w:bookmarkStart w:id="403" w:name="_Toc292559424"/>
      <w:r>
        <w:rPr>
          <w:rFonts w:hint="default" w:ascii="Times New Roman" w:hAnsi="Times New Roman" w:eastAsia="宋体" w:cs="Times New Roman"/>
          <w:b/>
          <w:color w:val="auto"/>
          <w:sz w:val="24"/>
          <w:szCs w:val="24"/>
          <w:highlight w:val="none"/>
        </w:rPr>
        <w:t>13. 验收和工程试车</w:t>
      </w:r>
      <w:bookmarkEnd w:id="387"/>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14:paraId="18309D18">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13.1 分部分项工程验收</w:t>
      </w:r>
    </w:p>
    <w:p w14:paraId="07EF57A0">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13.1.2 监理人不能按时进行验收时，应提前</w:t>
      </w:r>
      <w:r>
        <w:rPr>
          <w:rFonts w:hint="default" w:ascii="Times New Roman" w:hAnsi="Times New Roman" w:eastAsia="宋体" w:cs="Times New Roman"/>
          <w:color w:val="auto"/>
          <w:sz w:val="24"/>
          <w:szCs w:val="24"/>
          <w:highlight w:val="none"/>
          <w:u w:val="single"/>
        </w:rPr>
        <w:t xml:space="preserve">  24  </w:t>
      </w:r>
      <w:r>
        <w:rPr>
          <w:rFonts w:hint="default" w:ascii="Times New Roman" w:hAnsi="Times New Roman" w:eastAsia="宋体" w:cs="Times New Roman"/>
          <w:color w:val="auto"/>
          <w:sz w:val="24"/>
          <w:szCs w:val="24"/>
          <w:highlight w:val="none"/>
        </w:rPr>
        <w:t>小时提交书面延期要求。关于延期最长不得超过：</w:t>
      </w:r>
      <w:r>
        <w:rPr>
          <w:rFonts w:hint="default" w:ascii="Times New Roman" w:hAnsi="Times New Roman" w:eastAsia="宋体" w:cs="Times New Roman"/>
          <w:color w:val="auto"/>
          <w:sz w:val="24"/>
          <w:szCs w:val="24"/>
          <w:highlight w:val="none"/>
          <w:u w:val="single"/>
        </w:rPr>
        <w:t xml:space="preserve">  48 </w:t>
      </w:r>
      <w:r>
        <w:rPr>
          <w:rFonts w:hint="default" w:ascii="Times New Roman" w:hAnsi="Times New Roman" w:eastAsia="宋体" w:cs="Times New Roman"/>
          <w:color w:val="auto"/>
          <w:sz w:val="24"/>
          <w:szCs w:val="24"/>
          <w:highlight w:val="none"/>
        </w:rPr>
        <w:t>小时。</w:t>
      </w:r>
    </w:p>
    <w:p w14:paraId="67CB0C6B">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404" w:name="_Toc296891051"/>
      <w:bookmarkStart w:id="405" w:name="_Toc303539173"/>
      <w:bookmarkStart w:id="406" w:name="_Toc312678056"/>
      <w:bookmarkStart w:id="407" w:name="_Toc296503223"/>
      <w:bookmarkStart w:id="408" w:name="_Toc296891263"/>
      <w:bookmarkStart w:id="409" w:name="_Toc300935016"/>
      <w:bookmarkStart w:id="410" w:name="_Toc297216224"/>
      <w:bookmarkStart w:id="411" w:name="_Toc296347222"/>
      <w:bookmarkStart w:id="412" w:name="_Toc297123565"/>
      <w:bookmarkStart w:id="413" w:name="_Toc292559933"/>
      <w:bookmarkStart w:id="414" w:name="_Toc297048409"/>
      <w:bookmarkStart w:id="415" w:name="_Toc304295596"/>
      <w:bookmarkStart w:id="416" w:name="_Toc296346724"/>
      <w:bookmarkStart w:id="417" w:name="_Toc296944562"/>
      <w:bookmarkStart w:id="418" w:name="_Toc292559428"/>
      <w:bookmarkStart w:id="419" w:name="_Toc297120523"/>
      <w:bookmarkStart w:id="420" w:name="_Toc267251471"/>
      <w:bookmarkStart w:id="421" w:name="_Toc267251472"/>
      <w:bookmarkStart w:id="422" w:name="_Toc267251474"/>
      <w:bookmarkStart w:id="423" w:name="_Toc267251475"/>
      <w:bookmarkStart w:id="424" w:name="_Toc267251470"/>
      <w:bookmarkStart w:id="425" w:name="_Toc267251476"/>
      <w:bookmarkStart w:id="426" w:name="_Toc267251473"/>
      <w:r>
        <w:rPr>
          <w:rFonts w:hint="default" w:ascii="Times New Roman" w:hAnsi="Times New Roman" w:eastAsia="宋体" w:cs="Times New Roman"/>
          <w:color w:val="auto"/>
          <w:sz w:val="24"/>
          <w:szCs w:val="24"/>
          <w:highlight w:val="none"/>
        </w:rPr>
        <w:t>13.2 竣工验收</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24DB38B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bookmarkStart w:id="427" w:name="_Toc280868704"/>
      <w:bookmarkStart w:id="428" w:name="_Toc280868705"/>
      <w:bookmarkStart w:id="429" w:name="_Toc280868706"/>
      <w:bookmarkStart w:id="430" w:name="_Toc280868707"/>
      <w:bookmarkStart w:id="431" w:name="_Toc280868708"/>
      <w:bookmarkStart w:id="432" w:name="_Toc280868709"/>
      <w:r>
        <w:rPr>
          <w:rFonts w:hint="default" w:ascii="Times New Roman" w:hAnsi="Times New Roman" w:eastAsia="宋体" w:cs="Times New Roman"/>
          <w:color w:val="auto"/>
          <w:sz w:val="24"/>
          <w:szCs w:val="24"/>
          <w:highlight w:val="none"/>
        </w:rPr>
        <w:t>13.2.2竣工验收程序</w:t>
      </w:r>
    </w:p>
    <w:bookmarkEnd w:id="427"/>
    <w:p w14:paraId="0A88197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关于竣工验收程序的约定：</w:t>
      </w:r>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w:t>
      </w:r>
    </w:p>
    <w:p w14:paraId="153E4D6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发包人不按照本项约定组织竣工验收、颁发工程接收证书的违约金的计算方法：</w:t>
      </w:r>
      <w:bookmarkEnd w:id="428"/>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3AA08FC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13.2.5移交、接收全部与部分工程</w:t>
      </w:r>
    </w:p>
    <w:bookmarkEnd w:id="429"/>
    <w:p w14:paraId="018B3EA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承包人向发包人移交工程的期限：</w:t>
      </w:r>
      <w:r>
        <w:rPr>
          <w:rFonts w:hint="default" w:ascii="Times New Roman" w:hAnsi="Times New Roman" w:eastAsia="宋体" w:cs="Times New Roman"/>
          <w:color w:val="auto"/>
          <w:sz w:val="24"/>
          <w:szCs w:val="24"/>
          <w:highlight w:val="none"/>
          <w:u w:val="single"/>
        </w:rPr>
        <w:t>按照发包人约定执行</w:t>
      </w:r>
      <w:r>
        <w:rPr>
          <w:rFonts w:hint="default" w:ascii="Times New Roman" w:hAnsi="Times New Roman" w:eastAsia="宋体" w:cs="Times New Roman"/>
          <w:color w:val="auto"/>
          <w:sz w:val="24"/>
          <w:szCs w:val="24"/>
          <w:highlight w:val="none"/>
        </w:rPr>
        <w:t>。</w:t>
      </w:r>
    </w:p>
    <w:p w14:paraId="22A9578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发包人未按本合同约定接收全部或部分工程的，违约金的计算方法为：</w:t>
      </w:r>
      <w:bookmarkEnd w:id="430"/>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5FF308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承包人未按时移交工程的，违约金的计算方法为：</w:t>
      </w:r>
    </w:p>
    <w:p w14:paraId="1748025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 扣除全部工程质保金   </w:t>
      </w:r>
      <w:r>
        <w:rPr>
          <w:rFonts w:hint="default" w:ascii="Times New Roman" w:hAnsi="Times New Roman" w:eastAsia="宋体" w:cs="Times New Roman"/>
          <w:color w:val="auto"/>
          <w:sz w:val="24"/>
          <w:szCs w:val="24"/>
          <w:highlight w:val="none"/>
        </w:rPr>
        <w:t>。</w:t>
      </w:r>
    </w:p>
    <w:p w14:paraId="2273921B">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 工程试车</w:t>
      </w:r>
    </w:p>
    <w:bookmarkEnd w:id="431"/>
    <w:p w14:paraId="30D6A79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13.3.1 试车程序</w:t>
      </w:r>
    </w:p>
    <w:p w14:paraId="4605D8C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工程试车内容：</w:t>
      </w:r>
      <w:r>
        <w:rPr>
          <w:rFonts w:hint="default" w:ascii="Times New Roman" w:hAnsi="Times New Roman" w:eastAsia="宋体" w:cs="Times New Roman"/>
          <w:color w:val="auto"/>
          <w:spacing w:val="-12"/>
          <w:sz w:val="24"/>
          <w:szCs w:val="24"/>
          <w:highlight w:val="none"/>
          <w:u w:val="single"/>
        </w:rPr>
        <w:t>按实际情况确定</w:t>
      </w:r>
      <w:r>
        <w:rPr>
          <w:rFonts w:hint="default" w:ascii="Times New Roman" w:hAnsi="Times New Roman" w:eastAsia="宋体" w:cs="Times New Roman"/>
          <w:color w:val="auto"/>
          <w:spacing w:val="2"/>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49EF184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（1）单机无负荷试车费用由</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pacing w:val="-6"/>
          <w:sz w:val="24"/>
          <w:szCs w:val="24"/>
          <w:highlight w:val="none"/>
          <w:u w:val="single"/>
        </w:rPr>
        <w:t>承包人承担、费用含在合同价中承担</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承担；</w:t>
      </w:r>
    </w:p>
    <w:p w14:paraId="7E0873E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（2）无负荷联动试车费用由</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承担。</w:t>
      </w:r>
    </w:p>
    <w:p w14:paraId="6544E11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13.3.3 投料试车</w:t>
      </w:r>
    </w:p>
    <w:p w14:paraId="43B7540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关于投料试车相关事项的约定：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0722892A">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 竣工退场</w:t>
      </w:r>
    </w:p>
    <w:p w14:paraId="58B8C01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13.6.1 竣工退场</w:t>
      </w:r>
    </w:p>
    <w:p w14:paraId="3C9F3C1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承包人完成竣工退场的期限：</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pacing w:val="-8"/>
          <w:sz w:val="24"/>
          <w:szCs w:val="24"/>
          <w:highlight w:val="none"/>
          <w:u w:val="single"/>
        </w:rPr>
        <w:t>按照发包人要求执行</w:t>
      </w:r>
      <w:r>
        <w:rPr>
          <w:rFonts w:hint="default" w:ascii="Times New Roman" w:hAnsi="Times New Roman" w:eastAsia="宋体" w:cs="Times New Roman"/>
          <w:color w:val="auto"/>
          <w:spacing w:val="13"/>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C4F0E29">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433" w:name="_Toc351203646"/>
      <w:r>
        <w:rPr>
          <w:rFonts w:hint="default" w:ascii="Times New Roman" w:hAnsi="Times New Roman" w:eastAsia="宋体" w:cs="Times New Roman"/>
          <w:b/>
          <w:color w:val="auto"/>
          <w:sz w:val="24"/>
          <w:szCs w:val="24"/>
          <w:highlight w:val="none"/>
        </w:rPr>
        <w:t>14. 竣工结算</w:t>
      </w:r>
      <w:bookmarkEnd w:id="433"/>
    </w:p>
    <w:p w14:paraId="6AF1C8B1">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14.1 竣工付款申请</w:t>
      </w:r>
    </w:p>
    <w:p w14:paraId="14D8DC7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承包人提交竣工付款申请单的期限：</w:t>
      </w:r>
      <w:r>
        <w:rPr>
          <w:rFonts w:hint="default" w:ascii="Times New Roman" w:hAnsi="Times New Roman" w:eastAsia="宋体" w:cs="Times New Roman"/>
          <w:color w:val="auto"/>
          <w:sz w:val="24"/>
          <w:szCs w:val="24"/>
          <w:highlight w:val="none"/>
          <w:u w:val="single"/>
        </w:rPr>
        <w:t xml:space="preserve">  工程竣工验收合格后 28 天内  </w:t>
      </w:r>
      <w:r>
        <w:rPr>
          <w:rFonts w:hint="default" w:ascii="Times New Roman" w:hAnsi="Times New Roman" w:eastAsia="宋体" w:cs="Times New Roman"/>
          <w:color w:val="auto"/>
          <w:sz w:val="24"/>
          <w:szCs w:val="24"/>
          <w:highlight w:val="none"/>
        </w:rPr>
        <w:t>。</w:t>
      </w:r>
    </w:p>
    <w:p w14:paraId="2D75629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竣工付款申请单应包括的内容：</w:t>
      </w:r>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w:t>
      </w:r>
    </w:p>
    <w:p w14:paraId="14476419">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14.2 竣工结算审核</w:t>
      </w:r>
    </w:p>
    <w:p w14:paraId="37014962">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发包人审批竣工付款申请单的期限： </w:t>
      </w:r>
      <w:r>
        <w:rPr>
          <w:rFonts w:hint="default" w:ascii="Times New Roman" w:hAnsi="Times New Roman" w:eastAsia="宋体" w:cs="Times New Roman"/>
          <w:color w:val="auto"/>
          <w:sz w:val="24"/>
          <w:szCs w:val="24"/>
          <w:highlight w:val="none"/>
          <w:u w:val="single"/>
        </w:rPr>
        <w:t>工程竣工验收合格后 28 天内</w:t>
      </w:r>
      <w:r>
        <w:rPr>
          <w:rFonts w:hint="default" w:ascii="Times New Roman" w:hAnsi="Times New Roman" w:eastAsia="宋体" w:cs="Times New Roman"/>
          <w:color w:val="auto"/>
          <w:sz w:val="24"/>
          <w:szCs w:val="24"/>
          <w:highlight w:val="none"/>
        </w:rPr>
        <w:t>。</w:t>
      </w:r>
    </w:p>
    <w:p w14:paraId="6364DB71">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发包人完成竣工付款的期限： </w:t>
      </w:r>
      <w:r>
        <w:rPr>
          <w:rFonts w:hint="default" w:ascii="Times New Roman" w:hAnsi="Times New Roman" w:eastAsia="宋体" w:cs="Times New Roman"/>
          <w:color w:val="auto"/>
          <w:sz w:val="24"/>
          <w:szCs w:val="24"/>
          <w:highlight w:val="none"/>
          <w:u w:val="single"/>
        </w:rPr>
        <w:t>按</w:t>
      </w:r>
      <w:r>
        <w:rPr>
          <w:rFonts w:hint="default" w:ascii="Times New Roman" w:hAnsi="Times New Roman" w:eastAsia="宋体" w:cs="Times New Roman"/>
          <w:color w:val="auto"/>
          <w:sz w:val="24"/>
          <w:szCs w:val="24"/>
          <w:highlight w:val="none"/>
          <w:u w:val="single"/>
          <w:lang w:val="en-US" w:eastAsia="zh-CN"/>
        </w:rPr>
        <w:t>专用合同条款12.4.1</w:t>
      </w:r>
      <w:r>
        <w:rPr>
          <w:rFonts w:hint="default" w:ascii="Times New Roman" w:hAnsi="Times New Roman" w:eastAsia="宋体" w:cs="Times New Roman"/>
          <w:color w:val="auto"/>
          <w:sz w:val="24"/>
          <w:szCs w:val="24"/>
          <w:highlight w:val="none"/>
          <w:u w:val="single"/>
        </w:rPr>
        <w:t>执行</w:t>
      </w:r>
      <w:r>
        <w:rPr>
          <w:rFonts w:hint="default" w:ascii="Times New Roman" w:hAnsi="Times New Roman" w:eastAsia="宋体" w:cs="Times New Roman"/>
          <w:color w:val="auto"/>
          <w:sz w:val="24"/>
          <w:szCs w:val="24"/>
          <w:highlight w:val="none"/>
        </w:rPr>
        <w:t>。</w:t>
      </w:r>
    </w:p>
    <w:p w14:paraId="5141865C">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关于竣工付款证书异议部分复核的方式和程序： </w:t>
      </w:r>
      <w:r>
        <w:rPr>
          <w:rFonts w:hint="default" w:ascii="Times New Roman" w:hAnsi="Times New Roman" w:eastAsia="宋体" w:cs="Times New Roman"/>
          <w:color w:val="auto"/>
          <w:sz w:val="24"/>
          <w:szCs w:val="24"/>
          <w:highlight w:val="none"/>
          <w:u w:val="single"/>
        </w:rPr>
        <w:t>按通用条款执行</w:t>
      </w:r>
      <w:r>
        <w:rPr>
          <w:rFonts w:hint="default" w:ascii="Times New Roman" w:hAnsi="Times New Roman" w:eastAsia="宋体" w:cs="Times New Roman"/>
          <w:color w:val="auto"/>
          <w:sz w:val="24"/>
          <w:szCs w:val="24"/>
          <w:highlight w:val="none"/>
        </w:rPr>
        <w:t>。</w:t>
      </w:r>
    </w:p>
    <w:p w14:paraId="690AB027">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14.4 最终结清</w:t>
      </w:r>
    </w:p>
    <w:p w14:paraId="3618AA0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14.4.1 最终结清申请单</w:t>
      </w:r>
    </w:p>
    <w:p w14:paraId="1CA85CF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承包人提交最终结清申请单的份数：</w:t>
      </w:r>
      <w:r>
        <w:rPr>
          <w:rFonts w:hint="default" w:ascii="Times New Roman" w:hAnsi="Times New Roman" w:eastAsia="宋体" w:cs="Times New Roman"/>
          <w:color w:val="auto"/>
          <w:sz w:val="24"/>
          <w:szCs w:val="24"/>
          <w:highlight w:val="none"/>
          <w:u w:val="single"/>
        </w:rPr>
        <w:t xml:space="preserve">       八份           </w:t>
      </w:r>
      <w:r>
        <w:rPr>
          <w:rFonts w:hint="default" w:ascii="Times New Roman" w:hAnsi="Times New Roman" w:eastAsia="宋体" w:cs="Times New Roman"/>
          <w:color w:val="auto"/>
          <w:sz w:val="24"/>
          <w:szCs w:val="24"/>
          <w:highlight w:val="none"/>
        </w:rPr>
        <w:t>。</w:t>
      </w:r>
    </w:p>
    <w:p w14:paraId="6AC8DCA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承包人提交最终结算申请单的期限：</w:t>
      </w:r>
      <w:r>
        <w:rPr>
          <w:rFonts w:hint="default" w:ascii="Times New Roman" w:hAnsi="Times New Roman" w:eastAsia="宋体" w:cs="Times New Roman"/>
          <w:color w:val="auto"/>
          <w:sz w:val="24"/>
          <w:szCs w:val="24"/>
          <w:highlight w:val="none"/>
          <w:u w:val="single"/>
        </w:rPr>
        <w:t xml:space="preserve">   缺陷责任期满后 7 日内 </w:t>
      </w:r>
      <w:r>
        <w:rPr>
          <w:rFonts w:hint="default" w:ascii="Times New Roman" w:hAnsi="Times New Roman" w:eastAsia="宋体" w:cs="Times New Roman"/>
          <w:color w:val="auto"/>
          <w:sz w:val="24"/>
          <w:szCs w:val="24"/>
          <w:highlight w:val="none"/>
        </w:rPr>
        <w:t>。</w:t>
      </w:r>
    </w:p>
    <w:p w14:paraId="51F6F60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14.4.2 最终结清证书和支付</w:t>
      </w:r>
    </w:p>
    <w:p w14:paraId="564B77BC">
      <w:pPr>
        <w:keepNext w:val="0"/>
        <w:keepLines w:val="0"/>
        <w:pageBreakBefore w:val="0"/>
        <w:shd w:val="clear" w:color="auto" w:fill="auto"/>
        <w:kinsoku/>
        <w:wordWrap/>
        <w:overflowPunct/>
        <w:topLinePunct w:val="0"/>
        <w:bidi w:val="0"/>
        <w:snapToGrid/>
        <w:spacing w:line="480" w:lineRule="exact"/>
        <w:ind w:left="900" w:leftChars="200" w:hanging="480" w:hanging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（1）发包人完成最终结清申请单的审批并颁发最终结清证书</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41C32B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（2）发包人完成支付的期限：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bookmarkEnd w:id="420"/>
    <w:bookmarkEnd w:id="421"/>
    <w:bookmarkEnd w:id="422"/>
    <w:bookmarkEnd w:id="423"/>
    <w:bookmarkEnd w:id="424"/>
    <w:bookmarkEnd w:id="425"/>
    <w:bookmarkEnd w:id="426"/>
    <w:bookmarkEnd w:id="432"/>
    <w:p w14:paraId="45449C3B">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434" w:name="_Toc351203647"/>
      <w:bookmarkStart w:id="435" w:name="_Toc267251483"/>
      <w:bookmarkStart w:id="436" w:name="_Toc267251482"/>
      <w:bookmarkStart w:id="437" w:name="_Toc267251484"/>
      <w:bookmarkStart w:id="438" w:name="_Toc267251485"/>
      <w:bookmarkStart w:id="439" w:name="_Toc267251488"/>
      <w:bookmarkStart w:id="440" w:name="_Toc267251490"/>
      <w:bookmarkStart w:id="441" w:name="_Toc267251489"/>
      <w:bookmarkStart w:id="442" w:name="_Toc267251486"/>
      <w:bookmarkStart w:id="443" w:name="_Toc267251497"/>
      <w:bookmarkStart w:id="444" w:name="_Toc267251496"/>
      <w:bookmarkStart w:id="445" w:name="_Toc267251491"/>
      <w:bookmarkStart w:id="446" w:name="_Toc267251494"/>
      <w:bookmarkStart w:id="447" w:name="_Toc267251502"/>
      <w:bookmarkStart w:id="448" w:name="_Toc267251492"/>
      <w:bookmarkStart w:id="449" w:name="_Toc267251499"/>
      <w:bookmarkStart w:id="450" w:name="_Toc267251495"/>
      <w:bookmarkStart w:id="451" w:name="_Toc267251501"/>
      <w:bookmarkStart w:id="452" w:name="_Toc267251493"/>
      <w:bookmarkStart w:id="453" w:name="_Toc267251498"/>
      <w:bookmarkStart w:id="454" w:name="_Toc267251503"/>
      <w:bookmarkStart w:id="455" w:name="_Toc267251506"/>
      <w:bookmarkStart w:id="456" w:name="_Toc267251504"/>
      <w:bookmarkStart w:id="457" w:name="_Toc267251507"/>
      <w:bookmarkStart w:id="458" w:name="_Toc267251508"/>
      <w:bookmarkStart w:id="459" w:name="_Toc267251510"/>
      <w:bookmarkStart w:id="460" w:name="_Toc267251514"/>
      <w:bookmarkStart w:id="461" w:name="_Toc267251515"/>
      <w:bookmarkStart w:id="462" w:name="_Toc267251509"/>
      <w:bookmarkStart w:id="463" w:name="_Toc267251513"/>
      <w:bookmarkStart w:id="464" w:name="_Toc267251511"/>
      <w:r>
        <w:rPr>
          <w:rFonts w:hint="default" w:ascii="Times New Roman" w:hAnsi="Times New Roman" w:eastAsia="宋体" w:cs="Times New Roman"/>
          <w:b/>
          <w:color w:val="auto"/>
          <w:sz w:val="24"/>
          <w:szCs w:val="24"/>
          <w:highlight w:val="none"/>
        </w:rPr>
        <w:t>15. 缺陷责任期与保修</w:t>
      </w:r>
      <w:bookmarkEnd w:id="434"/>
    </w:p>
    <w:p w14:paraId="0BD0A0AA">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15.2缺陷责任期</w:t>
      </w:r>
      <w:bookmarkEnd w:id="435"/>
    </w:p>
    <w:p w14:paraId="6CDBA2F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缺陷责任期的具体期限：</w:t>
      </w:r>
      <w:r>
        <w:rPr>
          <w:rFonts w:hint="default" w:ascii="Times New Roman" w:hAnsi="Times New Roman" w:eastAsia="宋体" w:cs="Times New Roman"/>
          <w:color w:val="auto"/>
          <w:sz w:val="24"/>
          <w:szCs w:val="24"/>
          <w:highlight w:val="none"/>
          <w:u w:val="single"/>
        </w:rPr>
        <w:t xml:space="preserve">竣工验收合格后起算，具体期限详见工程质量保修书 </w:t>
      </w:r>
      <w:r>
        <w:rPr>
          <w:rFonts w:hint="default" w:ascii="Times New Roman" w:hAnsi="Times New Roman" w:eastAsia="宋体" w:cs="Times New Roman"/>
          <w:color w:val="auto"/>
          <w:sz w:val="24"/>
          <w:szCs w:val="24"/>
          <w:highlight w:val="none"/>
        </w:rPr>
        <w:t>。</w:t>
      </w:r>
    </w:p>
    <w:p w14:paraId="429F11B4">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15.3 质量保证金</w:t>
      </w:r>
    </w:p>
    <w:p w14:paraId="5946A75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关于是否扣留质量保证金的约定：</w:t>
      </w:r>
      <w:r>
        <w:rPr>
          <w:rFonts w:hint="default" w:ascii="Times New Roman" w:hAnsi="Times New Roman" w:eastAsia="宋体" w:cs="Times New Roman"/>
          <w:color w:val="auto"/>
          <w:sz w:val="24"/>
          <w:szCs w:val="24"/>
          <w:highlight w:val="none"/>
          <w:u w:val="single"/>
        </w:rPr>
        <w:t xml:space="preserve"> 扣留工程终审价格的3%作为工程质量保证金，质量保证金不计息，</w:t>
      </w:r>
      <w:r>
        <w:rPr>
          <w:rFonts w:hint="default" w:ascii="Times New Roman" w:hAnsi="Times New Roman" w:eastAsia="宋体" w:cs="Times New Roman"/>
          <w:color w:val="auto"/>
          <w:sz w:val="24"/>
          <w:szCs w:val="24"/>
          <w:highlight w:val="none"/>
          <w:u w:val="single"/>
          <w:lang w:eastAsia="zh-CN"/>
        </w:rPr>
        <w:t>保证金</w:t>
      </w:r>
      <w:r>
        <w:rPr>
          <w:rFonts w:hint="default" w:ascii="Times New Roman" w:hAnsi="Times New Roman" w:eastAsia="宋体" w:cs="Times New Roman"/>
          <w:color w:val="auto"/>
          <w:sz w:val="24"/>
          <w:szCs w:val="24"/>
          <w:highlight w:val="none"/>
          <w:u w:val="single"/>
        </w:rPr>
        <w:t>预留以银行保函形式递交至甲方，保函有效期同缺陷责任期（24个月）。</w:t>
      </w:r>
    </w:p>
    <w:p w14:paraId="5795260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15.3.1 承包人提供质量保证金的方式</w:t>
      </w:r>
    </w:p>
    <w:p w14:paraId="025AA4DA">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质量保证金采用以下第</w:t>
      </w:r>
      <w:r>
        <w:rPr>
          <w:rFonts w:hint="default" w:ascii="Times New Roman" w:hAnsi="Times New Roman" w:eastAsia="宋体" w:cs="Times New Roman"/>
          <w:color w:val="auto"/>
          <w:sz w:val="24"/>
          <w:szCs w:val="24"/>
          <w:highlight w:val="none"/>
          <w:u w:val="single"/>
        </w:rPr>
        <w:t>（2）</w:t>
      </w:r>
      <w:r>
        <w:rPr>
          <w:rFonts w:hint="default" w:ascii="Times New Roman" w:hAnsi="Times New Roman" w:eastAsia="宋体" w:cs="Times New Roman"/>
          <w:color w:val="auto"/>
          <w:sz w:val="24"/>
          <w:szCs w:val="24"/>
          <w:highlight w:val="none"/>
        </w:rPr>
        <w:t>种方式：</w:t>
      </w:r>
    </w:p>
    <w:p w14:paraId="64EEE5D3">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（1）质量保证金保函，保证金额为：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458D796A">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u w:val="single"/>
        </w:rPr>
        <w:t xml:space="preserve">  3  </w:t>
      </w:r>
      <w:r>
        <w:rPr>
          <w:rFonts w:hint="default" w:ascii="Times New Roman" w:hAnsi="Times New Roman" w:eastAsia="宋体" w:cs="Times New Roman"/>
          <w:color w:val="auto"/>
          <w:sz w:val="24"/>
          <w:szCs w:val="24"/>
          <w:highlight w:val="none"/>
        </w:rPr>
        <w:t>%的工程终审价款，</w:t>
      </w:r>
      <w:r>
        <w:rPr>
          <w:rFonts w:hint="default" w:ascii="Times New Roman" w:hAnsi="Times New Roman" w:eastAsia="宋体" w:cs="Times New Roman"/>
          <w:color w:val="auto"/>
          <w:sz w:val="24"/>
          <w:szCs w:val="24"/>
          <w:highlight w:val="none"/>
          <w:u w:val="single"/>
        </w:rPr>
        <w:t>以银行保函形式递交至甲方。</w:t>
      </w:r>
    </w:p>
    <w:p w14:paraId="6EF894CB">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（3）其他方式</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F85BC0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15.3.2 质量保证金的扣留 </w:t>
      </w:r>
    </w:p>
    <w:p w14:paraId="0C019278">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质量保证金的扣留采取以下第</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种方式：</w:t>
      </w:r>
    </w:p>
    <w:p w14:paraId="4C5637E2">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（1）在支付工程进度款时逐次扣留，在此情形下，质量保证金的计算基数不包括预付款的支付、扣回以及价格调整的金额；</w:t>
      </w:r>
    </w:p>
    <w:p w14:paraId="7CE00F53">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u w:val="single"/>
        </w:rPr>
        <w:t>工程竣工结算时一次性扣留质量保证金，以银行保函形式递交至甲方。</w:t>
      </w:r>
    </w:p>
    <w:p w14:paraId="730C8A2B">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（3）其他扣留方式</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3F2F10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关于质量保证金的补充约定：</w:t>
      </w:r>
      <w:bookmarkEnd w:id="436"/>
      <w:bookmarkEnd w:id="437"/>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A566404">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15.4保修</w:t>
      </w:r>
    </w:p>
    <w:bookmarkEnd w:id="438"/>
    <w:p w14:paraId="1E4F8401">
      <w:pPr>
        <w:keepNext w:val="0"/>
        <w:keepLines w:val="0"/>
        <w:pageBreakBefore w:val="0"/>
        <w:shd w:val="clear" w:color="auto" w:fill="auto"/>
        <w:kinsoku/>
        <w:wordWrap/>
        <w:overflowPunct/>
        <w:topLinePunct w:val="0"/>
        <w:bidi w:val="0"/>
        <w:snapToGrid/>
        <w:spacing w:line="480" w:lineRule="exact"/>
        <w:ind w:firstLine="468" w:firstLineChars="19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15.4.1 保修责任</w:t>
      </w:r>
    </w:p>
    <w:p w14:paraId="78A3C7E7">
      <w:pPr>
        <w:keepNext w:val="0"/>
        <w:keepLines w:val="0"/>
        <w:pageBreakBefore w:val="0"/>
        <w:shd w:val="clear" w:color="auto" w:fill="auto"/>
        <w:kinsoku/>
        <w:wordWrap/>
        <w:overflowPunct/>
        <w:topLinePunct w:val="0"/>
        <w:bidi w:val="0"/>
        <w:snapToGrid/>
        <w:spacing w:line="480" w:lineRule="exact"/>
        <w:ind w:firstLine="468" w:firstLineChars="195"/>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工程保修期为：</w:t>
      </w:r>
      <w:r>
        <w:rPr>
          <w:rFonts w:hint="default" w:ascii="Times New Roman" w:hAnsi="Times New Roman" w:eastAsia="宋体" w:cs="Times New Roman"/>
          <w:color w:val="auto"/>
          <w:sz w:val="24"/>
          <w:szCs w:val="24"/>
          <w:highlight w:val="none"/>
          <w:u w:val="single"/>
        </w:rPr>
        <w:t xml:space="preserve">见工程质量保修书              </w:t>
      </w:r>
      <w:r>
        <w:rPr>
          <w:rFonts w:hint="default" w:ascii="Times New Roman" w:hAnsi="Times New Roman" w:eastAsia="宋体" w:cs="Times New Roman"/>
          <w:color w:val="auto"/>
          <w:sz w:val="24"/>
          <w:szCs w:val="24"/>
          <w:highlight w:val="none"/>
        </w:rPr>
        <w:t>。</w:t>
      </w:r>
    </w:p>
    <w:p w14:paraId="456724CA">
      <w:pPr>
        <w:keepNext w:val="0"/>
        <w:keepLines w:val="0"/>
        <w:pageBreakBefore w:val="0"/>
        <w:shd w:val="clear" w:color="auto" w:fill="auto"/>
        <w:kinsoku/>
        <w:wordWrap/>
        <w:overflowPunct/>
        <w:topLinePunct w:val="0"/>
        <w:bidi w:val="0"/>
        <w:snapToGrid/>
        <w:spacing w:line="480" w:lineRule="exact"/>
        <w:ind w:firstLine="468" w:firstLineChars="195"/>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15.4.3 修复通知</w:t>
      </w:r>
    </w:p>
    <w:p w14:paraId="6C2DDC29">
      <w:pPr>
        <w:keepNext w:val="0"/>
        <w:keepLines w:val="0"/>
        <w:pageBreakBefore w:val="0"/>
        <w:shd w:val="clear" w:color="auto" w:fill="auto"/>
        <w:kinsoku/>
        <w:wordWrap/>
        <w:overflowPunct/>
        <w:topLinePunct w:val="0"/>
        <w:bidi w:val="0"/>
        <w:snapToGrid/>
        <w:spacing w:line="480" w:lineRule="exact"/>
        <w:ind w:firstLine="468" w:firstLineChars="195"/>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承包人收到保修通知并到达工程现场的合理时间：</w:t>
      </w:r>
    </w:p>
    <w:bookmarkEnd w:id="439"/>
    <w:bookmarkEnd w:id="440"/>
    <w:bookmarkEnd w:id="441"/>
    <w:bookmarkEnd w:id="442"/>
    <w:p w14:paraId="0D005FF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bookmarkStart w:id="465" w:name="_Toc351203648"/>
      <w:bookmarkStart w:id="466" w:name="_Toc280868717"/>
      <w:bookmarkStart w:id="467" w:name="_Toc280868718"/>
      <w:r>
        <w:rPr>
          <w:rFonts w:hint="default" w:ascii="Times New Roman" w:hAnsi="Times New Roman" w:eastAsia="宋体" w:cs="Times New Roman"/>
          <w:color w:val="auto"/>
          <w:sz w:val="24"/>
          <w:szCs w:val="24"/>
          <w:highlight w:val="none"/>
        </w:rPr>
        <w:t>承包人收到保修通知并到达工程现场的合理时间：</w:t>
      </w:r>
      <w:r>
        <w:rPr>
          <w:rFonts w:hint="default" w:ascii="Times New Roman" w:hAnsi="Times New Roman" w:eastAsia="宋体" w:cs="Times New Roman"/>
          <w:color w:val="auto"/>
          <w:sz w:val="24"/>
          <w:szCs w:val="24"/>
          <w:highlight w:val="none"/>
          <w:u w:val="single"/>
        </w:rPr>
        <w:t xml:space="preserve">收到通知后24小时内 </w:t>
      </w:r>
      <w:r>
        <w:rPr>
          <w:rFonts w:hint="default" w:ascii="Times New Roman" w:hAnsi="Times New Roman" w:eastAsia="宋体" w:cs="Times New Roman"/>
          <w:color w:val="auto"/>
          <w:sz w:val="24"/>
          <w:szCs w:val="24"/>
          <w:highlight w:val="none"/>
        </w:rPr>
        <w:t>。</w:t>
      </w:r>
    </w:p>
    <w:p w14:paraId="1758346E">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16. 违约</w:t>
      </w:r>
      <w:bookmarkEnd w:id="465"/>
    </w:p>
    <w:p w14:paraId="72C70AEC">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 发包人违约</w:t>
      </w:r>
    </w:p>
    <w:p w14:paraId="35D1C66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16.1.1发包人违约的情形</w:t>
      </w:r>
    </w:p>
    <w:p w14:paraId="5C274C6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发包人违约的其他情形：</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47801481">
      <w:pPr>
        <w:keepNext w:val="0"/>
        <w:keepLines w:val="0"/>
        <w:pageBreakBefore w:val="0"/>
        <w:widowControl/>
        <w:numPr>
          <w:ilvl w:val="2"/>
          <w:numId w:val="5"/>
        </w:numPr>
        <w:shd w:val="clear" w:color="auto" w:fill="auto"/>
        <w:kinsoku/>
        <w:wordWrap/>
        <w:overflowPunct/>
        <w:topLinePunct w:val="0"/>
        <w:bidi w:val="0"/>
        <w:snapToGrid/>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发包人违约的责任</w:t>
      </w:r>
    </w:p>
    <w:p w14:paraId="0131D9E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发包人违约责任的承担方式和计算方法：</w:t>
      </w:r>
    </w:p>
    <w:p w14:paraId="00593DD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（1）因发包人原因未能在计划开工日期前 7 天内下达开工通知的违约责任：</w:t>
      </w:r>
      <w:r>
        <w:rPr>
          <w:rFonts w:hint="default" w:ascii="Times New Roman" w:hAnsi="Times New Roman" w:eastAsia="宋体" w:cs="Times New Roman"/>
          <w:color w:val="auto"/>
          <w:sz w:val="24"/>
          <w:szCs w:val="24"/>
          <w:highlight w:val="none"/>
          <w:u w:val="single"/>
        </w:rPr>
        <w:t>执行通用条款</w:t>
      </w:r>
      <w:r>
        <w:rPr>
          <w:rFonts w:hint="default" w:ascii="Times New Roman" w:hAnsi="Times New Roman" w:eastAsia="宋体" w:cs="Times New Roman"/>
          <w:color w:val="auto"/>
          <w:sz w:val="24"/>
          <w:szCs w:val="24"/>
          <w:highlight w:val="none"/>
        </w:rPr>
        <w:t>。</w:t>
      </w:r>
    </w:p>
    <w:p w14:paraId="43A37D9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（2）因发包人原因未能按合同约定支付合同价款的违约责任：</w:t>
      </w:r>
      <w:r>
        <w:rPr>
          <w:rFonts w:hint="default" w:ascii="Times New Roman" w:hAnsi="Times New Roman" w:eastAsia="宋体" w:cs="Times New Roman"/>
          <w:color w:val="auto"/>
          <w:sz w:val="24"/>
          <w:szCs w:val="24"/>
          <w:highlight w:val="none"/>
          <w:u w:val="single"/>
        </w:rPr>
        <w:t xml:space="preserve">执行通用条款 </w:t>
      </w:r>
      <w:r>
        <w:rPr>
          <w:rFonts w:hint="default" w:ascii="Times New Roman" w:hAnsi="Times New Roman" w:eastAsia="宋体" w:cs="Times New Roman"/>
          <w:color w:val="auto"/>
          <w:sz w:val="24"/>
          <w:szCs w:val="24"/>
          <w:highlight w:val="none"/>
        </w:rPr>
        <w:t>。</w:t>
      </w:r>
    </w:p>
    <w:p w14:paraId="5282551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（3） 发包人违反第 10.1 款〔变更的范围〕第（2） 项约定， 自行实施被取消的工作或转由他人实施的违约责任： </w:t>
      </w:r>
      <w:r>
        <w:rPr>
          <w:rFonts w:hint="default" w:ascii="Times New Roman" w:hAnsi="Times New Roman" w:eastAsia="宋体" w:cs="Times New Roman"/>
          <w:color w:val="auto"/>
          <w:sz w:val="24"/>
          <w:szCs w:val="24"/>
          <w:highlight w:val="none"/>
          <w:u w:val="single"/>
        </w:rPr>
        <w:t xml:space="preserve">执行通用条款。  </w:t>
      </w:r>
    </w:p>
    <w:p w14:paraId="3771AA9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发包人提供的材料、工程设备的规格、数量或质量不符合合同约定， 或因发包人原因导致交货日期延误或交货地点变更等情况的违约责任：</w:t>
      </w:r>
      <w:r>
        <w:rPr>
          <w:rFonts w:hint="default" w:ascii="Times New Roman" w:hAnsi="Times New Roman" w:eastAsia="宋体" w:cs="Times New Roman"/>
          <w:color w:val="auto"/>
          <w:sz w:val="24"/>
          <w:szCs w:val="24"/>
          <w:highlight w:val="none"/>
          <w:u w:val="single"/>
        </w:rPr>
        <w:t>执行通用条款</w:t>
      </w:r>
      <w:r>
        <w:rPr>
          <w:rFonts w:hint="default" w:ascii="Times New Roman" w:hAnsi="Times New Roman" w:eastAsia="宋体" w:cs="Times New Roman"/>
          <w:color w:val="auto"/>
          <w:sz w:val="24"/>
          <w:szCs w:val="24"/>
          <w:highlight w:val="none"/>
        </w:rPr>
        <w:t>。</w:t>
      </w:r>
    </w:p>
    <w:p w14:paraId="57FC0C11">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（5）因发包人违反合同约定造成暂停施工的违约责任：</w:t>
      </w:r>
      <w:r>
        <w:rPr>
          <w:rFonts w:hint="default" w:ascii="Times New Roman" w:hAnsi="Times New Roman" w:eastAsia="宋体" w:cs="Times New Roman"/>
          <w:color w:val="auto"/>
          <w:sz w:val="24"/>
          <w:szCs w:val="24"/>
          <w:highlight w:val="none"/>
          <w:u w:val="single"/>
        </w:rPr>
        <w:t xml:space="preserve"> 执行通用条款</w:t>
      </w:r>
      <w:r>
        <w:rPr>
          <w:rFonts w:hint="default" w:ascii="Times New Roman" w:hAnsi="Times New Roman" w:eastAsia="宋体" w:cs="Times New Roman"/>
          <w:color w:val="auto"/>
          <w:sz w:val="24"/>
          <w:szCs w:val="24"/>
          <w:highlight w:val="none"/>
        </w:rPr>
        <w:t>。</w:t>
      </w:r>
    </w:p>
    <w:p w14:paraId="698A6A7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（6） 发包人无正当理由没有在约定期限内发出复工指示， 导致承包人无法复工的违约责任： </w:t>
      </w:r>
      <w:r>
        <w:rPr>
          <w:rFonts w:hint="default" w:ascii="Times New Roman" w:hAnsi="Times New Roman" w:eastAsia="宋体" w:cs="Times New Roman"/>
          <w:color w:val="auto"/>
          <w:sz w:val="24"/>
          <w:szCs w:val="24"/>
          <w:highlight w:val="none"/>
          <w:u w:val="single"/>
        </w:rPr>
        <w:t xml:space="preserve">执行通用条款。  </w:t>
      </w:r>
    </w:p>
    <w:p w14:paraId="7EC477D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（7）其他：</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1930EAD6">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16.1.3 因发包人违约解除合同</w:t>
      </w:r>
    </w:p>
    <w:p w14:paraId="1A76AEB1">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承包人按16.1.1项〔发包人违约的情形〕约定暂停施工满</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天后发包人仍不纠正其违约行为并致使合同目的不能实现的，承包人有权解除合同。</w:t>
      </w:r>
    </w:p>
    <w:p w14:paraId="007298DB">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16.2 承包人违约</w:t>
      </w:r>
    </w:p>
    <w:p w14:paraId="7F16FC99">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16.2.1 承包人违约的情形</w:t>
      </w:r>
    </w:p>
    <w:p w14:paraId="0724748B">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kern w:val="0"/>
          <w:sz w:val="24"/>
          <w:szCs w:val="24"/>
          <w:highlight w:val="none"/>
          <w:u w:val="single"/>
        </w:rPr>
        <w:t>在合同履行过程中发生的下列情形，属于承包人违约：</w:t>
      </w:r>
    </w:p>
    <w:p w14:paraId="3978CFB8">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（1）承包人违反合同约定进行转包或违法分包的；</w:t>
      </w:r>
    </w:p>
    <w:p w14:paraId="5A0A2723">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（2）承包人违反合同约定采购和使用不合格的材料和工程设备的；</w:t>
      </w:r>
    </w:p>
    <w:p w14:paraId="5221FE18">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 xml:space="preserve">（3）因承包人原因导致工程质量不符合合同要求的； </w:t>
      </w:r>
    </w:p>
    <w:p w14:paraId="75965EFF">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（4）承包人未经发包人批准，私自将已按照合同约定进入施工现场的材料，设备撤离施工现场的或挪作他用；</w:t>
      </w:r>
    </w:p>
    <w:p w14:paraId="7BC4F8A3">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（5）承包人未能按施工进度计划及时完成合同约定的工作，造成工期延误的；</w:t>
      </w:r>
    </w:p>
    <w:p w14:paraId="0AD4009B">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（6）承包人在缺陷责任期及保修期内，未能在合理期限对工程缺陷进行修复，或拒绝按发包人要求进行修复的；</w:t>
      </w:r>
    </w:p>
    <w:p w14:paraId="604CE6D8">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（7）承包人明确表示或者以其行为表明不履行合同主要义务的；</w:t>
      </w:r>
    </w:p>
    <w:p w14:paraId="7E66FDBB">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u w:val="single"/>
        </w:rPr>
        <w:t>（8）承包人未能按照合同约定履行其他义务的。</w:t>
      </w:r>
    </w:p>
    <w:p w14:paraId="489CC3DD">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承包人违约的其他情形：</w:t>
      </w:r>
      <w:r>
        <w:rPr>
          <w:rFonts w:hint="default" w:ascii="Times New Roman" w:hAnsi="Times New Roman" w:eastAsia="宋体" w:cs="Times New Roman"/>
          <w:color w:val="auto"/>
          <w:sz w:val="24"/>
          <w:szCs w:val="24"/>
          <w:highlight w:val="none"/>
          <w:u w:val="single"/>
        </w:rPr>
        <w:t xml:space="preserve">（1）因承包人原因造成工程质量不合格的，承包人应承担发包人全部经济损失，扣除履约保证金的同时，并按终审价5%向发包人支付违约金。承包人应按照施工图设计要求将不合格的工程返工至合格，返工费用由承包人承担。如果因承包人原因造成工期延误而遇不可抗力时，责任由承包人全部承担，并承担工程不能按期竣工的违约责任；（2）承包方不能以发包方工程建设资金不到位等缘由，而停工或不按照发包方要求进行工程施工，也不能因此而拖欠工人工资，造成工人上访；若发生以上情况，承包方承诺将在三年内不参加发包方组织的招投标活动，并接受发包方扣除本工程全部履约保证金的处罚  </w:t>
      </w:r>
      <w:r>
        <w:rPr>
          <w:rFonts w:hint="default" w:ascii="Times New Roman" w:hAnsi="Times New Roman" w:eastAsia="宋体" w:cs="Times New Roman"/>
          <w:color w:val="auto"/>
          <w:sz w:val="24"/>
          <w:szCs w:val="24"/>
          <w:highlight w:val="none"/>
        </w:rPr>
        <w:t>。</w:t>
      </w:r>
    </w:p>
    <w:p w14:paraId="1E64F1D5">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16.2.2承包人违约的责任</w:t>
      </w:r>
    </w:p>
    <w:p w14:paraId="26FE45F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承包人违约责任的承担方式和计算方法：</w:t>
      </w:r>
    </w:p>
    <w:p w14:paraId="24459753">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 xml:space="preserve">承包人应承担因其违约行为而增加的费用和（或）延误的工期。按照合同工期，每延误一天，赔偿壹万元整，由于承包人原因未能按合同进度计划完成工作，或监理人认为承包人施工进度不能满足合同工期要求的，承包人应当采取措施加快进度，并承担加快进度所增加的费用。投标报价中计取的赶工期措施费扣除同时还得赔偿由于延误给发包人带来的其他损失。 </w:t>
      </w:r>
      <w:r>
        <w:rPr>
          <w:rFonts w:hint="default" w:ascii="Times New Roman" w:hAnsi="Times New Roman" w:eastAsia="宋体" w:cs="Times New Roman"/>
          <w:color w:val="auto"/>
          <w:sz w:val="24"/>
          <w:szCs w:val="24"/>
          <w:highlight w:val="none"/>
        </w:rPr>
        <w:t xml:space="preserve">。 </w:t>
      </w:r>
    </w:p>
    <w:p w14:paraId="46874FCC">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16.2.3 因承包人违约解除合同</w:t>
      </w:r>
    </w:p>
    <w:p w14:paraId="2A79BCC2">
      <w:pPr>
        <w:keepNext w:val="0"/>
        <w:keepLines w:val="0"/>
        <w:pageBreakBefore w:val="0"/>
        <w:shd w:val="clear" w:color="auto" w:fill="auto"/>
        <w:kinsoku/>
        <w:wordWrap/>
        <w:overflowPunct/>
        <w:topLinePunct w:val="0"/>
        <w:bidi w:val="0"/>
        <w:snapToGrid/>
        <w:spacing w:before="120" w:after="120"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关于承包人违约解除合同的特别约定：</w:t>
      </w:r>
      <w:r>
        <w:rPr>
          <w:rFonts w:hint="default" w:ascii="Times New Roman" w:hAnsi="Times New Roman" w:eastAsia="宋体" w:cs="Times New Roman"/>
          <w:color w:val="auto"/>
          <w:spacing w:val="-8"/>
          <w:sz w:val="24"/>
          <w:szCs w:val="24"/>
          <w:highlight w:val="none"/>
          <w:u w:val="single"/>
        </w:rPr>
        <w:t>按通用条款执行</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241DEE6C">
      <w:pPr>
        <w:keepNext w:val="0"/>
        <w:keepLines w:val="0"/>
        <w:pageBreakBefore w:val="0"/>
        <w:shd w:val="clear" w:color="auto" w:fill="auto"/>
        <w:kinsoku/>
        <w:wordWrap/>
        <w:overflowPunct/>
        <w:topLinePunct w:val="0"/>
        <w:bidi w:val="0"/>
        <w:snapToGrid/>
        <w:spacing w:before="120"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发包人继续使用承包人在施工现场的材料、设备、临时工程、承包人文件和由承包人或以其名义编制的其他文件的费用承担方式：</w:t>
      </w:r>
      <w:r>
        <w:rPr>
          <w:rFonts w:hint="default" w:ascii="Times New Roman" w:hAnsi="Times New Roman" w:eastAsia="宋体" w:cs="Times New Roman"/>
          <w:color w:val="auto"/>
          <w:sz w:val="24"/>
          <w:szCs w:val="24"/>
          <w:highlight w:val="none"/>
          <w:u w:val="single"/>
        </w:rPr>
        <w:t xml:space="preserve">经双方协商后确认 </w:t>
      </w:r>
      <w:r>
        <w:rPr>
          <w:rFonts w:hint="default" w:ascii="Times New Roman" w:hAnsi="Times New Roman" w:eastAsia="宋体" w:cs="Times New Roman"/>
          <w:color w:val="auto"/>
          <w:sz w:val="24"/>
          <w:szCs w:val="24"/>
          <w:highlight w:val="none"/>
        </w:rPr>
        <w:t>。</w:t>
      </w:r>
    </w:p>
    <w:p w14:paraId="5A045689">
      <w:pPr>
        <w:keepNext w:val="0"/>
        <w:keepLines w:val="0"/>
        <w:pageBreakBefore w:val="0"/>
        <w:shd w:val="clear" w:color="auto" w:fill="auto"/>
        <w:kinsoku/>
        <w:wordWrap/>
        <w:overflowPunct/>
        <w:topLinePunct w:val="0"/>
        <w:bidi w:val="0"/>
        <w:snapToGrid/>
        <w:spacing w:before="120"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名义编制的其他文件的费用承担方式：/。</w:t>
      </w:r>
    </w:p>
    <w:p w14:paraId="06A6187E">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468" w:name="_Toc351203649"/>
      <w:r>
        <w:rPr>
          <w:rFonts w:hint="default" w:ascii="Times New Roman" w:hAnsi="Times New Roman" w:eastAsia="宋体" w:cs="Times New Roman"/>
          <w:b/>
          <w:color w:val="auto"/>
          <w:sz w:val="24"/>
          <w:szCs w:val="24"/>
          <w:highlight w:val="none"/>
        </w:rPr>
        <w:t>17. 不可抗力</w:t>
      </w:r>
      <w:bookmarkEnd w:id="468"/>
      <w:r>
        <w:rPr>
          <w:rFonts w:hint="default" w:ascii="Times New Roman" w:hAnsi="Times New Roman" w:eastAsia="宋体" w:cs="Times New Roman"/>
          <w:b/>
          <w:color w:val="auto"/>
          <w:sz w:val="24"/>
          <w:szCs w:val="24"/>
          <w:highlight w:val="none"/>
        </w:rPr>
        <w:t xml:space="preserve"> </w:t>
      </w:r>
      <w:bookmarkEnd w:id="466"/>
    </w:p>
    <w:p w14:paraId="251974D9">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17.1 不可抗力的确认</w:t>
      </w:r>
    </w:p>
    <w:p w14:paraId="47495D53">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除通用合同条款约定的不可抗力事件之外，视为不可抗力的其他情形： </w:t>
      </w:r>
      <w:r>
        <w:rPr>
          <w:rFonts w:hint="default" w:ascii="Times New Roman" w:hAnsi="Times New Roman" w:eastAsia="宋体" w:cs="Times New Roman"/>
          <w:color w:val="auto"/>
          <w:sz w:val="24"/>
          <w:szCs w:val="24"/>
          <w:highlight w:val="none"/>
          <w:u w:val="single"/>
        </w:rPr>
        <w:t>不可抗力不包括：（1</w:t>
      </w:r>
      <w:r>
        <w:rPr>
          <w:rFonts w:hint="default" w:ascii="Times New Roman" w:hAnsi="Times New Roman" w:eastAsia="宋体" w:cs="Times New Roman"/>
          <w:color w:val="auto"/>
          <w:spacing w:val="-2"/>
          <w:sz w:val="24"/>
          <w:szCs w:val="24"/>
          <w:highlight w:val="none"/>
          <w:u w:val="single"/>
        </w:rPr>
        <w:t>）因一方或其雇员的疏忽或有意行为而造成的事件；（2）勤勉的一方可以合理的在合同签署时考虑到和在以后履行义务时避免或克服的事件；（3）不可抗力不包括资金短缺或无力支付</w:t>
      </w:r>
      <w:r>
        <w:rPr>
          <w:rFonts w:hint="default" w:ascii="Times New Roman" w:hAnsi="Times New Roman" w:eastAsia="宋体" w:cs="Times New Roman"/>
          <w:color w:val="auto"/>
          <w:sz w:val="24"/>
          <w:szCs w:val="24"/>
          <w:highlight w:val="none"/>
        </w:rPr>
        <w:t>。</w:t>
      </w:r>
    </w:p>
    <w:p w14:paraId="608ACFEA">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17.4 因不可抗力解除合同</w:t>
      </w:r>
    </w:p>
    <w:p w14:paraId="65EA46B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合同解除后，发包人应在商定或确定发包人应支付款项后</w:t>
      </w:r>
      <w:r>
        <w:rPr>
          <w:rFonts w:hint="default" w:ascii="Times New Roman" w:hAnsi="Times New Roman" w:eastAsia="宋体" w:cs="Times New Roman"/>
          <w:color w:val="auto"/>
          <w:sz w:val="24"/>
          <w:szCs w:val="24"/>
          <w:highlight w:val="none"/>
          <w:u w:val="single"/>
        </w:rPr>
        <w:t xml:space="preserve"> 90 </w:t>
      </w:r>
      <w:r>
        <w:rPr>
          <w:rFonts w:hint="default" w:ascii="Times New Roman" w:hAnsi="Times New Roman" w:eastAsia="宋体" w:cs="Times New Roman"/>
          <w:color w:val="auto"/>
          <w:sz w:val="24"/>
          <w:szCs w:val="24"/>
          <w:highlight w:val="none"/>
        </w:rPr>
        <w:t>天内完成款项的支付。</w:t>
      </w:r>
    </w:p>
    <w:p w14:paraId="1A49D071">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469" w:name="_Toc351203650"/>
      <w:r>
        <w:rPr>
          <w:rFonts w:hint="default" w:ascii="Times New Roman" w:hAnsi="Times New Roman" w:eastAsia="宋体" w:cs="Times New Roman"/>
          <w:b/>
          <w:color w:val="auto"/>
          <w:sz w:val="24"/>
          <w:szCs w:val="24"/>
          <w:highlight w:val="none"/>
        </w:rPr>
        <w:t>18. 保险</w:t>
      </w:r>
      <w:bookmarkEnd w:id="469"/>
    </w:p>
    <w:bookmarkEnd w:id="467"/>
    <w:p w14:paraId="5F0BE2EC">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18.1 工程保险</w:t>
      </w:r>
    </w:p>
    <w:p w14:paraId="1B6C8282">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关于工程保险的特别约定：</w:t>
      </w:r>
      <w:r>
        <w:rPr>
          <w:rFonts w:hint="default" w:ascii="Times New Roman" w:hAnsi="Times New Roman" w:eastAsia="宋体" w:cs="Times New Roman"/>
          <w:color w:val="auto"/>
          <w:sz w:val="24"/>
          <w:szCs w:val="24"/>
          <w:highlight w:val="none"/>
          <w:u w:val="single"/>
        </w:rPr>
        <w:t xml:space="preserve">由承包人投保，费用含在合同价中  </w:t>
      </w:r>
      <w:r>
        <w:rPr>
          <w:rFonts w:hint="default" w:ascii="Times New Roman" w:hAnsi="Times New Roman" w:eastAsia="宋体" w:cs="Times New Roman"/>
          <w:color w:val="auto"/>
          <w:sz w:val="24"/>
          <w:szCs w:val="24"/>
          <w:highlight w:val="none"/>
        </w:rPr>
        <w:t>。</w:t>
      </w:r>
    </w:p>
    <w:p w14:paraId="7E6A5743">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18.3 其他保险</w:t>
      </w:r>
    </w:p>
    <w:p w14:paraId="67840574">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关于其他保险的约定：</w:t>
      </w:r>
      <w:r>
        <w:rPr>
          <w:rFonts w:hint="default" w:ascii="Times New Roman" w:hAnsi="Times New Roman" w:eastAsia="宋体" w:cs="Times New Roman"/>
          <w:color w:val="auto"/>
          <w:sz w:val="24"/>
          <w:szCs w:val="24"/>
          <w:highlight w:val="none"/>
          <w:u w:val="single"/>
        </w:rPr>
        <w:t>承包人应为施工现场的全部人员办理意外保险并支付保险费用</w:t>
      </w:r>
      <w:r>
        <w:rPr>
          <w:rFonts w:hint="default" w:ascii="Times New Roman" w:hAnsi="Times New Roman" w:eastAsia="宋体" w:cs="Times New Roman"/>
          <w:color w:val="auto"/>
          <w:sz w:val="24"/>
          <w:szCs w:val="24"/>
          <w:highlight w:val="none"/>
        </w:rPr>
        <w:t>。</w:t>
      </w:r>
    </w:p>
    <w:p w14:paraId="2F32C90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承包人是否应为其施工设备等办理财产保险：</w:t>
      </w:r>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w:t>
      </w:r>
    </w:p>
    <w:p w14:paraId="439AA879">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18.7 通知义务</w:t>
      </w:r>
    </w:p>
    <w:p w14:paraId="2629331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关于变更保险合同时的通知义务的约定：</w:t>
      </w:r>
      <w:r>
        <w:rPr>
          <w:rFonts w:hint="default" w:ascii="Times New Roman" w:hAnsi="Times New Roman" w:eastAsia="宋体" w:cs="Times New Roman"/>
          <w:color w:val="auto"/>
          <w:sz w:val="24"/>
          <w:szCs w:val="24"/>
          <w:highlight w:val="none"/>
          <w:u w:val="single"/>
        </w:rPr>
        <w:t xml:space="preserve">按通用条款执行   </w:t>
      </w:r>
      <w:r>
        <w:rPr>
          <w:rFonts w:hint="default" w:ascii="Times New Roman" w:hAnsi="Times New Roman" w:eastAsia="宋体" w:cs="Times New Roman"/>
          <w:color w:val="auto"/>
          <w:sz w:val="24"/>
          <w:szCs w:val="24"/>
          <w:highlight w:val="none"/>
        </w:rPr>
        <w:t>。</w:t>
      </w:r>
    </w:p>
    <w:bookmarkEnd w:id="443"/>
    <w:bookmarkEnd w:id="444"/>
    <w:bookmarkEnd w:id="445"/>
    <w:bookmarkEnd w:id="446"/>
    <w:bookmarkEnd w:id="447"/>
    <w:bookmarkEnd w:id="448"/>
    <w:bookmarkEnd w:id="449"/>
    <w:bookmarkEnd w:id="450"/>
    <w:bookmarkEnd w:id="451"/>
    <w:bookmarkEnd w:id="452"/>
    <w:bookmarkEnd w:id="453"/>
    <w:bookmarkEnd w:id="454"/>
    <w:p w14:paraId="3FE48EBA">
      <w:pPr>
        <w:keepNext w:val="0"/>
        <w:keepLines w:val="0"/>
        <w:pageBreakBefore w:val="0"/>
        <w:shd w:val="clear" w:color="auto" w:fill="auto"/>
        <w:kinsoku/>
        <w:wordWrap/>
        <w:overflowPunct/>
        <w:topLinePunct w:val="0"/>
        <w:bidi w:val="0"/>
        <w:snapToGrid/>
        <w:spacing w:line="480" w:lineRule="exact"/>
        <w:textAlignment w:val="auto"/>
        <w:rPr>
          <w:rFonts w:hint="default" w:ascii="Times New Roman" w:hAnsi="Times New Roman" w:eastAsia="宋体" w:cs="Times New Roman"/>
          <w:b/>
          <w:color w:val="auto"/>
          <w:sz w:val="24"/>
          <w:szCs w:val="24"/>
          <w:highlight w:val="none"/>
        </w:rPr>
      </w:pPr>
      <w:bookmarkStart w:id="470" w:name="_Toc351203651"/>
      <w:r>
        <w:rPr>
          <w:rFonts w:hint="default" w:ascii="Times New Roman" w:hAnsi="Times New Roman" w:eastAsia="宋体" w:cs="Times New Roman"/>
          <w:b/>
          <w:color w:val="auto"/>
          <w:sz w:val="24"/>
          <w:szCs w:val="24"/>
          <w:highlight w:val="none"/>
        </w:rPr>
        <w:t>20. 争议解决</w:t>
      </w:r>
      <w:bookmarkEnd w:id="470"/>
    </w:p>
    <w:bookmarkEnd w:id="455"/>
    <w:bookmarkEnd w:id="456"/>
    <w:p w14:paraId="443B2025">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20.3 争</w:t>
      </w:r>
      <w:bookmarkEnd w:id="457"/>
      <w:r>
        <w:rPr>
          <w:rFonts w:hint="default" w:ascii="Times New Roman" w:hAnsi="Times New Roman" w:eastAsia="宋体" w:cs="Times New Roman"/>
          <w:color w:val="auto"/>
          <w:sz w:val="24"/>
          <w:szCs w:val="24"/>
          <w:highlight w:val="none"/>
        </w:rPr>
        <w:t>议评审</w:t>
      </w:r>
    </w:p>
    <w:p w14:paraId="550FD648">
      <w:pPr>
        <w:keepNext w:val="0"/>
        <w:keepLines w:val="0"/>
        <w:pageBreakBefore w:val="0"/>
        <w:shd w:val="clear" w:color="auto" w:fill="auto"/>
        <w:kinsoku/>
        <w:wordWrap/>
        <w:overflowPunct/>
        <w:topLinePunct w:val="0"/>
        <w:bidi w:val="0"/>
        <w:snapToGrid/>
        <w:spacing w:line="480" w:lineRule="exact"/>
        <w:ind w:left="149" w:leftChars="71" w:firstLine="360" w:firstLineChars="15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合同当事人是否同意将工程争议提交争议评审小组决定：</w:t>
      </w:r>
      <w:r>
        <w:rPr>
          <w:rFonts w:hint="default" w:ascii="Times New Roman" w:hAnsi="Times New Roman" w:eastAsia="宋体" w:cs="Times New Roman"/>
          <w:color w:val="auto"/>
          <w:sz w:val="24"/>
          <w:szCs w:val="24"/>
          <w:highlight w:val="none"/>
          <w:u w:val="single"/>
        </w:rPr>
        <w:t xml:space="preserve">否   </w:t>
      </w:r>
      <w:r>
        <w:rPr>
          <w:rFonts w:hint="default" w:ascii="Times New Roman" w:hAnsi="Times New Roman" w:eastAsia="宋体" w:cs="Times New Roman"/>
          <w:color w:val="auto"/>
          <w:sz w:val="24"/>
          <w:szCs w:val="24"/>
          <w:highlight w:val="none"/>
        </w:rPr>
        <w:t xml:space="preserve">。 </w:t>
      </w:r>
    </w:p>
    <w:p w14:paraId="03D41C2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20.3.1 争议评审小组的确定</w:t>
      </w:r>
    </w:p>
    <w:p w14:paraId="7CF028EE">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争议评审小组成员的确定：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40FA763D">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选定争议评审员的期限：</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62D7D70B">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争议评审小组成员的报酬承担方式：</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6B3D50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其他事项的约定：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066B4AA9">
      <w:pPr>
        <w:keepNext w:val="0"/>
        <w:keepLines w:val="0"/>
        <w:pageBreakBefore w:val="0"/>
        <w:shd w:val="clear" w:color="auto" w:fill="auto"/>
        <w:kinsoku/>
        <w:wordWrap/>
        <w:overflowPunct/>
        <w:topLinePunct w:val="0"/>
        <w:autoSpaceDE w:val="0"/>
        <w:autoSpaceDN w:val="0"/>
        <w:bidi w:val="0"/>
        <w:adjustRightInd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20.3.2 争议评审小组的决定</w:t>
      </w:r>
    </w:p>
    <w:p w14:paraId="66F9AAE0">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合同当事人关于本项的约定：</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566FA98A">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20.4仲裁或诉讼</w:t>
      </w:r>
      <w:bookmarkEnd w:id="458"/>
    </w:p>
    <w:p w14:paraId="064A073C">
      <w:pPr>
        <w:keepNext w:val="0"/>
        <w:keepLines w:val="0"/>
        <w:pageBreakBefore w:val="0"/>
        <w:shd w:val="clear" w:color="auto" w:fill="auto"/>
        <w:kinsoku/>
        <w:wordWrap/>
        <w:overflowPunct/>
        <w:topLinePunct w:val="0"/>
        <w:bidi w:val="0"/>
        <w:snapToGrid/>
        <w:spacing w:after="120"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因合同及合同有关事项发生的争议，按下列第</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pacing w:val="-6"/>
          <w:sz w:val="24"/>
          <w:szCs w:val="24"/>
          <w:highlight w:val="none"/>
          <w:u w:val="single"/>
        </w:rPr>
        <w:t>（2）</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种方式解决：</w:t>
      </w:r>
    </w:p>
    <w:p w14:paraId="2DDA433F">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（1）向</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仲裁委员会申请仲裁；</w:t>
      </w:r>
    </w:p>
    <w:p w14:paraId="251DF8D7">
      <w:pPr>
        <w:keepNext w:val="0"/>
        <w:keepLines w:val="0"/>
        <w:pageBreakBefore w:val="0"/>
        <w:shd w:val="clear" w:color="auto" w:fill="auto"/>
        <w:kinsoku/>
        <w:wordWrap/>
        <w:overflowPunct/>
        <w:topLinePunct w:val="0"/>
        <w:bidi w:val="0"/>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（2）向</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pacing w:val="-3"/>
          <w:sz w:val="24"/>
          <w:szCs w:val="24"/>
          <w:highlight w:val="none"/>
          <w:u w:val="single"/>
        </w:rPr>
        <w:t>建设工程所在地</w:t>
      </w:r>
      <w:r>
        <w:rPr>
          <w:rFonts w:hint="default" w:ascii="Times New Roman" w:hAnsi="Times New Roman" w:eastAsia="宋体" w:cs="Times New Roman"/>
          <w:color w:val="auto"/>
          <w:spacing w:val="5"/>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人民法院起诉。</w:t>
      </w:r>
      <w:bookmarkEnd w:id="459"/>
      <w:bookmarkEnd w:id="460"/>
      <w:bookmarkEnd w:id="461"/>
      <w:bookmarkEnd w:id="462"/>
      <w:bookmarkEnd w:id="463"/>
      <w:bookmarkEnd w:id="464"/>
    </w:p>
    <w:p w14:paraId="47A20E6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补充条款：建筑工人实名制管理条款</w:t>
      </w:r>
    </w:p>
    <w:p w14:paraId="2CCCB9C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sz w:val="24"/>
          <w:szCs w:val="24"/>
          <w:highlight w:val="none"/>
        </w:rPr>
        <w:t>施工总承包企业对所承包工程项目的实名制工作负总责，对所承包工程发生的农民</w:t>
      </w:r>
      <w:r>
        <w:rPr>
          <w:rFonts w:hint="default" w:ascii="Times New Roman" w:hAnsi="Times New Roman" w:eastAsia="宋体" w:cs="Times New Roman"/>
          <w:color w:val="auto"/>
          <w:sz w:val="24"/>
          <w:szCs w:val="24"/>
          <w:highlight w:val="none"/>
          <w:lang w:val="en-US" w:eastAsia="zh-CN"/>
        </w:rPr>
        <w:t>工</w:t>
      </w:r>
      <w:r>
        <w:rPr>
          <w:rFonts w:hint="default" w:ascii="Times New Roman" w:hAnsi="Times New Roman" w:eastAsia="宋体" w:cs="Times New Roman"/>
          <w:color w:val="auto"/>
          <w:sz w:val="24"/>
          <w:szCs w:val="24"/>
          <w:highlight w:val="none"/>
        </w:rPr>
        <w:t>工资承担全部支付责任。</w:t>
      </w:r>
    </w:p>
    <w:p w14:paraId="3CACFB4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sz w:val="24"/>
          <w:szCs w:val="24"/>
          <w:highlight w:val="none"/>
        </w:rPr>
        <w:t>施工企业之间依法分包工程应当签订分包合同，分包企业应当依法支付分包工程的农民工工资，不得以总承包企业拖欠分包工程款、分包劳务款为由拖欠农民工工资。分包企业未履行支付责任的，总承包企业对分包企业拖欠的农民工工资承担连带支付责任。</w:t>
      </w:r>
    </w:p>
    <w:p w14:paraId="333CDA4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3、施工企业必须严格执行《建筑工人实名制管理办法（试行）》，用工单位必须依法与招用的农民工签订劳动合同并严格履行。农民工作业人员出入施工区域必须进行登记，未经登记的不得出入施工现场。</w:t>
      </w:r>
    </w:p>
    <w:p w14:paraId="3FF28E4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sz w:val="24"/>
          <w:szCs w:val="24"/>
          <w:highlight w:val="none"/>
        </w:rPr>
        <w:t>施工企业不得以被建设单位拖欠工程款为由拖欠农民工工资。</w:t>
      </w:r>
    </w:p>
    <w:p w14:paraId="022177E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5、</w:t>
      </w:r>
      <w:r>
        <w:rPr>
          <w:rFonts w:hint="default" w:ascii="Times New Roman" w:hAnsi="Times New Roman" w:eastAsia="宋体" w:cs="Times New Roman"/>
          <w:color w:val="auto"/>
          <w:sz w:val="24"/>
          <w:szCs w:val="24"/>
          <w:highlight w:val="none"/>
        </w:rPr>
        <w:t>施工企业必须严格执行昌吉市建设工程质量安全服务中心《2019年打赢蓝天保卫战施工扬尘污染防治专项方案》</w:t>
      </w:r>
    </w:p>
    <w:p w14:paraId="7276ACC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附件</w:t>
      </w:r>
      <w:bookmarkEnd w:id="9"/>
    </w:p>
    <w:p w14:paraId="2A94086E">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协议书附件：</w:t>
      </w:r>
    </w:p>
    <w:p w14:paraId="42E5F3D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附件1：承包人承揽工程项目一览表</w:t>
      </w:r>
    </w:p>
    <w:p w14:paraId="32247215">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专用合同条款附件：</w:t>
      </w:r>
    </w:p>
    <w:p w14:paraId="1120590E">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附件2：发包人供应材料设备一览表</w:t>
      </w:r>
    </w:p>
    <w:p w14:paraId="6869A442">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附件3：工程质量保修书</w:t>
      </w:r>
    </w:p>
    <w:p w14:paraId="6EBBB19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附件4：主要建设工程文件目录</w:t>
      </w:r>
    </w:p>
    <w:p w14:paraId="21EC4685">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附件5：承包人用于本工程施工的机械设备表</w:t>
      </w:r>
    </w:p>
    <w:p w14:paraId="77F69E5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附件6：承包人主要施工管理人员表</w:t>
      </w:r>
    </w:p>
    <w:p w14:paraId="404DA9D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附件7：分包人主要施工管理人员表</w:t>
      </w:r>
    </w:p>
    <w:p w14:paraId="444F52B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附件8：履约担保格式</w:t>
      </w:r>
    </w:p>
    <w:p w14:paraId="7D10F3BB">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附件9：预付款担保格式</w:t>
      </w:r>
    </w:p>
    <w:p w14:paraId="70176002">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附件10：支付担保格式</w:t>
      </w:r>
    </w:p>
    <w:p w14:paraId="2C45B39E">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附件11：暂估价一览表</w:t>
      </w:r>
    </w:p>
    <w:p w14:paraId="644FCBC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附件12：廉政协议书</w:t>
      </w:r>
    </w:p>
    <w:p w14:paraId="583C1C7B">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附件13：工程项目扬尘污染防治承诺书 </w:t>
      </w:r>
    </w:p>
    <w:p w14:paraId="67135A4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附件14：建设项目材料设备技术标准要求</w:t>
      </w:r>
    </w:p>
    <w:p w14:paraId="637B0F82">
      <w:pPr>
        <w:shd w:val="clear" w:color="auto" w:fill="auto"/>
        <w:spacing w:line="360" w:lineRule="auto"/>
        <w:rPr>
          <w:rFonts w:hint="default" w:ascii="Times New Roman" w:hAnsi="Times New Roman" w:eastAsia="宋体" w:cs="Times New Roman"/>
          <w:color w:val="auto"/>
          <w:sz w:val="24"/>
          <w:szCs w:val="24"/>
          <w:highlight w:val="none"/>
        </w:rPr>
      </w:pPr>
    </w:p>
    <w:p w14:paraId="4C055657">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附件1：</w:t>
      </w:r>
    </w:p>
    <w:p w14:paraId="112049CC">
      <w:pPr>
        <w:shd w:val="clear" w:color="auto" w:fill="auto"/>
        <w:spacing w:before="193" w:beforeLines="50" w:after="193" w:afterLines="50" w:line="360" w:lineRule="auto"/>
        <w:ind w:firstLine="3648" w:firstLineChars="15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承包人承揽工程项目一览表</w:t>
      </w:r>
    </w:p>
    <w:tbl>
      <w:tblPr>
        <w:tblStyle w:val="2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7"/>
        <w:gridCol w:w="714"/>
        <w:gridCol w:w="1193"/>
        <w:gridCol w:w="714"/>
        <w:gridCol w:w="496"/>
        <w:gridCol w:w="714"/>
        <w:gridCol w:w="1180"/>
        <w:gridCol w:w="984"/>
        <w:gridCol w:w="714"/>
        <w:gridCol w:w="714"/>
      </w:tblGrid>
      <w:tr w14:paraId="5B421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555" w:type="pct"/>
            <w:noWrap w:val="0"/>
            <w:vAlign w:val="center"/>
          </w:tcPr>
          <w:p w14:paraId="5145E3B3">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单位工程名称</w:t>
            </w:r>
          </w:p>
        </w:tc>
        <w:tc>
          <w:tcPr>
            <w:tcW w:w="427" w:type="pct"/>
            <w:noWrap w:val="0"/>
            <w:vAlign w:val="center"/>
          </w:tcPr>
          <w:p w14:paraId="3ADCCEA5">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w:t>
            </w:r>
          </w:p>
          <w:p w14:paraId="7D95AE61">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规模</w:t>
            </w:r>
          </w:p>
        </w:tc>
        <w:tc>
          <w:tcPr>
            <w:tcW w:w="714" w:type="pct"/>
            <w:noWrap w:val="0"/>
            <w:vAlign w:val="center"/>
          </w:tcPr>
          <w:p w14:paraId="2084DE34">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建筑面积</w:t>
            </w:r>
          </w:p>
          <w:p w14:paraId="3455A96E">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平方米</w:t>
            </w:r>
            <w:r>
              <w:rPr>
                <w:rFonts w:hint="default" w:ascii="Times New Roman" w:hAnsi="Times New Roman" w:eastAsia="宋体" w:cs="Times New Roman"/>
                <w:color w:val="auto"/>
                <w:sz w:val="24"/>
                <w:szCs w:val="24"/>
                <w:highlight w:val="none"/>
                <w:lang w:eastAsia="zh-CN"/>
              </w:rPr>
              <w:t>）</w:t>
            </w:r>
          </w:p>
        </w:tc>
        <w:tc>
          <w:tcPr>
            <w:tcW w:w="427" w:type="pct"/>
            <w:noWrap w:val="0"/>
            <w:vAlign w:val="center"/>
          </w:tcPr>
          <w:p w14:paraId="53E17E4B">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结构</w:t>
            </w:r>
          </w:p>
          <w:p w14:paraId="32557AE0">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形式</w:t>
            </w:r>
          </w:p>
        </w:tc>
        <w:tc>
          <w:tcPr>
            <w:tcW w:w="297" w:type="pct"/>
            <w:noWrap w:val="0"/>
            <w:vAlign w:val="center"/>
          </w:tcPr>
          <w:p w14:paraId="14FF8793">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层数</w:t>
            </w:r>
          </w:p>
        </w:tc>
        <w:tc>
          <w:tcPr>
            <w:tcW w:w="427" w:type="pct"/>
            <w:noWrap w:val="0"/>
            <w:vAlign w:val="center"/>
          </w:tcPr>
          <w:p w14:paraId="7BAE739C">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生产</w:t>
            </w:r>
          </w:p>
          <w:p w14:paraId="0FD953A4">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能力</w:t>
            </w:r>
          </w:p>
        </w:tc>
        <w:tc>
          <w:tcPr>
            <w:tcW w:w="706" w:type="pct"/>
            <w:noWrap w:val="0"/>
            <w:vAlign w:val="center"/>
          </w:tcPr>
          <w:p w14:paraId="61A9ED66">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设备安装</w:t>
            </w:r>
          </w:p>
          <w:p w14:paraId="63E21682">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c>
          <w:tcPr>
            <w:tcW w:w="589" w:type="pct"/>
            <w:noWrap w:val="0"/>
            <w:vAlign w:val="center"/>
          </w:tcPr>
          <w:p w14:paraId="5D58094A">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合同价格（元）</w:t>
            </w:r>
          </w:p>
        </w:tc>
        <w:tc>
          <w:tcPr>
            <w:tcW w:w="427" w:type="pct"/>
            <w:noWrap w:val="0"/>
            <w:vAlign w:val="center"/>
          </w:tcPr>
          <w:p w14:paraId="5799250A">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开工</w:t>
            </w:r>
          </w:p>
          <w:p w14:paraId="5DF124F2">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w:t>
            </w:r>
          </w:p>
        </w:tc>
        <w:tc>
          <w:tcPr>
            <w:tcW w:w="427" w:type="pct"/>
            <w:noWrap w:val="0"/>
            <w:vAlign w:val="center"/>
          </w:tcPr>
          <w:p w14:paraId="050AA7BB">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竣工</w:t>
            </w:r>
          </w:p>
          <w:p w14:paraId="2D00510F">
            <w:pPr>
              <w:pStyle w:val="5"/>
              <w:keepNext/>
              <w:shd w:val="clear" w:color="auto" w:fill="auto"/>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w:t>
            </w:r>
          </w:p>
        </w:tc>
      </w:tr>
      <w:tr w14:paraId="416DA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772895D5">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4C07A0B6">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71713700">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2E99CC7D">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2E748011">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7BB974EA">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5FFB4497">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45E9EE31">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42E99ABA">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0DEE5668">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6DD52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54" w:hRule="atLeast"/>
          <w:jc w:val="center"/>
        </w:trPr>
        <w:tc>
          <w:tcPr>
            <w:tcW w:w="555" w:type="pct"/>
            <w:noWrap w:val="0"/>
            <w:vAlign w:val="center"/>
          </w:tcPr>
          <w:p w14:paraId="6D8F70CC">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20454C60">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4DDE8E81">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6E7CEE93">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42399391">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7BC288CA">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56E46729">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736EEB0C">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5ABDEBB0">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98982F3">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4A498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4C58FCEB">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C31573A">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1A02A57B">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2C4219E1">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18109DED">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021C0146">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77460C5F">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2A892489">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3D51BFC">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2C8CDF76">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297F5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11F75B15">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66FFB21">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27C4086F">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A2D0F58">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4699D673">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32DEDA2">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167169C0">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444E8C63">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46D9F8EE">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7A1A85D8">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77F35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6CDB2C6C">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4D9163A6">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2C9DA380">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A7FAAC8">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356E9F8F">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E5A6A4E">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183A8C9C">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70ADCCE4">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6E397DA1">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E96880C">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7B43D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68238A55">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255628D6">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5B3DA177">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45B7A7C">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61D8E7FB">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3B37CA19">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6B1C3ADA">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18E0F979">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408EDBF6">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7BD20B61">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r>
      <w:tr w14:paraId="1F058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555" w:type="pct"/>
            <w:noWrap w:val="0"/>
            <w:vAlign w:val="center"/>
          </w:tcPr>
          <w:p w14:paraId="37C305A6">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66DE2DE1">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14" w:type="pct"/>
            <w:noWrap w:val="0"/>
            <w:vAlign w:val="center"/>
          </w:tcPr>
          <w:p w14:paraId="29BD5940">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7DD75A7E">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297" w:type="pct"/>
            <w:noWrap w:val="0"/>
            <w:vAlign w:val="center"/>
          </w:tcPr>
          <w:p w14:paraId="0FF84D21">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B97817C">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706" w:type="pct"/>
            <w:noWrap w:val="0"/>
            <w:vAlign w:val="center"/>
          </w:tcPr>
          <w:p w14:paraId="0CF50FE7">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589" w:type="pct"/>
            <w:noWrap w:val="0"/>
            <w:vAlign w:val="center"/>
          </w:tcPr>
          <w:p w14:paraId="3DECB0AD">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1400EB5E">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c>
          <w:tcPr>
            <w:tcW w:w="427" w:type="pct"/>
            <w:noWrap w:val="0"/>
            <w:vAlign w:val="center"/>
          </w:tcPr>
          <w:p w14:paraId="4C0A04FC">
            <w:pPr>
              <w:pStyle w:val="5"/>
              <w:keepNext/>
              <w:shd w:val="clear" w:color="auto" w:fill="auto"/>
              <w:adjustRightInd w:val="0"/>
              <w:snapToGrid w:val="0"/>
              <w:rPr>
                <w:rFonts w:hint="default" w:ascii="Times New Roman" w:hAnsi="Times New Roman" w:eastAsia="宋体" w:cs="Times New Roman"/>
                <w:color w:val="auto"/>
                <w:sz w:val="24"/>
                <w:szCs w:val="24"/>
                <w:highlight w:val="none"/>
              </w:rPr>
            </w:pPr>
          </w:p>
        </w:tc>
      </w:tr>
    </w:tbl>
    <w:p w14:paraId="3D934522">
      <w:pPr>
        <w:shd w:val="clear" w:color="auto" w:fill="auto"/>
        <w:spacing w:before="193" w:beforeLines="50" w:after="193" w:afterLines="5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471" w:name="_Toc296346726"/>
      <w:bookmarkStart w:id="472" w:name="_Toc296944564"/>
      <w:bookmarkStart w:id="473" w:name="_Toc296891265"/>
      <w:bookmarkStart w:id="474" w:name="_Toc267261692"/>
      <w:bookmarkStart w:id="475" w:name="_Toc296891053"/>
      <w:bookmarkStart w:id="476" w:name="_Toc296503225"/>
      <w:bookmarkStart w:id="477" w:name="_Toc296347224"/>
      <w:r>
        <w:rPr>
          <w:rFonts w:hint="default" w:ascii="Times New Roman" w:hAnsi="Times New Roman" w:eastAsia="宋体" w:cs="Times New Roman"/>
          <w:color w:val="auto"/>
          <w:sz w:val="24"/>
          <w:szCs w:val="24"/>
          <w:highlight w:val="none"/>
        </w:rPr>
        <w:t>件2：</w:t>
      </w:r>
    </w:p>
    <w:bookmarkEnd w:id="471"/>
    <w:bookmarkEnd w:id="472"/>
    <w:bookmarkEnd w:id="473"/>
    <w:bookmarkEnd w:id="474"/>
    <w:bookmarkEnd w:id="475"/>
    <w:bookmarkEnd w:id="476"/>
    <w:bookmarkEnd w:id="477"/>
    <w:p w14:paraId="0FBB31BB">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发包人供应材料设备一览表</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7"/>
        <w:gridCol w:w="1138"/>
        <w:gridCol w:w="1058"/>
        <w:gridCol w:w="709"/>
        <w:gridCol w:w="708"/>
        <w:gridCol w:w="848"/>
        <w:gridCol w:w="764"/>
        <w:gridCol w:w="798"/>
        <w:gridCol w:w="1134"/>
        <w:gridCol w:w="779"/>
      </w:tblGrid>
      <w:tr w14:paraId="6E97B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427" w:type="dxa"/>
            <w:noWrap w:val="0"/>
            <w:vAlign w:val="center"/>
          </w:tcPr>
          <w:p w14:paraId="50022563">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138" w:type="dxa"/>
            <w:noWrap w:val="0"/>
            <w:vAlign w:val="center"/>
          </w:tcPr>
          <w:p w14:paraId="7C64F428">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材料</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设备品种</w:t>
            </w:r>
          </w:p>
        </w:tc>
        <w:tc>
          <w:tcPr>
            <w:tcW w:w="1058" w:type="dxa"/>
            <w:noWrap w:val="0"/>
            <w:vAlign w:val="center"/>
          </w:tcPr>
          <w:p w14:paraId="27159ACB">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规格</w:t>
            </w:r>
          </w:p>
          <w:p w14:paraId="4073F5D8">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型号</w:t>
            </w:r>
          </w:p>
        </w:tc>
        <w:tc>
          <w:tcPr>
            <w:tcW w:w="709" w:type="dxa"/>
            <w:noWrap w:val="0"/>
            <w:vAlign w:val="center"/>
          </w:tcPr>
          <w:p w14:paraId="2779AAA3">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w:t>
            </w:r>
          </w:p>
        </w:tc>
        <w:tc>
          <w:tcPr>
            <w:tcW w:w="708" w:type="dxa"/>
            <w:noWrap w:val="0"/>
            <w:vAlign w:val="center"/>
          </w:tcPr>
          <w:p w14:paraId="39BDD539">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848" w:type="dxa"/>
            <w:noWrap w:val="0"/>
            <w:vAlign w:val="center"/>
          </w:tcPr>
          <w:p w14:paraId="48771632">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单价（元）</w:t>
            </w:r>
          </w:p>
        </w:tc>
        <w:tc>
          <w:tcPr>
            <w:tcW w:w="764" w:type="dxa"/>
            <w:noWrap w:val="0"/>
            <w:vAlign w:val="center"/>
          </w:tcPr>
          <w:p w14:paraId="73DE591E">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质量等级</w:t>
            </w:r>
          </w:p>
        </w:tc>
        <w:tc>
          <w:tcPr>
            <w:tcW w:w="798" w:type="dxa"/>
            <w:noWrap w:val="0"/>
            <w:vAlign w:val="center"/>
          </w:tcPr>
          <w:p w14:paraId="78380781">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供应时间</w:t>
            </w:r>
          </w:p>
        </w:tc>
        <w:tc>
          <w:tcPr>
            <w:tcW w:w="1134" w:type="dxa"/>
            <w:noWrap w:val="0"/>
            <w:vAlign w:val="center"/>
          </w:tcPr>
          <w:p w14:paraId="390BA5E4">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送达</w:t>
            </w:r>
          </w:p>
          <w:p w14:paraId="4A3AAE69">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地点</w:t>
            </w:r>
          </w:p>
        </w:tc>
        <w:tc>
          <w:tcPr>
            <w:tcW w:w="779" w:type="dxa"/>
            <w:noWrap w:val="0"/>
            <w:vAlign w:val="center"/>
          </w:tcPr>
          <w:p w14:paraId="15E263FB">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r>
      <w:tr w14:paraId="27B5B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0003583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56D1908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4857E73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09C06B8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33AD855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2E0F4E9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2F7A6D6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6B959B5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2C00B6F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4E918EB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A825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637E58A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057B2DD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4EC00D6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07681E5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67A7F6F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2DFE3C1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1E4F425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2373769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61C1DB6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4D776D9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1BC5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65E5B38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6601F7C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13E1357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2B7AC46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2F60342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02071A4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3749BC6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2A7AC37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581D2DF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0DC2350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7EF6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4DA035D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283497A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47BAE27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0FDAEFD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2A782B3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0422E49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158D253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616A507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3AD43A8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13849D5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FFCA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5AA145D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1CACF35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065AAD2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005C28E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00F8FF9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02DCEBB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2CDCB21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47C6347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684663B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726C274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1259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282FB56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2555EAB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4DA0FAE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0B056B5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5D648F9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1A0AE49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5666B2B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2E09B52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67C6478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2DDB003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EC5B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174831E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8" w:type="dxa"/>
            <w:noWrap w:val="0"/>
            <w:vAlign w:val="center"/>
          </w:tcPr>
          <w:p w14:paraId="062CE1B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58" w:type="dxa"/>
            <w:noWrap w:val="0"/>
            <w:vAlign w:val="center"/>
          </w:tcPr>
          <w:p w14:paraId="1210DAF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6B98319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6218AD2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48" w:type="dxa"/>
            <w:noWrap w:val="0"/>
            <w:vAlign w:val="center"/>
          </w:tcPr>
          <w:p w14:paraId="73E773B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64" w:type="dxa"/>
            <w:noWrap w:val="0"/>
            <w:vAlign w:val="center"/>
          </w:tcPr>
          <w:p w14:paraId="6D90E23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98" w:type="dxa"/>
            <w:noWrap w:val="0"/>
            <w:vAlign w:val="center"/>
          </w:tcPr>
          <w:p w14:paraId="25942C7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4" w:type="dxa"/>
            <w:noWrap w:val="0"/>
            <w:vAlign w:val="center"/>
          </w:tcPr>
          <w:p w14:paraId="2DE5979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79" w:type="dxa"/>
            <w:noWrap w:val="0"/>
            <w:vAlign w:val="center"/>
          </w:tcPr>
          <w:p w14:paraId="439D3A6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CA95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1396A9A0">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1E559F64">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320277F3">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7A6793C2">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5A416EE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0409ED2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2C2CD1C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17F340DD">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4284D01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39041F2F">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3AFE7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7C4F372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70CBD171">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22FDC500">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66B7356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202D490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3BA154B0">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57FFD9F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0A7F553D">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0077795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69309435">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69F00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426CC7E3">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4B73F81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0469E4F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56FE0C1E">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5872CD8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07E168E4">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4CFEC2F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10369B0D">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51CD1B2D">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163EACC9">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44D55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00853BBD">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7D74FBD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2A79F4F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5D0C29B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06D91324">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47877AC3">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4E2E20AD">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14DD980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5D4B3B4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37CF5CEA">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09CE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557544B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52A9605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43853D2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5D1FDDA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1975655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23A28712">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3E98A859">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7FEDE677">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1F1FE9C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0A20A760">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30AA1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2F1ED196">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0266E2DB">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6C8B6593">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223E030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5E439CF1">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36C7BE9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12B83CC2">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1D68104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1054E850">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39B9BBE1">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49B5F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7" w:type="dxa"/>
            <w:noWrap w:val="0"/>
            <w:vAlign w:val="center"/>
          </w:tcPr>
          <w:p w14:paraId="0178D330">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1E48869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40C5C106">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5C008C70">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1F01708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4D5D91E6">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106D382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35FE8339">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60A788A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60751CE3">
            <w:pPr>
              <w:shd w:val="clear" w:color="auto" w:fill="auto"/>
              <w:spacing w:line="360" w:lineRule="auto"/>
              <w:jc w:val="center"/>
              <w:rPr>
                <w:rFonts w:hint="default" w:ascii="Times New Roman" w:hAnsi="Times New Roman" w:eastAsia="宋体" w:cs="Times New Roman"/>
                <w:color w:val="auto"/>
                <w:sz w:val="24"/>
                <w:szCs w:val="24"/>
                <w:highlight w:val="none"/>
              </w:rPr>
            </w:pPr>
          </w:p>
        </w:tc>
      </w:tr>
      <w:tr w14:paraId="7C10D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427" w:type="dxa"/>
            <w:noWrap w:val="0"/>
            <w:vAlign w:val="center"/>
          </w:tcPr>
          <w:p w14:paraId="4C639B8F">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8" w:type="dxa"/>
            <w:noWrap w:val="0"/>
            <w:vAlign w:val="center"/>
          </w:tcPr>
          <w:p w14:paraId="7BC70B28">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058" w:type="dxa"/>
            <w:noWrap w:val="0"/>
            <w:vAlign w:val="center"/>
          </w:tcPr>
          <w:p w14:paraId="1F0E832A">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9" w:type="dxa"/>
            <w:noWrap w:val="0"/>
            <w:vAlign w:val="center"/>
          </w:tcPr>
          <w:p w14:paraId="5FA7C3E6">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08" w:type="dxa"/>
            <w:noWrap w:val="0"/>
            <w:vAlign w:val="center"/>
          </w:tcPr>
          <w:p w14:paraId="2D1A18CC">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848" w:type="dxa"/>
            <w:noWrap w:val="0"/>
            <w:vAlign w:val="center"/>
          </w:tcPr>
          <w:p w14:paraId="745F601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64" w:type="dxa"/>
            <w:noWrap w:val="0"/>
            <w:vAlign w:val="center"/>
          </w:tcPr>
          <w:p w14:paraId="0E90E959">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98" w:type="dxa"/>
            <w:noWrap w:val="0"/>
            <w:vAlign w:val="center"/>
          </w:tcPr>
          <w:p w14:paraId="2A4A57A8">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1134" w:type="dxa"/>
            <w:noWrap w:val="0"/>
            <w:vAlign w:val="center"/>
          </w:tcPr>
          <w:p w14:paraId="5F1EB0A5">
            <w:pPr>
              <w:shd w:val="clear" w:color="auto" w:fill="auto"/>
              <w:spacing w:line="360" w:lineRule="auto"/>
              <w:jc w:val="center"/>
              <w:rPr>
                <w:rFonts w:hint="default" w:ascii="Times New Roman" w:hAnsi="Times New Roman" w:eastAsia="宋体" w:cs="Times New Roman"/>
                <w:color w:val="auto"/>
                <w:sz w:val="24"/>
                <w:szCs w:val="24"/>
                <w:highlight w:val="none"/>
              </w:rPr>
            </w:pPr>
          </w:p>
        </w:tc>
        <w:tc>
          <w:tcPr>
            <w:tcW w:w="779" w:type="dxa"/>
            <w:noWrap w:val="0"/>
            <w:vAlign w:val="center"/>
          </w:tcPr>
          <w:p w14:paraId="11C86F14">
            <w:pPr>
              <w:shd w:val="clear" w:color="auto" w:fill="auto"/>
              <w:spacing w:line="360" w:lineRule="auto"/>
              <w:jc w:val="center"/>
              <w:rPr>
                <w:rFonts w:hint="default" w:ascii="Times New Roman" w:hAnsi="Times New Roman" w:eastAsia="宋体" w:cs="Times New Roman"/>
                <w:color w:val="auto"/>
                <w:sz w:val="24"/>
                <w:szCs w:val="24"/>
                <w:highlight w:val="none"/>
              </w:rPr>
            </w:pPr>
          </w:p>
        </w:tc>
      </w:tr>
    </w:tbl>
    <w:p w14:paraId="1E49D804">
      <w:pPr>
        <w:shd w:val="clear" w:color="auto" w:fill="auto"/>
        <w:spacing w:line="360" w:lineRule="auto"/>
        <w:rPr>
          <w:rFonts w:hint="default" w:ascii="Times New Roman" w:hAnsi="Times New Roman" w:eastAsia="宋体" w:cs="Times New Roman"/>
          <w:color w:val="auto"/>
          <w:sz w:val="24"/>
          <w:szCs w:val="24"/>
          <w:highlight w:val="none"/>
        </w:rPr>
      </w:pPr>
    </w:p>
    <w:p w14:paraId="0AE92817">
      <w:pPr>
        <w:shd w:val="clear" w:color="auto" w:fill="auto"/>
        <w:spacing w:line="360" w:lineRule="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b w:val="0"/>
          <w:bCs w:val="0"/>
          <w:color w:val="auto"/>
          <w:sz w:val="24"/>
          <w:szCs w:val="24"/>
          <w:highlight w:val="none"/>
        </w:rPr>
        <w:t>附</w:t>
      </w:r>
      <w:bookmarkStart w:id="478" w:name="_Toc296503226"/>
      <w:bookmarkStart w:id="479" w:name="_Toc267261693"/>
      <w:bookmarkStart w:id="480" w:name="_Toc296891266"/>
      <w:bookmarkStart w:id="481" w:name="_Toc296346727"/>
      <w:bookmarkStart w:id="482" w:name="_Toc296944565"/>
      <w:bookmarkStart w:id="483" w:name="_Toc296347225"/>
      <w:bookmarkStart w:id="484" w:name="_Toc296891054"/>
      <w:r>
        <w:rPr>
          <w:rFonts w:hint="default" w:ascii="Times New Roman" w:hAnsi="Times New Roman" w:eastAsia="宋体" w:cs="Times New Roman"/>
          <w:b w:val="0"/>
          <w:bCs w:val="0"/>
          <w:color w:val="auto"/>
          <w:sz w:val="24"/>
          <w:szCs w:val="24"/>
          <w:highlight w:val="none"/>
        </w:rPr>
        <w:t>件3：</w:t>
      </w:r>
      <w:bookmarkEnd w:id="478"/>
      <w:bookmarkEnd w:id="479"/>
      <w:bookmarkEnd w:id="480"/>
      <w:bookmarkEnd w:id="481"/>
      <w:bookmarkEnd w:id="482"/>
      <w:bookmarkEnd w:id="483"/>
      <w:bookmarkEnd w:id="484"/>
      <w:r>
        <w:rPr>
          <w:rFonts w:hint="default" w:ascii="Times New Roman" w:hAnsi="Times New Roman" w:eastAsia="宋体" w:cs="Times New Roman"/>
          <w:b w:val="0"/>
          <w:bCs w:val="0"/>
          <w:color w:val="auto"/>
          <w:sz w:val="24"/>
          <w:szCs w:val="24"/>
          <w:highlight w:val="none"/>
        </w:rPr>
        <w:t xml:space="preserve">    </w:t>
      </w:r>
    </w:p>
    <w:p w14:paraId="4C0D37F9">
      <w:pPr>
        <w:shd w:val="clear" w:color="auto" w:fill="auto"/>
        <w:spacing w:before="193" w:beforeLines="50" w:after="193" w:afterLines="50" w:line="360" w:lineRule="auto"/>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工程质量保修书</w:t>
      </w:r>
    </w:p>
    <w:p w14:paraId="3A54E699">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发包人（全称）：</w:t>
      </w:r>
      <w:r>
        <w:rPr>
          <w:rFonts w:hint="default" w:ascii="Times New Roman" w:hAnsi="Times New Roman" w:eastAsia="宋体" w:cs="Times New Roman"/>
          <w:b w:val="0"/>
          <w:bCs w:val="0"/>
          <w:color w:val="auto"/>
          <w:sz w:val="24"/>
          <w:szCs w:val="24"/>
          <w:highlight w:val="none"/>
          <w:u w:val="single"/>
          <w:lang w:val="en-US" w:eastAsia="zh-CN"/>
        </w:rPr>
        <w:t xml:space="preserve">新疆农业职业技术大学 </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 xml:space="preserve">    </w:t>
      </w:r>
    </w:p>
    <w:p w14:paraId="2F32422D">
      <w:pPr>
        <w:shd w:val="clear" w:color="auto" w:fill="auto"/>
        <w:spacing w:line="48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承包人（全称）：</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 xml:space="preserve">       </w:t>
      </w:r>
    </w:p>
    <w:p w14:paraId="6030C794">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发包人和承包人根据《中华人民共和国建筑法》和《建设工程质量管理条例》，经协商一致就</w:t>
      </w:r>
      <w:r>
        <w:rPr>
          <w:rFonts w:hint="eastAsia" w:ascii="Times New Roman" w:hAnsi="Times New Roman" w:eastAsia="宋体" w:cs="Times New Roman"/>
          <w:color w:val="auto"/>
          <w:kern w:val="0"/>
          <w:sz w:val="24"/>
          <w:szCs w:val="24"/>
          <w:highlight w:val="none"/>
          <w:u w:val="single"/>
          <w:lang w:val="en-US" w:eastAsia="zh-CN"/>
        </w:rPr>
        <w:t>新疆农业职业技术大学校史馆建设项目</w:t>
      </w:r>
      <w:r>
        <w:rPr>
          <w:rFonts w:hint="default" w:ascii="Times New Roman" w:hAnsi="Times New Roman" w:eastAsia="宋体" w:cs="Times New Roman"/>
          <w:color w:val="auto"/>
          <w:sz w:val="24"/>
          <w:szCs w:val="24"/>
          <w:highlight w:val="none"/>
        </w:rPr>
        <w:t>（工程全称）签订工程质量保修书。</w:t>
      </w:r>
    </w:p>
    <w:p w14:paraId="369556AB">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一、工程质量保修范围和内容</w:t>
      </w:r>
    </w:p>
    <w:p w14:paraId="10419CB1">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承包人在质量保修期内，按照有关法律规定和合同约定，承担工程质量保修责任。</w:t>
      </w:r>
    </w:p>
    <w:p w14:paraId="27FE865D">
      <w:pPr>
        <w:shd w:val="clear" w:color="auto" w:fill="auto"/>
        <w:spacing w:line="480" w:lineRule="exac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lang w:val="en-US"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7C2AD2E">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　　</w:t>
      </w:r>
      <w:r>
        <w:rPr>
          <w:rFonts w:hint="default" w:ascii="Times New Roman" w:hAnsi="Times New Roman" w:eastAsia="宋体" w:cs="Times New Roman"/>
          <w:color w:val="auto"/>
          <w:sz w:val="24"/>
          <w:szCs w:val="24"/>
          <w:highlight w:val="none"/>
        </w:rPr>
        <w:t>二、质量保修期</w:t>
      </w:r>
    </w:p>
    <w:p w14:paraId="5FDA5973">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根据《建设工程质量管理条例》及有关规定，工程的质量保修期如下：</w:t>
      </w:r>
    </w:p>
    <w:p w14:paraId="22306FCB">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1．地基基础工程和主体结构工程为设计文件规定的工程合理使用年限；</w:t>
      </w:r>
    </w:p>
    <w:p w14:paraId="21D43171">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2．屋面防水工程、有防水要求的卫生间、房间和外墙面的防渗为</w:t>
      </w:r>
      <w:r>
        <w:rPr>
          <w:rFonts w:hint="default" w:ascii="Times New Roman" w:hAnsi="Times New Roman" w:eastAsia="宋体" w:cs="Times New Roman"/>
          <w:color w:val="auto"/>
          <w:sz w:val="24"/>
          <w:szCs w:val="24"/>
          <w:highlight w:val="none"/>
          <w:u w:val="single"/>
        </w:rPr>
        <w:t xml:space="preserve">  5   </w:t>
      </w:r>
      <w:r>
        <w:rPr>
          <w:rFonts w:hint="default" w:ascii="Times New Roman" w:hAnsi="Times New Roman" w:eastAsia="宋体" w:cs="Times New Roman"/>
          <w:color w:val="auto"/>
          <w:sz w:val="24"/>
          <w:szCs w:val="24"/>
          <w:highlight w:val="none"/>
        </w:rPr>
        <w:t>年；</w:t>
      </w:r>
    </w:p>
    <w:p w14:paraId="11DACEB3">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3．装修工程为</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年；</w:t>
      </w:r>
    </w:p>
    <w:p w14:paraId="0F88F291">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4．电气管线、给排水管道、设备安装工程为</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年；</w:t>
      </w:r>
    </w:p>
    <w:p w14:paraId="04C15BDF">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5．供热与供冷系统为</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个采暖期、供冷期；</w:t>
      </w:r>
    </w:p>
    <w:p w14:paraId="1937009E">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6．住宅小区内的给排水设施、道路等配套工程为</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年；</w:t>
      </w:r>
    </w:p>
    <w:p w14:paraId="551ECCC8">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7．其他项目保修期限约定如下：</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493302A0">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质量保修期自工程竣工验收合格之日起计算。</w:t>
      </w:r>
    </w:p>
    <w:p w14:paraId="4408DA9A">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三、缺陷责任期</w:t>
      </w:r>
    </w:p>
    <w:p w14:paraId="2278F3CC">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工程缺陷责任期为</w:t>
      </w:r>
      <w:r>
        <w:rPr>
          <w:rFonts w:hint="default" w:ascii="Times New Roman" w:hAnsi="Times New Roman" w:eastAsia="宋体" w:cs="Times New Roman"/>
          <w:color w:val="auto"/>
          <w:sz w:val="24"/>
          <w:szCs w:val="24"/>
          <w:highlight w:val="none"/>
          <w:u w:val="single"/>
        </w:rPr>
        <w:t xml:space="preserve">   24   </w:t>
      </w:r>
      <w:r>
        <w:rPr>
          <w:rFonts w:hint="default" w:ascii="Times New Roman" w:hAnsi="Times New Roman" w:eastAsia="宋体" w:cs="Times New Roman"/>
          <w:color w:val="auto"/>
          <w:sz w:val="24"/>
          <w:szCs w:val="24"/>
          <w:highlight w:val="none"/>
        </w:rPr>
        <w:t>个月，缺陷责任期自工程竣工验收合格之日起计算。单位工程先于全部工程进行验收，单位工程缺陷责任期自单位工程验收合格之日起算。</w:t>
      </w:r>
    </w:p>
    <w:p w14:paraId="184EB26F">
      <w:pPr>
        <w:shd w:val="clear" w:color="auto" w:fill="auto"/>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缺陷责任期终止后，发包人应无息退还剩余的质量保证金。</w:t>
      </w:r>
    </w:p>
    <w:p w14:paraId="68C3CE08">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四、质量保修责任</w:t>
      </w:r>
    </w:p>
    <w:p w14:paraId="2009BA1F">
      <w:pPr>
        <w:shd w:val="clear" w:color="auto" w:fill="auto"/>
        <w:spacing w:line="480" w:lineRule="exact"/>
        <w:ind w:left="420" w:leftChars="200" w:firstLine="120" w:firstLineChars="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1．属于保修范围、内容的项目，承包人应当在接到保修通知之日起7天内派人保修。承包人不在约定期限内派人保修的，发包人可以委托他人修理，发包人委托他人修理的费用由承包人承担。</w:t>
      </w:r>
    </w:p>
    <w:p w14:paraId="573427C0">
      <w:pPr>
        <w:shd w:val="clear" w:color="auto" w:fill="auto"/>
        <w:spacing w:line="480" w:lineRule="exact"/>
        <w:ind w:left="420" w:leftChars="200" w:firstLine="120" w:firstLineChars="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2．发生紧急事故需抢修的，承包人在接到事故通知后，应当立即到达事故现场抢修，未及时抢修造成的损失由承包人承担。</w:t>
      </w:r>
    </w:p>
    <w:p w14:paraId="7AAA6214">
      <w:pPr>
        <w:shd w:val="clear" w:color="auto" w:fill="auto"/>
        <w:spacing w:line="480" w:lineRule="exact"/>
        <w:ind w:left="420" w:leftChars="200" w:firstLine="120" w:firstLineChars="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3A9AB03">
      <w:pPr>
        <w:shd w:val="clear" w:color="auto" w:fill="auto"/>
        <w:spacing w:line="480" w:lineRule="exact"/>
        <w:ind w:left="420" w:leftChars="200" w:firstLine="120" w:firstLineChars="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4．质量保修完成后，由发包人组织验收。</w:t>
      </w:r>
    </w:p>
    <w:p w14:paraId="0B5D75DA">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五、保修费用</w:t>
      </w:r>
    </w:p>
    <w:p w14:paraId="765F2AC1">
      <w:pPr>
        <w:shd w:val="clear" w:color="auto" w:fill="auto"/>
        <w:spacing w:line="48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保修费用由造成质量缺陷的责任方承担。</w:t>
      </w:r>
    </w:p>
    <w:p w14:paraId="136261D7">
      <w:pPr>
        <w:shd w:val="clear" w:color="auto" w:fill="auto"/>
        <w:spacing w:line="480" w:lineRule="exact"/>
        <w:ind w:firstLine="42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bCs/>
          <w:color w:val="auto"/>
          <w:sz w:val="24"/>
          <w:szCs w:val="24"/>
          <w:highlight w:val="none"/>
        </w:rPr>
        <w:t>六、</w:t>
      </w:r>
      <w:r>
        <w:rPr>
          <w:rFonts w:hint="default" w:ascii="Times New Roman" w:hAnsi="Times New Roman" w:eastAsia="宋体" w:cs="Times New Roman"/>
          <w:color w:val="auto"/>
          <w:sz w:val="24"/>
          <w:szCs w:val="24"/>
          <w:highlight w:val="none"/>
        </w:rPr>
        <w:t>双方约定的其他工程质量保修事项：</w:t>
      </w:r>
      <w:r>
        <w:rPr>
          <w:rFonts w:hint="default" w:ascii="Times New Roman" w:hAnsi="Times New Roman" w:eastAsia="宋体" w:cs="Times New Roman"/>
          <w:color w:val="auto"/>
          <w:sz w:val="24"/>
          <w:szCs w:val="24"/>
          <w:highlight w:val="none"/>
          <w:u w:val="single"/>
        </w:rPr>
        <w:t xml:space="preserve">              /               </w:t>
      </w:r>
      <w:r>
        <w:rPr>
          <w:rFonts w:hint="default" w:ascii="Times New Roman" w:hAnsi="Times New Roman" w:eastAsia="宋体" w:cs="Times New Roman"/>
          <w:color w:val="auto"/>
          <w:sz w:val="24"/>
          <w:szCs w:val="24"/>
          <w:highlight w:val="none"/>
        </w:rPr>
        <w:t>。</w:t>
      </w:r>
    </w:p>
    <w:p w14:paraId="4A411D0C">
      <w:pPr>
        <w:shd w:val="clear" w:color="auto" w:fill="auto"/>
        <w:spacing w:line="480" w:lineRule="exact"/>
        <w:ind w:firstLine="456" w:firstLineChars="19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工程质量保修书由发包人、承包人在工程竣工验收前共同签署，作为施工合同附件，其有效期限至保修期满。</w:t>
      </w:r>
    </w:p>
    <w:p w14:paraId="0932FDB4">
      <w:pPr>
        <w:pStyle w:val="9"/>
        <w:shd w:val="clear" w:color="auto" w:fill="auto"/>
        <w:ind w:left="960"/>
        <w:rPr>
          <w:rFonts w:hint="default" w:ascii="Times New Roman" w:hAnsi="Times New Roman" w:eastAsia="宋体" w:cs="Times New Roman"/>
          <w:color w:val="auto"/>
          <w:sz w:val="24"/>
          <w:szCs w:val="24"/>
          <w:highlight w:val="none"/>
        </w:rPr>
      </w:pPr>
    </w:p>
    <w:p w14:paraId="09CCC46B">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发包人：                                 承包人（盖章）： </w:t>
      </w:r>
    </w:p>
    <w:p w14:paraId="72F61BDE">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法定代表人签字（盖章）：                 法定代表人签字（盖章）：</w:t>
      </w:r>
    </w:p>
    <w:p w14:paraId="5F5DD12C">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委托代理人签字：                         委托代理人签字：</w:t>
      </w:r>
    </w:p>
    <w:p w14:paraId="1B2A2A35">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                                   电话：</w:t>
      </w:r>
    </w:p>
    <w:p w14:paraId="61A978D1">
      <w:pPr>
        <w:widowControl/>
        <w:shd w:val="clear" w:color="auto" w:fill="auto"/>
        <w:spacing w:line="500" w:lineRule="exact"/>
        <w:ind w:left="6905" w:leftChars="88" w:hanging="6720" w:hangingChars="2800"/>
        <w:rPr>
          <w:rFonts w:hint="default" w:ascii="Times New Roman" w:hAnsi="Times New Roman" w:eastAsia="宋体" w:cs="Times New Roman"/>
          <w:bCs/>
          <w:color w:val="auto"/>
          <w:spacing w:val="-14"/>
          <w:kern w:val="0"/>
          <w:sz w:val="24"/>
          <w:szCs w:val="24"/>
          <w:highlight w:val="none"/>
        </w:rPr>
      </w:pPr>
      <w:r>
        <w:rPr>
          <w:rFonts w:hint="default" w:ascii="Times New Roman" w:hAnsi="Times New Roman" w:eastAsia="宋体" w:cs="Times New Roman"/>
          <w:color w:val="auto"/>
          <w:kern w:val="0"/>
          <w:sz w:val="24"/>
          <w:szCs w:val="24"/>
          <w:highlight w:val="none"/>
        </w:rPr>
        <w:t>单位地址：                               单位地址：</w:t>
      </w:r>
      <w:r>
        <w:rPr>
          <w:rFonts w:hint="default" w:ascii="Times New Roman" w:hAnsi="Times New Roman" w:eastAsia="宋体" w:cs="Times New Roman"/>
          <w:bCs/>
          <w:color w:val="auto"/>
          <w:spacing w:val="-14"/>
          <w:kern w:val="0"/>
          <w:sz w:val="24"/>
          <w:szCs w:val="24"/>
          <w:highlight w:val="none"/>
        </w:rPr>
        <w:t xml:space="preserve"> </w:t>
      </w:r>
    </w:p>
    <w:p w14:paraId="57DC23FA">
      <w:pPr>
        <w:widowControl/>
        <w:shd w:val="clear" w:color="auto" w:fill="auto"/>
        <w:spacing w:line="500" w:lineRule="exact"/>
        <w:ind w:left="6121" w:leftChars="88" w:hanging="5936" w:hangingChars="2800"/>
        <w:rPr>
          <w:rFonts w:hint="default" w:ascii="Times New Roman" w:hAnsi="Times New Roman" w:eastAsia="宋体" w:cs="Times New Roman"/>
          <w:bCs/>
          <w:color w:val="auto"/>
          <w:spacing w:val="-14"/>
          <w:kern w:val="0"/>
          <w:sz w:val="24"/>
          <w:szCs w:val="24"/>
          <w:highlight w:val="none"/>
        </w:rPr>
      </w:pPr>
      <w:r>
        <w:rPr>
          <w:rFonts w:hint="default" w:ascii="Times New Roman" w:hAnsi="Times New Roman" w:eastAsia="宋体" w:cs="Times New Roman"/>
          <w:bCs/>
          <w:color w:val="auto"/>
          <w:spacing w:val="-14"/>
          <w:kern w:val="0"/>
          <w:sz w:val="24"/>
          <w:szCs w:val="24"/>
          <w:highlight w:val="none"/>
        </w:rPr>
        <w:t>组织机构代码、税号：                               组织机构代码、税号：</w:t>
      </w:r>
    </w:p>
    <w:p w14:paraId="323D6826">
      <w:pPr>
        <w:widowControl/>
        <w:shd w:val="clear" w:color="auto" w:fill="auto"/>
        <w:spacing w:line="500" w:lineRule="exact"/>
        <w:ind w:left="5490" w:leftChars="100" w:hanging="5280" w:hangingChars="2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开户银行：                               开户银行： </w:t>
      </w:r>
    </w:p>
    <w:p w14:paraId="65FB9097">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帐   号：                                帐 号： </w:t>
      </w:r>
      <w:r>
        <w:rPr>
          <w:rFonts w:hint="default" w:ascii="Times New Roman" w:hAnsi="Times New Roman" w:eastAsia="宋体" w:cs="Times New Roman"/>
          <w:color w:val="auto"/>
          <w:kern w:val="0"/>
          <w:sz w:val="24"/>
          <w:szCs w:val="24"/>
          <w:highlight w:val="none"/>
        </w:rPr>
        <w:tab/>
      </w:r>
    </w:p>
    <w:p w14:paraId="3747E3F3">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联系电话：                               联系电话：</w:t>
      </w:r>
    </w:p>
    <w:p w14:paraId="527C6DFF">
      <w:pPr>
        <w:widowControl/>
        <w:shd w:val="clear" w:color="auto" w:fill="auto"/>
        <w:spacing w:line="500" w:lineRule="exact"/>
        <w:ind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    真：                               传    真：</w:t>
      </w:r>
    </w:p>
    <w:p w14:paraId="2AE33943">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br w:type="page"/>
      </w:r>
      <w:r>
        <w:rPr>
          <w:rFonts w:hint="default" w:ascii="Times New Roman" w:hAnsi="Times New Roman" w:eastAsia="宋体" w:cs="Times New Roman"/>
          <w:color w:val="auto"/>
          <w:sz w:val="24"/>
          <w:szCs w:val="24"/>
          <w:highlight w:val="none"/>
        </w:rPr>
        <w:t>附件4：</w:t>
      </w:r>
    </w:p>
    <w:p w14:paraId="5B3D1646">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主要建设工程文件目录</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95"/>
        <w:gridCol w:w="999"/>
        <w:gridCol w:w="2044"/>
        <w:gridCol w:w="999"/>
        <w:gridCol w:w="1487"/>
        <w:gridCol w:w="1139"/>
      </w:tblGrid>
      <w:tr w14:paraId="11370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695" w:type="dxa"/>
            <w:noWrap w:val="0"/>
            <w:vAlign w:val="center"/>
          </w:tcPr>
          <w:p w14:paraId="7BC8FD24">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文件名称</w:t>
            </w:r>
          </w:p>
        </w:tc>
        <w:tc>
          <w:tcPr>
            <w:tcW w:w="999" w:type="dxa"/>
            <w:noWrap w:val="0"/>
            <w:vAlign w:val="center"/>
          </w:tcPr>
          <w:p w14:paraId="5EA17625">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套数</w:t>
            </w:r>
          </w:p>
        </w:tc>
        <w:tc>
          <w:tcPr>
            <w:tcW w:w="2044" w:type="dxa"/>
            <w:noWrap w:val="0"/>
            <w:vAlign w:val="center"/>
          </w:tcPr>
          <w:p w14:paraId="13EFBCDA">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费用（元）</w:t>
            </w:r>
          </w:p>
        </w:tc>
        <w:tc>
          <w:tcPr>
            <w:tcW w:w="999" w:type="dxa"/>
            <w:noWrap w:val="0"/>
            <w:vAlign w:val="center"/>
          </w:tcPr>
          <w:p w14:paraId="475C37E9">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w:t>
            </w:r>
          </w:p>
        </w:tc>
        <w:tc>
          <w:tcPr>
            <w:tcW w:w="1487" w:type="dxa"/>
            <w:noWrap w:val="0"/>
            <w:vAlign w:val="top"/>
          </w:tcPr>
          <w:p w14:paraId="40A87B29">
            <w:pPr>
              <w:shd w:val="clear" w:color="auto" w:fill="auto"/>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移交时间</w:t>
            </w:r>
          </w:p>
        </w:tc>
        <w:tc>
          <w:tcPr>
            <w:tcW w:w="1139" w:type="dxa"/>
            <w:noWrap w:val="0"/>
            <w:vAlign w:val="top"/>
          </w:tcPr>
          <w:p w14:paraId="353BBEA7">
            <w:pPr>
              <w:shd w:val="clear" w:color="auto" w:fill="auto"/>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责任人</w:t>
            </w:r>
          </w:p>
        </w:tc>
      </w:tr>
      <w:tr w14:paraId="4EF01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center"/>
          </w:tcPr>
          <w:p w14:paraId="227CFB9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4D9FA95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44" w:type="dxa"/>
            <w:noWrap w:val="0"/>
            <w:vAlign w:val="center"/>
          </w:tcPr>
          <w:p w14:paraId="2F83656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39736A0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487" w:type="dxa"/>
            <w:noWrap w:val="0"/>
            <w:vAlign w:val="center"/>
          </w:tcPr>
          <w:p w14:paraId="184069D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9" w:type="dxa"/>
            <w:noWrap w:val="0"/>
            <w:vAlign w:val="center"/>
          </w:tcPr>
          <w:p w14:paraId="23560F0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668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center"/>
          </w:tcPr>
          <w:p w14:paraId="38A6F6D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0D09887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44" w:type="dxa"/>
            <w:noWrap w:val="0"/>
            <w:vAlign w:val="center"/>
          </w:tcPr>
          <w:p w14:paraId="4F8F246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49EDBFA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487" w:type="dxa"/>
            <w:noWrap w:val="0"/>
            <w:vAlign w:val="center"/>
          </w:tcPr>
          <w:p w14:paraId="0D56E67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9" w:type="dxa"/>
            <w:noWrap w:val="0"/>
            <w:vAlign w:val="center"/>
          </w:tcPr>
          <w:p w14:paraId="3D0C554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DC6B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center"/>
          </w:tcPr>
          <w:p w14:paraId="0CAC761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32005F9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44" w:type="dxa"/>
            <w:noWrap w:val="0"/>
            <w:vAlign w:val="center"/>
          </w:tcPr>
          <w:p w14:paraId="1EC2333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4AA3402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487" w:type="dxa"/>
            <w:noWrap w:val="0"/>
            <w:vAlign w:val="center"/>
          </w:tcPr>
          <w:p w14:paraId="07509F7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9" w:type="dxa"/>
            <w:noWrap w:val="0"/>
            <w:vAlign w:val="center"/>
          </w:tcPr>
          <w:p w14:paraId="6F545DE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7A8A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center"/>
          </w:tcPr>
          <w:p w14:paraId="5AA2AE8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5B098EC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44" w:type="dxa"/>
            <w:noWrap w:val="0"/>
            <w:vAlign w:val="center"/>
          </w:tcPr>
          <w:p w14:paraId="5516D80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1F3F642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487" w:type="dxa"/>
            <w:noWrap w:val="0"/>
            <w:vAlign w:val="center"/>
          </w:tcPr>
          <w:p w14:paraId="3FA16C8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9" w:type="dxa"/>
            <w:noWrap w:val="0"/>
            <w:vAlign w:val="center"/>
          </w:tcPr>
          <w:p w14:paraId="7B3B82A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C68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20BE3183">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19BF7A19">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53ED7290">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4BB85A45">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3505CDC0">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26C3049C">
            <w:pPr>
              <w:shd w:val="clear" w:color="auto" w:fill="auto"/>
              <w:spacing w:line="360" w:lineRule="auto"/>
              <w:rPr>
                <w:rFonts w:hint="default" w:ascii="Times New Roman" w:hAnsi="Times New Roman" w:eastAsia="宋体" w:cs="Times New Roman"/>
                <w:color w:val="auto"/>
                <w:sz w:val="24"/>
                <w:szCs w:val="24"/>
                <w:highlight w:val="none"/>
              </w:rPr>
            </w:pPr>
          </w:p>
        </w:tc>
      </w:tr>
      <w:tr w14:paraId="0F1EA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center"/>
          </w:tcPr>
          <w:p w14:paraId="389A019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4DAC44E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44" w:type="dxa"/>
            <w:noWrap w:val="0"/>
            <w:vAlign w:val="center"/>
          </w:tcPr>
          <w:p w14:paraId="281BEE6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99" w:type="dxa"/>
            <w:noWrap w:val="0"/>
            <w:vAlign w:val="center"/>
          </w:tcPr>
          <w:p w14:paraId="348A554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487" w:type="dxa"/>
            <w:noWrap w:val="0"/>
            <w:vAlign w:val="center"/>
          </w:tcPr>
          <w:p w14:paraId="3A849EC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139" w:type="dxa"/>
            <w:noWrap w:val="0"/>
            <w:vAlign w:val="center"/>
          </w:tcPr>
          <w:p w14:paraId="1A64BE3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5DD5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38588DBA">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74AFF75D">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220DB511">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7B467A1F">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487FBAFC">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4D6FC9C6">
            <w:pPr>
              <w:shd w:val="clear" w:color="auto" w:fill="auto"/>
              <w:spacing w:line="360" w:lineRule="auto"/>
              <w:rPr>
                <w:rFonts w:hint="default" w:ascii="Times New Roman" w:hAnsi="Times New Roman" w:eastAsia="宋体" w:cs="Times New Roman"/>
                <w:color w:val="auto"/>
                <w:sz w:val="24"/>
                <w:szCs w:val="24"/>
                <w:highlight w:val="none"/>
              </w:rPr>
            </w:pPr>
          </w:p>
        </w:tc>
      </w:tr>
      <w:tr w14:paraId="4EAEC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44C4BAFA">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7FFD4CF6">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78E00F20">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121456B1">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70288607">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62E0C540">
            <w:pPr>
              <w:shd w:val="clear" w:color="auto" w:fill="auto"/>
              <w:spacing w:line="360" w:lineRule="auto"/>
              <w:rPr>
                <w:rFonts w:hint="default" w:ascii="Times New Roman" w:hAnsi="Times New Roman" w:eastAsia="宋体" w:cs="Times New Roman"/>
                <w:color w:val="auto"/>
                <w:sz w:val="24"/>
                <w:szCs w:val="24"/>
                <w:highlight w:val="none"/>
              </w:rPr>
            </w:pPr>
          </w:p>
        </w:tc>
      </w:tr>
      <w:tr w14:paraId="4C4CA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726A4686">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5425196E">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024AE6A5">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385241D0">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08B38307">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12BE4489">
            <w:pPr>
              <w:shd w:val="clear" w:color="auto" w:fill="auto"/>
              <w:spacing w:line="360" w:lineRule="auto"/>
              <w:rPr>
                <w:rFonts w:hint="default" w:ascii="Times New Roman" w:hAnsi="Times New Roman" w:eastAsia="宋体" w:cs="Times New Roman"/>
                <w:color w:val="auto"/>
                <w:sz w:val="24"/>
                <w:szCs w:val="24"/>
                <w:highlight w:val="none"/>
              </w:rPr>
            </w:pPr>
          </w:p>
        </w:tc>
      </w:tr>
      <w:tr w14:paraId="4DFBD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7AFDF32F">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01432CB3">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03FF9FFB">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74B0667A">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61144BB4">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390381A0">
            <w:pPr>
              <w:shd w:val="clear" w:color="auto" w:fill="auto"/>
              <w:spacing w:line="360" w:lineRule="auto"/>
              <w:rPr>
                <w:rFonts w:hint="default" w:ascii="Times New Roman" w:hAnsi="Times New Roman" w:eastAsia="宋体" w:cs="Times New Roman"/>
                <w:color w:val="auto"/>
                <w:sz w:val="24"/>
                <w:szCs w:val="24"/>
                <w:highlight w:val="none"/>
              </w:rPr>
            </w:pPr>
          </w:p>
        </w:tc>
      </w:tr>
      <w:tr w14:paraId="4C44D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10C8AEB0">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4D219B75">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7E9B9432">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3C5282A6">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39D47783">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4C8E72E6">
            <w:pPr>
              <w:shd w:val="clear" w:color="auto" w:fill="auto"/>
              <w:spacing w:line="360" w:lineRule="auto"/>
              <w:rPr>
                <w:rFonts w:hint="default" w:ascii="Times New Roman" w:hAnsi="Times New Roman" w:eastAsia="宋体" w:cs="Times New Roman"/>
                <w:color w:val="auto"/>
                <w:sz w:val="24"/>
                <w:szCs w:val="24"/>
                <w:highlight w:val="none"/>
              </w:rPr>
            </w:pPr>
          </w:p>
        </w:tc>
      </w:tr>
      <w:tr w14:paraId="72345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15C18065">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67211802">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14522D09">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5489BDEC">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7E183604">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51377BE0">
            <w:pPr>
              <w:shd w:val="clear" w:color="auto" w:fill="auto"/>
              <w:spacing w:line="360" w:lineRule="auto"/>
              <w:rPr>
                <w:rFonts w:hint="default" w:ascii="Times New Roman" w:hAnsi="Times New Roman" w:eastAsia="宋体" w:cs="Times New Roman"/>
                <w:color w:val="auto"/>
                <w:sz w:val="24"/>
                <w:szCs w:val="24"/>
                <w:highlight w:val="none"/>
              </w:rPr>
            </w:pPr>
          </w:p>
        </w:tc>
      </w:tr>
      <w:tr w14:paraId="76D8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680067FA">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545E3142">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292E923D">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0C58CCBB">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2E2867A8">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0480A142">
            <w:pPr>
              <w:shd w:val="clear" w:color="auto" w:fill="auto"/>
              <w:spacing w:line="360" w:lineRule="auto"/>
              <w:rPr>
                <w:rFonts w:hint="default" w:ascii="Times New Roman" w:hAnsi="Times New Roman" w:eastAsia="宋体" w:cs="Times New Roman"/>
                <w:color w:val="auto"/>
                <w:sz w:val="24"/>
                <w:szCs w:val="24"/>
                <w:highlight w:val="none"/>
              </w:rPr>
            </w:pPr>
          </w:p>
        </w:tc>
      </w:tr>
      <w:tr w14:paraId="076BD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508E8074">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4579A811">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52F6591A">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4A829B39">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7F3A5C2A">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301AA6CD">
            <w:pPr>
              <w:shd w:val="clear" w:color="auto" w:fill="auto"/>
              <w:spacing w:line="360" w:lineRule="auto"/>
              <w:rPr>
                <w:rFonts w:hint="default" w:ascii="Times New Roman" w:hAnsi="Times New Roman" w:eastAsia="宋体" w:cs="Times New Roman"/>
                <w:color w:val="auto"/>
                <w:sz w:val="24"/>
                <w:szCs w:val="24"/>
                <w:highlight w:val="none"/>
              </w:rPr>
            </w:pPr>
          </w:p>
        </w:tc>
      </w:tr>
      <w:tr w14:paraId="6EE67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noWrap w:val="0"/>
            <w:vAlign w:val="top"/>
          </w:tcPr>
          <w:p w14:paraId="7A4F0356">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5A24DCE9">
            <w:pPr>
              <w:shd w:val="clear" w:color="auto" w:fill="auto"/>
              <w:spacing w:line="360" w:lineRule="auto"/>
              <w:rPr>
                <w:rFonts w:hint="default" w:ascii="Times New Roman" w:hAnsi="Times New Roman" w:eastAsia="宋体" w:cs="Times New Roman"/>
                <w:color w:val="auto"/>
                <w:sz w:val="24"/>
                <w:szCs w:val="24"/>
                <w:highlight w:val="none"/>
              </w:rPr>
            </w:pPr>
          </w:p>
        </w:tc>
        <w:tc>
          <w:tcPr>
            <w:tcW w:w="2044" w:type="dxa"/>
            <w:noWrap w:val="0"/>
            <w:vAlign w:val="top"/>
          </w:tcPr>
          <w:p w14:paraId="25BC578E">
            <w:pPr>
              <w:shd w:val="clear" w:color="auto" w:fill="auto"/>
              <w:spacing w:line="360" w:lineRule="auto"/>
              <w:rPr>
                <w:rFonts w:hint="default" w:ascii="Times New Roman" w:hAnsi="Times New Roman" w:eastAsia="宋体" w:cs="Times New Roman"/>
                <w:color w:val="auto"/>
                <w:sz w:val="24"/>
                <w:szCs w:val="24"/>
                <w:highlight w:val="none"/>
              </w:rPr>
            </w:pPr>
          </w:p>
        </w:tc>
        <w:tc>
          <w:tcPr>
            <w:tcW w:w="999" w:type="dxa"/>
            <w:noWrap w:val="0"/>
            <w:vAlign w:val="top"/>
          </w:tcPr>
          <w:p w14:paraId="2E04BD1B">
            <w:pPr>
              <w:shd w:val="clear" w:color="auto" w:fill="auto"/>
              <w:spacing w:line="360" w:lineRule="auto"/>
              <w:rPr>
                <w:rFonts w:hint="default" w:ascii="Times New Roman" w:hAnsi="Times New Roman" w:eastAsia="宋体" w:cs="Times New Roman"/>
                <w:color w:val="auto"/>
                <w:sz w:val="24"/>
                <w:szCs w:val="24"/>
                <w:highlight w:val="none"/>
              </w:rPr>
            </w:pPr>
          </w:p>
        </w:tc>
        <w:tc>
          <w:tcPr>
            <w:tcW w:w="1487" w:type="dxa"/>
            <w:noWrap w:val="0"/>
            <w:vAlign w:val="top"/>
          </w:tcPr>
          <w:p w14:paraId="0C5B84E8">
            <w:pPr>
              <w:shd w:val="clear" w:color="auto" w:fill="auto"/>
              <w:spacing w:line="360" w:lineRule="auto"/>
              <w:rPr>
                <w:rFonts w:hint="default" w:ascii="Times New Roman" w:hAnsi="Times New Roman" w:eastAsia="宋体" w:cs="Times New Roman"/>
                <w:color w:val="auto"/>
                <w:sz w:val="24"/>
                <w:szCs w:val="24"/>
                <w:highlight w:val="none"/>
              </w:rPr>
            </w:pPr>
          </w:p>
        </w:tc>
        <w:tc>
          <w:tcPr>
            <w:tcW w:w="1139" w:type="dxa"/>
            <w:noWrap w:val="0"/>
            <w:vAlign w:val="top"/>
          </w:tcPr>
          <w:p w14:paraId="361E68E9">
            <w:pPr>
              <w:shd w:val="clear" w:color="auto" w:fill="auto"/>
              <w:spacing w:line="360" w:lineRule="auto"/>
              <w:rPr>
                <w:rFonts w:hint="default" w:ascii="Times New Roman" w:hAnsi="Times New Roman" w:eastAsia="宋体" w:cs="Times New Roman"/>
                <w:color w:val="auto"/>
                <w:sz w:val="24"/>
                <w:szCs w:val="24"/>
                <w:highlight w:val="none"/>
              </w:rPr>
            </w:pPr>
          </w:p>
        </w:tc>
      </w:tr>
    </w:tbl>
    <w:p w14:paraId="2E3D606F">
      <w:pPr>
        <w:shd w:val="clear" w:color="auto" w:fill="auto"/>
        <w:spacing w:line="360" w:lineRule="auto"/>
        <w:rPr>
          <w:rFonts w:hint="default" w:ascii="Times New Roman" w:hAnsi="Times New Roman" w:eastAsia="宋体" w:cs="Times New Roman"/>
          <w:color w:val="auto"/>
          <w:sz w:val="24"/>
          <w:szCs w:val="24"/>
          <w:highlight w:val="none"/>
        </w:rPr>
      </w:pPr>
    </w:p>
    <w:p w14:paraId="66A4F6A5">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485" w:name="_Toc296891267"/>
      <w:bookmarkStart w:id="486" w:name="_Toc296347226"/>
      <w:bookmarkStart w:id="487" w:name="_Toc296503227"/>
      <w:bookmarkStart w:id="488" w:name="_Toc267261698"/>
      <w:bookmarkStart w:id="489" w:name="_Toc296944566"/>
      <w:bookmarkStart w:id="490" w:name="_Toc296891055"/>
      <w:bookmarkStart w:id="491" w:name="_Toc296346728"/>
      <w:r>
        <w:rPr>
          <w:rFonts w:hint="default" w:ascii="Times New Roman" w:hAnsi="Times New Roman" w:eastAsia="宋体" w:cs="Times New Roman"/>
          <w:color w:val="auto"/>
          <w:sz w:val="24"/>
          <w:szCs w:val="24"/>
          <w:highlight w:val="none"/>
        </w:rPr>
        <w:t>件5：</w:t>
      </w:r>
    </w:p>
    <w:bookmarkEnd w:id="485"/>
    <w:bookmarkEnd w:id="486"/>
    <w:bookmarkEnd w:id="487"/>
    <w:bookmarkEnd w:id="488"/>
    <w:bookmarkEnd w:id="489"/>
    <w:bookmarkEnd w:id="490"/>
    <w:bookmarkEnd w:id="491"/>
    <w:p w14:paraId="7E3CFCA2">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承包人用于本工程施工的机械设备表</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73"/>
        <w:gridCol w:w="2092"/>
        <w:gridCol w:w="708"/>
        <w:gridCol w:w="709"/>
        <w:gridCol w:w="851"/>
        <w:gridCol w:w="708"/>
        <w:gridCol w:w="1276"/>
        <w:gridCol w:w="679"/>
        <w:gridCol w:w="667"/>
      </w:tblGrid>
      <w:tr w14:paraId="5CBBE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73" w:type="dxa"/>
            <w:noWrap w:val="0"/>
            <w:vAlign w:val="center"/>
          </w:tcPr>
          <w:p w14:paraId="6D54537B">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092" w:type="dxa"/>
            <w:noWrap w:val="0"/>
            <w:vAlign w:val="center"/>
          </w:tcPr>
          <w:p w14:paraId="3D1BBA73">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机械或设备名称</w:t>
            </w:r>
          </w:p>
        </w:tc>
        <w:tc>
          <w:tcPr>
            <w:tcW w:w="708" w:type="dxa"/>
            <w:noWrap w:val="0"/>
            <w:vAlign w:val="center"/>
          </w:tcPr>
          <w:p w14:paraId="1959F122">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规格型号</w:t>
            </w:r>
          </w:p>
        </w:tc>
        <w:tc>
          <w:tcPr>
            <w:tcW w:w="709" w:type="dxa"/>
            <w:noWrap w:val="0"/>
            <w:vAlign w:val="center"/>
          </w:tcPr>
          <w:p w14:paraId="351100FC">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851" w:type="dxa"/>
            <w:noWrap w:val="0"/>
            <w:vAlign w:val="center"/>
          </w:tcPr>
          <w:p w14:paraId="62C45A91">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产地</w:t>
            </w:r>
          </w:p>
        </w:tc>
        <w:tc>
          <w:tcPr>
            <w:tcW w:w="708" w:type="dxa"/>
            <w:noWrap w:val="0"/>
            <w:vAlign w:val="center"/>
          </w:tcPr>
          <w:p w14:paraId="6B877032">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制造年份</w:t>
            </w:r>
          </w:p>
        </w:tc>
        <w:tc>
          <w:tcPr>
            <w:tcW w:w="1276" w:type="dxa"/>
            <w:noWrap w:val="0"/>
            <w:vAlign w:val="center"/>
          </w:tcPr>
          <w:p w14:paraId="05BEF26E">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额定功率</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kW</w:t>
            </w:r>
            <w:r>
              <w:rPr>
                <w:rFonts w:hint="default" w:ascii="Times New Roman" w:hAnsi="Times New Roman" w:eastAsia="宋体" w:cs="Times New Roman"/>
                <w:color w:val="auto"/>
                <w:sz w:val="24"/>
                <w:szCs w:val="24"/>
                <w:highlight w:val="none"/>
                <w:lang w:eastAsia="zh-CN"/>
              </w:rPr>
              <w:t>）</w:t>
            </w:r>
          </w:p>
        </w:tc>
        <w:tc>
          <w:tcPr>
            <w:tcW w:w="679" w:type="dxa"/>
            <w:noWrap w:val="0"/>
            <w:vAlign w:val="center"/>
          </w:tcPr>
          <w:p w14:paraId="5710215A">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生产能力</w:t>
            </w:r>
          </w:p>
        </w:tc>
        <w:tc>
          <w:tcPr>
            <w:tcW w:w="667" w:type="dxa"/>
            <w:noWrap w:val="0"/>
            <w:vAlign w:val="center"/>
          </w:tcPr>
          <w:p w14:paraId="04AF5D4E">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r>
      <w:tr w14:paraId="56722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3558A15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36833E0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47BC103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72F2958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267CF86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0C931CC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60BD9C3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4B095C7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6809A6D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7644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5F3558B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12C8530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3925CF9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40CCE8C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33DADB0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63A7BEB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32CD078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76F9A83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1720DDF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076A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71998A4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7E21A8F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50A3322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24F57FA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3D2B068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5DF3BE8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4A0C998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3CDBAC4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192A358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AB31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70B0529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667DC04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27326AB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669D1E9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23BDCA6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3FE306B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26A9C42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0693A93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37FB37F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EDAD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1E1BD6C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2B14B5C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66E052A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5DC83C7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65FACB8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0128E16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2069C30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0A68B46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5B32535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F159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center"/>
          </w:tcPr>
          <w:p w14:paraId="32553A6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2092" w:type="dxa"/>
            <w:noWrap w:val="0"/>
            <w:vAlign w:val="center"/>
          </w:tcPr>
          <w:p w14:paraId="735A9A7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53BE589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9" w:type="dxa"/>
            <w:noWrap w:val="0"/>
            <w:vAlign w:val="center"/>
          </w:tcPr>
          <w:p w14:paraId="38FBFE0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851" w:type="dxa"/>
            <w:noWrap w:val="0"/>
            <w:vAlign w:val="center"/>
          </w:tcPr>
          <w:p w14:paraId="698A8EE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08" w:type="dxa"/>
            <w:noWrap w:val="0"/>
            <w:vAlign w:val="center"/>
          </w:tcPr>
          <w:p w14:paraId="0BDD94C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76" w:type="dxa"/>
            <w:noWrap w:val="0"/>
            <w:vAlign w:val="center"/>
          </w:tcPr>
          <w:p w14:paraId="40A14D4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79" w:type="dxa"/>
            <w:noWrap w:val="0"/>
            <w:vAlign w:val="center"/>
          </w:tcPr>
          <w:p w14:paraId="2FD7EF7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667" w:type="dxa"/>
            <w:noWrap w:val="0"/>
            <w:vAlign w:val="center"/>
          </w:tcPr>
          <w:p w14:paraId="67843A1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6902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2189F365">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5777CC00">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1EA0821D">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20541246">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730FA214">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494809B5">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393768B6">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6484B305">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5C2B802A">
            <w:pPr>
              <w:shd w:val="clear" w:color="auto" w:fill="auto"/>
              <w:spacing w:line="360" w:lineRule="auto"/>
              <w:rPr>
                <w:rFonts w:hint="default" w:ascii="Times New Roman" w:hAnsi="Times New Roman" w:eastAsia="宋体" w:cs="Times New Roman"/>
                <w:color w:val="auto"/>
                <w:sz w:val="24"/>
                <w:szCs w:val="24"/>
                <w:highlight w:val="none"/>
              </w:rPr>
            </w:pPr>
          </w:p>
        </w:tc>
      </w:tr>
      <w:tr w14:paraId="7E727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60F7D211">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5DDA99B4">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47BF2B18">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5CC87723">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68F3A52C">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3FCE64ED">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4201C833">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1A2BF6B5">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3D14E304">
            <w:pPr>
              <w:shd w:val="clear" w:color="auto" w:fill="auto"/>
              <w:spacing w:line="360" w:lineRule="auto"/>
              <w:rPr>
                <w:rFonts w:hint="default" w:ascii="Times New Roman" w:hAnsi="Times New Roman" w:eastAsia="宋体" w:cs="Times New Roman"/>
                <w:color w:val="auto"/>
                <w:sz w:val="24"/>
                <w:szCs w:val="24"/>
                <w:highlight w:val="none"/>
              </w:rPr>
            </w:pPr>
          </w:p>
        </w:tc>
      </w:tr>
      <w:tr w14:paraId="291D7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401856DD">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53D85A02">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626AD183">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149219E6">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3830DD61">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32846783">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0D0158ED">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17249F50">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2776D788">
            <w:pPr>
              <w:shd w:val="clear" w:color="auto" w:fill="auto"/>
              <w:spacing w:line="360" w:lineRule="auto"/>
              <w:rPr>
                <w:rFonts w:hint="default" w:ascii="Times New Roman" w:hAnsi="Times New Roman" w:eastAsia="宋体" w:cs="Times New Roman"/>
                <w:color w:val="auto"/>
                <w:sz w:val="24"/>
                <w:szCs w:val="24"/>
                <w:highlight w:val="none"/>
              </w:rPr>
            </w:pPr>
          </w:p>
        </w:tc>
      </w:tr>
      <w:tr w14:paraId="2B6B0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40502488">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23F8532E">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05ADD029">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05F2FF67">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0296FA7F">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244B8380">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1088E0DA">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6B8C45B4">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4C98E97D">
            <w:pPr>
              <w:shd w:val="clear" w:color="auto" w:fill="auto"/>
              <w:spacing w:line="360" w:lineRule="auto"/>
              <w:rPr>
                <w:rFonts w:hint="default" w:ascii="Times New Roman" w:hAnsi="Times New Roman" w:eastAsia="宋体" w:cs="Times New Roman"/>
                <w:color w:val="auto"/>
                <w:sz w:val="24"/>
                <w:szCs w:val="24"/>
                <w:highlight w:val="none"/>
              </w:rPr>
            </w:pPr>
          </w:p>
        </w:tc>
      </w:tr>
      <w:tr w14:paraId="65FC8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7A67E052">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7E23B504">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747943EA">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1F727B71">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558924F1">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4D52B99F">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15E03A89">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09A6D6F5">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39F7B769">
            <w:pPr>
              <w:shd w:val="clear" w:color="auto" w:fill="auto"/>
              <w:spacing w:line="360" w:lineRule="auto"/>
              <w:rPr>
                <w:rFonts w:hint="default" w:ascii="Times New Roman" w:hAnsi="Times New Roman" w:eastAsia="宋体" w:cs="Times New Roman"/>
                <w:color w:val="auto"/>
                <w:sz w:val="24"/>
                <w:szCs w:val="24"/>
                <w:highlight w:val="none"/>
              </w:rPr>
            </w:pPr>
          </w:p>
        </w:tc>
      </w:tr>
      <w:tr w14:paraId="2659B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50E222C5">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3563AF40">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4C8BB1D5">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5F8FF857">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3B67547B">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0732F49C">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64A9E987">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0FAF1DD0">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22EDAFD7">
            <w:pPr>
              <w:shd w:val="clear" w:color="auto" w:fill="auto"/>
              <w:spacing w:line="360" w:lineRule="auto"/>
              <w:rPr>
                <w:rFonts w:hint="default" w:ascii="Times New Roman" w:hAnsi="Times New Roman" w:eastAsia="宋体" w:cs="Times New Roman"/>
                <w:color w:val="auto"/>
                <w:sz w:val="24"/>
                <w:szCs w:val="24"/>
                <w:highlight w:val="none"/>
              </w:rPr>
            </w:pPr>
          </w:p>
        </w:tc>
      </w:tr>
      <w:tr w14:paraId="7B816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5A0E28E5">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1936AF2C">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711B8639">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0C904873">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3A25DB80">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4F66B683">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773D1D6E">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5C0344AA">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666BFB52">
            <w:pPr>
              <w:shd w:val="clear" w:color="auto" w:fill="auto"/>
              <w:spacing w:line="360" w:lineRule="auto"/>
              <w:rPr>
                <w:rFonts w:hint="default" w:ascii="Times New Roman" w:hAnsi="Times New Roman" w:eastAsia="宋体" w:cs="Times New Roman"/>
                <w:color w:val="auto"/>
                <w:sz w:val="24"/>
                <w:szCs w:val="24"/>
                <w:highlight w:val="none"/>
              </w:rPr>
            </w:pPr>
          </w:p>
        </w:tc>
      </w:tr>
      <w:tr w14:paraId="76A2D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6B668BA9">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4EB144FE">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4433A506">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00EB57CB">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1A3C22CF">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6785828F">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7B7C9027">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197B16D7">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1317DF2E">
            <w:pPr>
              <w:shd w:val="clear" w:color="auto" w:fill="auto"/>
              <w:spacing w:line="360" w:lineRule="auto"/>
              <w:rPr>
                <w:rFonts w:hint="default" w:ascii="Times New Roman" w:hAnsi="Times New Roman" w:eastAsia="宋体" w:cs="Times New Roman"/>
                <w:color w:val="auto"/>
                <w:sz w:val="24"/>
                <w:szCs w:val="24"/>
                <w:highlight w:val="none"/>
              </w:rPr>
            </w:pPr>
          </w:p>
        </w:tc>
      </w:tr>
      <w:tr w14:paraId="75467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noWrap w:val="0"/>
            <w:vAlign w:val="top"/>
          </w:tcPr>
          <w:p w14:paraId="40BCBC63">
            <w:pPr>
              <w:shd w:val="clear" w:color="auto" w:fill="auto"/>
              <w:spacing w:line="360" w:lineRule="auto"/>
              <w:rPr>
                <w:rFonts w:hint="default" w:ascii="Times New Roman" w:hAnsi="Times New Roman" w:eastAsia="宋体" w:cs="Times New Roman"/>
                <w:color w:val="auto"/>
                <w:sz w:val="24"/>
                <w:szCs w:val="24"/>
                <w:highlight w:val="none"/>
              </w:rPr>
            </w:pPr>
          </w:p>
        </w:tc>
        <w:tc>
          <w:tcPr>
            <w:tcW w:w="2092" w:type="dxa"/>
            <w:noWrap w:val="0"/>
            <w:vAlign w:val="top"/>
          </w:tcPr>
          <w:p w14:paraId="06A45C73">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1312B868">
            <w:pPr>
              <w:shd w:val="clear" w:color="auto" w:fill="auto"/>
              <w:spacing w:line="360" w:lineRule="auto"/>
              <w:rPr>
                <w:rFonts w:hint="default" w:ascii="Times New Roman" w:hAnsi="Times New Roman" w:eastAsia="宋体" w:cs="Times New Roman"/>
                <w:color w:val="auto"/>
                <w:sz w:val="24"/>
                <w:szCs w:val="24"/>
                <w:highlight w:val="none"/>
              </w:rPr>
            </w:pPr>
          </w:p>
        </w:tc>
        <w:tc>
          <w:tcPr>
            <w:tcW w:w="709" w:type="dxa"/>
            <w:noWrap w:val="0"/>
            <w:vAlign w:val="top"/>
          </w:tcPr>
          <w:p w14:paraId="610BD1F5">
            <w:pPr>
              <w:shd w:val="clear" w:color="auto" w:fill="auto"/>
              <w:spacing w:line="360" w:lineRule="auto"/>
              <w:rPr>
                <w:rFonts w:hint="default" w:ascii="Times New Roman" w:hAnsi="Times New Roman" w:eastAsia="宋体" w:cs="Times New Roman"/>
                <w:color w:val="auto"/>
                <w:sz w:val="24"/>
                <w:szCs w:val="24"/>
                <w:highlight w:val="none"/>
              </w:rPr>
            </w:pPr>
          </w:p>
        </w:tc>
        <w:tc>
          <w:tcPr>
            <w:tcW w:w="851" w:type="dxa"/>
            <w:noWrap w:val="0"/>
            <w:vAlign w:val="top"/>
          </w:tcPr>
          <w:p w14:paraId="271F2748">
            <w:pPr>
              <w:shd w:val="clear" w:color="auto" w:fill="auto"/>
              <w:spacing w:line="360" w:lineRule="auto"/>
              <w:rPr>
                <w:rFonts w:hint="default" w:ascii="Times New Roman" w:hAnsi="Times New Roman" w:eastAsia="宋体" w:cs="Times New Roman"/>
                <w:color w:val="auto"/>
                <w:sz w:val="24"/>
                <w:szCs w:val="24"/>
                <w:highlight w:val="none"/>
              </w:rPr>
            </w:pPr>
          </w:p>
        </w:tc>
        <w:tc>
          <w:tcPr>
            <w:tcW w:w="708" w:type="dxa"/>
            <w:noWrap w:val="0"/>
            <w:vAlign w:val="top"/>
          </w:tcPr>
          <w:p w14:paraId="518595D7">
            <w:pPr>
              <w:shd w:val="clear" w:color="auto" w:fill="auto"/>
              <w:spacing w:line="360" w:lineRule="auto"/>
              <w:rPr>
                <w:rFonts w:hint="default" w:ascii="Times New Roman" w:hAnsi="Times New Roman" w:eastAsia="宋体" w:cs="Times New Roman"/>
                <w:color w:val="auto"/>
                <w:sz w:val="24"/>
                <w:szCs w:val="24"/>
                <w:highlight w:val="none"/>
              </w:rPr>
            </w:pPr>
          </w:p>
        </w:tc>
        <w:tc>
          <w:tcPr>
            <w:tcW w:w="1276" w:type="dxa"/>
            <w:noWrap w:val="0"/>
            <w:vAlign w:val="top"/>
          </w:tcPr>
          <w:p w14:paraId="6BEA5BBF">
            <w:pPr>
              <w:shd w:val="clear" w:color="auto" w:fill="auto"/>
              <w:spacing w:line="360" w:lineRule="auto"/>
              <w:rPr>
                <w:rFonts w:hint="default" w:ascii="Times New Roman" w:hAnsi="Times New Roman" w:eastAsia="宋体" w:cs="Times New Roman"/>
                <w:color w:val="auto"/>
                <w:sz w:val="24"/>
                <w:szCs w:val="24"/>
                <w:highlight w:val="none"/>
              </w:rPr>
            </w:pPr>
          </w:p>
        </w:tc>
        <w:tc>
          <w:tcPr>
            <w:tcW w:w="679" w:type="dxa"/>
            <w:noWrap w:val="0"/>
            <w:vAlign w:val="top"/>
          </w:tcPr>
          <w:p w14:paraId="0E6FEA72">
            <w:pPr>
              <w:shd w:val="clear" w:color="auto" w:fill="auto"/>
              <w:spacing w:line="360" w:lineRule="auto"/>
              <w:rPr>
                <w:rFonts w:hint="default" w:ascii="Times New Roman" w:hAnsi="Times New Roman" w:eastAsia="宋体" w:cs="Times New Roman"/>
                <w:color w:val="auto"/>
                <w:sz w:val="24"/>
                <w:szCs w:val="24"/>
                <w:highlight w:val="none"/>
              </w:rPr>
            </w:pPr>
          </w:p>
        </w:tc>
        <w:tc>
          <w:tcPr>
            <w:tcW w:w="667" w:type="dxa"/>
            <w:noWrap w:val="0"/>
            <w:vAlign w:val="top"/>
          </w:tcPr>
          <w:p w14:paraId="1287A7F7">
            <w:pPr>
              <w:shd w:val="clear" w:color="auto" w:fill="auto"/>
              <w:spacing w:line="360" w:lineRule="auto"/>
              <w:rPr>
                <w:rFonts w:hint="default" w:ascii="Times New Roman" w:hAnsi="Times New Roman" w:eastAsia="宋体" w:cs="Times New Roman"/>
                <w:color w:val="auto"/>
                <w:sz w:val="24"/>
                <w:szCs w:val="24"/>
                <w:highlight w:val="none"/>
              </w:rPr>
            </w:pPr>
          </w:p>
        </w:tc>
      </w:tr>
    </w:tbl>
    <w:p w14:paraId="4FD6EA95">
      <w:pPr>
        <w:shd w:val="clear" w:color="auto" w:fill="auto"/>
        <w:spacing w:line="360" w:lineRule="auto"/>
        <w:rPr>
          <w:rFonts w:hint="default" w:ascii="Times New Roman" w:hAnsi="Times New Roman" w:eastAsia="宋体" w:cs="Times New Roman"/>
          <w:color w:val="auto"/>
          <w:sz w:val="24"/>
          <w:szCs w:val="24"/>
          <w:highlight w:val="none"/>
        </w:rPr>
      </w:pPr>
    </w:p>
    <w:p w14:paraId="72523855">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492" w:name="_Toc296891056"/>
      <w:bookmarkStart w:id="493" w:name="_Toc296503228"/>
      <w:bookmarkStart w:id="494" w:name="_Toc296891268"/>
      <w:bookmarkStart w:id="495" w:name="_Toc267261699"/>
      <w:bookmarkStart w:id="496" w:name="_Toc296347227"/>
      <w:bookmarkStart w:id="497" w:name="_Toc296346729"/>
      <w:bookmarkStart w:id="498" w:name="_Toc296944567"/>
      <w:r>
        <w:rPr>
          <w:rFonts w:hint="default" w:ascii="Times New Roman" w:hAnsi="Times New Roman" w:eastAsia="宋体" w:cs="Times New Roman"/>
          <w:color w:val="auto"/>
          <w:sz w:val="24"/>
          <w:szCs w:val="24"/>
          <w:highlight w:val="none"/>
        </w:rPr>
        <w:t>件6：</w:t>
      </w:r>
      <w:bookmarkEnd w:id="492"/>
      <w:bookmarkEnd w:id="493"/>
      <w:bookmarkEnd w:id="494"/>
      <w:bookmarkEnd w:id="495"/>
      <w:bookmarkEnd w:id="496"/>
      <w:bookmarkEnd w:id="497"/>
      <w:bookmarkEnd w:id="498"/>
    </w:p>
    <w:p w14:paraId="6348D355">
      <w:pPr>
        <w:shd w:val="clear" w:color="auto" w:fill="auto"/>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承包人主要施工管理人员表</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1155B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7D44A7BE">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w:t>
            </w:r>
          </w:p>
        </w:tc>
        <w:tc>
          <w:tcPr>
            <w:tcW w:w="1209" w:type="dxa"/>
            <w:noWrap w:val="0"/>
            <w:vAlign w:val="center"/>
          </w:tcPr>
          <w:p w14:paraId="6EFB9FCC">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967" w:type="dxa"/>
            <w:noWrap w:val="0"/>
            <w:vAlign w:val="center"/>
          </w:tcPr>
          <w:p w14:paraId="57B03841">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职务</w:t>
            </w:r>
          </w:p>
        </w:tc>
        <w:tc>
          <w:tcPr>
            <w:tcW w:w="967" w:type="dxa"/>
            <w:noWrap w:val="0"/>
            <w:vAlign w:val="center"/>
          </w:tcPr>
          <w:p w14:paraId="403DF3C4">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职称</w:t>
            </w:r>
          </w:p>
        </w:tc>
        <w:tc>
          <w:tcPr>
            <w:tcW w:w="3625" w:type="dxa"/>
            <w:noWrap w:val="0"/>
            <w:vAlign w:val="center"/>
          </w:tcPr>
          <w:p w14:paraId="2BFE706A">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主要资历、经验及承担过的项目</w:t>
            </w:r>
          </w:p>
        </w:tc>
      </w:tr>
      <w:tr w14:paraId="568B3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noWrap w:val="0"/>
            <w:vAlign w:val="center"/>
          </w:tcPr>
          <w:p w14:paraId="10A6A404">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一、总部人员</w:t>
            </w:r>
          </w:p>
        </w:tc>
      </w:tr>
      <w:tr w14:paraId="20847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55A336A2">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项目主管</w:t>
            </w:r>
          </w:p>
        </w:tc>
        <w:tc>
          <w:tcPr>
            <w:tcW w:w="1209" w:type="dxa"/>
            <w:noWrap w:val="0"/>
            <w:vAlign w:val="center"/>
          </w:tcPr>
          <w:p w14:paraId="3991B880">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08BB966A">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ED1CACA">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6F30D784">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5FDD1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4AE559A8">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2DC86D70">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16FDEFAD">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343362A6">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630FDF95">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625C1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2EE53DB9">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其他人员</w:t>
            </w:r>
          </w:p>
        </w:tc>
        <w:tc>
          <w:tcPr>
            <w:tcW w:w="1209" w:type="dxa"/>
            <w:noWrap w:val="0"/>
            <w:vAlign w:val="center"/>
          </w:tcPr>
          <w:p w14:paraId="63CC6DA6">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19715351">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EF15281">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1B992348">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0BA73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29FCC66F">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7115CD06">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6AB5C727">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408E0DC3">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24085D06">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13B9A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noWrap w:val="0"/>
            <w:vAlign w:val="center"/>
          </w:tcPr>
          <w:p w14:paraId="12982DE7">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二、现场人员</w:t>
            </w:r>
          </w:p>
        </w:tc>
      </w:tr>
      <w:tr w14:paraId="1E13D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30F9A9A2">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209" w:type="dxa"/>
            <w:noWrap w:val="0"/>
            <w:vAlign w:val="center"/>
          </w:tcPr>
          <w:p w14:paraId="3EC98F7B">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6707F6CC">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36ABEBD6">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45C3CA0D">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25738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3007E774">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项目副经理</w:t>
            </w:r>
          </w:p>
        </w:tc>
        <w:tc>
          <w:tcPr>
            <w:tcW w:w="1209" w:type="dxa"/>
            <w:noWrap w:val="0"/>
            <w:vAlign w:val="center"/>
          </w:tcPr>
          <w:p w14:paraId="0D6E9B9A">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07A01783">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0A2D44B0">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4387C2FD">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3D054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672370BB">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209" w:type="dxa"/>
            <w:noWrap w:val="0"/>
            <w:vAlign w:val="center"/>
          </w:tcPr>
          <w:p w14:paraId="792EE9DC">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40B542F0">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8A9B7D7">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3F3674AA">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4124F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4BC9CE01">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造价管理</w:t>
            </w:r>
          </w:p>
        </w:tc>
        <w:tc>
          <w:tcPr>
            <w:tcW w:w="1209" w:type="dxa"/>
            <w:noWrap w:val="0"/>
            <w:vAlign w:val="center"/>
          </w:tcPr>
          <w:p w14:paraId="1A0822BA">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4B6BA05B">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37031C70">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683AB2B8">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5E52B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50D16D5D">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质量管理</w:t>
            </w:r>
          </w:p>
        </w:tc>
        <w:tc>
          <w:tcPr>
            <w:tcW w:w="1209" w:type="dxa"/>
            <w:noWrap w:val="0"/>
            <w:vAlign w:val="center"/>
          </w:tcPr>
          <w:p w14:paraId="2C5B4662">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8702A2E">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0948644B">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6C7E00FC">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068B1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7C8B6F60">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材料管理</w:t>
            </w:r>
          </w:p>
        </w:tc>
        <w:tc>
          <w:tcPr>
            <w:tcW w:w="1209" w:type="dxa"/>
            <w:noWrap w:val="0"/>
            <w:vAlign w:val="center"/>
          </w:tcPr>
          <w:p w14:paraId="12BDA4AB">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7C5BD96">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6E75220">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53D79641">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1124A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47B559ED">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计划管理</w:t>
            </w:r>
          </w:p>
        </w:tc>
        <w:tc>
          <w:tcPr>
            <w:tcW w:w="1209" w:type="dxa"/>
            <w:noWrap w:val="0"/>
            <w:vAlign w:val="center"/>
          </w:tcPr>
          <w:p w14:paraId="1E928A27">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D44951A">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5C2ED08C">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68D128CF">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0CB83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5FE75F48">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安全管理</w:t>
            </w:r>
          </w:p>
        </w:tc>
        <w:tc>
          <w:tcPr>
            <w:tcW w:w="1209" w:type="dxa"/>
            <w:noWrap w:val="0"/>
            <w:vAlign w:val="center"/>
          </w:tcPr>
          <w:p w14:paraId="23822163">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1B2F0AA2">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3E40E41E">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71460BAC">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6E1F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noWrap w:val="0"/>
            <w:vAlign w:val="center"/>
          </w:tcPr>
          <w:p w14:paraId="26BE1742">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其他人员</w:t>
            </w:r>
          </w:p>
        </w:tc>
        <w:tc>
          <w:tcPr>
            <w:tcW w:w="1209" w:type="dxa"/>
            <w:noWrap w:val="0"/>
            <w:vAlign w:val="center"/>
          </w:tcPr>
          <w:p w14:paraId="73FB8B2A">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0CD04C9">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706882B">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63FF075F">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595DA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7DE97040">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220912B4">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0B8E0E8">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1973B17">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027DD387">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0372A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271A4056">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4F9EC1EB">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0B7E5458">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2FC52D88">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4D8D2627">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76D16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16726E5B">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42C35618">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60A38FBA">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00371637">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14D03F74">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50457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2A33B661">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165A1AF4">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06F441E8">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12E57A37">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4F120A1A">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r w14:paraId="672DB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77B82E93">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1209" w:type="dxa"/>
            <w:noWrap w:val="0"/>
            <w:vAlign w:val="center"/>
          </w:tcPr>
          <w:p w14:paraId="2F4244B4">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735F38EE">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967" w:type="dxa"/>
            <w:noWrap w:val="0"/>
            <w:vAlign w:val="center"/>
          </w:tcPr>
          <w:p w14:paraId="1884FC17">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c>
          <w:tcPr>
            <w:tcW w:w="3625" w:type="dxa"/>
            <w:noWrap w:val="0"/>
            <w:vAlign w:val="center"/>
          </w:tcPr>
          <w:p w14:paraId="047636CD">
            <w:pPr>
              <w:pStyle w:val="5"/>
              <w:keepNext/>
              <w:shd w:val="clear" w:color="auto" w:fill="auto"/>
              <w:spacing w:line="360" w:lineRule="auto"/>
              <w:ind w:left="62" w:right="62"/>
              <w:rPr>
                <w:rFonts w:hint="default" w:ascii="Times New Roman" w:hAnsi="Times New Roman" w:eastAsia="宋体" w:cs="Times New Roman"/>
                <w:color w:val="auto"/>
                <w:sz w:val="24"/>
                <w:szCs w:val="24"/>
                <w:highlight w:val="none"/>
              </w:rPr>
            </w:pPr>
          </w:p>
        </w:tc>
      </w:tr>
    </w:tbl>
    <w:p w14:paraId="4A4422DB">
      <w:pPr>
        <w:shd w:val="clear" w:color="auto" w:fill="auto"/>
        <w:spacing w:line="360" w:lineRule="auto"/>
        <w:rPr>
          <w:rFonts w:hint="default" w:ascii="Times New Roman" w:hAnsi="Times New Roman" w:eastAsia="宋体" w:cs="Times New Roman"/>
          <w:color w:val="auto"/>
          <w:sz w:val="24"/>
          <w:szCs w:val="24"/>
          <w:highlight w:val="none"/>
        </w:rPr>
      </w:pPr>
    </w:p>
    <w:p w14:paraId="68CE3B78">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499" w:name="_Toc296346730"/>
      <w:bookmarkStart w:id="500" w:name="_Toc296347228"/>
      <w:bookmarkStart w:id="501" w:name="_Toc296891057"/>
      <w:bookmarkStart w:id="502" w:name="_Toc296891269"/>
      <w:bookmarkStart w:id="503" w:name="_Toc296503229"/>
      <w:bookmarkStart w:id="504" w:name="_Toc296944568"/>
      <w:r>
        <w:rPr>
          <w:rFonts w:hint="default" w:ascii="Times New Roman" w:hAnsi="Times New Roman" w:eastAsia="宋体" w:cs="Times New Roman"/>
          <w:color w:val="auto"/>
          <w:sz w:val="24"/>
          <w:szCs w:val="24"/>
          <w:highlight w:val="none"/>
        </w:rPr>
        <w:t>件7：</w:t>
      </w:r>
      <w:bookmarkEnd w:id="499"/>
      <w:bookmarkEnd w:id="500"/>
      <w:bookmarkEnd w:id="501"/>
      <w:bookmarkEnd w:id="502"/>
      <w:bookmarkEnd w:id="503"/>
      <w:bookmarkEnd w:id="504"/>
    </w:p>
    <w:p w14:paraId="3D599280">
      <w:pPr>
        <w:shd w:val="clear" w:color="auto" w:fill="auto"/>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分包人主要施工管理人员表</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2259F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242FA88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w:t>
            </w:r>
          </w:p>
        </w:tc>
        <w:tc>
          <w:tcPr>
            <w:tcW w:w="1209" w:type="dxa"/>
            <w:noWrap w:val="0"/>
            <w:vAlign w:val="center"/>
          </w:tcPr>
          <w:p w14:paraId="6ED8A6B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967" w:type="dxa"/>
            <w:noWrap w:val="0"/>
            <w:vAlign w:val="center"/>
          </w:tcPr>
          <w:p w14:paraId="76A55E7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职务</w:t>
            </w:r>
          </w:p>
        </w:tc>
        <w:tc>
          <w:tcPr>
            <w:tcW w:w="967" w:type="dxa"/>
            <w:noWrap w:val="0"/>
            <w:vAlign w:val="center"/>
          </w:tcPr>
          <w:p w14:paraId="515F2B9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职称</w:t>
            </w:r>
          </w:p>
        </w:tc>
        <w:tc>
          <w:tcPr>
            <w:tcW w:w="3625" w:type="dxa"/>
            <w:noWrap w:val="0"/>
            <w:vAlign w:val="center"/>
          </w:tcPr>
          <w:p w14:paraId="7D381E5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主要资历、经验及承担过的项目</w:t>
            </w:r>
          </w:p>
        </w:tc>
      </w:tr>
      <w:tr w14:paraId="27417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noWrap w:val="0"/>
            <w:vAlign w:val="center"/>
          </w:tcPr>
          <w:p w14:paraId="74E37ED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一、总部人员</w:t>
            </w:r>
          </w:p>
        </w:tc>
      </w:tr>
      <w:tr w14:paraId="01BD1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45C559C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项目主管</w:t>
            </w:r>
          </w:p>
        </w:tc>
        <w:tc>
          <w:tcPr>
            <w:tcW w:w="1209" w:type="dxa"/>
            <w:noWrap w:val="0"/>
            <w:vAlign w:val="center"/>
          </w:tcPr>
          <w:p w14:paraId="50EA57A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D5BB60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D1F2DC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4AA0684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154A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00C159E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7E16BF7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337AFF9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7212876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79F977F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EF0C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6C71361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其他人员</w:t>
            </w:r>
          </w:p>
        </w:tc>
        <w:tc>
          <w:tcPr>
            <w:tcW w:w="1209" w:type="dxa"/>
            <w:noWrap w:val="0"/>
            <w:vAlign w:val="center"/>
          </w:tcPr>
          <w:p w14:paraId="2CCB054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2DEF32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4DBA0D5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22922DA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7D45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66CF961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34ACFA2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2B16FFF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158C3CA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3DFEE26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8D5F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noWrap w:val="0"/>
            <w:vAlign w:val="center"/>
          </w:tcPr>
          <w:p w14:paraId="00DABC2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二、现场人员</w:t>
            </w:r>
          </w:p>
        </w:tc>
      </w:tr>
      <w:tr w14:paraId="3473A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5247CE6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209" w:type="dxa"/>
            <w:noWrap w:val="0"/>
            <w:vAlign w:val="center"/>
          </w:tcPr>
          <w:p w14:paraId="0BB48D9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2462C08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982238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7AF1490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F328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4772075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项目副经理</w:t>
            </w:r>
          </w:p>
        </w:tc>
        <w:tc>
          <w:tcPr>
            <w:tcW w:w="1209" w:type="dxa"/>
            <w:noWrap w:val="0"/>
            <w:vAlign w:val="center"/>
          </w:tcPr>
          <w:p w14:paraId="1F88735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2C3D110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5931C8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6A19269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77C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3199DCF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209" w:type="dxa"/>
            <w:noWrap w:val="0"/>
            <w:vAlign w:val="center"/>
          </w:tcPr>
          <w:p w14:paraId="0595DF1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29B52C4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049714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0619A35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92BF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3122E2D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造价管理</w:t>
            </w:r>
          </w:p>
        </w:tc>
        <w:tc>
          <w:tcPr>
            <w:tcW w:w="1209" w:type="dxa"/>
            <w:noWrap w:val="0"/>
            <w:vAlign w:val="center"/>
          </w:tcPr>
          <w:p w14:paraId="34CDFCF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2F94C1F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71DDF7F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5F318DC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31A0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2E7CC8E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质量管理</w:t>
            </w:r>
          </w:p>
        </w:tc>
        <w:tc>
          <w:tcPr>
            <w:tcW w:w="1209" w:type="dxa"/>
            <w:noWrap w:val="0"/>
            <w:vAlign w:val="center"/>
          </w:tcPr>
          <w:p w14:paraId="0B1FA87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2C7032B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09A2D44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20755D3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002D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76BA46B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材料管理</w:t>
            </w:r>
          </w:p>
        </w:tc>
        <w:tc>
          <w:tcPr>
            <w:tcW w:w="1209" w:type="dxa"/>
            <w:noWrap w:val="0"/>
            <w:vAlign w:val="center"/>
          </w:tcPr>
          <w:p w14:paraId="5318399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0BE950C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1B22586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2249768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EF11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1AD37D1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计划管理</w:t>
            </w:r>
          </w:p>
        </w:tc>
        <w:tc>
          <w:tcPr>
            <w:tcW w:w="1209" w:type="dxa"/>
            <w:noWrap w:val="0"/>
            <w:vAlign w:val="center"/>
          </w:tcPr>
          <w:p w14:paraId="521B460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AB58E1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2A4241F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2E6FBB8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924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noWrap w:val="0"/>
            <w:vAlign w:val="center"/>
          </w:tcPr>
          <w:p w14:paraId="652D37F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安全管理</w:t>
            </w:r>
          </w:p>
        </w:tc>
        <w:tc>
          <w:tcPr>
            <w:tcW w:w="1209" w:type="dxa"/>
            <w:noWrap w:val="0"/>
            <w:vAlign w:val="center"/>
          </w:tcPr>
          <w:p w14:paraId="41BB324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1A8262E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FC3BC9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3B0C821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9D6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noWrap w:val="0"/>
            <w:vAlign w:val="center"/>
          </w:tcPr>
          <w:p w14:paraId="6125A4C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其他人员</w:t>
            </w:r>
          </w:p>
        </w:tc>
        <w:tc>
          <w:tcPr>
            <w:tcW w:w="1209" w:type="dxa"/>
            <w:noWrap w:val="0"/>
            <w:vAlign w:val="center"/>
          </w:tcPr>
          <w:p w14:paraId="4624BDB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0438ECD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3C086BD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7B3CDD1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1C3B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4E1A1A1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5A9275E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941569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5033C3F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1B5C2B6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7A49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303FF49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0916C69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05B661B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4AC65DA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41FDAB1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F697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6E18E6A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3B194FA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49080F3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0D9732C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7784714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22C1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212FAC9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51C8551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74B146B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207CB58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148C93E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C7F1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noWrap w:val="0"/>
            <w:vAlign w:val="center"/>
          </w:tcPr>
          <w:p w14:paraId="3443A32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209" w:type="dxa"/>
            <w:noWrap w:val="0"/>
            <w:vAlign w:val="center"/>
          </w:tcPr>
          <w:p w14:paraId="66A9372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6CE70FE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67" w:type="dxa"/>
            <w:noWrap w:val="0"/>
            <w:vAlign w:val="center"/>
          </w:tcPr>
          <w:p w14:paraId="1685293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3625" w:type="dxa"/>
            <w:noWrap w:val="0"/>
            <w:vAlign w:val="center"/>
          </w:tcPr>
          <w:p w14:paraId="4A743A9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bl>
    <w:p w14:paraId="3EBF7D39">
      <w:pPr>
        <w:shd w:val="clear" w:color="auto" w:fill="auto"/>
        <w:spacing w:line="360" w:lineRule="auto"/>
        <w:rPr>
          <w:rFonts w:hint="default" w:ascii="Times New Roman" w:hAnsi="Times New Roman" w:eastAsia="宋体" w:cs="Times New Roman"/>
          <w:color w:val="auto"/>
          <w:sz w:val="24"/>
          <w:szCs w:val="24"/>
          <w:highlight w:val="none"/>
        </w:rPr>
      </w:pPr>
      <w:bookmarkStart w:id="505" w:name="_Toc267261701"/>
    </w:p>
    <w:p w14:paraId="104C2C2B">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506" w:name="_Toc296346732"/>
      <w:bookmarkStart w:id="507" w:name="_Toc296347230"/>
      <w:bookmarkStart w:id="508" w:name="_Toc296891059"/>
      <w:bookmarkStart w:id="509" w:name="_Toc296503231"/>
      <w:bookmarkStart w:id="510" w:name="_Toc296944570"/>
      <w:bookmarkStart w:id="511" w:name="_Toc296891271"/>
      <w:r>
        <w:rPr>
          <w:rFonts w:hint="default" w:ascii="Times New Roman" w:hAnsi="Times New Roman" w:eastAsia="宋体" w:cs="Times New Roman"/>
          <w:color w:val="auto"/>
          <w:sz w:val="24"/>
          <w:szCs w:val="24"/>
          <w:highlight w:val="none"/>
        </w:rPr>
        <w:t>件8：</w:t>
      </w:r>
    </w:p>
    <w:bookmarkEnd w:id="505"/>
    <w:bookmarkEnd w:id="506"/>
    <w:bookmarkEnd w:id="507"/>
    <w:bookmarkEnd w:id="508"/>
    <w:bookmarkEnd w:id="509"/>
    <w:bookmarkEnd w:id="510"/>
    <w:bookmarkEnd w:id="511"/>
    <w:p w14:paraId="4C6AC744">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履约担保</w:t>
      </w:r>
    </w:p>
    <w:p w14:paraId="6F32B8AB">
      <w:pPr>
        <w:shd w:val="clear" w:color="auto" w:fill="auto"/>
        <w:spacing w:line="44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（发包人名称）：</w:t>
      </w:r>
    </w:p>
    <w:p w14:paraId="4B870C35">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鉴于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（发包人名称，以下简称“发包人”）与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（承包人名称）（以下称“承包人”）于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日就</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2845A7B3">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担保金额人民币（大写）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6B3D56C1">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担保有效期自你方与承包人签订的合同生效之日起至你方签发或应签发工程接收证书之日止。</w:t>
      </w:r>
    </w:p>
    <w:p w14:paraId="604944E5">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14:paraId="28502573">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你方和承包人按合同约定变更合同时，我方承担本担保规定的义务不变。</w:t>
      </w:r>
    </w:p>
    <w:p w14:paraId="4973B0E5">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 因本保函发生的纠纷，可由双方协商解决，协商不成的，任何一方均可提请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仲裁委员会仲裁。</w:t>
      </w:r>
    </w:p>
    <w:p w14:paraId="25C28480">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 本保函自我方法定代表人（或其授权代理人）签字并加盖公章之日起生效。</w:t>
      </w:r>
    </w:p>
    <w:p w14:paraId="002C5098">
      <w:pPr>
        <w:shd w:val="clear" w:color="auto" w:fill="auto"/>
        <w:spacing w:line="360" w:lineRule="auto"/>
        <w:rPr>
          <w:rFonts w:hint="default" w:ascii="Times New Roman" w:hAnsi="Times New Roman" w:eastAsia="宋体" w:cs="Times New Roman"/>
          <w:color w:val="auto"/>
          <w:sz w:val="24"/>
          <w:szCs w:val="24"/>
          <w:highlight w:val="none"/>
        </w:rPr>
      </w:pPr>
    </w:p>
    <w:p w14:paraId="43BFE195">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担 保 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（盖单位章）</w:t>
      </w:r>
    </w:p>
    <w:p w14:paraId="62BCF2F0">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法定代表人或其委托代理人：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（签字）</w:t>
      </w:r>
    </w:p>
    <w:p w14:paraId="5C199CE9">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p>
    <w:p w14:paraId="53897189">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邮政编码：</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p>
    <w:p w14:paraId="1E069618">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p>
    <w:p w14:paraId="4E22D302">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传    真：</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49414C51">
      <w:pPr>
        <w:shd w:val="clear" w:color="auto" w:fill="auto"/>
        <w:spacing w:line="360" w:lineRule="auto"/>
        <w:ind w:left="1519" w:hanging="1519" w:hangingChars="63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48348820">
      <w:pPr>
        <w:shd w:val="clear" w:color="auto" w:fill="auto"/>
        <w:tabs>
          <w:tab w:val="left" w:pos="946"/>
        </w:tabs>
        <w:spacing w:line="360" w:lineRule="auto"/>
        <w:ind w:left="1519" w:hanging="1519" w:hangingChars="63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512" w:name="_Toc296346733"/>
      <w:bookmarkStart w:id="513" w:name="_Toc296891060"/>
      <w:bookmarkStart w:id="514" w:name="_Toc296503232"/>
      <w:bookmarkStart w:id="515" w:name="_Toc296891272"/>
      <w:bookmarkStart w:id="516" w:name="_Toc296944571"/>
      <w:bookmarkStart w:id="517" w:name="_Toc296347231"/>
      <w:bookmarkStart w:id="518" w:name="_Toc267261702"/>
      <w:r>
        <w:rPr>
          <w:rFonts w:hint="default" w:ascii="Times New Roman" w:hAnsi="Times New Roman" w:eastAsia="宋体" w:cs="Times New Roman"/>
          <w:color w:val="auto"/>
          <w:sz w:val="24"/>
          <w:szCs w:val="24"/>
          <w:highlight w:val="none"/>
        </w:rPr>
        <w:t>件9 ：</w:t>
      </w:r>
    </w:p>
    <w:bookmarkEnd w:id="512"/>
    <w:bookmarkEnd w:id="513"/>
    <w:bookmarkEnd w:id="514"/>
    <w:bookmarkEnd w:id="515"/>
    <w:bookmarkEnd w:id="516"/>
    <w:bookmarkEnd w:id="517"/>
    <w:bookmarkEnd w:id="518"/>
    <w:p w14:paraId="03455A9D">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预付款担保</w:t>
      </w:r>
    </w:p>
    <w:p w14:paraId="5EF8F53E">
      <w:pPr>
        <w:shd w:val="clear" w:color="auto" w:fill="auto"/>
        <w:spacing w:line="44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（发包人名称）：</w:t>
      </w:r>
    </w:p>
    <w:p w14:paraId="6094A7E1">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（承包人名称）（以下称“承包人”）与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（发包人名称）（以下简称“发包人”）于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日签订的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3478B7DB">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担保金额人民币（大写）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元（¥</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3ECE4A8C">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担保有效期自预付款支付给承包人起生效，至你方签发的进度款支付证书说明已完全扣清止。</w:t>
      </w:r>
    </w:p>
    <w:p w14:paraId="3DFCBD9B">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75DEAE6">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你方和承包人按合同约定变更合同时，我方承担本保函规定的义务不变。</w:t>
      </w:r>
    </w:p>
    <w:p w14:paraId="53D86E99">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 因本保函发生的纠纷，可由双方协商解决，协商不成的，任何一方均可提请</w:t>
      </w:r>
      <w:r>
        <w:rPr>
          <w:rFonts w:hint="default" w:ascii="Times New Roman" w:hAnsi="Times New Roman" w:eastAsia="宋体" w:cs="Times New Roman"/>
          <w:color w:val="auto"/>
          <w:sz w:val="24"/>
          <w:szCs w:val="24"/>
          <w:highlight w:val="none"/>
          <w:u w:val="single"/>
        </w:rPr>
        <w:t>工程所在地人民法院审理</w:t>
      </w:r>
      <w:r>
        <w:rPr>
          <w:rFonts w:hint="default" w:ascii="Times New Roman" w:hAnsi="Times New Roman" w:eastAsia="宋体" w:cs="Times New Roman"/>
          <w:color w:val="auto"/>
          <w:sz w:val="24"/>
          <w:szCs w:val="24"/>
          <w:highlight w:val="none"/>
        </w:rPr>
        <w:t>。</w:t>
      </w:r>
    </w:p>
    <w:p w14:paraId="327E2EF3">
      <w:pPr>
        <w:shd w:val="clear" w:color="auto" w:fill="auto"/>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 本保函自我方法定代表人（或其授权代理人）签字并加盖公章之日起生效。</w:t>
      </w:r>
    </w:p>
    <w:p w14:paraId="62825AAA">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担保人：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（盖单位章）</w:t>
      </w:r>
    </w:p>
    <w:p w14:paraId="7C47AE5D">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法定代表人或其委托代理人：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（签字）</w:t>
      </w:r>
    </w:p>
    <w:p w14:paraId="52EF6C96">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1197EB8C">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邮政编码：</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1351EDEE">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174A3D08">
      <w:pPr>
        <w:shd w:val="clear" w:color="auto" w:fill="auto"/>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传    真：</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448456B3">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1FAD64D0">
      <w:pPr>
        <w:shd w:val="clear" w:color="auto" w:fill="auto"/>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w:t>
      </w:r>
      <w:bookmarkStart w:id="519" w:name="_Toc296891273"/>
      <w:bookmarkStart w:id="520" w:name="_Toc296347232"/>
      <w:bookmarkStart w:id="521" w:name="_Toc296944572"/>
      <w:bookmarkStart w:id="522" w:name="_Toc296503233"/>
      <w:bookmarkStart w:id="523" w:name="_Toc296891061"/>
      <w:bookmarkStart w:id="524" w:name="_Toc296346734"/>
      <w:r>
        <w:rPr>
          <w:rFonts w:hint="default" w:ascii="Times New Roman" w:hAnsi="Times New Roman" w:eastAsia="宋体" w:cs="Times New Roman"/>
          <w:color w:val="auto"/>
          <w:sz w:val="24"/>
          <w:szCs w:val="24"/>
          <w:highlight w:val="none"/>
        </w:rPr>
        <w:t xml:space="preserve">件10:  </w:t>
      </w:r>
    </w:p>
    <w:bookmarkEnd w:id="519"/>
    <w:bookmarkEnd w:id="520"/>
    <w:bookmarkEnd w:id="521"/>
    <w:bookmarkEnd w:id="522"/>
    <w:bookmarkEnd w:id="523"/>
    <w:bookmarkEnd w:id="524"/>
    <w:p w14:paraId="2ACE76DE">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支付担保</w:t>
      </w:r>
    </w:p>
    <w:p w14:paraId="6636A7A4">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（承包人）：</w:t>
      </w:r>
    </w:p>
    <w:p w14:paraId="377C98F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鉴于你方作为承包人已经与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（发包人名称）（以下称“发包人”）于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日签订了</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（工程名称）《建设工程施工合同》（以下称“主合同”），应发包人的申请，我方愿就发包人履行主合同约定的工程款支付义务以保证的方式向你方提供如下担保：</w:t>
      </w:r>
    </w:p>
    <w:p w14:paraId="77118FF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一、保证的范围及保证金额</w:t>
      </w:r>
    </w:p>
    <w:p w14:paraId="4540A06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我方的保证范围是主合同约定的工程款。</w:t>
      </w:r>
    </w:p>
    <w:p w14:paraId="6017DAE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本保函所称主合同约定的工程款是指主合同约定的除工程质量保证金以外的合同价款。</w:t>
      </w:r>
    </w:p>
    <w:p w14:paraId="47DDA11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我方保证的金额是主合同约定的工程款的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%，数额最高不超过人民币元（大写：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3146DEE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二、保证的方式及保证期间</w:t>
      </w:r>
    </w:p>
    <w:p w14:paraId="046117F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我方保证的方式为：连带责任保证。</w:t>
      </w:r>
    </w:p>
    <w:p w14:paraId="288C28E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我方保证的期间为：自本合同生效之日起至主合同约定的工程款支付完毕之日。</w:t>
      </w:r>
    </w:p>
    <w:p w14:paraId="2226BD3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你方与发包人协议变更工程款支付日期的，经我方书面同意后，保证期间按照变更后的支付日期做相应调整。</w:t>
      </w:r>
    </w:p>
    <w:p w14:paraId="20F57F2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三、承担保证责任的形式</w:t>
      </w:r>
    </w:p>
    <w:p w14:paraId="087E4B1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我方承担保证责任的形式是代为支付。发包人未按主合同约定向你方支付工程款的，由我方在保证金额内代为支付。</w:t>
      </w:r>
    </w:p>
    <w:p w14:paraId="6B29FEB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四、代偿的安排</w:t>
      </w:r>
    </w:p>
    <w:p w14:paraId="14936E3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你方要求我方承担保证责任的，应向我方发出书面索赔通知及发包人未支付主合同约定工程款的证明材料。索赔通知应写明要求索赔的金额，支付款项应到达的账号。</w:t>
      </w:r>
    </w:p>
    <w:p w14:paraId="1AD83FE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38C7777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我方收到你方的书面索赔通知及相应的证明材料后７天内无条件支付。</w:t>
      </w:r>
    </w:p>
    <w:p w14:paraId="1164081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五、保证责任的解除</w:t>
      </w:r>
    </w:p>
    <w:p w14:paraId="45CB417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在本保函承诺的保证期间内，你方未书面向我方主张保证责任的，自保证期间届满次日起，我方保证责任解除。</w:t>
      </w:r>
    </w:p>
    <w:p w14:paraId="6E3ABF0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发包人按主合同约定履行了工程款的全部支付义务的，自本保函承诺的保证期间届满次日起，我方保证责任解除。</w:t>
      </w:r>
    </w:p>
    <w:p w14:paraId="4A005C3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我方按照本保函向你方履行保证责任所支付金额达到本保函保证金额时，自我方向你方支付（支付款项从我方账户划出）之日起，保证责任即解除。</w:t>
      </w:r>
    </w:p>
    <w:p w14:paraId="7389A97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按照法律法规的规定或出现应解除我方保证责任的其他情形的，我方在本保函项下的保证责任亦解除。</w:t>
      </w:r>
    </w:p>
    <w:p w14:paraId="055AED0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 我方解除保证责任后，你方应自我方保证责任解除之日起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个工作日内，将本保函原件返还我方。</w:t>
      </w:r>
    </w:p>
    <w:p w14:paraId="77AA39D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六、免责条款</w:t>
      </w:r>
    </w:p>
    <w:p w14:paraId="2877E45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因你方违约致使发包人不能履行义务的，我方不承担保证责任。</w:t>
      </w:r>
    </w:p>
    <w:p w14:paraId="18CC176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依照法律法规的规定或你方与发包人的另行约定，免除发包人部分或全部义务的，我方亦免除其相应的保证责任。</w:t>
      </w:r>
    </w:p>
    <w:p w14:paraId="15C74D0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62DD0E2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因不可抗力造成发包人不能履行义务的，我方不承担保证责任。</w:t>
      </w:r>
    </w:p>
    <w:p w14:paraId="0CD4006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七、争议解决</w:t>
      </w:r>
    </w:p>
    <w:p w14:paraId="4E0E4E8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因本保函或本保函相关事项发生的纠纷，可由双方协商解决，协商不成的，按下列第</w:t>
      </w:r>
      <w:r>
        <w:rPr>
          <w:rFonts w:hint="default" w:ascii="Times New Roman" w:hAnsi="Times New Roman" w:eastAsia="宋体" w:cs="Times New Roman"/>
          <w:color w:val="auto"/>
          <w:sz w:val="24"/>
          <w:szCs w:val="24"/>
          <w:highlight w:val="none"/>
          <w:u w:val="single"/>
        </w:rPr>
        <w:t xml:space="preserve"> 2  </w:t>
      </w:r>
      <w:r>
        <w:rPr>
          <w:rFonts w:hint="default" w:ascii="Times New Roman" w:hAnsi="Times New Roman" w:eastAsia="宋体" w:cs="Times New Roman"/>
          <w:color w:val="auto"/>
          <w:sz w:val="24"/>
          <w:szCs w:val="24"/>
          <w:highlight w:val="none"/>
        </w:rPr>
        <w:t>种方式解决：</w:t>
      </w:r>
    </w:p>
    <w:p w14:paraId="32F8282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（1）向</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仲裁委员会申请仲裁；</w:t>
      </w:r>
    </w:p>
    <w:p w14:paraId="266BFB38">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（2）向</w:t>
      </w:r>
      <w:r>
        <w:rPr>
          <w:rFonts w:hint="default" w:ascii="Times New Roman" w:hAnsi="Times New Roman" w:eastAsia="宋体" w:cs="Times New Roman"/>
          <w:color w:val="auto"/>
          <w:sz w:val="24"/>
          <w:szCs w:val="24"/>
          <w:highlight w:val="none"/>
          <w:u w:val="single"/>
        </w:rPr>
        <w:t xml:space="preserve"> 建设工程所在地 </w:t>
      </w:r>
      <w:r>
        <w:rPr>
          <w:rFonts w:hint="default" w:ascii="Times New Roman" w:hAnsi="Times New Roman" w:eastAsia="宋体" w:cs="Times New Roman"/>
          <w:color w:val="auto"/>
          <w:sz w:val="24"/>
          <w:szCs w:val="24"/>
          <w:highlight w:val="none"/>
        </w:rPr>
        <w:t>人民法院起诉。</w:t>
      </w:r>
    </w:p>
    <w:p w14:paraId="1CFA59A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八、保函的生效</w:t>
      </w:r>
    </w:p>
    <w:p w14:paraId="6529A9C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本保函自我方法定代表人（或其授权代理人）签字并加盖公章之日起生效。</w:t>
      </w:r>
    </w:p>
    <w:p w14:paraId="07FCF8DA">
      <w:pPr>
        <w:pStyle w:val="5"/>
        <w:shd w:val="clear" w:color="auto" w:fill="auto"/>
        <w:rPr>
          <w:rFonts w:hint="default" w:ascii="Times New Roman" w:hAnsi="Times New Roman" w:cs="Times New Roman"/>
          <w:color w:val="auto"/>
          <w:highlight w:val="none"/>
        </w:rPr>
      </w:pPr>
    </w:p>
    <w:p w14:paraId="6CE487B3">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6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担保人：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（盖章）</w:t>
      </w:r>
    </w:p>
    <w:p w14:paraId="362C6A13">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1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法定代表人或委托代理人：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（签字）</w:t>
      </w:r>
    </w:p>
    <w:p w14:paraId="20556F63">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53B7C0BA">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邮政编码：</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37917C99">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传    真：</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r>
        <w:rPr>
          <w:rFonts w:hint="default" w:ascii="Times New Roman" w:hAnsi="Times New Roman" w:eastAsia="宋体" w:cs="Times New Roman"/>
          <w:color w:val="auto"/>
          <w:sz w:val="24"/>
          <w:szCs w:val="24"/>
          <w:highlight w:val="none"/>
          <w:u w:val="single"/>
        </w:rPr>
        <w:tab/>
      </w:r>
    </w:p>
    <w:p w14:paraId="2464B9BA">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15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4E17A56E">
      <w:pPr>
        <w:shd w:val="clear" w:color="auto" w:fill="auto"/>
        <w:spacing w:line="360" w:lineRule="auto"/>
        <w:ind w:right="1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附件11：</w:t>
      </w:r>
    </w:p>
    <w:p w14:paraId="53A95E4B">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11-1：材料暂估价表</w:t>
      </w:r>
    </w:p>
    <w:tbl>
      <w:tblPr>
        <w:tblStyle w:val="20"/>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6"/>
        <w:gridCol w:w="1828"/>
        <w:gridCol w:w="782"/>
        <w:gridCol w:w="714"/>
        <w:gridCol w:w="1243"/>
        <w:gridCol w:w="1303"/>
        <w:gridCol w:w="1564"/>
      </w:tblGrid>
      <w:tr w14:paraId="195B1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2A9D3014">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094" w:type="pct"/>
            <w:noWrap w:val="0"/>
            <w:vAlign w:val="top"/>
          </w:tcPr>
          <w:p w14:paraId="525E033E">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468" w:type="pct"/>
            <w:noWrap w:val="0"/>
            <w:vAlign w:val="top"/>
          </w:tcPr>
          <w:p w14:paraId="1A50C48D">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w:t>
            </w:r>
          </w:p>
        </w:tc>
        <w:tc>
          <w:tcPr>
            <w:tcW w:w="427" w:type="pct"/>
            <w:noWrap w:val="0"/>
            <w:vAlign w:val="top"/>
          </w:tcPr>
          <w:p w14:paraId="650A5081">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744" w:type="pct"/>
            <w:noWrap w:val="0"/>
            <w:vAlign w:val="top"/>
          </w:tcPr>
          <w:p w14:paraId="5EB4A813">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单价（元）</w:t>
            </w:r>
          </w:p>
        </w:tc>
        <w:tc>
          <w:tcPr>
            <w:tcW w:w="780" w:type="pct"/>
            <w:noWrap w:val="0"/>
            <w:vAlign w:val="top"/>
          </w:tcPr>
          <w:p w14:paraId="7839A284">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合价（元）</w:t>
            </w:r>
          </w:p>
        </w:tc>
        <w:tc>
          <w:tcPr>
            <w:tcW w:w="936" w:type="pct"/>
            <w:noWrap w:val="0"/>
            <w:vAlign w:val="top"/>
          </w:tcPr>
          <w:p w14:paraId="5601F92F">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r>
      <w:tr w14:paraId="44AEA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71FC748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58E30C5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559F112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C28181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12C5D8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4298D9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4545846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B82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5E68100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D93E7A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6CD3DB1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42DE1F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2EBD82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30C39C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709A57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173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48" w:type="pct"/>
            <w:noWrap w:val="0"/>
            <w:vAlign w:val="top"/>
          </w:tcPr>
          <w:p w14:paraId="072E56A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4C21FF6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1C62568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13C12D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78C4C2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14310B3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10EB97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BCF4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08FC1CF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3355C37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59B2D1F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077EC2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7F376B4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A7ECD4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946B10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6FCC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699BE9A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481DE5A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5E28F09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0E9168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E0D3E1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24B9EE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186DEBE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F981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17DEB71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6FB873B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2E93C43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5E79AD4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74B7EFB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45ECB6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386D6B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22B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01B2900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5E38AE8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4F6370E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C11A48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6E6972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DBE77F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19D2AD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DDB5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48" w:type="pct"/>
            <w:noWrap w:val="0"/>
            <w:vAlign w:val="top"/>
          </w:tcPr>
          <w:p w14:paraId="3520C57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3282FB7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5465C51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4F43CB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741BF2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6DA4CB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F6A0A3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F80F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494512D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7C6CE2F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771F457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418B87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516C2B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B0CCD2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882552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2D68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7BC2A17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55E4930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1DC5874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10CE9F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BFBD92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2901240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5642CE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F66E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196EEDC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7BE5C77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430312B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8D49FD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82883C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EBF0C4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649ACD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A060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44073A4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42E34B5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2FAC250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755B47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184084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4186B1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1D0018B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9E5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48" w:type="pct"/>
            <w:noWrap w:val="0"/>
            <w:vAlign w:val="top"/>
          </w:tcPr>
          <w:p w14:paraId="3A0C904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30DFAD2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7E5E263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5E81760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355C3E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5557CFE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C9248F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4353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2D93685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5795D87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1E515D2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77FBA02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0DB9D8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1C8BF5C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FB2F76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58E5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51619B0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63F3427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6C0808B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7EF7AF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03DCFE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D74E10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F4EEE7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2FBA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548" w:type="pct"/>
            <w:noWrap w:val="0"/>
            <w:vAlign w:val="top"/>
          </w:tcPr>
          <w:p w14:paraId="6CBEA05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30EBCC0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3B84F9B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6D9BDA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45B0750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B7970D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68FAF2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1120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8" w:hRule="atLeast"/>
        </w:trPr>
        <w:tc>
          <w:tcPr>
            <w:tcW w:w="548" w:type="pct"/>
            <w:noWrap w:val="0"/>
            <w:vAlign w:val="top"/>
          </w:tcPr>
          <w:p w14:paraId="4DD7346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0AB14FB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0CF6CF5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C1A774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006770B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DD12FE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4DC33AC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BD10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48" w:type="pct"/>
            <w:noWrap w:val="0"/>
            <w:vAlign w:val="top"/>
          </w:tcPr>
          <w:p w14:paraId="20F9172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755E98F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8" w:type="pct"/>
            <w:noWrap w:val="0"/>
            <w:vAlign w:val="top"/>
          </w:tcPr>
          <w:p w14:paraId="75488E2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3488CB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2593710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734F6F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BA25DC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bl>
    <w:p w14:paraId="273EBB82">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11-2：工程设备暂估价表</w:t>
      </w:r>
    </w:p>
    <w:tbl>
      <w:tblPr>
        <w:tblStyle w:val="20"/>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3"/>
        <w:gridCol w:w="1829"/>
        <w:gridCol w:w="784"/>
        <w:gridCol w:w="714"/>
        <w:gridCol w:w="1244"/>
        <w:gridCol w:w="1304"/>
        <w:gridCol w:w="1564"/>
      </w:tblGrid>
      <w:tr w14:paraId="46DBF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1315472F">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094" w:type="pct"/>
            <w:noWrap w:val="0"/>
            <w:vAlign w:val="top"/>
          </w:tcPr>
          <w:p w14:paraId="1B0740B2">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469" w:type="pct"/>
            <w:noWrap w:val="0"/>
            <w:vAlign w:val="top"/>
          </w:tcPr>
          <w:p w14:paraId="133BF282">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w:t>
            </w:r>
          </w:p>
        </w:tc>
        <w:tc>
          <w:tcPr>
            <w:tcW w:w="427" w:type="pct"/>
            <w:noWrap w:val="0"/>
            <w:vAlign w:val="top"/>
          </w:tcPr>
          <w:p w14:paraId="30726E61">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744" w:type="pct"/>
            <w:noWrap w:val="0"/>
            <w:vAlign w:val="top"/>
          </w:tcPr>
          <w:p w14:paraId="57045A76">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单价（元）</w:t>
            </w:r>
          </w:p>
        </w:tc>
        <w:tc>
          <w:tcPr>
            <w:tcW w:w="780" w:type="pct"/>
            <w:noWrap w:val="0"/>
            <w:vAlign w:val="top"/>
          </w:tcPr>
          <w:p w14:paraId="1AE4E070">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合价（元）</w:t>
            </w:r>
          </w:p>
        </w:tc>
        <w:tc>
          <w:tcPr>
            <w:tcW w:w="936" w:type="pct"/>
            <w:noWrap w:val="0"/>
            <w:vAlign w:val="top"/>
          </w:tcPr>
          <w:p w14:paraId="3D3611F1">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r>
      <w:tr w14:paraId="417DF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1BA49A7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6202659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2560AC0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0B2D72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2D45E88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B50F20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AB9BD4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D89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2B42269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5C3D3F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48BE656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939BB9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7F90AD2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45A928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F9FE9D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D83F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trPr>
        <w:tc>
          <w:tcPr>
            <w:tcW w:w="547" w:type="pct"/>
            <w:noWrap w:val="0"/>
            <w:vAlign w:val="top"/>
          </w:tcPr>
          <w:p w14:paraId="6AEE306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1449773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098A7AA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3167E5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D1C7FE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AA6E80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95FB5D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5BE3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1FB1025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07C9217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D9C238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787D39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2EE6A0F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1EC11C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5140FB1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8FA4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16B162B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4DA3436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26E3405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D33D03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2EAC6E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640952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A6E8AD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1030F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4109514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78DA078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41FE01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7167F3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ED1D98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15B7334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11D4A0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3E46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54D70BE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7B3C0BF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5A210D4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B9635E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C12935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81CAC3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4A79A21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D797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trPr>
        <w:tc>
          <w:tcPr>
            <w:tcW w:w="547" w:type="pct"/>
            <w:noWrap w:val="0"/>
            <w:vAlign w:val="top"/>
          </w:tcPr>
          <w:p w14:paraId="18517E2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E72621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4CC1D54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5327A4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B1AE92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16B413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1358695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479F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1109C61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06254E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D79E69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14FA0A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1FAFB4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FFE66F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5B5F7B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D0EF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60A03E1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64AFEF9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313D656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FF4FCD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439DF38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4A3305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1670420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900E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76EF407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130D15F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18111E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B6D3CD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40885B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2BC6D7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B174C9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CB17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64B8495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792D44D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590CD2A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D2A40F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DB9F4D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2EC3790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3A8AC1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E5B8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trPr>
        <w:tc>
          <w:tcPr>
            <w:tcW w:w="547" w:type="pct"/>
            <w:noWrap w:val="0"/>
            <w:vAlign w:val="top"/>
          </w:tcPr>
          <w:p w14:paraId="0297EC6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65FF547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705397F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53B2CD4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6DE445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5B37B0E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16C38B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5A31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0A3551D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0588265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7B50627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D3ADEF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473802B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5A3AA82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0439EC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1EBE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45AF069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272745A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4EA4EA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55989A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71AFE0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44C2A4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279E11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BCB6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547" w:type="pct"/>
            <w:noWrap w:val="0"/>
            <w:vAlign w:val="top"/>
          </w:tcPr>
          <w:p w14:paraId="5CF5DCD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4" w:type="pct"/>
            <w:noWrap w:val="0"/>
            <w:vAlign w:val="top"/>
          </w:tcPr>
          <w:p w14:paraId="0CC4517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75D7E2C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12A55F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8CFEEE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86DD97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62F46E4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bl>
    <w:p w14:paraId="3FD8E0E3">
      <w:pPr>
        <w:shd w:val="clear" w:color="auto" w:fill="auto"/>
        <w:spacing w:line="360" w:lineRule="auto"/>
        <w:rPr>
          <w:rFonts w:hint="default" w:ascii="Times New Roman" w:hAnsi="Times New Roman" w:eastAsia="宋体" w:cs="Times New Roman"/>
          <w:color w:val="auto"/>
          <w:sz w:val="24"/>
          <w:szCs w:val="24"/>
          <w:highlight w:val="none"/>
        </w:rPr>
      </w:pPr>
    </w:p>
    <w:p w14:paraId="2A5764FE">
      <w:pPr>
        <w:shd w:val="clear" w:color="auto" w:fill="auto"/>
        <w:spacing w:before="193" w:beforeLines="50" w:after="193" w:after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color w:val="auto"/>
          <w:sz w:val="24"/>
          <w:szCs w:val="24"/>
          <w:highlight w:val="none"/>
        </w:rPr>
        <w:t>11-3：专业工程暂估价表</w:t>
      </w:r>
    </w:p>
    <w:tbl>
      <w:tblPr>
        <w:tblStyle w:val="20"/>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13"/>
        <w:gridCol w:w="1827"/>
        <w:gridCol w:w="784"/>
        <w:gridCol w:w="714"/>
        <w:gridCol w:w="1244"/>
        <w:gridCol w:w="1304"/>
        <w:gridCol w:w="1564"/>
      </w:tblGrid>
      <w:tr w14:paraId="06F7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47906C07">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093" w:type="pct"/>
            <w:noWrap w:val="0"/>
            <w:vAlign w:val="top"/>
          </w:tcPr>
          <w:p w14:paraId="09905DBC">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469" w:type="pct"/>
            <w:noWrap w:val="0"/>
            <w:vAlign w:val="top"/>
          </w:tcPr>
          <w:p w14:paraId="64DB4EC0">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w:t>
            </w:r>
          </w:p>
        </w:tc>
        <w:tc>
          <w:tcPr>
            <w:tcW w:w="427" w:type="pct"/>
            <w:noWrap w:val="0"/>
            <w:vAlign w:val="top"/>
          </w:tcPr>
          <w:p w14:paraId="40461F85">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744" w:type="pct"/>
            <w:noWrap w:val="0"/>
            <w:vAlign w:val="top"/>
          </w:tcPr>
          <w:p w14:paraId="45022044">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单价（元）</w:t>
            </w:r>
          </w:p>
        </w:tc>
        <w:tc>
          <w:tcPr>
            <w:tcW w:w="780" w:type="pct"/>
            <w:noWrap w:val="0"/>
            <w:vAlign w:val="top"/>
          </w:tcPr>
          <w:p w14:paraId="5EC9AD0D">
            <w:pPr>
              <w:pStyle w:val="5"/>
              <w:keepNext/>
              <w:shd w:val="clear" w:color="auto" w:fill="auto"/>
              <w:spacing w:line="360" w:lineRule="auto"/>
              <w:ind w:left="63"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合价（元）</w:t>
            </w:r>
          </w:p>
        </w:tc>
        <w:tc>
          <w:tcPr>
            <w:tcW w:w="936" w:type="pct"/>
            <w:noWrap w:val="0"/>
            <w:vAlign w:val="top"/>
          </w:tcPr>
          <w:p w14:paraId="4251D44B">
            <w:pPr>
              <w:pStyle w:val="5"/>
              <w:keepNext/>
              <w:shd w:val="clear" w:color="auto" w:fill="auto"/>
              <w:spacing w:line="360" w:lineRule="auto"/>
              <w:ind w:right="63"/>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r>
      <w:tr w14:paraId="01C3C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7" w:hRule="atLeast"/>
        </w:trPr>
        <w:tc>
          <w:tcPr>
            <w:tcW w:w="547" w:type="pct"/>
            <w:noWrap w:val="0"/>
            <w:vAlign w:val="top"/>
          </w:tcPr>
          <w:p w14:paraId="72D32B7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3B9E487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79CABC3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5526EA1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4C8F252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0BB8F6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0245CF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6A9D7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7BFF425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74FE0BA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4D49933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E705A8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2103521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1F36758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585764C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7C0A3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56B969A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6331F3F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4EB1A13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56B54FD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0F0CC2B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D08DD9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7D5555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33CB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547" w:type="pct"/>
            <w:noWrap w:val="0"/>
            <w:vAlign w:val="top"/>
          </w:tcPr>
          <w:p w14:paraId="1DD8A7F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67319DE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3C8A55C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71ABA6B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70C62169">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5BED4F9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0E7414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718E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43B22E1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71C4530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0C3C3F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10B0E3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228BE0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D882E8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4E65294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2314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4E8FE1C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62830A8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CD7223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2F8D8E2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3BD57D5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ABCD17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673F7C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62C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4EDCD3B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73FE83A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5FB4F6B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7A1AF44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86A062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1A2B81D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7AEFD53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2887F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48CD3C7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66D7B23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59A18FB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638632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6D9BF8D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1C232F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3D9D4A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5AB34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547" w:type="pct"/>
            <w:noWrap w:val="0"/>
            <w:vAlign w:val="top"/>
          </w:tcPr>
          <w:p w14:paraId="08FA01E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55917FD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B07A8A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224798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0B29EE4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5730D20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588D673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18EF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456D61E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47C3F39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18EC425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8BA3DD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0A69F9E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0217C38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F8BD6A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3BF49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7AB40A7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0882C6B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46FEC20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E2A504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B8C3FE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3F5676C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2CB5F45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2B5E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2BA4DD0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2DB658E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678F4BE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151AD1D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1483D85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5E7CDE5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4EB1F951">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2B4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731CCF1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5117D5C5">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2365BAD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393EB9F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00015C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4A6DB727">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BCC655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01F31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547" w:type="pct"/>
            <w:noWrap w:val="0"/>
            <w:vAlign w:val="top"/>
          </w:tcPr>
          <w:p w14:paraId="6E07B11E">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4D46712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7CFC40E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477C185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58BE040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61F19653">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545C226">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A21D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3B1B0D4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0486A43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04E2351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6768035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4070592D">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4B2C48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32ED64FC">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r w14:paraId="4A4D6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547" w:type="pct"/>
            <w:noWrap w:val="0"/>
            <w:vAlign w:val="top"/>
          </w:tcPr>
          <w:p w14:paraId="7E18B5C2">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1093" w:type="pct"/>
            <w:noWrap w:val="0"/>
            <w:vAlign w:val="top"/>
          </w:tcPr>
          <w:p w14:paraId="2AB5CBDF">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69" w:type="pct"/>
            <w:noWrap w:val="0"/>
            <w:vAlign w:val="top"/>
          </w:tcPr>
          <w:p w14:paraId="246A0A18">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427" w:type="pct"/>
            <w:noWrap w:val="0"/>
            <w:vAlign w:val="top"/>
          </w:tcPr>
          <w:p w14:paraId="030E42A0">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44" w:type="pct"/>
            <w:noWrap w:val="0"/>
            <w:vAlign w:val="top"/>
          </w:tcPr>
          <w:p w14:paraId="25A44F7B">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780" w:type="pct"/>
            <w:noWrap w:val="0"/>
            <w:vAlign w:val="top"/>
          </w:tcPr>
          <w:p w14:paraId="755091E4">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c>
          <w:tcPr>
            <w:tcW w:w="936" w:type="pct"/>
            <w:noWrap w:val="0"/>
            <w:vAlign w:val="top"/>
          </w:tcPr>
          <w:p w14:paraId="02D774BA">
            <w:pPr>
              <w:pStyle w:val="5"/>
              <w:keepNext/>
              <w:shd w:val="clear" w:color="auto" w:fill="auto"/>
              <w:spacing w:line="360" w:lineRule="auto"/>
              <w:ind w:left="63" w:right="63"/>
              <w:rPr>
                <w:rFonts w:hint="default" w:ascii="Times New Roman" w:hAnsi="Times New Roman" w:eastAsia="宋体" w:cs="Times New Roman"/>
                <w:color w:val="auto"/>
                <w:sz w:val="24"/>
                <w:szCs w:val="24"/>
                <w:highlight w:val="none"/>
              </w:rPr>
            </w:pPr>
          </w:p>
        </w:tc>
      </w:tr>
    </w:tbl>
    <w:p w14:paraId="2898A136">
      <w:pPr>
        <w:shd w:val="clear" w:color="auto" w:fill="auto"/>
        <w:autoSpaceDN w:val="0"/>
        <w:spacing w:beforeAutospacing="1" w:after="300"/>
        <w:rPr>
          <w:rFonts w:hint="default" w:ascii="Times New Roman" w:hAnsi="Times New Roman" w:eastAsia="宋体" w:cs="Times New Roman"/>
          <w:b/>
          <w:bCs/>
          <w:color w:val="auto"/>
          <w:sz w:val="24"/>
          <w:szCs w:val="24"/>
          <w:highlight w:val="none"/>
        </w:rPr>
      </w:pPr>
    </w:p>
    <w:p w14:paraId="21C577C0">
      <w:pPr>
        <w:pStyle w:val="9"/>
        <w:shd w:val="clear" w:color="auto" w:fill="auto"/>
        <w:ind w:left="960"/>
        <w:rPr>
          <w:rFonts w:hint="default" w:ascii="Times New Roman" w:hAnsi="Times New Roman" w:eastAsia="宋体" w:cs="Times New Roman"/>
          <w:b/>
          <w:bCs/>
          <w:color w:val="auto"/>
          <w:sz w:val="24"/>
          <w:szCs w:val="24"/>
          <w:highlight w:val="none"/>
        </w:rPr>
      </w:pPr>
    </w:p>
    <w:p w14:paraId="165829C9">
      <w:pPr>
        <w:shd w:val="clear" w:color="auto" w:fill="auto"/>
        <w:rPr>
          <w:rFonts w:hint="default" w:ascii="Times New Roman" w:hAnsi="Times New Roman" w:eastAsia="宋体" w:cs="Times New Roman"/>
          <w:color w:val="auto"/>
          <w:sz w:val="24"/>
          <w:szCs w:val="24"/>
          <w:highlight w:val="none"/>
        </w:rPr>
      </w:pPr>
    </w:p>
    <w:p w14:paraId="4CF0A328">
      <w:pPr>
        <w:shd w:val="clear" w:color="auto" w:fill="auto"/>
        <w:autoSpaceDN w:val="0"/>
        <w:spacing w:beforeAutospacing="1" w:after="3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br w:type="page"/>
      </w:r>
      <w:r>
        <w:rPr>
          <w:rFonts w:hint="default" w:ascii="Times New Roman" w:hAnsi="Times New Roman" w:eastAsia="宋体" w:cs="Times New Roman"/>
          <w:b/>
          <w:bCs/>
          <w:color w:val="auto"/>
          <w:sz w:val="24"/>
          <w:szCs w:val="24"/>
          <w:highlight w:val="none"/>
        </w:rPr>
        <w:t>附件12</w:t>
      </w:r>
    </w:p>
    <w:p w14:paraId="2A43324C">
      <w:pPr>
        <w:shd w:val="clear" w:color="auto" w:fill="auto"/>
        <w:autoSpaceDN w:val="0"/>
        <w:spacing w:beforeAutospacing="1" w:after="3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廉政协议书</w:t>
      </w:r>
    </w:p>
    <w:p w14:paraId="0B3376DE">
      <w:pPr>
        <w:shd w:val="clear" w:color="auto" w:fill="auto"/>
        <w:autoSpaceDN w:val="0"/>
        <w:spacing w:beforeAutospacing="1" w:after="300"/>
        <w:rPr>
          <w:rFonts w:hint="default" w:ascii="Times New Roman" w:hAnsi="Times New Roman" w:eastAsia="宋体" w:cs="Times New Roman"/>
          <w:b/>
          <w:bCs/>
          <w:color w:val="auto"/>
          <w:sz w:val="24"/>
          <w:szCs w:val="24"/>
          <w:highlight w:val="none"/>
          <w:u w:val="single"/>
          <w:lang w:val="en-US"/>
        </w:rPr>
      </w:pPr>
      <w:r>
        <w:rPr>
          <w:rFonts w:hint="default" w:ascii="Times New Roman" w:hAnsi="Times New Roman" w:eastAsia="宋体" w:cs="Times New Roman"/>
          <w:color w:val="auto"/>
          <w:sz w:val="24"/>
          <w:szCs w:val="24"/>
          <w:highlight w:val="none"/>
        </w:rPr>
        <w:t>工程项目名称：</w:t>
      </w:r>
      <w:r>
        <w:rPr>
          <w:rFonts w:hint="default" w:ascii="Times New Roman" w:hAnsi="Times New Roman" w:eastAsia="宋体" w:cs="Times New Roman"/>
          <w:b/>
          <w:bCs/>
          <w:color w:val="auto"/>
          <w:sz w:val="24"/>
          <w:szCs w:val="24"/>
          <w:highlight w:val="none"/>
          <w:u w:val="single"/>
          <w:lang w:val="en-US" w:eastAsia="zh-CN"/>
        </w:rPr>
        <w:t xml:space="preserve">                                                </w:t>
      </w:r>
    </w:p>
    <w:p w14:paraId="0610CAF3">
      <w:pPr>
        <w:shd w:val="clear" w:color="auto" w:fill="auto"/>
        <w:autoSpaceDN w:val="0"/>
        <w:spacing w:beforeAutospacing="1" w:after="3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发包单位（甲方）：__</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rPr>
        <w:t>_     _</w:t>
      </w:r>
    </w:p>
    <w:p w14:paraId="4FD87EBF">
      <w:pPr>
        <w:shd w:val="clear" w:color="auto" w:fill="auto"/>
        <w:autoSpaceDN w:val="0"/>
        <w:spacing w:beforeAutospacing="1" w:after="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承包单位（乙方）：</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b/>
          <w:bCs/>
          <w:color w:val="auto"/>
          <w:sz w:val="24"/>
          <w:szCs w:val="24"/>
          <w:highlight w:val="none"/>
          <w:u w:val="single"/>
          <w:lang w:val="en-US" w:eastAsia="zh-CN"/>
        </w:rPr>
        <w:t xml:space="preserve">                               </w:t>
      </w:r>
      <w:r>
        <w:rPr>
          <w:rFonts w:hint="default" w:ascii="Times New Roman" w:hAnsi="Times New Roman" w:eastAsia="宋体" w:cs="Times New Roman"/>
          <w:b/>
          <w:bCs/>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single"/>
        </w:rPr>
        <w:t xml:space="preserve">            </w:t>
      </w:r>
    </w:p>
    <w:p w14:paraId="2938C813">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为了规范建设市场，确保建设工程高效、优质、按时竣工投产，遵照国家建设部，监察部《关于在工程建设中深入开展反对腐败和反对不正当竞争的通知》精神，坚决执行《反对不正当竞争法》《建筑法》《招标投标法》等有关法律法规和政策，经甲乙双方同意，特签订建设工程廉洁</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"https://www.diyifanwen.com/fanwen/xieyishu/"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协议书</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w:t>
      </w:r>
    </w:p>
    <w:p w14:paraId="522C61E8">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一、严格遵守党纪国法和各项政策规定，将廉政建设和廉洁从业的各项要求贯彻始终，廉洁自律，加强监督，保证将工程建设成廉洁工程。</w:t>
      </w:r>
    </w:p>
    <w:p w14:paraId="55BA02A7">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二、严格遵守职业道德，坚持公开、公正、公平的原则，依法合规参与竞争，努力推进诚信建设，决不从事任何不正当竞争和任何违法违纪行为。</w:t>
      </w:r>
    </w:p>
    <w:p w14:paraId="1CDE524A">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三、甲方有责任向乙方施工单位介绍本单位的有关廉政建设的各项制度和规定。</w:t>
      </w:r>
    </w:p>
    <w:p w14:paraId="14BC7248">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四、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14:paraId="4EB0096C">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五、甲方人员参加乙方组织的各种会议和活动，须经主管领导同意，甲方人员不得接受乙方赠送的礼品，礼金和有价证券，难以拒收的，必须按有关规定登记上交。</w:t>
      </w:r>
    </w:p>
    <w:p w14:paraId="435BB49A">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六、甲方人员在工程建设项目中发现乙方单位有不廉洁的行为，应及时采取措施，终止其不廉洁行为的继续发生，并报告主管领导。</w:t>
      </w:r>
    </w:p>
    <w:p w14:paraId="200ADEDB">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七、乙方有权了解甲方单位有关廉政建设的各项制度和规定，支持甲方执行有关规定和制度。</w:t>
      </w:r>
    </w:p>
    <w:p w14:paraId="671F2EA8">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八、乙方有责任对本单位工程项目人员进行廉政教育按时出席甲方召集的有关会议。</w:t>
      </w:r>
    </w:p>
    <w:p w14:paraId="214ED8CE">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九、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14:paraId="5D00A995">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十、乙方在工程项目建设中贿赂甲方人员，被检察机关立案查处的，甲方有权取消或终止工程项目</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"https://www.diyifanwen.com/fanwen/shigonghetong/"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施工合同</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t xml:space="preserve">，由此给甲方单位造成的损失均由乙方单位承担，并向甲方单位承担经济赔偿责任。 </w:t>
      </w:r>
    </w:p>
    <w:p w14:paraId="46232723">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十一、乙方在工程项目建设中发现甲方人员有不廉洁的行为，应及时采取措施，终止其不廉洁行为的继续发生，并及时告知甲方单位主管领导；情节严重的可向上级有关部门投诉或举报。</w:t>
      </w:r>
    </w:p>
    <w:p w14:paraId="6C44B926">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十二、本协议使用时间：本工程发包、建设、竣工验收全过程</w:t>
      </w:r>
    </w:p>
    <w:p w14:paraId="006AE94E">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十三、甲乙双方愿意接受建设主管部门，纪检监察部门，检察部门对本协议执行情况的监督检查及处罚。</w:t>
      </w:r>
    </w:p>
    <w:p w14:paraId="63D6AEB4">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十四、本协议一式    份，甲乙双方各执   份，</w:t>
      </w:r>
    </w:p>
    <w:p w14:paraId="1C0D871D">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p w14:paraId="41EE447B">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甲方（盖章）：_____________　　 乙方（盖章）：</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w:t>
      </w:r>
    </w:p>
    <w:p w14:paraId="408B0DA2">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法定代表人（签字）：_________　　  法定代表人（签字）：_________</w:t>
      </w:r>
    </w:p>
    <w:p w14:paraId="4A57E5DD">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p w14:paraId="5049908B">
      <w:pPr>
        <w:shd w:val="clear" w:color="auto" w:fill="auto"/>
        <w:spacing w:line="560" w:lineRule="exact"/>
        <w:rPr>
          <w:rFonts w:hint="default" w:ascii="Times New Roman" w:hAnsi="Times New Roman" w:eastAsia="宋体" w:cs="Times New Roman"/>
          <w:color w:val="auto"/>
          <w:sz w:val="24"/>
          <w:szCs w:val="24"/>
          <w:highlight w:val="none"/>
        </w:rPr>
      </w:pPr>
    </w:p>
    <w:p w14:paraId="1ACA5D68">
      <w:pPr>
        <w:shd w:val="clear" w:color="auto" w:fill="auto"/>
        <w:spacing w:line="5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_________年______月______日　　_________年______月______日</w:t>
      </w:r>
    </w:p>
    <w:p w14:paraId="1E8BB89E">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p>
    <w:p w14:paraId="387EF876">
      <w:pPr>
        <w:shd w:val="clear" w:color="auto" w:fill="auto"/>
        <w:spacing w:line="500" w:lineRule="exact"/>
        <w:rPr>
          <w:rFonts w:hint="default" w:ascii="Times New Roman" w:hAnsi="Times New Roman" w:eastAsia="宋体" w:cs="Times New Roman"/>
          <w:b/>
          <w:bCs/>
          <w:color w:val="auto"/>
          <w:sz w:val="24"/>
          <w:szCs w:val="24"/>
          <w:highlight w:val="none"/>
        </w:rPr>
      </w:pPr>
    </w:p>
    <w:p w14:paraId="7544B8E8">
      <w:pPr>
        <w:shd w:val="clear" w:color="auto" w:fill="auto"/>
        <w:spacing w:line="500" w:lineRule="exac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br w:type="page"/>
      </w:r>
      <w:r>
        <w:rPr>
          <w:rFonts w:hint="default" w:ascii="Times New Roman" w:hAnsi="Times New Roman" w:eastAsia="宋体" w:cs="Times New Roman"/>
          <w:b/>
          <w:bCs/>
          <w:color w:val="auto"/>
          <w:sz w:val="24"/>
          <w:szCs w:val="24"/>
          <w:highlight w:val="none"/>
        </w:rPr>
        <w:t>附件13</w:t>
      </w:r>
    </w:p>
    <w:p w14:paraId="0EAAEC29">
      <w:pPr>
        <w:shd w:val="clear" w:color="auto" w:fill="auto"/>
        <w:bidi w:val="0"/>
        <w:jc w:val="center"/>
        <w:rPr>
          <w:rFonts w:hint="default"/>
          <w:b/>
          <w:bCs/>
          <w:color w:val="auto"/>
          <w:highlight w:val="none"/>
        </w:rPr>
      </w:pPr>
      <w:bookmarkStart w:id="525" w:name="_Toc7022"/>
      <w:r>
        <w:rPr>
          <w:rFonts w:hint="default"/>
          <w:b/>
          <w:bCs/>
          <w:color w:val="auto"/>
          <w:highlight w:val="none"/>
        </w:rPr>
        <w:t>工程项目扬尘污染防治承诺书 </w:t>
      </w:r>
      <w:bookmarkEnd w:id="525"/>
    </w:p>
    <w:p w14:paraId="1F48B6B0">
      <w:pPr>
        <w:shd w:val="clear" w:color="auto" w:fill="auto"/>
        <w:spacing w:line="500" w:lineRule="exact"/>
        <w:rPr>
          <w:rFonts w:hint="default" w:ascii="Times New Roman" w:hAnsi="Times New Roman" w:eastAsia="宋体" w:cs="Times New Roman"/>
          <w:color w:val="auto"/>
          <w:sz w:val="24"/>
          <w:szCs w:val="24"/>
          <w:highlight w:val="none"/>
        </w:rPr>
      </w:pPr>
    </w:p>
    <w:p w14:paraId="16D7BC3F">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我单位作为工程施工总承包单位，对本项目扬尘防治工作做出以下郑重承诺：</w:t>
      </w:r>
    </w:p>
    <w:p w14:paraId="5424C1E6">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一、认真贯彻执行大气污染防治的法律法规及昌吉市建设工程质量安全服务中心《2019年打赢蓝天保卫战施工扬尘污染防治专项方案》，认真履行扬尘治理责任，严格执行“八个百分百”施工扬尘防治工作标准和要求，落实“六个落实”管理要求，全面加强本项目施工扬尘控制与管理。</w:t>
      </w:r>
    </w:p>
    <w:p w14:paraId="5EC8E3D8">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二、加强对扬尘工作防治的管理，建立本项目扬尘治理责任制，明确项目领导班子、相关人员及各分包单位的扬尘防治责任，并严格检查考核，确保扬尘治理任务、责任落到实处。</w:t>
      </w:r>
    </w:p>
    <w:p w14:paraId="51186ECA">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三、根据本项目可能发生的扬尘情况，组织编制施工扬尘防治专项方案，报建设行政主管部门备案，并认真组织实施。</w:t>
      </w:r>
    </w:p>
    <w:p w14:paraId="77A288DF">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四、在施工现场出入口设立扬尘治理公示监督牌，标明项目名称、建设单位、施工单位、监理单位、施工工期、项目经理、联系电话、监督举报电话等内容，自觉接受社会监督。</w:t>
      </w:r>
    </w:p>
    <w:p w14:paraId="596BE458">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五、配备洒水设备，配备现场保洁员，专门负责现场洒水降尘和扬尘垃圾清扫，保持现场环境卫生整洁。</w:t>
      </w:r>
    </w:p>
    <w:p w14:paraId="2D8B14AB">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六、重污染天气或五级以上大风天气，不进行拆除作业、土方开挖、回填及清运作业。</w:t>
      </w:r>
    </w:p>
    <w:p w14:paraId="17E00C02">
      <w:pPr>
        <w:shd w:val="clear" w:color="auto" w:fill="auto"/>
        <w:spacing w:line="500" w:lineRule="exact"/>
        <w:ind w:left="420" w:left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七、自觉接受当地建设行政主管部门及有关部门的监督检查，对检查提出的问题，确保在最短时间内整改到位。  </w:t>
      </w:r>
    </w:p>
    <w:p w14:paraId="4AB3075E">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承诺人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签字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569C1426">
      <w:pPr>
        <w:shd w:val="clear" w:color="auto" w:fill="auto"/>
        <w:spacing w:line="500" w:lineRule="exact"/>
        <w:ind w:firstLine="480" w:firstLineChars="200"/>
        <w:rPr>
          <w:rFonts w:hint="default" w:ascii="Times New Roman" w:hAnsi="Times New Roman" w:eastAsia="宋体" w:cs="Times New Roman"/>
          <w:color w:val="auto"/>
          <w:sz w:val="24"/>
          <w:szCs w:val="24"/>
          <w:highlight w:val="none"/>
        </w:rPr>
      </w:pPr>
    </w:p>
    <w:p w14:paraId="061498E8">
      <w:pPr>
        <w:shd w:val="clear" w:color="auto" w:fill="auto"/>
        <w:spacing w:line="5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单位（盖章）：</w:t>
      </w:r>
    </w:p>
    <w:p w14:paraId="31563296">
      <w:pPr>
        <w:shd w:val="clear" w:color="auto" w:fill="auto"/>
        <w:spacing w:line="50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日期 ：</w:t>
      </w:r>
    </w:p>
    <w:bookmarkEnd w:id="10"/>
    <w:p w14:paraId="5EDE286F">
      <w:pPr>
        <w:shd w:val="clear" w:color="auto" w:fill="auto"/>
        <w:rPr>
          <w:rFonts w:ascii="Times New Roman" w:hAnsi="Times New Roman"/>
          <w:color w:val="auto"/>
          <w:highlight w:val="none"/>
        </w:rPr>
      </w:pPr>
    </w:p>
    <w:bookmarkEnd w:id="11"/>
    <w:p w14:paraId="45C90E82">
      <w:pPr>
        <w:pageBreakBefore w:val="0"/>
        <w:kinsoku w:val="0"/>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sz w:val="24"/>
          <w:szCs w:val="24"/>
        </w:rPr>
        <w:sectPr>
          <w:footerReference r:id="rId18" w:type="default"/>
          <w:pgSz w:w="11905" w:h="16838"/>
          <w:pgMar w:top="1440" w:right="1803" w:bottom="1440" w:left="1803" w:header="0" w:footer="567" w:gutter="0"/>
          <w:pgNumType w:fmt="decimal"/>
          <w:cols w:space="0" w:num="1"/>
          <w:rtlGutter w:val="0"/>
          <w:docGrid w:linePitch="0" w:charSpace="0"/>
        </w:sectPr>
      </w:pPr>
    </w:p>
    <w:p w14:paraId="38FCCD84">
      <w:pPr>
        <w:pStyle w:val="5"/>
        <w:pageBreakBefore w:val="0"/>
        <w:kinsoku w:val="0"/>
        <w:overflowPunct/>
        <w:topLinePunct w:val="0"/>
        <w:autoSpaceDE w:val="0"/>
        <w:autoSpaceDN w:val="0"/>
        <w:bidi w:val="0"/>
        <w:adjustRightInd w:val="0"/>
        <w:snapToGrid w:val="0"/>
        <w:spacing w:before="64" w:line="360" w:lineRule="auto"/>
        <w:ind w:right="0"/>
        <w:jc w:val="center"/>
        <w:textAlignment w:val="baseline"/>
        <w:outlineLvl w:val="0"/>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pPr>
      <w:bookmarkStart w:id="526" w:name="_Toc14164"/>
      <w:r>
        <w:rPr>
          <w:rFonts w:hint="eastAsia" w:ascii="仿宋" w:hAnsi="仿宋" w:eastAsia="仿宋" w:cs="仿宋"/>
          <w:b/>
          <w:bCs/>
          <w:spacing w:val="7"/>
          <w:sz w:val="32"/>
          <w:szCs w:val="32"/>
          <w14:textOutline w14:w="5835" w14:cap="flat" w14:cmpd="sng">
            <w14:solidFill>
              <w14:srgbClr w14:val="000000"/>
            </w14:solidFill>
            <w14:prstDash w14:val="solid"/>
            <w14:miter w14:val="0"/>
          </w14:textOutline>
        </w:rPr>
        <w:t>第六章响应文件格式</w:t>
      </w:r>
      <w:bookmarkEnd w:id="526"/>
    </w:p>
    <w:p w14:paraId="5E0D915C">
      <w:pPr>
        <w:pageBreakBefore w:val="0"/>
        <w:kinsoku w:val="0"/>
        <w:overflowPunct/>
        <w:topLinePunct w:val="0"/>
        <w:autoSpaceDE w:val="0"/>
        <w:autoSpaceDN w:val="0"/>
        <w:bidi w:val="0"/>
        <w:adjustRightInd w:val="0"/>
        <w:snapToGrid w:val="0"/>
        <w:spacing w:line="279" w:lineRule="auto"/>
        <w:ind w:right="0"/>
        <w:textAlignment w:val="baseline"/>
        <w:rPr>
          <w:rFonts w:hint="eastAsia" w:ascii="仿宋" w:hAnsi="仿宋" w:eastAsia="仿宋" w:cs="仿宋"/>
          <w:sz w:val="21"/>
        </w:rPr>
      </w:pPr>
    </w:p>
    <w:p w14:paraId="1C362F8D">
      <w:pPr>
        <w:pStyle w:val="5"/>
        <w:pageBreakBefore w:val="0"/>
        <w:kinsoku w:val="0"/>
        <w:overflowPunct/>
        <w:topLinePunct w:val="0"/>
        <w:autoSpaceDE w:val="0"/>
        <w:autoSpaceDN w:val="0"/>
        <w:bidi w:val="0"/>
        <w:adjustRightInd w:val="0"/>
        <w:snapToGrid w:val="0"/>
        <w:spacing w:before="98" w:line="192" w:lineRule="auto"/>
        <w:ind w:right="0"/>
        <w:textAlignment w:val="baseline"/>
        <w:rPr>
          <w:rFonts w:hint="eastAsia" w:ascii="仿宋" w:hAnsi="仿宋" w:eastAsia="仿宋" w:cs="仿宋"/>
          <w:sz w:val="23"/>
          <w:szCs w:val="23"/>
        </w:rPr>
      </w:pPr>
      <w:r>
        <w:rPr>
          <w:rFonts w:hint="eastAsia" w:ascii="仿宋" w:hAnsi="仿宋" w:eastAsia="仿宋" w:cs="仿宋"/>
          <w:spacing w:val="-10"/>
          <w:sz w:val="23"/>
          <w:szCs w:val="23"/>
          <w14:textOutline w14:w="4388" w14:cap="flat" w14:cmpd="sng">
            <w14:solidFill>
              <w14:srgbClr w14:val="000000"/>
            </w14:solidFill>
            <w14:prstDash w14:val="solid"/>
            <w14:miter w14:val="0"/>
          </w14:textOutline>
        </w:rPr>
        <w:t>第一节：封面</w:t>
      </w:r>
    </w:p>
    <w:p w14:paraId="6236C23C">
      <w:pPr>
        <w:pageBreakBefore w:val="0"/>
        <w:kinsoku w:val="0"/>
        <w:overflowPunct/>
        <w:topLinePunct w:val="0"/>
        <w:autoSpaceDE w:val="0"/>
        <w:autoSpaceDN w:val="0"/>
        <w:bidi w:val="0"/>
        <w:adjustRightInd w:val="0"/>
        <w:snapToGrid w:val="0"/>
        <w:spacing w:line="299" w:lineRule="auto"/>
        <w:ind w:right="0"/>
        <w:textAlignment w:val="baseline"/>
        <w:rPr>
          <w:rFonts w:hint="eastAsia" w:ascii="仿宋" w:hAnsi="仿宋" w:eastAsia="仿宋" w:cs="仿宋"/>
          <w:sz w:val="21"/>
        </w:rPr>
      </w:pPr>
    </w:p>
    <w:p w14:paraId="04ABDDFB">
      <w:pPr>
        <w:pageBreakBefore w:val="0"/>
        <w:kinsoku w:val="0"/>
        <w:overflowPunct/>
        <w:topLinePunct w:val="0"/>
        <w:autoSpaceDE w:val="0"/>
        <w:autoSpaceDN w:val="0"/>
        <w:bidi w:val="0"/>
        <w:adjustRightInd w:val="0"/>
        <w:snapToGrid w:val="0"/>
        <w:spacing w:line="299" w:lineRule="auto"/>
        <w:ind w:right="0"/>
        <w:textAlignment w:val="baseline"/>
        <w:rPr>
          <w:rFonts w:hint="eastAsia" w:ascii="仿宋" w:hAnsi="仿宋" w:eastAsia="仿宋" w:cs="仿宋"/>
          <w:sz w:val="21"/>
        </w:rPr>
      </w:pPr>
    </w:p>
    <w:p w14:paraId="1D11F4CF">
      <w:pPr>
        <w:pStyle w:val="5"/>
        <w:pageBreakBefore w:val="0"/>
        <w:kinsoku w:val="0"/>
        <w:overflowPunct/>
        <w:topLinePunct w:val="0"/>
        <w:autoSpaceDE w:val="0"/>
        <w:autoSpaceDN w:val="0"/>
        <w:bidi w:val="0"/>
        <w:adjustRightInd w:val="0"/>
        <w:snapToGrid w:val="0"/>
        <w:spacing w:before="128" w:line="960" w:lineRule="exact"/>
        <w:ind w:left="2260" w:leftChars="200" w:right="0" w:hanging="1840" w:hangingChars="692"/>
        <w:textAlignment w:val="baseline"/>
        <w:rPr>
          <w:rFonts w:hint="eastAsia" w:ascii="仿宋" w:hAnsi="仿宋" w:eastAsia="仿宋" w:cs="仿宋"/>
          <w:sz w:val="30"/>
          <w:szCs w:val="30"/>
        </w:rPr>
      </w:pPr>
      <w:r>
        <w:rPr>
          <w:rFonts w:hint="eastAsia" w:ascii="仿宋" w:hAnsi="仿宋" w:eastAsia="仿宋" w:cs="仿宋"/>
          <w:spacing w:val="-17"/>
          <w:position w:val="51"/>
          <w:sz w:val="30"/>
          <w:szCs w:val="30"/>
        </w:rPr>
        <w:t>项目编号：</w:t>
      </w:r>
    </w:p>
    <w:p w14:paraId="017CEE1B">
      <w:pPr>
        <w:pStyle w:val="5"/>
        <w:pageBreakBefore w:val="0"/>
        <w:kinsoku w:val="0"/>
        <w:overflowPunct/>
        <w:topLinePunct w:val="0"/>
        <w:autoSpaceDE w:val="0"/>
        <w:autoSpaceDN w:val="0"/>
        <w:bidi w:val="0"/>
        <w:adjustRightInd w:val="0"/>
        <w:snapToGrid w:val="0"/>
        <w:spacing w:line="190" w:lineRule="auto"/>
        <w:ind w:left="2468" w:leftChars="200" w:right="0" w:hanging="2048" w:hangingChars="692"/>
        <w:textAlignment w:val="baseline"/>
        <w:rPr>
          <w:rFonts w:hint="eastAsia" w:ascii="仿宋" w:hAnsi="仿宋" w:eastAsia="仿宋" w:cs="仿宋"/>
          <w:sz w:val="30"/>
          <w:szCs w:val="30"/>
        </w:rPr>
      </w:pPr>
      <w:r>
        <w:rPr>
          <w:rFonts w:hint="eastAsia" w:ascii="仿宋" w:hAnsi="仿宋" w:eastAsia="仿宋" w:cs="仿宋"/>
          <w:spacing w:val="-2"/>
          <w:sz w:val="30"/>
          <w:szCs w:val="30"/>
        </w:rPr>
        <w:t>分包编号：</w:t>
      </w:r>
    </w:p>
    <w:p w14:paraId="4C0A726D">
      <w:pPr>
        <w:pageBreakBefore w:val="0"/>
        <w:kinsoku w:val="0"/>
        <w:overflowPunct/>
        <w:topLinePunct w:val="0"/>
        <w:autoSpaceDE w:val="0"/>
        <w:autoSpaceDN w:val="0"/>
        <w:bidi w:val="0"/>
        <w:adjustRightInd w:val="0"/>
        <w:snapToGrid w:val="0"/>
        <w:spacing w:line="404" w:lineRule="auto"/>
        <w:ind w:left="1873" w:leftChars="200" w:right="0" w:hanging="1453" w:hangingChars="692"/>
        <w:textAlignment w:val="baseline"/>
        <w:rPr>
          <w:rFonts w:hint="eastAsia" w:ascii="仿宋" w:hAnsi="仿宋" w:eastAsia="仿宋" w:cs="仿宋"/>
          <w:sz w:val="21"/>
        </w:rPr>
      </w:pPr>
    </w:p>
    <w:p w14:paraId="3146C938">
      <w:pPr>
        <w:pStyle w:val="5"/>
        <w:pageBreakBefore w:val="0"/>
        <w:kinsoku w:val="0"/>
        <w:overflowPunct/>
        <w:topLinePunct w:val="0"/>
        <w:autoSpaceDE w:val="0"/>
        <w:autoSpaceDN w:val="0"/>
        <w:bidi w:val="0"/>
        <w:adjustRightInd w:val="0"/>
        <w:snapToGrid w:val="0"/>
        <w:spacing w:before="129" w:line="189" w:lineRule="auto"/>
        <w:ind w:left="2357" w:leftChars="200" w:right="0" w:hanging="1937" w:hangingChars="692"/>
        <w:textAlignment w:val="baseline"/>
        <w:rPr>
          <w:rFonts w:hint="eastAsia" w:ascii="仿宋" w:hAnsi="仿宋" w:eastAsia="仿宋" w:cs="仿宋"/>
          <w:sz w:val="30"/>
          <w:szCs w:val="30"/>
        </w:rPr>
      </w:pPr>
      <w:r>
        <w:rPr>
          <w:rFonts w:hint="eastAsia" w:ascii="仿宋" w:hAnsi="仿宋" w:eastAsia="仿宋" w:cs="仿宋"/>
          <w:spacing w:val="-10"/>
          <w:sz w:val="30"/>
          <w:szCs w:val="30"/>
        </w:rPr>
        <w:t>项目名称：</w:t>
      </w:r>
    </w:p>
    <w:p w14:paraId="0D5C3B8F">
      <w:pPr>
        <w:pageBreakBefore w:val="0"/>
        <w:kinsoku w:val="0"/>
        <w:overflowPunct/>
        <w:topLinePunct w:val="0"/>
        <w:autoSpaceDE w:val="0"/>
        <w:autoSpaceDN w:val="0"/>
        <w:bidi w:val="0"/>
        <w:adjustRightInd w:val="0"/>
        <w:snapToGrid w:val="0"/>
        <w:spacing w:line="254" w:lineRule="auto"/>
        <w:ind w:left="1873" w:leftChars="200" w:right="0" w:hanging="1453" w:hangingChars="692"/>
        <w:textAlignment w:val="baseline"/>
        <w:rPr>
          <w:rFonts w:hint="eastAsia" w:ascii="仿宋" w:hAnsi="仿宋" w:eastAsia="仿宋" w:cs="仿宋"/>
          <w:sz w:val="21"/>
        </w:rPr>
      </w:pPr>
    </w:p>
    <w:p w14:paraId="0E3353BF">
      <w:pPr>
        <w:pageBreakBefore w:val="0"/>
        <w:kinsoku w:val="0"/>
        <w:overflowPunct/>
        <w:topLinePunct w:val="0"/>
        <w:autoSpaceDE w:val="0"/>
        <w:autoSpaceDN w:val="0"/>
        <w:bidi w:val="0"/>
        <w:adjustRightInd w:val="0"/>
        <w:snapToGrid w:val="0"/>
        <w:spacing w:line="254" w:lineRule="auto"/>
        <w:ind w:right="0"/>
        <w:textAlignment w:val="baseline"/>
        <w:rPr>
          <w:rFonts w:hint="eastAsia" w:ascii="仿宋" w:hAnsi="仿宋" w:eastAsia="仿宋" w:cs="仿宋"/>
          <w:sz w:val="21"/>
        </w:rPr>
      </w:pPr>
    </w:p>
    <w:p w14:paraId="31846F30">
      <w:pPr>
        <w:pageBreakBefore w:val="0"/>
        <w:kinsoku w:val="0"/>
        <w:overflowPunct/>
        <w:topLinePunct w:val="0"/>
        <w:autoSpaceDE w:val="0"/>
        <w:autoSpaceDN w:val="0"/>
        <w:bidi w:val="0"/>
        <w:adjustRightInd w:val="0"/>
        <w:snapToGrid w:val="0"/>
        <w:spacing w:line="254" w:lineRule="auto"/>
        <w:ind w:right="0"/>
        <w:textAlignment w:val="baseline"/>
        <w:rPr>
          <w:rFonts w:hint="eastAsia" w:ascii="仿宋" w:hAnsi="仿宋" w:eastAsia="仿宋" w:cs="仿宋"/>
          <w:sz w:val="21"/>
        </w:rPr>
      </w:pPr>
    </w:p>
    <w:p w14:paraId="0D256285">
      <w:pPr>
        <w:pageBreakBefore w:val="0"/>
        <w:kinsoku w:val="0"/>
        <w:overflowPunct/>
        <w:topLinePunct w:val="0"/>
        <w:autoSpaceDE w:val="0"/>
        <w:autoSpaceDN w:val="0"/>
        <w:bidi w:val="0"/>
        <w:adjustRightInd w:val="0"/>
        <w:snapToGrid w:val="0"/>
        <w:spacing w:line="255" w:lineRule="auto"/>
        <w:ind w:right="0"/>
        <w:textAlignment w:val="baseline"/>
        <w:rPr>
          <w:rFonts w:hint="eastAsia" w:ascii="仿宋" w:hAnsi="仿宋" w:eastAsia="仿宋" w:cs="仿宋"/>
          <w:sz w:val="21"/>
        </w:rPr>
      </w:pPr>
    </w:p>
    <w:p w14:paraId="29DA7373">
      <w:pPr>
        <w:pageBreakBefore w:val="0"/>
        <w:kinsoku w:val="0"/>
        <w:overflowPunct/>
        <w:topLinePunct w:val="0"/>
        <w:autoSpaceDE w:val="0"/>
        <w:autoSpaceDN w:val="0"/>
        <w:bidi w:val="0"/>
        <w:adjustRightInd w:val="0"/>
        <w:snapToGrid w:val="0"/>
        <w:spacing w:line="255" w:lineRule="auto"/>
        <w:ind w:right="0"/>
        <w:textAlignment w:val="baseline"/>
        <w:rPr>
          <w:rFonts w:hint="eastAsia" w:ascii="仿宋" w:hAnsi="仿宋" w:eastAsia="仿宋" w:cs="仿宋"/>
          <w:sz w:val="21"/>
        </w:rPr>
      </w:pPr>
    </w:p>
    <w:p w14:paraId="6675268E">
      <w:pPr>
        <w:pStyle w:val="5"/>
        <w:pageBreakBefore w:val="0"/>
        <w:kinsoku w:val="0"/>
        <w:overflowPunct/>
        <w:topLinePunct w:val="0"/>
        <w:autoSpaceDE w:val="0"/>
        <w:autoSpaceDN w:val="0"/>
        <w:bidi w:val="0"/>
        <w:adjustRightInd w:val="0"/>
        <w:snapToGrid w:val="0"/>
        <w:spacing w:before="408" w:line="187" w:lineRule="auto"/>
        <w:ind w:right="0"/>
        <w:jc w:val="center"/>
        <w:textAlignment w:val="baseline"/>
        <w:outlineLvl w:val="1"/>
        <w:rPr>
          <w:rFonts w:hint="eastAsia" w:ascii="仿宋" w:hAnsi="仿宋" w:eastAsia="仿宋" w:cs="仿宋"/>
          <w:sz w:val="95"/>
          <w:szCs w:val="95"/>
        </w:rPr>
      </w:pPr>
      <w:r>
        <w:rPr>
          <w:rFonts w:hint="eastAsia" w:ascii="仿宋" w:hAnsi="仿宋" w:eastAsia="仿宋" w:cs="仿宋"/>
          <w:spacing w:val="17"/>
          <w:sz w:val="72"/>
          <w:szCs w:val="72"/>
          <w14:textOutline w14:w="17556" w14:cap="flat" w14:cmpd="sng">
            <w14:solidFill>
              <w14:srgbClr w14:val="000000"/>
            </w14:solidFill>
            <w14:prstDash w14:val="solid"/>
            <w14:miter w14:val="0"/>
          </w14:textOutline>
        </w:rPr>
        <w:t>竞争性磋商响应文件</w:t>
      </w:r>
    </w:p>
    <w:p w14:paraId="1CC2D9A7">
      <w:pPr>
        <w:pageBreakBefore w:val="0"/>
        <w:kinsoku w:val="0"/>
        <w:overflowPunct/>
        <w:topLinePunct w:val="0"/>
        <w:autoSpaceDE w:val="0"/>
        <w:autoSpaceDN w:val="0"/>
        <w:bidi w:val="0"/>
        <w:adjustRightInd w:val="0"/>
        <w:snapToGrid w:val="0"/>
        <w:spacing w:before="19"/>
        <w:ind w:right="0"/>
        <w:textAlignment w:val="baseline"/>
        <w:rPr>
          <w:rFonts w:hint="eastAsia" w:ascii="仿宋" w:hAnsi="仿宋" w:eastAsia="仿宋" w:cs="仿宋"/>
        </w:rPr>
      </w:pPr>
    </w:p>
    <w:p w14:paraId="2E84DF52">
      <w:pPr>
        <w:pageBreakBefore w:val="0"/>
        <w:kinsoku w:val="0"/>
        <w:overflowPunct/>
        <w:topLinePunct w:val="0"/>
        <w:autoSpaceDE w:val="0"/>
        <w:autoSpaceDN w:val="0"/>
        <w:bidi w:val="0"/>
        <w:adjustRightInd w:val="0"/>
        <w:snapToGrid w:val="0"/>
        <w:spacing w:before="19"/>
        <w:ind w:right="0"/>
        <w:textAlignment w:val="baseline"/>
        <w:rPr>
          <w:rFonts w:hint="eastAsia" w:ascii="仿宋" w:hAnsi="仿宋" w:eastAsia="仿宋" w:cs="仿宋"/>
        </w:rPr>
      </w:pPr>
    </w:p>
    <w:p w14:paraId="58D096D7">
      <w:pPr>
        <w:pageBreakBefore w:val="0"/>
        <w:kinsoku w:val="0"/>
        <w:overflowPunct/>
        <w:topLinePunct w:val="0"/>
        <w:autoSpaceDE w:val="0"/>
        <w:autoSpaceDN w:val="0"/>
        <w:bidi w:val="0"/>
        <w:adjustRightInd w:val="0"/>
        <w:snapToGrid w:val="0"/>
        <w:spacing w:before="19"/>
        <w:ind w:right="0"/>
        <w:textAlignment w:val="baseline"/>
        <w:rPr>
          <w:rFonts w:hint="eastAsia" w:ascii="仿宋" w:hAnsi="仿宋" w:eastAsia="仿宋" w:cs="仿宋"/>
        </w:rPr>
      </w:pPr>
    </w:p>
    <w:p w14:paraId="763562FF">
      <w:pPr>
        <w:pageBreakBefore w:val="0"/>
        <w:kinsoku w:val="0"/>
        <w:overflowPunct/>
        <w:topLinePunct w:val="0"/>
        <w:autoSpaceDE w:val="0"/>
        <w:autoSpaceDN w:val="0"/>
        <w:bidi w:val="0"/>
        <w:adjustRightInd w:val="0"/>
        <w:snapToGrid w:val="0"/>
        <w:spacing w:before="19"/>
        <w:ind w:right="0"/>
        <w:textAlignment w:val="baseline"/>
        <w:rPr>
          <w:rFonts w:hint="eastAsia" w:ascii="仿宋" w:hAnsi="仿宋" w:eastAsia="仿宋" w:cs="仿宋"/>
        </w:rPr>
      </w:pPr>
    </w:p>
    <w:p w14:paraId="0E3273F2">
      <w:pPr>
        <w:pageBreakBefore w:val="0"/>
        <w:kinsoku w:val="0"/>
        <w:overflowPunct/>
        <w:topLinePunct w:val="0"/>
        <w:autoSpaceDE w:val="0"/>
        <w:autoSpaceDN w:val="0"/>
        <w:bidi w:val="0"/>
        <w:adjustRightInd w:val="0"/>
        <w:snapToGrid w:val="0"/>
        <w:spacing w:before="18"/>
        <w:ind w:right="0"/>
        <w:textAlignment w:val="baseline"/>
        <w:rPr>
          <w:rFonts w:hint="eastAsia" w:ascii="仿宋" w:hAnsi="仿宋" w:eastAsia="仿宋" w:cs="仿宋"/>
        </w:rPr>
      </w:pPr>
    </w:p>
    <w:p w14:paraId="2CB5BA13">
      <w:pPr>
        <w:pageBreakBefore w:val="0"/>
        <w:kinsoku w:val="0"/>
        <w:overflowPunct/>
        <w:topLinePunct w:val="0"/>
        <w:autoSpaceDE w:val="0"/>
        <w:autoSpaceDN w:val="0"/>
        <w:bidi w:val="0"/>
        <w:adjustRightInd w:val="0"/>
        <w:snapToGrid w:val="0"/>
        <w:spacing w:before="18"/>
        <w:ind w:right="0"/>
        <w:textAlignment w:val="baseline"/>
        <w:rPr>
          <w:rFonts w:hint="eastAsia" w:ascii="仿宋" w:hAnsi="仿宋" w:eastAsia="仿宋" w:cs="仿宋"/>
        </w:rPr>
      </w:pPr>
    </w:p>
    <w:p w14:paraId="3866D574">
      <w:pPr>
        <w:pageBreakBefore w:val="0"/>
        <w:kinsoku w:val="0"/>
        <w:overflowPunct/>
        <w:topLinePunct w:val="0"/>
        <w:autoSpaceDE w:val="0"/>
        <w:autoSpaceDN w:val="0"/>
        <w:bidi w:val="0"/>
        <w:adjustRightInd w:val="0"/>
        <w:snapToGrid w:val="0"/>
        <w:spacing w:before="18"/>
        <w:ind w:right="0"/>
        <w:textAlignment w:val="baseline"/>
        <w:rPr>
          <w:rFonts w:hint="eastAsia" w:ascii="仿宋" w:hAnsi="仿宋" w:eastAsia="仿宋" w:cs="仿宋"/>
        </w:rPr>
      </w:pPr>
    </w:p>
    <w:p w14:paraId="6AC9E6A4">
      <w:pPr>
        <w:pageBreakBefore w:val="0"/>
        <w:kinsoku w:val="0"/>
        <w:overflowPunct/>
        <w:topLinePunct w:val="0"/>
        <w:autoSpaceDE w:val="0"/>
        <w:autoSpaceDN w:val="0"/>
        <w:bidi w:val="0"/>
        <w:adjustRightInd w:val="0"/>
        <w:snapToGrid w:val="0"/>
        <w:spacing w:line="360" w:lineRule="auto"/>
        <w:ind w:right="0" w:firstLine="292" w:firstLineChars="100"/>
        <w:textAlignment w:val="baseline"/>
        <w:rPr>
          <w:rFonts w:hint="eastAsia" w:ascii="仿宋" w:hAnsi="仿宋" w:eastAsia="仿宋" w:cs="仿宋"/>
          <w:sz w:val="30"/>
          <w:szCs w:val="30"/>
        </w:rPr>
      </w:pPr>
      <w:r>
        <w:rPr>
          <w:rFonts w:hint="eastAsia" w:ascii="仿宋" w:hAnsi="仿宋" w:eastAsia="仿宋" w:cs="仿宋"/>
          <w:spacing w:val="-4"/>
          <w:sz w:val="30"/>
          <w:szCs w:val="30"/>
        </w:rPr>
        <w:t>供应商：</w:t>
      </w:r>
      <w:r>
        <w:rPr>
          <w:rFonts w:hint="eastAsia" w:ascii="仿宋" w:hAnsi="仿宋" w:eastAsia="仿宋" w:cs="仿宋"/>
          <w:spacing w:val="10"/>
          <w:sz w:val="30"/>
          <w:szCs w:val="30"/>
        </w:rPr>
        <w:t>(电子签章)</w:t>
      </w:r>
    </w:p>
    <w:p w14:paraId="6EE4BD40">
      <w:pPr>
        <w:pStyle w:val="5"/>
        <w:pageBreakBefore w:val="0"/>
        <w:kinsoku w:val="0"/>
        <w:overflowPunct/>
        <w:topLinePunct w:val="0"/>
        <w:autoSpaceDE w:val="0"/>
        <w:autoSpaceDN w:val="0"/>
        <w:bidi w:val="0"/>
        <w:adjustRightInd w:val="0"/>
        <w:snapToGrid w:val="0"/>
        <w:spacing w:before="129" w:line="185" w:lineRule="auto"/>
        <w:ind w:left="316" w:right="0"/>
        <w:textAlignment w:val="baseline"/>
        <w:rPr>
          <w:rFonts w:hint="eastAsia" w:ascii="仿宋" w:hAnsi="仿宋" w:eastAsia="仿宋" w:cs="仿宋"/>
          <w:spacing w:val="3"/>
          <w:position w:val="49"/>
          <w:sz w:val="30"/>
          <w:szCs w:val="30"/>
        </w:rPr>
      </w:pPr>
      <w:r>
        <w:rPr>
          <w:rFonts w:hint="eastAsia" w:ascii="仿宋" w:hAnsi="仿宋" w:eastAsia="仿宋" w:cs="仿宋"/>
          <w:spacing w:val="3"/>
          <w:position w:val="49"/>
          <w:sz w:val="30"/>
          <w:szCs w:val="30"/>
        </w:rPr>
        <w:t>法定代表人：(电子签章)</w:t>
      </w:r>
    </w:p>
    <w:p w14:paraId="1A9BCD75">
      <w:pPr>
        <w:pStyle w:val="5"/>
        <w:pageBreakBefore w:val="0"/>
        <w:kinsoku w:val="0"/>
        <w:overflowPunct/>
        <w:topLinePunct w:val="0"/>
        <w:autoSpaceDE w:val="0"/>
        <w:autoSpaceDN w:val="0"/>
        <w:bidi w:val="0"/>
        <w:adjustRightInd w:val="0"/>
        <w:snapToGrid w:val="0"/>
        <w:spacing w:line="311" w:lineRule="exact"/>
        <w:ind w:left="2037" w:leftChars="200" w:right="0" w:hanging="1617" w:hangingChars="627"/>
        <w:textAlignment w:val="baseline"/>
        <w:rPr>
          <w:rFonts w:hint="eastAsia" w:ascii="仿宋" w:hAnsi="仿宋" w:eastAsia="仿宋" w:cs="仿宋"/>
          <w:sz w:val="30"/>
          <w:szCs w:val="30"/>
        </w:rPr>
      </w:pPr>
      <w:r>
        <w:rPr>
          <w:rFonts w:hint="eastAsia" w:ascii="仿宋" w:hAnsi="仿宋" w:eastAsia="仿宋" w:cs="仿宋"/>
          <w:spacing w:val="-21"/>
          <w:position w:val="-1"/>
          <w:sz w:val="30"/>
          <w:szCs w:val="30"/>
        </w:rPr>
        <w:t>日期：</w:t>
      </w:r>
    </w:p>
    <w:p w14:paraId="2E38EDEA">
      <w:pPr>
        <w:pageBreakBefore w:val="0"/>
        <w:kinsoku w:val="0"/>
        <w:overflowPunct/>
        <w:topLinePunct w:val="0"/>
        <w:autoSpaceDE w:val="0"/>
        <w:autoSpaceDN w:val="0"/>
        <w:bidi w:val="0"/>
        <w:adjustRightInd w:val="0"/>
        <w:snapToGrid w:val="0"/>
        <w:spacing w:line="14" w:lineRule="auto"/>
        <w:ind w:right="0"/>
        <w:textAlignment w:val="baseline"/>
        <w:rPr>
          <w:rFonts w:hint="eastAsia" w:ascii="仿宋" w:hAnsi="仿宋" w:eastAsia="仿宋" w:cs="仿宋"/>
          <w:sz w:val="2"/>
        </w:rPr>
      </w:pPr>
      <w:r>
        <w:rPr>
          <w:rFonts w:hint="eastAsia" w:ascii="仿宋" w:hAnsi="仿宋" w:eastAsia="仿宋" w:cs="仿宋"/>
          <w:sz w:val="2"/>
          <w:szCs w:val="2"/>
        </w:rPr>
        <w:br w:type="column"/>
      </w:r>
    </w:p>
    <w:p w14:paraId="1B3C70B6">
      <w:pPr>
        <w:pStyle w:val="5"/>
        <w:pageBreakBefore w:val="0"/>
        <w:kinsoku w:val="0"/>
        <w:overflowPunct/>
        <w:topLinePunct w:val="0"/>
        <w:autoSpaceDE w:val="0"/>
        <w:autoSpaceDN w:val="0"/>
        <w:bidi w:val="0"/>
        <w:adjustRightInd w:val="0"/>
        <w:snapToGrid w:val="0"/>
        <w:spacing w:before="47" w:line="192" w:lineRule="auto"/>
        <w:ind w:right="0"/>
        <w:textAlignment w:val="baseline"/>
        <w:outlineLvl w:val="1"/>
        <w:rPr>
          <w:rFonts w:hint="eastAsia" w:ascii="仿宋" w:hAnsi="仿宋" w:eastAsia="仿宋" w:cs="仿宋"/>
          <w:sz w:val="23"/>
          <w:szCs w:val="23"/>
        </w:rPr>
      </w:pPr>
      <w:r>
        <w:rPr>
          <w:rFonts w:hint="eastAsia" w:ascii="仿宋" w:hAnsi="仿宋" w:eastAsia="仿宋" w:cs="仿宋"/>
          <w:spacing w:val="7"/>
          <w:sz w:val="23"/>
          <w:szCs w:val="23"/>
          <w14:textOutline w14:w="4388" w14:cap="flat" w14:cmpd="sng">
            <w14:solidFill>
              <w14:srgbClr w14:val="000000"/>
            </w14:solidFill>
            <w14:prstDash w14:val="solid"/>
            <w14:miter w14:val="0"/>
          </w14:textOutline>
        </w:rPr>
        <w:t>第二节：资格证明文件格式</w:t>
      </w:r>
    </w:p>
    <w:p w14:paraId="10416EC0">
      <w:pPr>
        <w:pageBreakBefore w:val="0"/>
        <w:kinsoku w:val="0"/>
        <w:overflowPunct/>
        <w:topLinePunct w:val="0"/>
        <w:autoSpaceDE w:val="0"/>
        <w:autoSpaceDN w:val="0"/>
        <w:bidi w:val="0"/>
        <w:adjustRightInd w:val="0"/>
        <w:snapToGrid w:val="0"/>
        <w:spacing w:line="373" w:lineRule="auto"/>
        <w:ind w:right="0"/>
        <w:textAlignment w:val="baseline"/>
        <w:rPr>
          <w:rFonts w:hint="eastAsia" w:ascii="仿宋" w:hAnsi="仿宋" w:eastAsia="仿宋" w:cs="仿宋"/>
          <w:sz w:val="21"/>
        </w:rPr>
      </w:pPr>
    </w:p>
    <w:p w14:paraId="6F7E84B4">
      <w:pPr>
        <w:pStyle w:val="5"/>
        <w:pageBreakBefore w:val="0"/>
        <w:kinsoku w:val="0"/>
        <w:overflowPunct/>
        <w:topLinePunct w:val="0"/>
        <w:autoSpaceDE w:val="0"/>
        <w:autoSpaceDN w:val="0"/>
        <w:bidi w:val="0"/>
        <w:adjustRightInd w:val="0"/>
        <w:snapToGrid w:val="0"/>
        <w:spacing w:before="98" w:line="192" w:lineRule="auto"/>
        <w:ind w:left="18" w:right="0"/>
        <w:textAlignment w:val="baseline"/>
        <w:rPr>
          <w:rFonts w:hint="eastAsia" w:ascii="仿宋" w:hAnsi="仿宋" w:eastAsia="仿宋" w:cs="仿宋"/>
          <w:sz w:val="23"/>
          <w:szCs w:val="23"/>
        </w:rPr>
      </w:pPr>
      <w:r>
        <w:rPr>
          <w:rFonts w:hint="eastAsia" w:ascii="仿宋" w:hAnsi="仿宋" w:eastAsia="仿宋" w:cs="仿宋"/>
          <w:spacing w:val="17"/>
          <w:sz w:val="23"/>
          <w:szCs w:val="23"/>
          <w14:textOutline w14:w="4388" w14:cap="flat" w14:cmpd="sng">
            <w14:solidFill>
              <w14:srgbClr w14:val="000000"/>
            </w14:solidFill>
            <w14:prstDash w14:val="solid"/>
            <w14:miter w14:val="0"/>
          </w14:textOutline>
        </w:rPr>
        <w:t>1、具有独立承担民事责任的能力</w:t>
      </w:r>
    </w:p>
    <w:p w14:paraId="69C03CC0">
      <w:pPr>
        <w:pageBreakBefore w:val="0"/>
        <w:kinsoku w:val="0"/>
        <w:overflowPunct/>
        <w:topLinePunct w:val="0"/>
        <w:autoSpaceDE w:val="0"/>
        <w:autoSpaceDN w:val="0"/>
        <w:bidi w:val="0"/>
        <w:adjustRightInd w:val="0"/>
        <w:snapToGrid w:val="0"/>
        <w:spacing w:line="392" w:lineRule="auto"/>
        <w:ind w:right="0"/>
        <w:textAlignment w:val="baseline"/>
        <w:rPr>
          <w:rFonts w:hint="eastAsia" w:ascii="仿宋" w:hAnsi="仿宋" w:eastAsia="仿宋" w:cs="仿宋"/>
          <w:sz w:val="21"/>
        </w:rPr>
      </w:pPr>
    </w:p>
    <w:p w14:paraId="03A50F28">
      <w:pPr>
        <w:pStyle w:val="5"/>
        <w:pageBreakBefore w:val="0"/>
        <w:kinsoku w:val="0"/>
        <w:overflowPunct/>
        <w:topLinePunct w:val="0"/>
        <w:autoSpaceDE w:val="0"/>
        <w:autoSpaceDN w:val="0"/>
        <w:bidi w:val="0"/>
        <w:adjustRightInd w:val="0"/>
        <w:snapToGrid w:val="0"/>
        <w:spacing w:before="99" w:line="401" w:lineRule="exact"/>
        <w:ind w:left="8" w:right="0"/>
        <w:textAlignment w:val="baseline"/>
        <w:rPr>
          <w:rFonts w:hint="eastAsia" w:ascii="仿宋" w:hAnsi="仿宋" w:eastAsia="仿宋" w:cs="仿宋"/>
          <w:spacing w:val="23"/>
          <w:position w:val="12"/>
          <w:sz w:val="23"/>
          <w:szCs w:val="23"/>
        </w:rPr>
      </w:pPr>
      <w:r>
        <w:rPr>
          <w:rFonts w:hint="eastAsia" w:ascii="仿宋" w:hAnsi="仿宋" w:eastAsia="仿宋" w:cs="仿宋"/>
          <w:spacing w:val="23"/>
          <w:position w:val="12"/>
          <w:sz w:val="23"/>
          <w:szCs w:val="23"/>
        </w:rPr>
        <w:t>营业执照(或事业法人登记证或其他工商等登记证明材料)复印件(供应商为自然人的，提供自然人的身份证明)</w:t>
      </w:r>
    </w:p>
    <w:p w14:paraId="58AD5C69">
      <w:pPr>
        <w:pStyle w:val="5"/>
        <w:pageBreakBefore w:val="0"/>
        <w:kinsoku w:val="0"/>
        <w:overflowPunct/>
        <w:topLinePunct w:val="0"/>
        <w:autoSpaceDE w:val="0"/>
        <w:autoSpaceDN w:val="0"/>
        <w:bidi w:val="0"/>
        <w:adjustRightInd w:val="0"/>
        <w:snapToGrid w:val="0"/>
        <w:spacing w:before="99" w:line="401" w:lineRule="exact"/>
        <w:ind w:left="8" w:right="0"/>
        <w:textAlignment w:val="baseline"/>
        <w:rPr>
          <w:rFonts w:hint="eastAsia" w:ascii="仿宋" w:hAnsi="仿宋" w:eastAsia="仿宋" w:cs="仿宋"/>
          <w:spacing w:val="23"/>
          <w:position w:val="12"/>
          <w:sz w:val="23"/>
          <w:szCs w:val="23"/>
        </w:rPr>
      </w:pPr>
    </w:p>
    <w:p w14:paraId="3614F0F2">
      <w:pPr>
        <w:pStyle w:val="5"/>
        <w:pageBreakBefore w:val="0"/>
        <w:kinsoku w:val="0"/>
        <w:overflowPunct/>
        <w:topLinePunct w:val="0"/>
        <w:autoSpaceDE w:val="0"/>
        <w:autoSpaceDN w:val="0"/>
        <w:bidi w:val="0"/>
        <w:adjustRightInd w:val="0"/>
        <w:snapToGrid w:val="0"/>
        <w:spacing w:before="99" w:line="187" w:lineRule="auto"/>
        <w:ind w:right="0"/>
        <w:jc w:val="right"/>
        <w:textAlignment w:val="baseline"/>
        <w:rPr>
          <w:rFonts w:hint="eastAsia" w:ascii="仿宋" w:hAnsi="仿宋" w:eastAsia="仿宋" w:cs="仿宋"/>
          <w:sz w:val="23"/>
          <w:szCs w:val="23"/>
        </w:rPr>
      </w:pPr>
      <w:r>
        <w:rPr>
          <w:rFonts w:hint="eastAsia" w:ascii="仿宋" w:hAnsi="仿宋" w:eastAsia="仿宋" w:cs="仿宋"/>
          <w:spacing w:val="4"/>
          <w:sz w:val="23"/>
          <w:szCs w:val="23"/>
        </w:rPr>
        <w:t>供应商名称(电子签章)：</w:t>
      </w:r>
    </w:p>
    <w:p w14:paraId="1AEE866D">
      <w:pPr>
        <w:pStyle w:val="5"/>
        <w:pageBreakBefore w:val="0"/>
        <w:kinsoku w:val="0"/>
        <w:overflowPunct/>
        <w:topLinePunct w:val="0"/>
        <w:autoSpaceDE w:val="0"/>
        <w:autoSpaceDN w:val="0"/>
        <w:bidi w:val="0"/>
        <w:adjustRightInd w:val="0"/>
        <w:snapToGrid w:val="0"/>
        <w:spacing w:before="93" w:line="191" w:lineRule="auto"/>
        <w:ind w:right="0"/>
        <w:jc w:val="right"/>
        <w:textAlignment w:val="baseline"/>
        <w:rPr>
          <w:rFonts w:hint="eastAsia" w:ascii="仿宋" w:hAnsi="仿宋" w:eastAsia="仿宋" w:cs="仿宋"/>
          <w:sz w:val="23"/>
          <w:szCs w:val="23"/>
        </w:rPr>
      </w:pPr>
      <w:r>
        <w:rPr>
          <w:rFonts w:hint="eastAsia" w:ascii="仿宋" w:hAnsi="仿宋" w:eastAsia="仿宋" w:cs="仿宋"/>
          <w:spacing w:val="-14"/>
          <w:sz w:val="23"/>
          <w:szCs w:val="23"/>
        </w:rPr>
        <w:t>日期：年月日</w:t>
      </w:r>
    </w:p>
    <w:p w14:paraId="5C830B3B">
      <w:pPr>
        <w:pageBreakBefore w:val="0"/>
        <w:kinsoku w:val="0"/>
        <w:overflowPunct/>
        <w:topLinePunct w:val="0"/>
        <w:autoSpaceDE w:val="0"/>
        <w:autoSpaceDN w:val="0"/>
        <w:bidi w:val="0"/>
        <w:adjustRightInd w:val="0"/>
        <w:snapToGrid w:val="0"/>
        <w:spacing w:line="373" w:lineRule="auto"/>
        <w:ind w:right="0"/>
        <w:textAlignment w:val="baseline"/>
        <w:rPr>
          <w:rFonts w:hint="eastAsia" w:ascii="仿宋" w:hAnsi="仿宋" w:eastAsia="仿宋" w:cs="仿宋"/>
          <w:sz w:val="21"/>
        </w:rPr>
      </w:pPr>
    </w:p>
    <w:p w14:paraId="093C4070">
      <w:pPr>
        <w:pStyle w:val="5"/>
        <w:pageBreakBefore w:val="0"/>
        <w:kinsoku w:val="0"/>
        <w:overflowPunct/>
        <w:topLinePunct w:val="0"/>
        <w:autoSpaceDE w:val="0"/>
        <w:autoSpaceDN w:val="0"/>
        <w:bidi w:val="0"/>
        <w:adjustRightInd w:val="0"/>
        <w:snapToGrid w:val="0"/>
        <w:spacing w:before="99" w:line="192" w:lineRule="auto"/>
        <w:ind w:left="3" w:right="0"/>
        <w:textAlignment w:val="baseline"/>
        <w:rPr>
          <w:rFonts w:hint="eastAsia" w:ascii="仿宋" w:hAnsi="仿宋" w:eastAsia="仿宋" w:cs="仿宋"/>
          <w:sz w:val="23"/>
          <w:szCs w:val="23"/>
        </w:rPr>
      </w:pPr>
      <w:r>
        <w:rPr>
          <w:rFonts w:hint="eastAsia" w:ascii="仿宋" w:hAnsi="仿宋" w:eastAsia="仿宋" w:cs="仿宋"/>
          <w:spacing w:val="21"/>
          <w:sz w:val="23"/>
          <w:szCs w:val="23"/>
          <w14:textOutline w14:w="4388" w14:cap="flat" w14:cmpd="sng">
            <w14:solidFill>
              <w14:srgbClr w14:val="000000"/>
            </w14:solidFill>
            <w14:prstDash w14:val="solid"/>
            <w14:miter w14:val="0"/>
          </w14:textOutline>
        </w:rPr>
        <w:t>2、政府采购政策</w:t>
      </w:r>
    </w:p>
    <w:p w14:paraId="4E034BC1">
      <w:pPr>
        <w:pStyle w:val="5"/>
        <w:pageBreakBefore w:val="0"/>
        <w:kinsoku w:val="0"/>
        <w:overflowPunct/>
        <w:topLinePunct w:val="0"/>
        <w:autoSpaceDE w:val="0"/>
        <w:autoSpaceDN w:val="0"/>
        <w:bidi w:val="0"/>
        <w:adjustRightInd w:val="0"/>
        <w:snapToGrid w:val="0"/>
        <w:spacing w:before="95" w:line="192" w:lineRule="auto"/>
        <w:ind w:left="19" w:right="0"/>
        <w:textAlignment w:val="baseline"/>
        <w:outlineLvl w:val="2"/>
        <w:rPr>
          <w:rFonts w:hint="eastAsia" w:ascii="仿宋" w:hAnsi="仿宋" w:eastAsia="仿宋" w:cs="仿宋"/>
          <w:sz w:val="23"/>
          <w:szCs w:val="23"/>
        </w:rPr>
      </w:pPr>
      <w:r>
        <w:rPr>
          <w:rFonts w:hint="eastAsia" w:ascii="仿宋" w:hAnsi="仿宋" w:eastAsia="仿宋" w:cs="仿宋"/>
          <w:spacing w:val="-19"/>
          <w:sz w:val="23"/>
          <w:szCs w:val="23"/>
        </w:rPr>
        <w:t>附表1：</w:t>
      </w:r>
    </w:p>
    <w:p w14:paraId="76956114">
      <w:pPr>
        <w:pageBreakBefore w:val="0"/>
        <w:kinsoku w:val="0"/>
        <w:overflowPunct/>
        <w:topLinePunct w:val="0"/>
        <w:autoSpaceDE w:val="0"/>
        <w:autoSpaceDN w:val="0"/>
        <w:bidi w:val="0"/>
        <w:adjustRightInd w:val="0"/>
        <w:snapToGrid w:val="0"/>
        <w:spacing w:line="363" w:lineRule="auto"/>
        <w:ind w:right="0"/>
        <w:textAlignment w:val="baseline"/>
        <w:rPr>
          <w:rFonts w:hint="eastAsia" w:ascii="仿宋" w:hAnsi="仿宋" w:eastAsia="仿宋" w:cs="仿宋"/>
          <w:sz w:val="21"/>
        </w:rPr>
      </w:pPr>
    </w:p>
    <w:p w14:paraId="7A303329">
      <w:pPr>
        <w:pStyle w:val="5"/>
        <w:pageBreakBefore w:val="0"/>
        <w:kinsoku w:val="0"/>
        <w:overflowPunct/>
        <w:topLinePunct w:val="0"/>
        <w:autoSpaceDE w:val="0"/>
        <w:autoSpaceDN w:val="0"/>
        <w:bidi w:val="0"/>
        <w:adjustRightInd w:val="0"/>
        <w:snapToGrid w:val="0"/>
        <w:spacing w:before="99" w:line="187" w:lineRule="auto"/>
        <w:ind w:left="3285" w:right="0"/>
        <w:textAlignment w:val="baseline"/>
        <w:rPr>
          <w:rFonts w:hint="eastAsia" w:ascii="仿宋" w:hAnsi="仿宋" w:eastAsia="仿宋" w:cs="仿宋"/>
          <w:sz w:val="28"/>
          <w:szCs w:val="28"/>
        </w:rPr>
      </w:pPr>
      <w:r>
        <w:rPr>
          <w:rFonts w:hint="eastAsia" w:ascii="仿宋" w:hAnsi="仿宋" w:eastAsia="仿宋" w:cs="仿宋"/>
          <w:spacing w:val="26"/>
          <w:sz w:val="28"/>
          <w:szCs w:val="28"/>
          <w14:textOutline w14:w="4388" w14:cap="flat" w14:cmpd="sng">
            <w14:solidFill>
              <w14:srgbClr w14:val="000000"/>
            </w14:solidFill>
            <w14:prstDash w14:val="solid"/>
            <w14:miter w14:val="0"/>
          </w14:textOutline>
        </w:rPr>
        <w:t>中小企业声明函(工程)</w:t>
      </w:r>
    </w:p>
    <w:p w14:paraId="38DD28C4">
      <w:pPr>
        <w:pageBreakBefore w:val="0"/>
        <w:kinsoku w:val="0"/>
        <w:overflowPunct/>
        <w:topLinePunct w:val="0"/>
        <w:autoSpaceDE w:val="0"/>
        <w:autoSpaceDN w:val="0"/>
        <w:bidi w:val="0"/>
        <w:adjustRightInd w:val="0"/>
        <w:snapToGrid w:val="0"/>
        <w:spacing w:line="375" w:lineRule="auto"/>
        <w:ind w:right="0"/>
        <w:textAlignment w:val="baseline"/>
        <w:rPr>
          <w:rFonts w:hint="eastAsia" w:ascii="仿宋" w:hAnsi="仿宋" w:eastAsia="仿宋" w:cs="仿宋"/>
          <w:sz w:val="21"/>
        </w:rPr>
      </w:pPr>
    </w:p>
    <w:p w14:paraId="13670955">
      <w:pPr>
        <w:pStyle w:val="5"/>
        <w:pageBreakBefore w:val="0"/>
        <w:kinsoku w:val="0"/>
        <w:overflowPunct/>
        <w:topLinePunct w:val="0"/>
        <w:autoSpaceDE w:val="0"/>
        <w:autoSpaceDN w:val="0"/>
        <w:bidi w:val="0"/>
        <w:adjustRightInd w:val="0"/>
        <w:snapToGrid w:val="0"/>
        <w:spacing w:before="100" w:line="243" w:lineRule="auto"/>
        <w:ind w:left="3" w:right="0" w:firstLine="626"/>
        <w:textAlignment w:val="baseline"/>
        <w:rPr>
          <w:rFonts w:hint="eastAsia" w:ascii="仿宋" w:hAnsi="仿宋" w:eastAsia="仿宋" w:cs="仿宋"/>
          <w:sz w:val="23"/>
          <w:szCs w:val="23"/>
        </w:rPr>
      </w:pPr>
      <w:r>
        <w:rPr>
          <w:rFonts w:hint="eastAsia" w:ascii="仿宋" w:hAnsi="仿宋" w:eastAsia="仿宋" w:cs="仿宋"/>
          <w:spacing w:val="32"/>
          <w:sz w:val="23"/>
          <w:szCs w:val="23"/>
        </w:rPr>
        <w:t>本公司郑重声明，根据《政府采购促进中小企业</w:t>
      </w:r>
      <w:r>
        <w:rPr>
          <w:rFonts w:hint="eastAsia" w:ascii="仿宋" w:hAnsi="仿宋" w:eastAsia="仿宋" w:cs="仿宋"/>
          <w:spacing w:val="31"/>
          <w:sz w:val="23"/>
          <w:szCs w:val="23"/>
        </w:rPr>
        <w:t>发展管理办法》(财库</w:t>
      </w:r>
      <w:r>
        <w:rPr>
          <w:rFonts w:hint="eastAsia" w:ascii="仿宋" w:hAnsi="仿宋" w:eastAsia="仿宋" w:cs="仿宋"/>
          <w:spacing w:val="13"/>
          <w:sz w:val="23"/>
          <w:szCs w:val="23"/>
        </w:rPr>
        <w:t>〔2020〕46号)的规定，本公司参加</w:t>
      </w:r>
      <w:r>
        <w:rPr>
          <w:rFonts w:hint="eastAsia" w:ascii="仿宋" w:hAnsi="仿宋" w:eastAsia="仿宋" w:cs="仿宋"/>
          <w:spacing w:val="13"/>
          <w:sz w:val="23"/>
          <w:szCs w:val="23"/>
          <w:u w:val="single" w:color="auto"/>
        </w:rPr>
        <w:t>(单位名称)</w:t>
      </w:r>
      <w:r>
        <w:rPr>
          <w:rFonts w:hint="eastAsia" w:ascii="仿宋" w:hAnsi="仿宋" w:eastAsia="仿宋" w:cs="仿宋"/>
          <w:spacing w:val="12"/>
          <w:sz w:val="23"/>
          <w:szCs w:val="23"/>
        </w:rPr>
        <w:t>的</w:t>
      </w:r>
      <w:r>
        <w:rPr>
          <w:rFonts w:hint="eastAsia" w:ascii="仿宋" w:hAnsi="仿宋" w:eastAsia="仿宋" w:cs="仿宋"/>
          <w:spacing w:val="12"/>
          <w:sz w:val="23"/>
          <w:szCs w:val="23"/>
          <w:u w:val="single" w:color="auto"/>
        </w:rPr>
        <w:t>(项目名称)</w:t>
      </w:r>
      <w:r>
        <w:rPr>
          <w:rFonts w:hint="eastAsia" w:ascii="仿宋" w:hAnsi="仿宋" w:eastAsia="仿宋" w:cs="仿宋"/>
          <w:spacing w:val="12"/>
          <w:sz w:val="23"/>
          <w:szCs w:val="23"/>
        </w:rPr>
        <w:t>采购活动，</w:t>
      </w:r>
      <w:r>
        <w:rPr>
          <w:rFonts w:hint="eastAsia" w:ascii="仿宋" w:hAnsi="仿宋" w:eastAsia="仿宋" w:cs="仿宋"/>
          <w:spacing w:val="22"/>
          <w:sz w:val="23"/>
          <w:szCs w:val="23"/>
        </w:rPr>
        <w:t>工程的施工单位全部为符合政策要求的中小企业。相关企业(含联合</w:t>
      </w:r>
      <w:r>
        <w:rPr>
          <w:rFonts w:hint="eastAsia" w:ascii="仿宋" w:hAnsi="仿宋" w:eastAsia="仿宋" w:cs="仿宋"/>
          <w:spacing w:val="21"/>
          <w:sz w:val="23"/>
          <w:szCs w:val="23"/>
        </w:rPr>
        <w:t>体中的中小企业、签订分包意向协议的中小企业)的具体情况如下:</w:t>
      </w:r>
    </w:p>
    <w:p w14:paraId="58829427">
      <w:pPr>
        <w:pStyle w:val="5"/>
        <w:pageBreakBefore w:val="0"/>
        <w:kinsoku w:val="0"/>
        <w:overflowPunct/>
        <w:topLinePunct w:val="0"/>
        <w:autoSpaceDE w:val="0"/>
        <w:autoSpaceDN w:val="0"/>
        <w:bidi w:val="0"/>
        <w:adjustRightInd w:val="0"/>
        <w:snapToGrid w:val="0"/>
        <w:spacing w:before="91" w:line="244" w:lineRule="auto"/>
        <w:ind w:left="8" w:right="0" w:firstLine="444"/>
        <w:textAlignment w:val="baseline"/>
        <w:rPr>
          <w:rFonts w:hint="eastAsia" w:ascii="仿宋" w:hAnsi="仿宋" w:eastAsia="仿宋" w:cs="仿宋"/>
          <w:sz w:val="23"/>
          <w:szCs w:val="23"/>
        </w:rPr>
      </w:pPr>
      <w:r>
        <w:rPr>
          <w:rFonts w:hint="eastAsia" w:ascii="仿宋" w:hAnsi="仿宋" w:eastAsia="仿宋" w:cs="仿宋"/>
          <w:spacing w:val="13"/>
          <w:sz w:val="23"/>
          <w:szCs w:val="23"/>
        </w:rPr>
        <w:t>1.</w:t>
      </w:r>
      <w:r>
        <w:rPr>
          <w:rFonts w:hint="eastAsia" w:ascii="仿宋" w:hAnsi="仿宋" w:eastAsia="仿宋" w:cs="仿宋"/>
          <w:spacing w:val="13"/>
          <w:sz w:val="23"/>
          <w:szCs w:val="23"/>
          <w:u w:val="single" w:color="auto"/>
        </w:rPr>
        <w:t>(标的名称)</w:t>
      </w:r>
      <w:r>
        <w:rPr>
          <w:rFonts w:hint="eastAsia" w:ascii="仿宋" w:hAnsi="仿宋" w:eastAsia="仿宋" w:cs="仿宋"/>
          <w:spacing w:val="13"/>
          <w:sz w:val="23"/>
          <w:szCs w:val="23"/>
        </w:rPr>
        <w:t>，属于</w:t>
      </w:r>
      <w:r>
        <w:rPr>
          <w:rFonts w:hint="eastAsia" w:ascii="仿宋" w:hAnsi="仿宋" w:eastAsia="仿宋" w:cs="仿宋"/>
          <w:spacing w:val="13"/>
          <w:sz w:val="23"/>
          <w:szCs w:val="23"/>
          <w:u w:val="single" w:color="auto"/>
        </w:rPr>
        <w:t>(建筑业)</w:t>
      </w:r>
      <w:r>
        <w:rPr>
          <w:rFonts w:hint="eastAsia" w:ascii="仿宋" w:hAnsi="仿宋" w:eastAsia="仿宋" w:cs="仿宋"/>
          <w:spacing w:val="13"/>
          <w:sz w:val="23"/>
          <w:szCs w:val="23"/>
        </w:rPr>
        <w:t>；承建企业为</w:t>
      </w:r>
      <w:r>
        <w:rPr>
          <w:rFonts w:hint="eastAsia" w:ascii="仿宋" w:hAnsi="仿宋" w:eastAsia="仿宋" w:cs="仿宋"/>
          <w:spacing w:val="13"/>
          <w:sz w:val="23"/>
          <w:szCs w:val="23"/>
          <w:u w:val="single" w:color="auto"/>
        </w:rPr>
        <w:t>(企业名称)</w:t>
      </w:r>
      <w:r>
        <w:rPr>
          <w:rFonts w:hint="eastAsia" w:ascii="仿宋" w:hAnsi="仿宋" w:eastAsia="仿宋" w:cs="仿宋"/>
          <w:spacing w:val="13"/>
          <w:sz w:val="23"/>
          <w:szCs w:val="23"/>
        </w:rPr>
        <w:t>，从业人员人，营业收入为万元，资产总额为万元，属于</w:t>
      </w:r>
      <w:r>
        <w:rPr>
          <w:rFonts w:hint="eastAsia" w:ascii="仿宋" w:hAnsi="仿宋" w:eastAsia="仿宋" w:cs="仿宋"/>
          <w:spacing w:val="13"/>
          <w:sz w:val="23"/>
          <w:szCs w:val="23"/>
          <w:u w:val="single" w:color="auto"/>
        </w:rPr>
        <w:t>(中型企业、小型企业</w:t>
      </w:r>
      <w:r>
        <w:rPr>
          <w:rFonts w:hint="eastAsia" w:ascii="仿宋" w:hAnsi="仿宋" w:eastAsia="仿宋" w:cs="仿宋"/>
          <w:spacing w:val="12"/>
          <w:sz w:val="23"/>
          <w:szCs w:val="23"/>
          <w:u w:val="single" w:color="auto"/>
        </w:rPr>
        <w:t>、微型企</w:t>
      </w:r>
      <w:r>
        <w:rPr>
          <w:rFonts w:hint="eastAsia" w:ascii="仿宋" w:hAnsi="仿宋" w:eastAsia="仿宋" w:cs="仿宋"/>
          <w:spacing w:val="17"/>
          <w:sz w:val="23"/>
          <w:szCs w:val="23"/>
          <w:u w:val="single" w:color="auto"/>
        </w:rPr>
        <w:t>业)</w:t>
      </w:r>
      <w:r>
        <w:rPr>
          <w:rFonts w:hint="eastAsia" w:ascii="仿宋" w:hAnsi="仿宋" w:eastAsia="仿宋" w:cs="仿宋"/>
          <w:spacing w:val="17"/>
          <w:sz w:val="23"/>
          <w:szCs w:val="23"/>
        </w:rPr>
        <w:t>；</w:t>
      </w:r>
    </w:p>
    <w:p w14:paraId="49FBB50A">
      <w:pPr>
        <w:pStyle w:val="5"/>
        <w:pageBreakBefore w:val="0"/>
        <w:kinsoku w:val="0"/>
        <w:overflowPunct/>
        <w:topLinePunct w:val="0"/>
        <w:autoSpaceDE w:val="0"/>
        <w:autoSpaceDN w:val="0"/>
        <w:bidi w:val="0"/>
        <w:adjustRightInd w:val="0"/>
        <w:snapToGrid w:val="0"/>
        <w:spacing w:before="90" w:line="244" w:lineRule="auto"/>
        <w:ind w:right="0" w:firstLine="421"/>
        <w:textAlignment w:val="baseline"/>
        <w:rPr>
          <w:rFonts w:hint="eastAsia" w:ascii="仿宋" w:hAnsi="仿宋" w:eastAsia="仿宋" w:cs="仿宋"/>
          <w:sz w:val="23"/>
          <w:szCs w:val="23"/>
        </w:rPr>
      </w:pPr>
      <w:r>
        <w:rPr>
          <w:rFonts w:hint="eastAsia" w:ascii="仿宋" w:hAnsi="仿宋" w:eastAsia="仿宋" w:cs="仿宋"/>
          <w:spacing w:val="21"/>
          <w:sz w:val="23"/>
          <w:szCs w:val="23"/>
        </w:rPr>
        <w:t>2.</w:t>
      </w:r>
      <w:r>
        <w:rPr>
          <w:rFonts w:hint="eastAsia" w:ascii="仿宋" w:hAnsi="仿宋" w:eastAsia="仿宋" w:cs="仿宋"/>
          <w:spacing w:val="21"/>
          <w:sz w:val="23"/>
          <w:szCs w:val="23"/>
          <w:u w:val="single" w:color="auto"/>
        </w:rPr>
        <w:t>(标的名称)</w:t>
      </w:r>
      <w:r>
        <w:rPr>
          <w:rFonts w:hint="eastAsia" w:ascii="仿宋" w:hAnsi="仿宋" w:eastAsia="仿宋" w:cs="仿宋"/>
          <w:spacing w:val="21"/>
          <w:sz w:val="23"/>
          <w:szCs w:val="23"/>
        </w:rPr>
        <w:t>，属于</w:t>
      </w:r>
      <w:r>
        <w:rPr>
          <w:rFonts w:hint="eastAsia" w:ascii="仿宋" w:hAnsi="仿宋" w:eastAsia="仿宋" w:cs="仿宋"/>
          <w:spacing w:val="21"/>
          <w:sz w:val="23"/>
          <w:szCs w:val="23"/>
          <w:u w:val="single" w:color="auto"/>
        </w:rPr>
        <w:t>(采购文件中明确的所属行业</w:t>
      </w:r>
      <w:r>
        <w:rPr>
          <w:rFonts w:hint="eastAsia" w:ascii="仿宋" w:hAnsi="仿宋" w:eastAsia="仿宋" w:cs="仿宋"/>
          <w:spacing w:val="20"/>
          <w:sz w:val="23"/>
          <w:szCs w:val="23"/>
          <w:u w:val="single" w:color="auto"/>
        </w:rPr>
        <w:t>)</w:t>
      </w:r>
      <w:r>
        <w:rPr>
          <w:rFonts w:hint="eastAsia" w:ascii="仿宋" w:hAnsi="仿宋" w:eastAsia="仿宋" w:cs="仿宋"/>
          <w:spacing w:val="20"/>
          <w:sz w:val="23"/>
          <w:szCs w:val="23"/>
        </w:rPr>
        <w:t>行业；制造商为</w:t>
      </w:r>
      <w:r>
        <w:rPr>
          <w:rFonts w:hint="eastAsia" w:ascii="仿宋" w:hAnsi="仿宋" w:eastAsia="仿宋" w:cs="仿宋"/>
          <w:spacing w:val="20"/>
          <w:sz w:val="23"/>
          <w:szCs w:val="23"/>
          <w:u w:val="single" w:color="auto"/>
        </w:rPr>
        <w:t>(企业名</w:t>
      </w:r>
      <w:r>
        <w:rPr>
          <w:rFonts w:hint="eastAsia" w:ascii="仿宋" w:hAnsi="仿宋" w:eastAsia="仿宋" w:cs="仿宋"/>
          <w:spacing w:val="8"/>
          <w:sz w:val="23"/>
          <w:szCs w:val="23"/>
          <w:u w:val="single" w:color="auto"/>
        </w:rPr>
        <w:t>称)</w:t>
      </w:r>
      <w:r>
        <w:rPr>
          <w:rFonts w:hint="eastAsia" w:ascii="仿宋" w:hAnsi="仿宋" w:eastAsia="仿宋" w:cs="仿宋"/>
          <w:spacing w:val="8"/>
          <w:sz w:val="23"/>
          <w:szCs w:val="23"/>
        </w:rPr>
        <w:t>，从业人员人，营业收入为万元，资产总额为万元，属于</w:t>
      </w:r>
      <w:r>
        <w:rPr>
          <w:rFonts w:hint="eastAsia" w:ascii="仿宋" w:hAnsi="仿宋" w:eastAsia="仿宋" w:cs="仿宋"/>
          <w:spacing w:val="8"/>
          <w:sz w:val="23"/>
          <w:szCs w:val="23"/>
          <w:u w:val="single" w:color="auto"/>
        </w:rPr>
        <w:t>(中型</w:t>
      </w:r>
      <w:r>
        <w:rPr>
          <w:rFonts w:hint="eastAsia" w:ascii="仿宋" w:hAnsi="仿宋" w:eastAsia="仿宋" w:cs="仿宋"/>
          <w:spacing w:val="15"/>
          <w:sz w:val="23"/>
          <w:szCs w:val="23"/>
          <w:u w:val="single" w:color="auto"/>
        </w:rPr>
        <w:t>企业、小型企业、微型企业)</w:t>
      </w:r>
      <w:r>
        <w:rPr>
          <w:rFonts w:hint="eastAsia" w:ascii="仿宋" w:hAnsi="仿宋" w:eastAsia="仿宋" w:cs="仿宋"/>
          <w:spacing w:val="15"/>
          <w:sz w:val="23"/>
          <w:szCs w:val="23"/>
        </w:rPr>
        <w:t>；</w:t>
      </w:r>
    </w:p>
    <w:p w14:paraId="5475ACC8">
      <w:pPr>
        <w:pStyle w:val="5"/>
        <w:pageBreakBefore w:val="0"/>
        <w:kinsoku w:val="0"/>
        <w:overflowPunct/>
        <w:topLinePunct w:val="0"/>
        <w:autoSpaceDE w:val="0"/>
        <w:autoSpaceDN w:val="0"/>
        <w:bidi w:val="0"/>
        <w:adjustRightInd w:val="0"/>
        <w:snapToGrid w:val="0"/>
        <w:spacing w:before="269" w:line="131" w:lineRule="exact"/>
        <w:ind w:left="626" w:right="0"/>
        <w:textAlignment w:val="baseline"/>
        <w:rPr>
          <w:rFonts w:hint="eastAsia" w:ascii="仿宋" w:hAnsi="仿宋" w:eastAsia="仿宋" w:cs="仿宋"/>
          <w:sz w:val="23"/>
          <w:szCs w:val="23"/>
        </w:rPr>
      </w:pPr>
      <w:r>
        <w:rPr>
          <w:rFonts w:hint="eastAsia" w:ascii="仿宋" w:hAnsi="仿宋" w:eastAsia="仿宋" w:cs="仿宋"/>
          <w:spacing w:val="50"/>
          <w:w w:val="125"/>
          <w:position w:val="3"/>
          <w:sz w:val="23"/>
          <w:szCs w:val="23"/>
        </w:rPr>
        <w:t>......</w:t>
      </w:r>
    </w:p>
    <w:p w14:paraId="0CC09574">
      <w:pPr>
        <w:pStyle w:val="5"/>
        <w:pageBreakBefore w:val="0"/>
        <w:kinsoku w:val="0"/>
        <w:overflowPunct/>
        <w:topLinePunct w:val="0"/>
        <w:autoSpaceDE w:val="0"/>
        <w:autoSpaceDN w:val="0"/>
        <w:bidi w:val="0"/>
        <w:adjustRightInd w:val="0"/>
        <w:snapToGrid w:val="0"/>
        <w:spacing w:before="100" w:line="243" w:lineRule="auto"/>
        <w:ind w:right="0" w:firstLine="584" w:firstLineChars="200"/>
        <w:textAlignment w:val="baseline"/>
        <w:rPr>
          <w:rFonts w:hint="eastAsia" w:ascii="仿宋" w:hAnsi="仿宋" w:eastAsia="仿宋" w:cs="仿宋"/>
          <w:spacing w:val="31"/>
          <w:sz w:val="23"/>
          <w:szCs w:val="23"/>
        </w:rPr>
      </w:pPr>
      <w:r>
        <w:rPr>
          <w:rFonts w:hint="eastAsia" w:ascii="仿宋" w:hAnsi="仿宋" w:eastAsia="仿宋" w:cs="仿宋"/>
          <w:spacing w:val="31"/>
          <w:sz w:val="23"/>
          <w:szCs w:val="23"/>
        </w:rPr>
        <w:t>以上企业，不属于大企业的分支机构，不存在控股股东为大企业的情形，也不存在与大企业的负责人为同一人的情形。</w:t>
      </w:r>
    </w:p>
    <w:p w14:paraId="0F4B1238">
      <w:pPr>
        <w:pStyle w:val="5"/>
        <w:pageBreakBefore w:val="0"/>
        <w:kinsoku w:val="0"/>
        <w:overflowPunct/>
        <w:topLinePunct w:val="0"/>
        <w:autoSpaceDE w:val="0"/>
        <w:autoSpaceDN w:val="0"/>
        <w:bidi w:val="0"/>
        <w:adjustRightInd w:val="0"/>
        <w:snapToGrid w:val="0"/>
        <w:spacing w:before="100" w:line="243" w:lineRule="auto"/>
        <w:ind w:right="0" w:firstLine="584" w:firstLineChars="200"/>
        <w:textAlignment w:val="baseline"/>
        <w:rPr>
          <w:rFonts w:hint="eastAsia" w:ascii="仿宋" w:hAnsi="仿宋" w:eastAsia="仿宋" w:cs="仿宋"/>
          <w:spacing w:val="31"/>
          <w:sz w:val="23"/>
          <w:szCs w:val="23"/>
        </w:rPr>
      </w:pPr>
      <w:r>
        <w:rPr>
          <w:rFonts w:hint="eastAsia" w:ascii="仿宋" w:hAnsi="仿宋" w:eastAsia="仿宋" w:cs="仿宋"/>
          <w:spacing w:val="31"/>
          <w:sz w:val="23"/>
          <w:szCs w:val="23"/>
        </w:rPr>
        <w:t>本企业对上述声明内容的真实性负责。如有虚假，将依法承担相应责任。</w:t>
      </w:r>
    </w:p>
    <w:p w14:paraId="7B06EC85">
      <w:pPr>
        <w:pageBreakBefore w:val="0"/>
        <w:kinsoku w:val="0"/>
        <w:overflowPunct/>
        <w:topLinePunct w:val="0"/>
        <w:autoSpaceDE w:val="0"/>
        <w:autoSpaceDN w:val="0"/>
        <w:bidi w:val="0"/>
        <w:adjustRightInd w:val="0"/>
        <w:snapToGrid w:val="0"/>
        <w:spacing w:line="364" w:lineRule="auto"/>
        <w:ind w:right="0"/>
        <w:textAlignment w:val="baseline"/>
        <w:rPr>
          <w:rFonts w:hint="eastAsia" w:ascii="仿宋" w:hAnsi="仿宋" w:eastAsia="仿宋" w:cs="仿宋"/>
          <w:sz w:val="21"/>
        </w:rPr>
      </w:pPr>
    </w:p>
    <w:p w14:paraId="3DD83081">
      <w:pPr>
        <w:pStyle w:val="5"/>
        <w:pageBreakBefore w:val="0"/>
        <w:kinsoku w:val="0"/>
        <w:overflowPunct/>
        <w:topLinePunct w:val="0"/>
        <w:autoSpaceDE w:val="0"/>
        <w:autoSpaceDN w:val="0"/>
        <w:bidi w:val="0"/>
        <w:adjustRightInd w:val="0"/>
        <w:snapToGrid w:val="0"/>
        <w:spacing w:before="99" w:line="420" w:lineRule="exact"/>
        <w:ind w:left="4593" w:right="0"/>
        <w:textAlignment w:val="baseline"/>
        <w:rPr>
          <w:rFonts w:hint="eastAsia" w:ascii="仿宋" w:hAnsi="仿宋" w:eastAsia="仿宋" w:cs="仿宋"/>
          <w:sz w:val="23"/>
          <w:szCs w:val="23"/>
        </w:rPr>
      </w:pPr>
      <w:r>
        <w:rPr>
          <w:rFonts w:hint="eastAsia" w:ascii="仿宋" w:hAnsi="仿宋" w:eastAsia="仿宋" w:cs="仿宋"/>
          <w:spacing w:val="24"/>
          <w:position w:val="14"/>
          <w:sz w:val="23"/>
          <w:szCs w:val="23"/>
        </w:rPr>
        <w:t>企业名称(盖章)：</w:t>
      </w:r>
    </w:p>
    <w:p w14:paraId="61E2BA94">
      <w:pPr>
        <w:pStyle w:val="5"/>
        <w:pageBreakBefore w:val="0"/>
        <w:kinsoku w:val="0"/>
        <w:overflowPunct/>
        <w:topLinePunct w:val="0"/>
        <w:autoSpaceDE w:val="0"/>
        <w:autoSpaceDN w:val="0"/>
        <w:bidi w:val="0"/>
        <w:adjustRightInd w:val="0"/>
        <w:snapToGrid w:val="0"/>
        <w:spacing w:before="2" w:line="190" w:lineRule="auto"/>
        <w:ind w:left="4657" w:right="0"/>
        <w:textAlignment w:val="baseline"/>
        <w:rPr>
          <w:rFonts w:hint="eastAsia" w:ascii="仿宋" w:hAnsi="仿宋" w:eastAsia="仿宋" w:cs="仿宋"/>
          <w:sz w:val="23"/>
          <w:szCs w:val="23"/>
        </w:rPr>
      </w:pPr>
      <w:r>
        <w:rPr>
          <w:rFonts w:hint="eastAsia" w:ascii="仿宋" w:hAnsi="仿宋" w:eastAsia="仿宋" w:cs="仿宋"/>
          <w:spacing w:val="-16"/>
          <w:sz w:val="23"/>
          <w:szCs w:val="23"/>
        </w:rPr>
        <w:t>日期：</w:t>
      </w:r>
    </w:p>
    <w:p w14:paraId="3E9C4A80">
      <w:pPr>
        <w:pStyle w:val="5"/>
        <w:pageBreakBefore w:val="0"/>
        <w:kinsoku w:val="0"/>
        <w:overflowPunct/>
        <w:topLinePunct w:val="0"/>
        <w:autoSpaceDE w:val="0"/>
        <w:autoSpaceDN w:val="0"/>
        <w:bidi w:val="0"/>
        <w:adjustRightInd w:val="0"/>
        <w:snapToGrid w:val="0"/>
        <w:spacing w:before="327" w:line="190" w:lineRule="auto"/>
        <w:ind w:left="18" w:right="0"/>
        <w:textAlignment w:val="baseline"/>
        <w:rPr>
          <w:rFonts w:hint="eastAsia" w:ascii="仿宋" w:hAnsi="仿宋" w:eastAsia="仿宋" w:cs="仿宋"/>
          <w:sz w:val="23"/>
          <w:szCs w:val="23"/>
        </w:rPr>
      </w:pPr>
      <w:r>
        <w:rPr>
          <w:rFonts w:hint="eastAsia" w:ascii="仿宋" w:hAnsi="仿宋" w:eastAsia="仿宋" w:cs="仿宋"/>
          <w:spacing w:val="27"/>
          <w:sz w:val="23"/>
          <w:szCs w:val="23"/>
        </w:rPr>
        <w:t>1.从业人员、营业收入、资产总额填报上一</w:t>
      </w:r>
      <w:r>
        <w:rPr>
          <w:rFonts w:hint="eastAsia" w:ascii="仿宋" w:hAnsi="仿宋" w:eastAsia="仿宋" w:cs="仿宋"/>
          <w:spacing w:val="26"/>
          <w:sz w:val="23"/>
          <w:szCs w:val="23"/>
        </w:rPr>
        <w:t>年度数据，无上一年度数据的新成立</w:t>
      </w:r>
      <w:r>
        <w:rPr>
          <w:rFonts w:hint="eastAsia" w:ascii="仿宋" w:hAnsi="仿宋" w:eastAsia="仿宋" w:cs="仿宋"/>
          <w:spacing w:val="19"/>
          <w:sz w:val="23"/>
          <w:szCs w:val="23"/>
        </w:rPr>
        <w:t>企业可不填报。</w:t>
      </w:r>
    </w:p>
    <w:p w14:paraId="3A68CF79">
      <w:pPr>
        <w:pStyle w:val="5"/>
        <w:pageBreakBefore w:val="0"/>
        <w:kinsoku w:val="0"/>
        <w:overflowPunct/>
        <w:topLinePunct w:val="0"/>
        <w:autoSpaceDE w:val="0"/>
        <w:autoSpaceDN w:val="0"/>
        <w:bidi w:val="0"/>
        <w:adjustRightInd w:val="0"/>
        <w:snapToGrid w:val="0"/>
        <w:spacing w:before="8" w:line="190" w:lineRule="auto"/>
        <w:ind w:left="7" w:right="0" w:hanging="4"/>
        <w:textAlignment w:val="baseline"/>
        <w:rPr>
          <w:rFonts w:hint="eastAsia" w:ascii="仿宋" w:hAnsi="仿宋" w:eastAsia="仿宋" w:cs="仿宋"/>
          <w:sz w:val="23"/>
          <w:szCs w:val="23"/>
        </w:rPr>
      </w:pPr>
      <w:r>
        <w:rPr>
          <w:rFonts w:hint="eastAsia" w:ascii="仿宋" w:hAnsi="仿宋" w:eastAsia="仿宋" w:cs="仿宋"/>
          <w:spacing w:val="26"/>
          <w:sz w:val="23"/>
          <w:szCs w:val="23"/>
        </w:rPr>
        <w:t>2.报价人为中小企业时需提供本声明函，并完整填写从业人员、营业收入、资产</w:t>
      </w:r>
      <w:r>
        <w:rPr>
          <w:rFonts w:hint="eastAsia" w:ascii="仿宋" w:hAnsi="仿宋" w:eastAsia="仿宋" w:cs="仿宋"/>
          <w:spacing w:val="21"/>
          <w:sz w:val="23"/>
          <w:szCs w:val="23"/>
        </w:rPr>
        <w:t>总额等内容，否则评审时不能享受相应的价格扣除。</w:t>
      </w:r>
    </w:p>
    <w:p w14:paraId="1CD3541E">
      <w:pPr>
        <w:pageBreakBefore w:val="0"/>
        <w:kinsoku w:val="0"/>
        <w:overflowPunct/>
        <w:topLinePunct w:val="0"/>
        <w:autoSpaceDE w:val="0"/>
        <w:autoSpaceDN w:val="0"/>
        <w:bidi w:val="0"/>
        <w:adjustRightInd w:val="0"/>
        <w:snapToGrid w:val="0"/>
        <w:spacing w:line="190" w:lineRule="auto"/>
        <w:ind w:right="0"/>
        <w:textAlignment w:val="baseline"/>
        <w:rPr>
          <w:rFonts w:hint="eastAsia" w:ascii="仿宋" w:hAnsi="仿宋" w:eastAsia="仿宋" w:cs="仿宋"/>
          <w:sz w:val="23"/>
          <w:szCs w:val="23"/>
        </w:rPr>
        <w:sectPr>
          <w:footerReference r:id="rId19" w:type="default"/>
          <w:pgSz w:w="11905" w:h="16838"/>
          <w:pgMar w:top="1440" w:right="1803" w:bottom="1440" w:left="1803" w:header="0" w:footer="567" w:gutter="0"/>
          <w:pgNumType w:fmt="decimal"/>
          <w:cols w:space="0" w:num="1"/>
          <w:rtlGutter w:val="0"/>
          <w:docGrid w:linePitch="0" w:charSpace="0"/>
        </w:sectPr>
      </w:pPr>
    </w:p>
    <w:p w14:paraId="08240662">
      <w:pPr>
        <w:pStyle w:val="5"/>
        <w:pageBreakBefore w:val="0"/>
        <w:kinsoku w:val="0"/>
        <w:overflowPunct/>
        <w:topLinePunct w:val="0"/>
        <w:autoSpaceDE w:val="0"/>
        <w:autoSpaceDN w:val="0"/>
        <w:bidi w:val="0"/>
        <w:adjustRightInd w:val="0"/>
        <w:snapToGrid w:val="0"/>
        <w:spacing w:before="47" w:line="192" w:lineRule="auto"/>
        <w:ind w:left="19" w:right="0"/>
        <w:textAlignment w:val="baseline"/>
        <w:rPr>
          <w:rFonts w:hint="eastAsia" w:ascii="仿宋" w:hAnsi="仿宋" w:eastAsia="仿宋" w:cs="仿宋"/>
          <w:sz w:val="23"/>
          <w:szCs w:val="23"/>
        </w:rPr>
      </w:pPr>
      <w:r>
        <w:rPr>
          <w:rFonts w:hint="eastAsia" w:ascii="仿宋" w:hAnsi="仿宋" w:eastAsia="仿宋" w:cs="仿宋"/>
          <w:spacing w:val="-17"/>
          <w:sz w:val="23"/>
          <w:szCs w:val="23"/>
        </w:rPr>
        <w:t>附表</w:t>
      </w:r>
      <w:r>
        <w:rPr>
          <w:rFonts w:hint="eastAsia" w:ascii="仿宋" w:hAnsi="仿宋" w:eastAsia="仿宋" w:cs="仿宋"/>
          <w:b/>
          <w:bCs/>
          <w:spacing w:val="-17"/>
          <w:sz w:val="23"/>
          <w:szCs w:val="23"/>
          <w14:textOutline w14:w="4388" w14:cap="flat" w14:cmpd="sng">
            <w14:solidFill>
              <w14:srgbClr w14:val="000000"/>
            </w14:solidFill>
            <w14:prstDash w14:val="solid"/>
            <w14:miter w14:val="0"/>
          </w14:textOutline>
        </w:rPr>
        <w:t>2：</w:t>
      </w:r>
    </w:p>
    <w:p w14:paraId="1ABEF810">
      <w:pPr>
        <w:pageBreakBefore w:val="0"/>
        <w:kinsoku w:val="0"/>
        <w:overflowPunct/>
        <w:topLinePunct w:val="0"/>
        <w:autoSpaceDE w:val="0"/>
        <w:autoSpaceDN w:val="0"/>
        <w:bidi w:val="0"/>
        <w:adjustRightInd w:val="0"/>
        <w:snapToGrid w:val="0"/>
        <w:spacing w:line="382" w:lineRule="auto"/>
        <w:ind w:right="0"/>
        <w:textAlignment w:val="baseline"/>
        <w:rPr>
          <w:rFonts w:hint="eastAsia" w:ascii="仿宋" w:hAnsi="仿宋" w:eastAsia="仿宋" w:cs="仿宋"/>
          <w:sz w:val="21"/>
        </w:rPr>
      </w:pPr>
    </w:p>
    <w:p w14:paraId="35950583">
      <w:pPr>
        <w:pStyle w:val="5"/>
        <w:pageBreakBefore w:val="0"/>
        <w:kinsoku w:val="0"/>
        <w:overflowPunct/>
        <w:topLinePunct w:val="0"/>
        <w:autoSpaceDE w:val="0"/>
        <w:autoSpaceDN w:val="0"/>
        <w:bidi w:val="0"/>
        <w:adjustRightInd w:val="0"/>
        <w:snapToGrid w:val="0"/>
        <w:spacing w:before="99" w:line="187" w:lineRule="auto"/>
        <w:ind w:left="2657" w:right="0"/>
        <w:textAlignment w:val="baseline"/>
        <w:rPr>
          <w:rFonts w:hint="eastAsia" w:ascii="仿宋" w:hAnsi="仿宋" w:eastAsia="仿宋" w:cs="仿宋"/>
          <w:sz w:val="28"/>
          <w:szCs w:val="28"/>
        </w:rPr>
      </w:pPr>
      <w:r>
        <w:rPr>
          <w:rFonts w:hint="eastAsia" w:ascii="仿宋" w:hAnsi="仿宋" w:eastAsia="仿宋" w:cs="仿宋"/>
          <w:b/>
          <w:bCs/>
          <w:spacing w:val="24"/>
          <w:sz w:val="28"/>
          <w:szCs w:val="28"/>
          <w14:textOutline w14:w="4388" w14:cap="flat" w14:cmpd="sng">
            <w14:solidFill>
              <w14:srgbClr w14:val="000000"/>
            </w14:solidFill>
            <w14:prstDash w14:val="solid"/>
            <w14:miter w14:val="0"/>
          </w14:textOutline>
        </w:rPr>
        <w:t>残疾人福利性单位声明函(可选)</w:t>
      </w:r>
    </w:p>
    <w:p w14:paraId="627DDBAD">
      <w:pPr>
        <w:pageBreakBefore w:val="0"/>
        <w:kinsoku w:val="0"/>
        <w:overflowPunct/>
        <w:topLinePunct w:val="0"/>
        <w:autoSpaceDE w:val="0"/>
        <w:autoSpaceDN w:val="0"/>
        <w:bidi w:val="0"/>
        <w:adjustRightInd w:val="0"/>
        <w:snapToGrid w:val="0"/>
        <w:spacing w:line="355" w:lineRule="auto"/>
        <w:ind w:right="0"/>
        <w:textAlignment w:val="baseline"/>
        <w:rPr>
          <w:rFonts w:hint="eastAsia" w:ascii="仿宋" w:hAnsi="仿宋" w:eastAsia="仿宋" w:cs="仿宋"/>
          <w:sz w:val="21"/>
        </w:rPr>
      </w:pPr>
    </w:p>
    <w:p w14:paraId="0CEE4E59">
      <w:pPr>
        <w:pStyle w:val="5"/>
        <w:pageBreakBefore w:val="0"/>
        <w:kinsoku w:val="0"/>
        <w:overflowPunct/>
        <w:topLinePunct w:val="0"/>
        <w:autoSpaceDE w:val="0"/>
        <w:autoSpaceDN w:val="0"/>
        <w:bidi w:val="0"/>
        <w:adjustRightInd w:val="0"/>
        <w:snapToGrid w:val="0"/>
        <w:spacing w:before="99" w:line="243" w:lineRule="auto"/>
        <w:ind w:right="0" w:firstLine="589"/>
        <w:textAlignment w:val="baseline"/>
        <w:rPr>
          <w:rFonts w:hint="eastAsia" w:ascii="仿宋" w:hAnsi="仿宋" w:eastAsia="仿宋" w:cs="仿宋"/>
          <w:sz w:val="23"/>
          <w:szCs w:val="23"/>
        </w:rPr>
      </w:pPr>
      <w:r>
        <w:rPr>
          <w:rFonts w:hint="eastAsia" w:ascii="仿宋" w:hAnsi="仿宋" w:eastAsia="仿宋" w:cs="仿宋"/>
          <w:spacing w:val="6"/>
          <w:sz w:val="23"/>
          <w:szCs w:val="23"/>
        </w:rPr>
        <w:t>本单位郑重声明，根据《财政部民政部中国残疾人</w:t>
      </w:r>
      <w:r>
        <w:rPr>
          <w:rFonts w:hint="eastAsia" w:ascii="仿宋" w:hAnsi="仿宋" w:eastAsia="仿宋" w:cs="仿宋"/>
          <w:spacing w:val="5"/>
          <w:sz w:val="23"/>
          <w:szCs w:val="23"/>
        </w:rPr>
        <w:t>联合会关于促进残疾人就业政府</w:t>
      </w:r>
      <w:r>
        <w:rPr>
          <w:rFonts w:hint="eastAsia" w:ascii="仿宋" w:hAnsi="仿宋" w:eastAsia="仿宋" w:cs="仿宋"/>
          <w:spacing w:val="-7"/>
          <w:sz w:val="23"/>
          <w:szCs w:val="23"/>
        </w:rPr>
        <w:t>采购政策的通知》(财库〔2017〕141号)的规定，本单位为符合条件的残疾人福利性单位，</w:t>
      </w:r>
      <w:r>
        <w:rPr>
          <w:rFonts w:hint="eastAsia" w:ascii="仿宋" w:hAnsi="仿宋" w:eastAsia="仿宋" w:cs="仿宋"/>
          <w:spacing w:val="5"/>
          <w:sz w:val="23"/>
          <w:szCs w:val="23"/>
        </w:rPr>
        <w:t>且本单位参加单位的项目采购活动提供本单位制造的货物(由</w:t>
      </w:r>
      <w:r>
        <w:rPr>
          <w:rFonts w:hint="eastAsia" w:ascii="仿宋" w:hAnsi="仿宋" w:eastAsia="仿宋" w:cs="仿宋"/>
          <w:spacing w:val="4"/>
          <w:sz w:val="23"/>
          <w:szCs w:val="23"/>
        </w:rPr>
        <w:t>本单位承担</w:t>
      </w:r>
      <w:r>
        <w:rPr>
          <w:rFonts w:hint="eastAsia" w:ascii="仿宋" w:hAnsi="仿宋" w:eastAsia="仿宋" w:cs="仿宋"/>
          <w:spacing w:val="6"/>
          <w:sz w:val="23"/>
          <w:szCs w:val="23"/>
        </w:rPr>
        <w:t>工程/提供服务)，或者提供其他残疾人福利性单位制造的货物(不包括使用非残疾人福</w:t>
      </w:r>
      <w:r>
        <w:rPr>
          <w:rFonts w:hint="eastAsia" w:ascii="仿宋" w:hAnsi="仿宋" w:eastAsia="仿宋" w:cs="仿宋"/>
          <w:spacing w:val="4"/>
          <w:sz w:val="23"/>
          <w:szCs w:val="23"/>
        </w:rPr>
        <w:t>利性单位注册商标的货物)。</w:t>
      </w:r>
    </w:p>
    <w:p w14:paraId="376B741A">
      <w:pPr>
        <w:pStyle w:val="5"/>
        <w:pageBreakBefore w:val="0"/>
        <w:kinsoku w:val="0"/>
        <w:overflowPunct/>
        <w:topLinePunct w:val="0"/>
        <w:autoSpaceDE w:val="0"/>
        <w:autoSpaceDN w:val="0"/>
        <w:bidi w:val="0"/>
        <w:adjustRightInd w:val="0"/>
        <w:snapToGrid w:val="0"/>
        <w:spacing w:before="94" w:line="191" w:lineRule="auto"/>
        <w:ind w:left="457" w:right="0"/>
        <w:textAlignment w:val="baseline"/>
        <w:rPr>
          <w:rFonts w:hint="eastAsia" w:ascii="仿宋" w:hAnsi="仿宋" w:eastAsia="仿宋" w:cs="仿宋"/>
          <w:sz w:val="23"/>
          <w:szCs w:val="23"/>
        </w:rPr>
      </w:pPr>
      <w:r>
        <w:rPr>
          <w:rFonts w:hint="eastAsia" w:ascii="仿宋" w:hAnsi="仿宋" w:eastAsia="仿宋" w:cs="仿宋"/>
          <w:spacing w:val="2"/>
          <w:sz w:val="23"/>
          <w:szCs w:val="23"/>
        </w:rPr>
        <w:t>本单位对上述声明的真实性负责。如有虚假，将依法承担相应责任。</w:t>
      </w:r>
    </w:p>
    <w:p w14:paraId="5608FA36">
      <w:pPr>
        <w:pageBreakBefore w:val="0"/>
        <w:kinsoku w:val="0"/>
        <w:overflowPunct/>
        <w:topLinePunct w:val="0"/>
        <w:autoSpaceDE w:val="0"/>
        <w:autoSpaceDN w:val="0"/>
        <w:bidi w:val="0"/>
        <w:adjustRightInd w:val="0"/>
        <w:snapToGrid w:val="0"/>
        <w:spacing w:line="383" w:lineRule="auto"/>
        <w:ind w:right="0"/>
        <w:textAlignment w:val="baseline"/>
        <w:rPr>
          <w:rFonts w:hint="eastAsia" w:ascii="仿宋" w:hAnsi="仿宋" w:eastAsia="仿宋" w:cs="仿宋"/>
          <w:sz w:val="21"/>
        </w:rPr>
      </w:pPr>
    </w:p>
    <w:p w14:paraId="425AD472">
      <w:pPr>
        <w:pStyle w:val="5"/>
        <w:pageBreakBefore w:val="0"/>
        <w:kinsoku w:val="0"/>
        <w:overflowPunct/>
        <w:topLinePunct w:val="0"/>
        <w:autoSpaceDE w:val="0"/>
        <w:autoSpaceDN w:val="0"/>
        <w:bidi w:val="0"/>
        <w:adjustRightInd w:val="0"/>
        <w:snapToGrid w:val="0"/>
        <w:spacing w:before="98" w:line="187" w:lineRule="auto"/>
        <w:ind w:right="0"/>
        <w:jc w:val="right"/>
        <w:textAlignment w:val="baseline"/>
        <w:rPr>
          <w:rFonts w:hint="eastAsia" w:ascii="仿宋" w:hAnsi="仿宋" w:eastAsia="仿宋" w:cs="仿宋"/>
          <w:sz w:val="23"/>
          <w:szCs w:val="23"/>
        </w:rPr>
      </w:pPr>
      <w:r>
        <w:rPr>
          <w:rFonts w:hint="eastAsia" w:ascii="仿宋" w:hAnsi="仿宋" w:eastAsia="仿宋" w:cs="仿宋"/>
          <w:spacing w:val="7"/>
          <w:sz w:val="23"/>
          <w:szCs w:val="23"/>
        </w:rPr>
        <w:t>供应商名称(电子签章)：</w:t>
      </w:r>
    </w:p>
    <w:p w14:paraId="4A0EB9B6">
      <w:pPr>
        <w:pStyle w:val="5"/>
        <w:pageBreakBefore w:val="0"/>
        <w:kinsoku w:val="0"/>
        <w:overflowPunct/>
        <w:topLinePunct w:val="0"/>
        <w:autoSpaceDE w:val="0"/>
        <w:autoSpaceDN w:val="0"/>
        <w:bidi w:val="0"/>
        <w:adjustRightInd w:val="0"/>
        <w:snapToGrid w:val="0"/>
        <w:spacing w:before="93" w:line="191" w:lineRule="auto"/>
        <w:ind w:left="6301" w:right="0"/>
        <w:textAlignment w:val="baseline"/>
        <w:rPr>
          <w:rFonts w:hint="eastAsia" w:ascii="仿宋" w:hAnsi="仿宋" w:eastAsia="仿宋" w:cs="仿宋"/>
          <w:sz w:val="23"/>
          <w:szCs w:val="23"/>
        </w:rPr>
      </w:pPr>
      <w:r>
        <w:rPr>
          <w:rFonts w:hint="eastAsia" w:ascii="仿宋" w:hAnsi="仿宋" w:eastAsia="仿宋" w:cs="仿宋"/>
          <w:spacing w:val="-6"/>
          <w:sz w:val="23"/>
          <w:szCs w:val="23"/>
        </w:rPr>
        <w:t>日期：年月日</w:t>
      </w:r>
    </w:p>
    <w:p w14:paraId="2149A0CA">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1D9FBCD6">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2F3C7A20">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4010BE23">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0D12CDB0">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4150A023">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5A1E046A">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64A29C87">
      <w:pPr>
        <w:pStyle w:val="5"/>
        <w:pageBreakBefore w:val="0"/>
        <w:kinsoku w:val="0"/>
        <w:overflowPunct/>
        <w:topLinePunct w:val="0"/>
        <w:autoSpaceDE w:val="0"/>
        <w:autoSpaceDN w:val="0"/>
        <w:bidi w:val="0"/>
        <w:adjustRightInd w:val="0"/>
        <w:snapToGrid w:val="0"/>
        <w:spacing w:before="99" w:line="192" w:lineRule="auto"/>
        <w:ind w:left="19" w:right="0"/>
        <w:textAlignment w:val="baseline"/>
        <w:rPr>
          <w:rFonts w:hint="eastAsia" w:ascii="仿宋" w:hAnsi="仿宋" w:eastAsia="仿宋" w:cs="仿宋"/>
          <w:sz w:val="23"/>
          <w:szCs w:val="23"/>
        </w:rPr>
      </w:pPr>
      <w:r>
        <w:rPr>
          <w:rFonts w:hint="eastAsia" w:ascii="仿宋" w:hAnsi="仿宋" w:eastAsia="仿宋" w:cs="仿宋"/>
          <w:spacing w:val="-16"/>
          <w:sz w:val="23"/>
          <w:szCs w:val="23"/>
        </w:rPr>
        <w:t>附表</w:t>
      </w:r>
      <w:r>
        <w:rPr>
          <w:rFonts w:hint="eastAsia" w:ascii="仿宋" w:hAnsi="仿宋" w:eastAsia="仿宋" w:cs="仿宋"/>
          <w:b/>
          <w:bCs/>
          <w:spacing w:val="-16"/>
          <w:sz w:val="23"/>
          <w:szCs w:val="23"/>
          <w14:textOutline w14:w="4388" w14:cap="flat" w14:cmpd="sng">
            <w14:solidFill>
              <w14:srgbClr w14:val="000000"/>
            </w14:solidFill>
            <w14:prstDash w14:val="solid"/>
            <w14:miter w14:val="0"/>
          </w14:textOutline>
        </w:rPr>
        <w:t>3</w:t>
      </w:r>
      <w:r>
        <w:rPr>
          <w:rFonts w:hint="eastAsia" w:ascii="仿宋" w:hAnsi="仿宋" w:eastAsia="仿宋" w:cs="仿宋"/>
          <w:spacing w:val="-16"/>
          <w:sz w:val="23"/>
          <w:szCs w:val="23"/>
        </w:rPr>
        <w:t>：</w:t>
      </w:r>
    </w:p>
    <w:p w14:paraId="09F137AD">
      <w:pPr>
        <w:pStyle w:val="5"/>
        <w:pageBreakBefore w:val="0"/>
        <w:kinsoku w:val="0"/>
        <w:overflowPunct/>
        <w:topLinePunct w:val="0"/>
        <w:autoSpaceDE w:val="0"/>
        <w:autoSpaceDN w:val="0"/>
        <w:bidi w:val="0"/>
        <w:adjustRightInd w:val="0"/>
        <w:snapToGrid w:val="0"/>
        <w:spacing w:before="83" w:line="401" w:lineRule="exact"/>
        <w:ind w:left="4" w:right="0"/>
        <w:textAlignment w:val="baseline"/>
        <w:rPr>
          <w:rFonts w:hint="eastAsia" w:ascii="仿宋" w:hAnsi="仿宋" w:eastAsia="仿宋" w:cs="仿宋"/>
          <w:spacing w:val="18"/>
          <w:position w:val="12"/>
          <w:sz w:val="23"/>
          <w:szCs w:val="23"/>
        </w:rPr>
      </w:pPr>
      <w:r>
        <w:rPr>
          <w:rFonts w:hint="eastAsia" w:ascii="仿宋" w:hAnsi="仿宋" w:eastAsia="仿宋" w:cs="仿宋"/>
          <w:spacing w:val="18"/>
          <w:position w:val="12"/>
          <w:sz w:val="23"/>
          <w:szCs w:val="23"/>
        </w:rPr>
        <w:t>省级以上</w:t>
      </w:r>
      <w:r>
        <w:rPr>
          <w:rFonts w:hint="eastAsia" w:ascii="仿宋" w:hAnsi="仿宋" w:eastAsia="仿宋" w:cs="仿宋"/>
          <w:b/>
          <w:bCs/>
          <w:position w:val="12"/>
          <w:sz w:val="23"/>
          <w:szCs w:val="23"/>
          <w14:textOutline w14:w="4388" w14:cap="flat" w14:cmpd="sng">
            <w14:solidFill>
              <w14:srgbClr w14:val="000000"/>
            </w14:solidFill>
            <w14:prstDash w14:val="solid"/>
            <w14:miter w14:val="0"/>
          </w14:textOutline>
        </w:rPr>
        <w:t>JY</w:t>
      </w:r>
      <w:r>
        <w:rPr>
          <w:rFonts w:hint="eastAsia" w:ascii="仿宋" w:hAnsi="仿宋" w:eastAsia="仿宋" w:cs="仿宋"/>
          <w:spacing w:val="18"/>
          <w:position w:val="12"/>
          <w:sz w:val="23"/>
          <w:szCs w:val="23"/>
        </w:rPr>
        <w:t>管理局、戒毒管理局(含新疆生产</w:t>
      </w:r>
      <w:r>
        <w:rPr>
          <w:rFonts w:hint="eastAsia" w:ascii="仿宋" w:hAnsi="仿宋" w:eastAsia="仿宋" w:cs="仿宋"/>
          <w:spacing w:val="17"/>
          <w:position w:val="12"/>
          <w:sz w:val="23"/>
          <w:szCs w:val="23"/>
        </w:rPr>
        <w:t>建设兵团)出具的属于</w:t>
      </w:r>
      <w:r>
        <w:rPr>
          <w:rFonts w:hint="eastAsia" w:ascii="仿宋" w:hAnsi="仿宋" w:eastAsia="仿宋" w:cs="仿宋"/>
          <w:b/>
          <w:bCs/>
          <w:position w:val="12"/>
          <w:sz w:val="23"/>
          <w:szCs w:val="23"/>
          <w14:textOutline w14:w="4388" w14:cap="flat" w14:cmpd="sng">
            <w14:solidFill>
              <w14:srgbClr w14:val="000000"/>
            </w14:solidFill>
            <w14:prstDash w14:val="solid"/>
            <w14:miter w14:val="0"/>
          </w14:textOutline>
        </w:rPr>
        <w:t>JY</w:t>
      </w:r>
      <w:r>
        <w:rPr>
          <w:rFonts w:hint="eastAsia" w:ascii="仿宋" w:hAnsi="仿宋" w:eastAsia="仿宋" w:cs="仿宋"/>
          <w:spacing w:val="18"/>
          <w:position w:val="12"/>
          <w:sz w:val="23"/>
          <w:szCs w:val="23"/>
        </w:rPr>
        <w:t>企业的证明文件(可选)</w:t>
      </w:r>
    </w:p>
    <w:p w14:paraId="0065AA41">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1"/>
        </w:rPr>
      </w:pPr>
    </w:p>
    <w:p w14:paraId="1E7C7375">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0DDD6DE8">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35F16989">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195EFF42">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498082AC">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4E96F5A3">
      <w:pPr>
        <w:pStyle w:val="5"/>
        <w:pageBreakBefore w:val="0"/>
        <w:kinsoku w:val="0"/>
        <w:overflowPunct/>
        <w:topLinePunct w:val="0"/>
        <w:autoSpaceDE w:val="0"/>
        <w:autoSpaceDN w:val="0"/>
        <w:bidi w:val="0"/>
        <w:adjustRightInd w:val="0"/>
        <w:snapToGrid w:val="0"/>
        <w:spacing w:before="99" w:line="187" w:lineRule="auto"/>
        <w:ind w:right="0"/>
        <w:jc w:val="right"/>
        <w:textAlignment w:val="baseline"/>
        <w:rPr>
          <w:rFonts w:hint="eastAsia" w:ascii="仿宋" w:hAnsi="仿宋" w:eastAsia="仿宋" w:cs="仿宋"/>
          <w:sz w:val="23"/>
          <w:szCs w:val="23"/>
        </w:rPr>
      </w:pPr>
      <w:r>
        <w:rPr>
          <w:rFonts w:hint="eastAsia" w:ascii="仿宋" w:hAnsi="仿宋" w:eastAsia="仿宋" w:cs="仿宋"/>
          <w:spacing w:val="7"/>
          <w:sz w:val="23"/>
          <w:szCs w:val="23"/>
        </w:rPr>
        <w:t>供应商名称(电子签章)：</w:t>
      </w:r>
    </w:p>
    <w:p w14:paraId="14016CF2">
      <w:pPr>
        <w:pStyle w:val="5"/>
        <w:pageBreakBefore w:val="0"/>
        <w:kinsoku w:val="0"/>
        <w:overflowPunct/>
        <w:topLinePunct w:val="0"/>
        <w:autoSpaceDE w:val="0"/>
        <w:autoSpaceDN w:val="0"/>
        <w:bidi w:val="0"/>
        <w:adjustRightInd w:val="0"/>
        <w:snapToGrid w:val="0"/>
        <w:spacing w:before="94" w:line="191" w:lineRule="auto"/>
        <w:ind w:left="6282" w:right="0"/>
        <w:textAlignment w:val="baseline"/>
        <w:rPr>
          <w:rFonts w:hint="eastAsia" w:ascii="仿宋" w:hAnsi="仿宋" w:eastAsia="仿宋" w:cs="仿宋"/>
          <w:sz w:val="23"/>
          <w:szCs w:val="23"/>
        </w:rPr>
      </w:pPr>
      <w:r>
        <w:rPr>
          <w:rFonts w:hint="eastAsia" w:ascii="仿宋" w:hAnsi="仿宋" w:eastAsia="仿宋" w:cs="仿宋"/>
          <w:spacing w:val="-6"/>
          <w:sz w:val="23"/>
          <w:szCs w:val="23"/>
        </w:rPr>
        <w:t>日期：年月日</w:t>
      </w:r>
    </w:p>
    <w:p w14:paraId="3A50EF04">
      <w:pPr>
        <w:pageBreakBefore w:val="0"/>
        <w:kinsoku w:val="0"/>
        <w:overflowPunct/>
        <w:topLinePunct w:val="0"/>
        <w:autoSpaceDE w:val="0"/>
        <w:autoSpaceDN w:val="0"/>
        <w:bidi w:val="0"/>
        <w:adjustRightInd w:val="0"/>
        <w:snapToGrid w:val="0"/>
        <w:spacing w:line="191" w:lineRule="auto"/>
        <w:ind w:right="0"/>
        <w:textAlignment w:val="baseline"/>
        <w:rPr>
          <w:sz w:val="23"/>
          <w:szCs w:val="23"/>
        </w:rPr>
        <w:sectPr>
          <w:footerReference r:id="rId20" w:type="default"/>
          <w:pgSz w:w="11905" w:h="16838"/>
          <w:pgMar w:top="1440" w:right="1803" w:bottom="1440" w:left="1803" w:header="0" w:footer="567" w:gutter="0"/>
          <w:pgNumType w:fmt="decimal"/>
          <w:cols w:space="0" w:num="1"/>
          <w:rtlGutter w:val="0"/>
          <w:docGrid w:linePitch="0" w:charSpace="0"/>
        </w:sectPr>
      </w:pPr>
    </w:p>
    <w:p w14:paraId="326E8F40">
      <w:pPr>
        <w:pStyle w:val="5"/>
        <w:pageBreakBefore w:val="0"/>
        <w:kinsoku w:val="0"/>
        <w:overflowPunct/>
        <w:topLinePunct w:val="0"/>
        <w:autoSpaceDE w:val="0"/>
        <w:autoSpaceDN w:val="0"/>
        <w:bidi w:val="0"/>
        <w:adjustRightInd w:val="0"/>
        <w:snapToGrid w:val="0"/>
        <w:spacing w:before="47" w:line="192" w:lineRule="auto"/>
        <w:ind w:left="27" w:right="0"/>
        <w:textAlignment w:val="baseline"/>
        <w:rPr>
          <w:rFonts w:hint="eastAsia" w:ascii="仿宋" w:hAnsi="仿宋" w:eastAsia="仿宋" w:cs="仿宋"/>
          <w:sz w:val="23"/>
          <w:szCs w:val="23"/>
        </w:rPr>
      </w:pPr>
      <w:r>
        <w:rPr>
          <w:rFonts w:hint="eastAsia" w:ascii="仿宋" w:hAnsi="仿宋" w:eastAsia="仿宋" w:cs="仿宋"/>
          <w:spacing w:val="-13"/>
          <w:sz w:val="23"/>
          <w:szCs w:val="23"/>
        </w:rPr>
        <w:t>附表</w:t>
      </w:r>
      <w:r>
        <w:rPr>
          <w:rFonts w:hint="eastAsia" w:ascii="仿宋" w:hAnsi="仿宋" w:eastAsia="仿宋" w:cs="仿宋"/>
          <w:spacing w:val="-13"/>
          <w:sz w:val="23"/>
          <w:szCs w:val="23"/>
          <w14:textOutline w14:w="4388" w14:cap="flat" w14:cmpd="sng">
            <w14:solidFill>
              <w14:srgbClr w14:val="000000"/>
            </w14:solidFill>
            <w14:prstDash w14:val="solid"/>
            <w14:miter w14:val="0"/>
          </w14:textOutline>
        </w:rPr>
        <w:t>4</w:t>
      </w:r>
      <w:r>
        <w:rPr>
          <w:rFonts w:hint="eastAsia" w:ascii="仿宋" w:hAnsi="仿宋" w:eastAsia="仿宋" w:cs="仿宋"/>
          <w:spacing w:val="-13"/>
          <w:sz w:val="23"/>
          <w:szCs w:val="23"/>
        </w:rPr>
        <w:t>：</w:t>
      </w:r>
    </w:p>
    <w:p w14:paraId="2B247903">
      <w:pPr>
        <w:pageBreakBefore w:val="0"/>
        <w:kinsoku w:val="0"/>
        <w:overflowPunct/>
        <w:topLinePunct w:val="0"/>
        <w:autoSpaceDE w:val="0"/>
        <w:autoSpaceDN w:val="0"/>
        <w:bidi w:val="0"/>
        <w:adjustRightInd w:val="0"/>
        <w:snapToGrid w:val="0"/>
        <w:spacing w:line="382" w:lineRule="auto"/>
        <w:ind w:right="0"/>
        <w:textAlignment w:val="baseline"/>
        <w:rPr>
          <w:rFonts w:hint="eastAsia" w:ascii="仿宋" w:hAnsi="仿宋" w:eastAsia="仿宋" w:cs="仿宋"/>
          <w:sz w:val="24"/>
          <w:szCs w:val="24"/>
        </w:rPr>
      </w:pPr>
    </w:p>
    <w:p w14:paraId="2F15A579">
      <w:pPr>
        <w:pStyle w:val="5"/>
        <w:pageBreakBefore w:val="0"/>
        <w:kinsoku w:val="0"/>
        <w:overflowPunct/>
        <w:topLinePunct w:val="0"/>
        <w:autoSpaceDE w:val="0"/>
        <w:autoSpaceDN w:val="0"/>
        <w:bidi w:val="0"/>
        <w:adjustRightInd w:val="0"/>
        <w:snapToGrid w:val="0"/>
        <w:spacing w:before="99" w:line="187" w:lineRule="auto"/>
        <w:ind w:left="1856" w:right="0"/>
        <w:textAlignment w:val="baseline"/>
        <w:rPr>
          <w:rFonts w:hint="eastAsia" w:ascii="仿宋" w:hAnsi="仿宋" w:eastAsia="仿宋" w:cs="仿宋"/>
          <w:sz w:val="28"/>
          <w:szCs w:val="28"/>
        </w:rPr>
      </w:pPr>
      <w:r>
        <w:rPr>
          <w:rFonts w:hint="eastAsia" w:ascii="仿宋" w:hAnsi="仿宋" w:eastAsia="仿宋" w:cs="仿宋"/>
          <w:spacing w:val="6"/>
          <w:sz w:val="28"/>
          <w:szCs w:val="28"/>
          <w14:textOutline w14:w="4388" w14:cap="flat" w14:cmpd="sng">
            <w14:solidFill>
              <w14:srgbClr w14:val="000000"/>
            </w14:solidFill>
            <w14:prstDash w14:val="solid"/>
            <w14:miter w14:val="0"/>
          </w14:textOutline>
        </w:rPr>
        <w:t>节能、环境标志产品优惠明细表(若有，请如实填写)</w:t>
      </w:r>
    </w:p>
    <w:p w14:paraId="617E6439">
      <w:pPr>
        <w:pageBreakBefore w:val="0"/>
        <w:kinsoku w:val="0"/>
        <w:overflowPunct/>
        <w:topLinePunct w:val="0"/>
        <w:autoSpaceDE w:val="0"/>
        <w:autoSpaceDN w:val="0"/>
        <w:bidi w:val="0"/>
        <w:adjustRightInd w:val="0"/>
        <w:snapToGrid w:val="0"/>
        <w:spacing w:line="352" w:lineRule="auto"/>
        <w:ind w:right="0"/>
        <w:textAlignment w:val="baseline"/>
        <w:rPr>
          <w:rFonts w:hint="eastAsia" w:ascii="仿宋" w:hAnsi="仿宋" w:eastAsia="仿宋" w:cs="仿宋"/>
          <w:sz w:val="21"/>
        </w:rPr>
      </w:pPr>
    </w:p>
    <w:p w14:paraId="27963A4A">
      <w:pPr>
        <w:pStyle w:val="5"/>
        <w:pageBreakBefore w:val="0"/>
        <w:kinsoku w:val="0"/>
        <w:overflowPunct/>
        <w:topLinePunct w:val="0"/>
        <w:autoSpaceDE w:val="0"/>
        <w:autoSpaceDN w:val="0"/>
        <w:bidi w:val="0"/>
        <w:adjustRightInd w:val="0"/>
        <w:snapToGrid w:val="0"/>
        <w:spacing w:before="99" w:line="244" w:lineRule="auto"/>
        <w:ind w:left="8" w:right="0"/>
        <w:textAlignment w:val="baseline"/>
        <w:rPr>
          <w:rFonts w:hint="eastAsia" w:ascii="仿宋" w:hAnsi="仿宋" w:eastAsia="仿宋" w:cs="仿宋"/>
          <w:sz w:val="23"/>
          <w:szCs w:val="23"/>
        </w:rPr>
      </w:pPr>
      <w:r>
        <w:rPr>
          <w:rFonts w:hint="eastAsia" w:ascii="仿宋" w:hAnsi="仿宋" w:eastAsia="仿宋" w:cs="仿宋"/>
          <w:spacing w:val="5"/>
          <w:sz w:val="23"/>
          <w:szCs w:val="23"/>
        </w:rPr>
        <w:t>供应商名称(公章)：招标编号：</w:t>
      </w:r>
    </w:p>
    <w:p w14:paraId="4AFEE773">
      <w:pPr>
        <w:pStyle w:val="5"/>
        <w:pageBreakBefore w:val="0"/>
        <w:kinsoku w:val="0"/>
        <w:overflowPunct/>
        <w:topLinePunct w:val="0"/>
        <w:autoSpaceDE w:val="0"/>
        <w:autoSpaceDN w:val="0"/>
        <w:bidi w:val="0"/>
        <w:adjustRightInd w:val="0"/>
        <w:snapToGrid w:val="0"/>
        <w:spacing w:line="191" w:lineRule="auto"/>
        <w:ind w:left="8" w:right="0"/>
        <w:textAlignment w:val="baseline"/>
        <w:rPr>
          <w:rFonts w:hint="eastAsia" w:ascii="仿宋" w:hAnsi="仿宋" w:eastAsia="仿宋" w:cs="仿宋"/>
          <w:sz w:val="23"/>
          <w:szCs w:val="23"/>
        </w:rPr>
      </w:pPr>
      <w:r>
        <w:rPr>
          <w:rFonts w:hint="eastAsia" w:ascii="仿宋" w:hAnsi="仿宋" w:eastAsia="仿宋" w:cs="仿宋"/>
          <w:spacing w:val="13"/>
          <w:sz w:val="23"/>
          <w:szCs w:val="23"/>
        </w:rPr>
        <w:t>所投内容：</w:t>
      </w:r>
    </w:p>
    <w:p w14:paraId="34ADAA9B">
      <w:pPr>
        <w:pStyle w:val="5"/>
        <w:pageBreakBefore w:val="0"/>
        <w:kinsoku w:val="0"/>
        <w:overflowPunct/>
        <w:topLinePunct w:val="0"/>
        <w:autoSpaceDE w:val="0"/>
        <w:autoSpaceDN w:val="0"/>
        <w:bidi w:val="0"/>
        <w:adjustRightInd w:val="0"/>
        <w:snapToGrid w:val="0"/>
        <w:spacing w:before="86" w:line="173" w:lineRule="auto"/>
        <w:ind w:left="51" w:right="0"/>
        <w:textAlignment w:val="baseline"/>
        <w:rPr>
          <w:rFonts w:hint="eastAsia" w:ascii="仿宋" w:hAnsi="仿宋" w:eastAsia="仿宋" w:cs="仿宋"/>
          <w:sz w:val="23"/>
          <w:szCs w:val="23"/>
        </w:rPr>
      </w:pPr>
      <w:r>
        <w:rPr>
          <w:rFonts w:hint="eastAsia" w:ascii="仿宋" w:hAnsi="仿宋" w:eastAsia="仿宋" w:cs="仿宋"/>
          <w:spacing w:val="11"/>
          <w:sz w:val="23"/>
          <w:szCs w:val="23"/>
        </w:rPr>
        <w:t>(1)节能产品明细清单报价货币种类金额单位：元</w:t>
      </w:r>
    </w:p>
    <w:tbl>
      <w:tblPr>
        <w:tblStyle w:val="26"/>
        <w:tblW w:w="91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761"/>
        <w:gridCol w:w="1614"/>
        <w:gridCol w:w="1499"/>
        <w:gridCol w:w="2018"/>
        <w:gridCol w:w="980"/>
        <w:gridCol w:w="715"/>
        <w:gridCol w:w="776"/>
      </w:tblGrid>
      <w:tr w14:paraId="59D7D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74" w:type="dxa"/>
            <w:vAlign w:val="top"/>
          </w:tcPr>
          <w:p w14:paraId="0A99FA4E">
            <w:pPr>
              <w:pStyle w:val="27"/>
              <w:pageBreakBefore w:val="0"/>
              <w:kinsoku w:val="0"/>
              <w:overflowPunct/>
              <w:topLinePunct w:val="0"/>
              <w:autoSpaceDE w:val="0"/>
              <w:autoSpaceDN w:val="0"/>
              <w:bidi w:val="0"/>
              <w:adjustRightInd w:val="0"/>
              <w:snapToGrid w:val="0"/>
              <w:spacing w:before="278" w:line="192" w:lineRule="auto"/>
              <w:ind w:left="33" w:right="0"/>
              <w:textAlignment w:val="baseline"/>
              <w:rPr>
                <w:rFonts w:hint="eastAsia" w:ascii="仿宋" w:hAnsi="仿宋" w:eastAsia="仿宋" w:cs="仿宋"/>
              </w:rPr>
            </w:pPr>
            <w:r>
              <w:rPr>
                <w:rFonts w:hint="eastAsia" w:ascii="仿宋" w:hAnsi="仿宋" w:eastAsia="仿宋" w:cs="仿宋"/>
                <w:spacing w:val="6"/>
              </w:rPr>
              <w:t>制造商</w:t>
            </w:r>
          </w:p>
        </w:tc>
        <w:tc>
          <w:tcPr>
            <w:tcW w:w="761" w:type="dxa"/>
            <w:vAlign w:val="top"/>
          </w:tcPr>
          <w:p w14:paraId="09035904">
            <w:pPr>
              <w:pStyle w:val="27"/>
              <w:pageBreakBefore w:val="0"/>
              <w:kinsoku w:val="0"/>
              <w:overflowPunct/>
              <w:topLinePunct w:val="0"/>
              <w:autoSpaceDE w:val="0"/>
              <w:autoSpaceDN w:val="0"/>
              <w:bidi w:val="0"/>
              <w:adjustRightInd w:val="0"/>
              <w:snapToGrid w:val="0"/>
              <w:spacing w:before="278" w:line="192" w:lineRule="auto"/>
              <w:ind w:left="166" w:right="0"/>
              <w:textAlignment w:val="baseline"/>
              <w:rPr>
                <w:rFonts w:hint="eastAsia" w:ascii="仿宋" w:hAnsi="仿宋" w:eastAsia="仿宋" w:cs="仿宋"/>
              </w:rPr>
            </w:pPr>
            <w:r>
              <w:rPr>
                <w:rFonts w:hint="eastAsia" w:ascii="仿宋" w:hAnsi="仿宋" w:eastAsia="仿宋" w:cs="仿宋"/>
                <w:spacing w:val="-3"/>
              </w:rPr>
              <w:t>品牌</w:t>
            </w:r>
          </w:p>
        </w:tc>
        <w:tc>
          <w:tcPr>
            <w:tcW w:w="1614" w:type="dxa"/>
            <w:vAlign w:val="top"/>
          </w:tcPr>
          <w:p w14:paraId="538F086D">
            <w:pPr>
              <w:pStyle w:val="27"/>
              <w:pageBreakBefore w:val="0"/>
              <w:kinsoku w:val="0"/>
              <w:overflowPunct/>
              <w:topLinePunct w:val="0"/>
              <w:autoSpaceDE w:val="0"/>
              <w:autoSpaceDN w:val="0"/>
              <w:bidi w:val="0"/>
              <w:adjustRightInd w:val="0"/>
              <w:snapToGrid w:val="0"/>
              <w:spacing w:before="121" w:line="191" w:lineRule="auto"/>
              <w:ind w:left="452" w:right="0" w:hanging="359"/>
              <w:textAlignment w:val="baseline"/>
              <w:rPr>
                <w:rFonts w:hint="eastAsia" w:ascii="仿宋" w:hAnsi="仿宋" w:eastAsia="仿宋" w:cs="仿宋"/>
              </w:rPr>
            </w:pPr>
            <w:r>
              <w:rPr>
                <w:rFonts w:hint="eastAsia" w:ascii="仿宋" w:hAnsi="仿宋" w:eastAsia="仿宋" w:cs="仿宋"/>
                <w:spacing w:val="8"/>
              </w:rPr>
              <w:t>产品名称、规</w:t>
            </w:r>
            <w:r>
              <w:rPr>
                <w:rFonts w:hint="eastAsia" w:ascii="仿宋" w:hAnsi="仿宋" w:eastAsia="仿宋" w:cs="仿宋"/>
                <w:spacing w:val="6"/>
              </w:rPr>
              <w:t>格型号</w:t>
            </w:r>
          </w:p>
        </w:tc>
        <w:tc>
          <w:tcPr>
            <w:tcW w:w="1499" w:type="dxa"/>
            <w:vAlign w:val="top"/>
          </w:tcPr>
          <w:p w14:paraId="6505F538">
            <w:pPr>
              <w:pStyle w:val="27"/>
              <w:pageBreakBefore w:val="0"/>
              <w:kinsoku w:val="0"/>
              <w:overflowPunct/>
              <w:topLinePunct w:val="0"/>
              <w:autoSpaceDE w:val="0"/>
              <w:autoSpaceDN w:val="0"/>
              <w:bidi w:val="0"/>
              <w:adjustRightInd w:val="0"/>
              <w:snapToGrid w:val="0"/>
              <w:spacing w:before="123" w:line="191" w:lineRule="auto"/>
              <w:ind w:left="277" w:right="0" w:hanging="120"/>
              <w:textAlignment w:val="baseline"/>
              <w:rPr>
                <w:rFonts w:hint="eastAsia" w:ascii="仿宋" w:hAnsi="仿宋" w:eastAsia="仿宋" w:cs="仿宋"/>
              </w:rPr>
            </w:pPr>
            <w:r>
              <w:rPr>
                <w:rFonts w:hint="eastAsia" w:ascii="仿宋" w:hAnsi="仿宋" w:eastAsia="仿宋" w:cs="仿宋"/>
                <w:spacing w:val="8"/>
              </w:rPr>
              <w:t>节字标志认</w:t>
            </w:r>
            <w:r>
              <w:rPr>
                <w:rFonts w:hint="eastAsia" w:ascii="仿宋" w:hAnsi="仿宋" w:eastAsia="仿宋" w:cs="仿宋"/>
                <w:spacing w:val="7"/>
              </w:rPr>
              <w:t>证证书号</w:t>
            </w:r>
          </w:p>
        </w:tc>
        <w:tc>
          <w:tcPr>
            <w:tcW w:w="2018" w:type="dxa"/>
            <w:vAlign w:val="top"/>
          </w:tcPr>
          <w:p w14:paraId="7EF5DCAB">
            <w:pPr>
              <w:pStyle w:val="27"/>
              <w:pageBreakBefore w:val="0"/>
              <w:kinsoku w:val="0"/>
              <w:overflowPunct/>
              <w:topLinePunct w:val="0"/>
              <w:autoSpaceDE w:val="0"/>
              <w:autoSpaceDN w:val="0"/>
              <w:bidi w:val="0"/>
              <w:adjustRightInd w:val="0"/>
              <w:snapToGrid w:val="0"/>
              <w:spacing w:before="123" w:line="190" w:lineRule="auto"/>
              <w:ind w:left="297" w:right="0" w:hanging="240"/>
              <w:textAlignment w:val="baseline"/>
              <w:rPr>
                <w:rFonts w:hint="eastAsia" w:ascii="仿宋" w:hAnsi="仿宋" w:eastAsia="仿宋" w:cs="仿宋"/>
              </w:rPr>
            </w:pPr>
            <w:r>
              <w:rPr>
                <w:rFonts w:hint="eastAsia" w:ascii="仿宋" w:hAnsi="仿宋" w:eastAsia="仿宋" w:cs="仿宋"/>
                <w:spacing w:val="8"/>
              </w:rPr>
              <w:t>节能产品认证证书有效截止日期</w:t>
            </w:r>
          </w:p>
        </w:tc>
        <w:tc>
          <w:tcPr>
            <w:tcW w:w="980" w:type="dxa"/>
            <w:vAlign w:val="top"/>
          </w:tcPr>
          <w:p w14:paraId="4A416716">
            <w:pPr>
              <w:pStyle w:val="27"/>
              <w:pageBreakBefore w:val="0"/>
              <w:kinsoku w:val="0"/>
              <w:overflowPunct/>
              <w:topLinePunct w:val="0"/>
              <w:autoSpaceDE w:val="0"/>
              <w:autoSpaceDN w:val="0"/>
              <w:bidi w:val="0"/>
              <w:adjustRightInd w:val="0"/>
              <w:snapToGrid w:val="0"/>
              <w:spacing w:before="278" w:line="192" w:lineRule="auto"/>
              <w:ind w:left="261" w:right="0"/>
              <w:textAlignment w:val="baseline"/>
              <w:rPr>
                <w:rFonts w:hint="eastAsia" w:ascii="仿宋" w:hAnsi="仿宋" w:eastAsia="仿宋" w:cs="仿宋"/>
              </w:rPr>
            </w:pPr>
            <w:r>
              <w:rPr>
                <w:rFonts w:hint="eastAsia" w:ascii="仿宋" w:hAnsi="仿宋" w:eastAsia="仿宋" w:cs="仿宋"/>
                <w:spacing w:val="4"/>
              </w:rPr>
              <w:t>单位</w:t>
            </w:r>
          </w:p>
        </w:tc>
        <w:tc>
          <w:tcPr>
            <w:tcW w:w="715" w:type="dxa"/>
            <w:vAlign w:val="top"/>
          </w:tcPr>
          <w:p w14:paraId="3D2C6550">
            <w:pPr>
              <w:pStyle w:val="27"/>
              <w:pageBreakBefore w:val="0"/>
              <w:kinsoku w:val="0"/>
              <w:overflowPunct/>
              <w:topLinePunct w:val="0"/>
              <w:autoSpaceDE w:val="0"/>
              <w:autoSpaceDN w:val="0"/>
              <w:bidi w:val="0"/>
              <w:adjustRightInd w:val="0"/>
              <w:snapToGrid w:val="0"/>
              <w:spacing w:before="279" w:line="190" w:lineRule="auto"/>
              <w:ind w:left="128" w:right="0"/>
              <w:textAlignment w:val="baseline"/>
              <w:rPr>
                <w:rFonts w:hint="eastAsia" w:ascii="仿宋" w:hAnsi="仿宋" w:eastAsia="仿宋" w:cs="仿宋"/>
              </w:rPr>
            </w:pPr>
            <w:r>
              <w:rPr>
                <w:rFonts w:hint="eastAsia" w:ascii="仿宋" w:hAnsi="仿宋" w:eastAsia="仿宋" w:cs="仿宋"/>
                <w:spacing w:val="4"/>
              </w:rPr>
              <w:t>数量</w:t>
            </w:r>
          </w:p>
        </w:tc>
        <w:tc>
          <w:tcPr>
            <w:tcW w:w="776" w:type="dxa"/>
            <w:vAlign w:val="top"/>
          </w:tcPr>
          <w:p w14:paraId="1CE515B2">
            <w:pPr>
              <w:pStyle w:val="27"/>
              <w:pageBreakBefore w:val="0"/>
              <w:kinsoku w:val="0"/>
              <w:overflowPunct/>
              <w:topLinePunct w:val="0"/>
              <w:autoSpaceDE w:val="0"/>
              <w:autoSpaceDN w:val="0"/>
              <w:bidi w:val="0"/>
              <w:adjustRightInd w:val="0"/>
              <w:snapToGrid w:val="0"/>
              <w:spacing w:before="279" w:line="191" w:lineRule="auto"/>
              <w:ind w:left="157" w:right="0"/>
              <w:textAlignment w:val="baseline"/>
              <w:rPr>
                <w:rFonts w:hint="eastAsia" w:ascii="仿宋" w:hAnsi="仿宋" w:eastAsia="仿宋" w:cs="仿宋"/>
              </w:rPr>
            </w:pPr>
            <w:r>
              <w:rPr>
                <w:rFonts w:hint="eastAsia" w:ascii="仿宋" w:hAnsi="仿宋" w:eastAsia="仿宋" w:cs="仿宋"/>
                <w:spacing w:val="4"/>
              </w:rPr>
              <w:t>单价</w:t>
            </w:r>
          </w:p>
        </w:tc>
      </w:tr>
      <w:tr w14:paraId="7997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74" w:type="dxa"/>
            <w:vAlign w:val="top"/>
          </w:tcPr>
          <w:p w14:paraId="261CD48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61" w:type="dxa"/>
            <w:vAlign w:val="top"/>
          </w:tcPr>
          <w:p w14:paraId="7CFE521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614" w:type="dxa"/>
            <w:vAlign w:val="top"/>
          </w:tcPr>
          <w:p w14:paraId="79D9178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99" w:type="dxa"/>
            <w:vAlign w:val="top"/>
          </w:tcPr>
          <w:p w14:paraId="5303ED8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2018" w:type="dxa"/>
            <w:vAlign w:val="top"/>
          </w:tcPr>
          <w:p w14:paraId="59DE4D4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80" w:type="dxa"/>
            <w:vAlign w:val="top"/>
          </w:tcPr>
          <w:p w14:paraId="1E5F4B1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15" w:type="dxa"/>
            <w:vAlign w:val="top"/>
          </w:tcPr>
          <w:p w14:paraId="3068205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76" w:type="dxa"/>
            <w:vAlign w:val="top"/>
          </w:tcPr>
          <w:p w14:paraId="28A1EA2D">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4897C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74" w:type="dxa"/>
            <w:vAlign w:val="top"/>
          </w:tcPr>
          <w:p w14:paraId="50454DE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61" w:type="dxa"/>
            <w:vAlign w:val="top"/>
          </w:tcPr>
          <w:p w14:paraId="70AEB49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614" w:type="dxa"/>
            <w:vAlign w:val="top"/>
          </w:tcPr>
          <w:p w14:paraId="16AA1D6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99" w:type="dxa"/>
            <w:vAlign w:val="top"/>
          </w:tcPr>
          <w:p w14:paraId="4F46F86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2018" w:type="dxa"/>
            <w:vAlign w:val="top"/>
          </w:tcPr>
          <w:p w14:paraId="3661E70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80" w:type="dxa"/>
            <w:vAlign w:val="top"/>
          </w:tcPr>
          <w:p w14:paraId="60BA6CEF">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15" w:type="dxa"/>
            <w:vAlign w:val="top"/>
          </w:tcPr>
          <w:p w14:paraId="2A1B60E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76" w:type="dxa"/>
            <w:vAlign w:val="top"/>
          </w:tcPr>
          <w:p w14:paraId="2D02E01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73B90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666" w:type="dxa"/>
            <w:gridSpan w:val="5"/>
            <w:vAlign w:val="top"/>
          </w:tcPr>
          <w:p w14:paraId="3C46671F">
            <w:pPr>
              <w:pStyle w:val="27"/>
              <w:pageBreakBefore w:val="0"/>
              <w:kinsoku w:val="0"/>
              <w:overflowPunct/>
              <w:topLinePunct w:val="0"/>
              <w:autoSpaceDE w:val="0"/>
              <w:autoSpaceDN w:val="0"/>
              <w:bidi w:val="0"/>
              <w:adjustRightInd w:val="0"/>
              <w:snapToGrid w:val="0"/>
              <w:spacing w:before="116" w:line="191" w:lineRule="auto"/>
              <w:ind w:left="9" w:right="0"/>
              <w:textAlignment w:val="baseline"/>
              <w:rPr>
                <w:rFonts w:hint="eastAsia" w:ascii="仿宋" w:hAnsi="仿宋" w:eastAsia="仿宋" w:cs="仿宋"/>
              </w:rPr>
            </w:pPr>
            <w:r>
              <w:rPr>
                <w:rFonts w:hint="eastAsia" w:ascii="仿宋" w:hAnsi="仿宋" w:eastAsia="仿宋" w:cs="仿宋"/>
                <w:spacing w:val="17"/>
              </w:rPr>
              <w:t>合计金额</w:t>
            </w:r>
          </w:p>
        </w:tc>
        <w:tc>
          <w:tcPr>
            <w:tcW w:w="2471" w:type="dxa"/>
            <w:gridSpan w:val="3"/>
            <w:vAlign w:val="top"/>
          </w:tcPr>
          <w:p w14:paraId="2E7A463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bl>
    <w:p w14:paraId="34CABC33">
      <w:pPr>
        <w:pageBreakBefore w:val="0"/>
        <w:kinsoku w:val="0"/>
        <w:overflowPunct/>
        <w:topLinePunct w:val="0"/>
        <w:autoSpaceDE w:val="0"/>
        <w:autoSpaceDN w:val="0"/>
        <w:bidi w:val="0"/>
        <w:adjustRightInd w:val="0"/>
        <w:snapToGrid w:val="0"/>
        <w:spacing w:line="412" w:lineRule="auto"/>
        <w:ind w:right="0"/>
        <w:textAlignment w:val="baseline"/>
        <w:rPr>
          <w:rFonts w:hint="eastAsia" w:ascii="仿宋" w:hAnsi="仿宋" w:eastAsia="仿宋" w:cs="仿宋"/>
          <w:sz w:val="21"/>
        </w:rPr>
      </w:pPr>
    </w:p>
    <w:p w14:paraId="1C18FBB9">
      <w:pPr>
        <w:pStyle w:val="5"/>
        <w:pageBreakBefore w:val="0"/>
        <w:kinsoku w:val="0"/>
        <w:overflowPunct/>
        <w:topLinePunct w:val="0"/>
        <w:autoSpaceDE w:val="0"/>
        <w:autoSpaceDN w:val="0"/>
        <w:bidi w:val="0"/>
        <w:adjustRightInd w:val="0"/>
        <w:snapToGrid w:val="0"/>
        <w:spacing w:before="99" w:line="174" w:lineRule="auto"/>
        <w:ind w:left="51" w:right="0"/>
        <w:textAlignment w:val="baseline"/>
        <w:rPr>
          <w:rFonts w:hint="eastAsia" w:ascii="仿宋" w:hAnsi="仿宋" w:eastAsia="仿宋" w:cs="仿宋"/>
          <w:sz w:val="23"/>
          <w:szCs w:val="23"/>
        </w:rPr>
      </w:pPr>
      <w:r>
        <w:rPr>
          <w:rFonts w:hint="eastAsia" w:ascii="仿宋" w:hAnsi="仿宋" w:eastAsia="仿宋" w:cs="仿宋"/>
          <w:spacing w:val="11"/>
          <w:sz w:val="23"/>
          <w:szCs w:val="23"/>
        </w:rPr>
        <w:t>(2)环保产品明细清单</w:t>
      </w:r>
      <w:r>
        <w:rPr>
          <w:rFonts w:hint="eastAsia" w:ascii="仿宋" w:hAnsi="仿宋" w:eastAsia="仿宋" w:cs="仿宋"/>
          <w:spacing w:val="10"/>
          <w:sz w:val="23"/>
          <w:szCs w:val="23"/>
        </w:rPr>
        <w:t>报价货币种类金额单位：元</w:t>
      </w:r>
    </w:p>
    <w:tbl>
      <w:tblPr>
        <w:tblStyle w:val="26"/>
        <w:tblW w:w="91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1056"/>
        <w:gridCol w:w="1431"/>
        <w:gridCol w:w="1849"/>
        <w:gridCol w:w="1498"/>
        <w:gridCol w:w="749"/>
        <w:gridCol w:w="715"/>
        <w:gridCol w:w="776"/>
      </w:tblGrid>
      <w:tr w14:paraId="5CA00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63" w:type="dxa"/>
            <w:vAlign w:val="top"/>
          </w:tcPr>
          <w:p w14:paraId="5FE5792B">
            <w:pPr>
              <w:pStyle w:val="27"/>
              <w:pageBreakBefore w:val="0"/>
              <w:kinsoku w:val="0"/>
              <w:overflowPunct/>
              <w:topLinePunct w:val="0"/>
              <w:autoSpaceDE w:val="0"/>
              <w:autoSpaceDN w:val="0"/>
              <w:bidi w:val="0"/>
              <w:adjustRightInd w:val="0"/>
              <w:snapToGrid w:val="0"/>
              <w:spacing w:before="215" w:line="192" w:lineRule="auto"/>
              <w:ind w:left="177" w:right="0"/>
              <w:textAlignment w:val="baseline"/>
              <w:rPr>
                <w:rFonts w:hint="eastAsia" w:ascii="仿宋" w:hAnsi="仿宋" w:eastAsia="仿宋" w:cs="仿宋"/>
              </w:rPr>
            </w:pPr>
            <w:r>
              <w:rPr>
                <w:rFonts w:hint="eastAsia" w:ascii="仿宋" w:hAnsi="仿宋" w:eastAsia="仿宋" w:cs="仿宋"/>
                <w:spacing w:val="6"/>
              </w:rPr>
              <w:t>制造商</w:t>
            </w:r>
          </w:p>
        </w:tc>
        <w:tc>
          <w:tcPr>
            <w:tcW w:w="1056" w:type="dxa"/>
            <w:vAlign w:val="top"/>
          </w:tcPr>
          <w:p w14:paraId="0C0865EC">
            <w:pPr>
              <w:pStyle w:val="27"/>
              <w:pageBreakBefore w:val="0"/>
              <w:kinsoku w:val="0"/>
              <w:overflowPunct/>
              <w:topLinePunct w:val="0"/>
              <w:autoSpaceDE w:val="0"/>
              <w:autoSpaceDN w:val="0"/>
              <w:bidi w:val="0"/>
              <w:adjustRightInd w:val="0"/>
              <w:snapToGrid w:val="0"/>
              <w:spacing w:before="215" w:line="192" w:lineRule="auto"/>
              <w:ind w:left="311" w:right="0"/>
              <w:textAlignment w:val="baseline"/>
              <w:rPr>
                <w:rFonts w:hint="eastAsia" w:ascii="仿宋" w:hAnsi="仿宋" w:eastAsia="仿宋" w:cs="仿宋"/>
              </w:rPr>
            </w:pPr>
            <w:r>
              <w:rPr>
                <w:rFonts w:hint="eastAsia" w:ascii="仿宋" w:hAnsi="仿宋" w:eastAsia="仿宋" w:cs="仿宋"/>
                <w:spacing w:val="-3"/>
              </w:rPr>
              <w:t>品牌</w:t>
            </w:r>
          </w:p>
        </w:tc>
        <w:tc>
          <w:tcPr>
            <w:tcW w:w="1431" w:type="dxa"/>
            <w:vAlign w:val="top"/>
          </w:tcPr>
          <w:p w14:paraId="44A00C4C">
            <w:pPr>
              <w:pStyle w:val="27"/>
              <w:pageBreakBefore w:val="0"/>
              <w:kinsoku w:val="0"/>
              <w:overflowPunct/>
              <w:topLinePunct w:val="0"/>
              <w:autoSpaceDE w:val="0"/>
              <w:autoSpaceDN w:val="0"/>
              <w:bidi w:val="0"/>
              <w:adjustRightInd w:val="0"/>
              <w:snapToGrid w:val="0"/>
              <w:spacing w:before="60" w:line="184" w:lineRule="auto"/>
              <w:ind w:left="121" w:right="0"/>
              <w:jc w:val="right"/>
              <w:textAlignment w:val="baseline"/>
              <w:rPr>
                <w:rFonts w:hint="eastAsia" w:ascii="仿宋" w:hAnsi="仿宋" w:eastAsia="仿宋" w:cs="仿宋"/>
              </w:rPr>
            </w:pPr>
            <w:r>
              <w:rPr>
                <w:rFonts w:hint="eastAsia" w:ascii="仿宋" w:hAnsi="仿宋" w:eastAsia="仿宋" w:cs="仿宋"/>
              </w:rPr>
              <w:t>产品名称、</w:t>
            </w:r>
            <w:r>
              <w:rPr>
                <w:rFonts w:hint="eastAsia" w:ascii="仿宋" w:hAnsi="仿宋" w:eastAsia="仿宋" w:cs="仿宋"/>
                <w:spacing w:val="7"/>
              </w:rPr>
              <w:t>规格型号</w:t>
            </w:r>
          </w:p>
        </w:tc>
        <w:tc>
          <w:tcPr>
            <w:tcW w:w="1849" w:type="dxa"/>
            <w:vAlign w:val="top"/>
          </w:tcPr>
          <w:p w14:paraId="750691C8">
            <w:pPr>
              <w:pStyle w:val="27"/>
              <w:pageBreakBefore w:val="0"/>
              <w:kinsoku w:val="0"/>
              <w:overflowPunct/>
              <w:topLinePunct w:val="0"/>
              <w:autoSpaceDE w:val="0"/>
              <w:autoSpaceDN w:val="0"/>
              <w:bidi w:val="0"/>
              <w:adjustRightInd w:val="0"/>
              <w:snapToGrid w:val="0"/>
              <w:spacing w:before="60" w:line="184" w:lineRule="auto"/>
              <w:ind w:left="331" w:right="0" w:hanging="217"/>
              <w:textAlignment w:val="baseline"/>
              <w:rPr>
                <w:rFonts w:hint="eastAsia" w:ascii="仿宋" w:hAnsi="仿宋" w:eastAsia="仿宋" w:cs="仿宋"/>
              </w:rPr>
            </w:pPr>
            <w:r>
              <w:rPr>
                <w:rFonts w:hint="eastAsia" w:ascii="仿宋" w:hAnsi="仿宋" w:eastAsia="仿宋" w:cs="仿宋"/>
                <w:spacing w:val="5"/>
              </w:rPr>
              <w:t>中国环境标志认</w:t>
            </w:r>
            <w:r>
              <w:rPr>
                <w:rFonts w:hint="eastAsia" w:ascii="仿宋" w:hAnsi="仿宋" w:eastAsia="仿宋" w:cs="仿宋"/>
                <w:spacing w:val="8"/>
              </w:rPr>
              <w:t>证证书编号</w:t>
            </w:r>
          </w:p>
        </w:tc>
        <w:tc>
          <w:tcPr>
            <w:tcW w:w="1498" w:type="dxa"/>
            <w:vAlign w:val="top"/>
          </w:tcPr>
          <w:p w14:paraId="67506462">
            <w:pPr>
              <w:pStyle w:val="27"/>
              <w:pageBreakBefore w:val="0"/>
              <w:kinsoku w:val="0"/>
              <w:overflowPunct/>
              <w:topLinePunct w:val="0"/>
              <w:autoSpaceDE w:val="0"/>
              <w:autoSpaceDN w:val="0"/>
              <w:bidi w:val="0"/>
              <w:adjustRightInd w:val="0"/>
              <w:snapToGrid w:val="0"/>
              <w:spacing w:before="60" w:line="184" w:lineRule="auto"/>
              <w:ind w:left="274" w:right="0" w:hanging="239"/>
              <w:textAlignment w:val="baseline"/>
              <w:rPr>
                <w:rFonts w:hint="eastAsia" w:ascii="仿宋" w:hAnsi="仿宋" w:eastAsia="仿宋" w:cs="仿宋"/>
              </w:rPr>
            </w:pPr>
            <w:r>
              <w:rPr>
                <w:rFonts w:hint="eastAsia" w:ascii="仿宋" w:hAnsi="仿宋" w:eastAsia="仿宋" w:cs="仿宋"/>
                <w:spacing w:val="8"/>
              </w:rPr>
              <w:t>认证证书有效</w:t>
            </w:r>
            <w:r>
              <w:rPr>
                <w:rFonts w:hint="eastAsia" w:ascii="仿宋" w:hAnsi="仿宋" w:eastAsia="仿宋" w:cs="仿宋"/>
                <w:spacing w:val="7"/>
              </w:rPr>
              <w:t>截止日期</w:t>
            </w:r>
          </w:p>
        </w:tc>
        <w:tc>
          <w:tcPr>
            <w:tcW w:w="749" w:type="dxa"/>
            <w:vAlign w:val="top"/>
          </w:tcPr>
          <w:p w14:paraId="11174448">
            <w:pPr>
              <w:pStyle w:val="27"/>
              <w:pageBreakBefore w:val="0"/>
              <w:kinsoku w:val="0"/>
              <w:overflowPunct/>
              <w:topLinePunct w:val="0"/>
              <w:autoSpaceDE w:val="0"/>
              <w:autoSpaceDN w:val="0"/>
              <w:bidi w:val="0"/>
              <w:adjustRightInd w:val="0"/>
              <w:snapToGrid w:val="0"/>
              <w:spacing w:before="215" w:line="192" w:lineRule="auto"/>
              <w:ind w:left="145" w:right="0"/>
              <w:textAlignment w:val="baseline"/>
              <w:rPr>
                <w:rFonts w:hint="eastAsia" w:ascii="仿宋" w:hAnsi="仿宋" w:eastAsia="仿宋" w:cs="仿宋"/>
              </w:rPr>
            </w:pPr>
            <w:r>
              <w:rPr>
                <w:rFonts w:hint="eastAsia" w:ascii="仿宋" w:hAnsi="仿宋" w:eastAsia="仿宋" w:cs="仿宋"/>
                <w:spacing w:val="4"/>
              </w:rPr>
              <w:t>单位</w:t>
            </w:r>
          </w:p>
        </w:tc>
        <w:tc>
          <w:tcPr>
            <w:tcW w:w="715" w:type="dxa"/>
            <w:vAlign w:val="top"/>
          </w:tcPr>
          <w:p w14:paraId="4C21A2F1">
            <w:pPr>
              <w:pStyle w:val="27"/>
              <w:pageBreakBefore w:val="0"/>
              <w:kinsoku w:val="0"/>
              <w:overflowPunct/>
              <w:topLinePunct w:val="0"/>
              <w:autoSpaceDE w:val="0"/>
              <w:autoSpaceDN w:val="0"/>
              <w:bidi w:val="0"/>
              <w:adjustRightInd w:val="0"/>
              <w:snapToGrid w:val="0"/>
              <w:spacing w:before="216" w:line="190" w:lineRule="auto"/>
              <w:ind w:left="128" w:right="0"/>
              <w:textAlignment w:val="baseline"/>
              <w:rPr>
                <w:rFonts w:hint="eastAsia" w:ascii="仿宋" w:hAnsi="仿宋" w:eastAsia="仿宋" w:cs="仿宋"/>
              </w:rPr>
            </w:pPr>
            <w:r>
              <w:rPr>
                <w:rFonts w:hint="eastAsia" w:ascii="仿宋" w:hAnsi="仿宋" w:eastAsia="仿宋" w:cs="仿宋"/>
                <w:spacing w:val="4"/>
              </w:rPr>
              <w:t>数量</w:t>
            </w:r>
          </w:p>
        </w:tc>
        <w:tc>
          <w:tcPr>
            <w:tcW w:w="776" w:type="dxa"/>
            <w:vAlign w:val="top"/>
          </w:tcPr>
          <w:p w14:paraId="2CA641D5">
            <w:pPr>
              <w:pStyle w:val="27"/>
              <w:pageBreakBefore w:val="0"/>
              <w:kinsoku w:val="0"/>
              <w:overflowPunct/>
              <w:topLinePunct w:val="0"/>
              <w:autoSpaceDE w:val="0"/>
              <w:autoSpaceDN w:val="0"/>
              <w:bidi w:val="0"/>
              <w:adjustRightInd w:val="0"/>
              <w:snapToGrid w:val="0"/>
              <w:spacing w:before="215" w:line="191" w:lineRule="auto"/>
              <w:ind w:left="157" w:right="0"/>
              <w:textAlignment w:val="baseline"/>
              <w:rPr>
                <w:rFonts w:hint="eastAsia" w:ascii="仿宋" w:hAnsi="仿宋" w:eastAsia="仿宋" w:cs="仿宋"/>
              </w:rPr>
            </w:pPr>
            <w:r>
              <w:rPr>
                <w:rFonts w:hint="eastAsia" w:ascii="仿宋" w:hAnsi="仿宋" w:eastAsia="仿宋" w:cs="仿宋"/>
                <w:spacing w:val="4"/>
              </w:rPr>
              <w:t>单价</w:t>
            </w:r>
          </w:p>
        </w:tc>
      </w:tr>
      <w:tr w14:paraId="28F95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63" w:type="dxa"/>
            <w:vAlign w:val="top"/>
          </w:tcPr>
          <w:p w14:paraId="156CB70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056" w:type="dxa"/>
            <w:vAlign w:val="top"/>
          </w:tcPr>
          <w:p w14:paraId="6052202D">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31" w:type="dxa"/>
            <w:vAlign w:val="top"/>
          </w:tcPr>
          <w:p w14:paraId="4018D78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849" w:type="dxa"/>
            <w:vAlign w:val="top"/>
          </w:tcPr>
          <w:p w14:paraId="13516F2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98" w:type="dxa"/>
            <w:vAlign w:val="top"/>
          </w:tcPr>
          <w:p w14:paraId="7790D4C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49" w:type="dxa"/>
            <w:vAlign w:val="top"/>
          </w:tcPr>
          <w:p w14:paraId="5DD367B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15" w:type="dxa"/>
            <w:vAlign w:val="top"/>
          </w:tcPr>
          <w:p w14:paraId="7422E09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76" w:type="dxa"/>
            <w:vAlign w:val="top"/>
          </w:tcPr>
          <w:p w14:paraId="0B53592E">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2FE50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63" w:type="dxa"/>
            <w:vAlign w:val="top"/>
          </w:tcPr>
          <w:p w14:paraId="069C079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056" w:type="dxa"/>
            <w:vAlign w:val="top"/>
          </w:tcPr>
          <w:p w14:paraId="195115F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31" w:type="dxa"/>
            <w:vAlign w:val="top"/>
          </w:tcPr>
          <w:p w14:paraId="1470C95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849" w:type="dxa"/>
            <w:vAlign w:val="top"/>
          </w:tcPr>
          <w:p w14:paraId="14DDE71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98" w:type="dxa"/>
            <w:vAlign w:val="top"/>
          </w:tcPr>
          <w:p w14:paraId="45F2AA8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49" w:type="dxa"/>
            <w:vAlign w:val="top"/>
          </w:tcPr>
          <w:p w14:paraId="1563FEA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15" w:type="dxa"/>
            <w:vAlign w:val="top"/>
          </w:tcPr>
          <w:p w14:paraId="6F5424A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776" w:type="dxa"/>
            <w:vAlign w:val="top"/>
          </w:tcPr>
          <w:p w14:paraId="149B8AE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1AEC9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6897" w:type="dxa"/>
            <w:gridSpan w:val="5"/>
            <w:vAlign w:val="top"/>
          </w:tcPr>
          <w:p w14:paraId="694268DC">
            <w:pPr>
              <w:pStyle w:val="27"/>
              <w:pageBreakBefore w:val="0"/>
              <w:kinsoku w:val="0"/>
              <w:overflowPunct/>
              <w:topLinePunct w:val="0"/>
              <w:autoSpaceDE w:val="0"/>
              <w:autoSpaceDN w:val="0"/>
              <w:bidi w:val="0"/>
              <w:adjustRightInd w:val="0"/>
              <w:snapToGrid w:val="0"/>
              <w:spacing w:before="115" w:line="190" w:lineRule="auto"/>
              <w:ind w:left="9" w:right="0"/>
              <w:textAlignment w:val="baseline"/>
              <w:rPr>
                <w:rFonts w:hint="eastAsia" w:ascii="仿宋" w:hAnsi="仿宋" w:eastAsia="仿宋" w:cs="仿宋"/>
              </w:rPr>
            </w:pPr>
            <w:r>
              <w:rPr>
                <w:rFonts w:hint="eastAsia" w:ascii="仿宋" w:hAnsi="仿宋" w:eastAsia="仿宋" w:cs="仿宋"/>
                <w:spacing w:val="17"/>
              </w:rPr>
              <w:t>合计金额</w:t>
            </w:r>
          </w:p>
        </w:tc>
        <w:tc>
          <w:tcPr>
            <w:tcW w:w="2240" w:type="dxa"/>
            <w:gridSpan w:val="3"/>
            <w:vAlign w:val="top"/>
          </w:tcPr>
          <w:p w14:paraId="4C7149E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bl>
    <w:p w14:paraId="1D6F6A25">
      <w:pPr>
        <w:pStyle w:val="5"/>
        <w:pageBreakBefore w:val="0"/>
        <w:kinsoku w:val="0"/>
        <w:overflowPunct/>
        <w:topLinePunct w:val="0"/>
        <w:autoSpaceDE w:val="0"/>
        <w:autoSpaceDN w:val="0"/>
        <w:bidi w:val="0"/>
        <w:adjustRightInd w:val="0"/>
        <w:snapToGrid w:val="0"/>
        <w:spacing w:before="115" w:line="193" w:lineRule="auto"/>
        <w:ind w:left="8" w:right="0"/>
        <w:textAlignment w:val="baseline"/>
        <w:rPr>
          <w:rFonts w:hint="eastAsia" w:ascii="仿宋" w:hAnsi="仿宋" w:eastAsia="仿宋" w:cs="仿宋"/>
          <w:sz w:val="23"/>
          <w:szCs w:val="23"/>
        </w:rPr>
      </w:pPr>
      <w:r>
        <w:rPr>
          <w:rFonts w:hint="eastAsia" w:ascii="仿宋" w:hAnsi="仿宋" w:eastAsia="仿宋" w:cs="仿宋"/>
          <w:spacing w:val="-13"/>
          <w:sz w:val="23"/>
          <w:szCs w:val="23"/>
        </w:rPr>
        <w:t>注：</w:t>
      </w:r>
      <w:r>
        <w:rPr>
          <w:rFonts w:hint="eastAsia" w:ascii="仿宋" w:hAnsi="仿宋" w:eastAsia="仿宋" w:cs="仿宋"/>
          <w:spacing w:val="23"/>
          <w:sz w:val="23"/>
          <w:szCs w:val="23"/>
        </w:rPr>
        <w:t>若无货物属于优先采购节能、环境标志产品</w:t>
      </w:r>
      <w:r>
        <w:rPr>
          <w:rFonts w:hint="eastAsia" w:ascii="仿宋" w:hAnsi="仿宋" w:eastAsia="仿宋" w:cs="仿宋"/>
          <w:spacing w:val="22"/>
          <w:sz w:val="23"/>
          <w:szCs w:val="23"/>
        </w:rPr>
        <w:t>的，则不填写此表。</w:t>
      </w:r>
    </w:p>
    <w:p w14:paraId="02273C8E">
      <w:pPr>
        <w:pageBreakBefore w:val="0"/>
        <w:kinsoku w:val="0"/>
        <w:overflowPunct/>
        <w:topLinePunct w:val="0"/>
        <w:autoSpaceDE w:val="0"/>
        <w:autoSpaceDN w:val="0"/>
        <w:bidi w:val="0"/>
        <w:adjustRightInd w:val="0"/>
        <w:snapToGrid w:val="0"/>
        <w:spacing w:line="383" w:lineRule="auto"/>
        <w:ind w:right="0"/>
        <w:textAlignment w:val="baseline"/>
        <w:rPr>
          <w:rFonts w:hint="eastAsia" w:ascii="仿宋" w:hAnsi="仿宋" w:eastAsia="仿宋" w:cs="仿宋"/>
          <w:sz w:val="21"/>
        </w:rPr>
      </w:pPr>
    </w:p>
    <w:p w14:paraId="2FFDB05D">
      <w:pPr>
        <w:pStyle w:val="5"/>
        <w:pageBreakBefore w:val="0"/>
        <w:kinsoku w:val="0"/>
        <w:overflowPunct/>
        <w:topLinePunct w:val="0"/>
        <w:autoSpaceDE w:val="0"/>
        <w:autoSpaceDN w:val="0"/>
        <w:bidi w:val="0"/>
        <w:adjustRightInd w:val="0"/>
        <w:snapToGrid w:val="0"/>
        <w:spacing w:before="99" w:line="187" w:lineRule="auto"/>
        <w:ind w:left="8" w:right="0"/>
        <w:textAlignment w:val="baseline"/>
        <w:rPr>
          <w:rFonts w:hint="eastAsia" w:ascii="仿宋" w:hAnsi="仿宋" w:eastAsia="仿宋" w:cs="仿宋"/>
          <w:sz w:val="23"/>
          <w:szCs w:val="23"/>
        </w:rPr>
      </w:pPr>
      <w:r>
        <w:rPr>
          <w:rFonts w:hint="eastAsia" w:ascii="仿宋" w:hAnsi="仿宋" w:eastAsia="仿宋" w:cs="仿宋"/>
          <w:spacing w:val="18"/>
          <w:sz w:val="23"/>
          <w:szCs w:val="23"/>
        </w:rPr>
        <w:t>供应商(盖单位章)：</w:t>
      </w:r>
    </w:p>
    <w:p w14:paraId="563E5EA4">
      <w:pPr>
        <w:pStyle w:val="5"/>
        <w:pageBreakBefore w:val="0"/>
        <w:kinsoku w:val="0"/>
        <w:overflowPunct/>
        <w:topLinePunct w:val="0"/>
        <w:autoSpaceDE w:val="0"/>
        <w:autoSpaceDN w:val="0"/>
        <w:bidi w:val="0"/>
        <w:adjustRightInd w:val="0"/>
        <w:snapToGrid w:val="0"/>
        <w:spacing w:before="94" w:line="242" w:lineRule="auto"/>
        <w:ind w:left="9" w:right="0"/>
        <w:textAlignment w:val="baseline"/>
        <w:rPr>
          <w:rFonts w:hint="eastAsia" w:ascii="仿宋" w:hAnsi="仿宋" w:eastAsia="仿宋" w:cs="仿宋"/>
          <w:sz w:val="23"/>
          <w:szCs w:val="23"/>
        </w:rPr>
      </w:pPr>
      <w:r>
        <w:rPr>
          <w:rFonts w:hint="eastAsia" w:ascii="仿宋" w:hAnsi="仿宋" w:eastAsia="仿宋" w:cs="仿宋"/>
          <w:spacing w:val="20"/>
          <w:sz w:val="23"/>
          <w:szCs w:val="23"/>
        </w:rPr>
        <w:t>法定代表人或其委托代理人签字：</w:t>
      </w:r>
    </w:p>
    <w:p w14:paraId="1B4CFD30">
      <w:pPr>
        <w:pStyle w:val="5"/>
        <w:pageBreakBefore w:val="0"/>
        <w:kinsoku w:val="0"/>
        <w:overflowPunct/>
        <w:topLinePunct w:val="0"/>
        <w:autoSpaceDE w:val="0"/>
        <w:autoSpaceDN w:val="0"/>
        <w:bidi w:val="0"/>
        <w:adjustRightInd w:val="0"/>
        <w:snapToGrid w:val="0"/>
        <w:spacing w:before="2" w:line="190" w:lineRule="auto"/>
        <w:ind w:left="50" w:right="0"/>
        <w:textAlignment w:val="baseline"/>
        <w:rPr>
          <w:rFonts w:hint="eastAsia" w:ascii="仿宋" w:hAnsi="仿宋" w:eastAsia="仿宋" w:cs="仿宋"/>
          <w:sz w:val="23"/>
          <w:szCs w:val="23"/>
        </w:rPr>
      </w:pPr>
      <w:r>
        <w:rPr>
          <w:rFonts w:hint="eastAsia" w:ascii="仿宋" w:hAnsi="仿宋" w:eastAsia="仿宋" w:cs="仿宋"/>
          <w:spacing w:val="-4"/>
          <w:sz w:val="23"/>
          <w:szCs w:val="23"/>
        </w:rPr>
        <w:t>日期：年月日</w:t>
      </w:r>
    </w:p>
    <w:p w14:paraId="6A3FE6BF">
      <w:pPr>
        <w:pageBreakBefore w:val="0"/>
        <w:kinsoku w:val="0"/>
        <w:overflowPunct/>
        <w:topLinePunct w:val="0"/>
        <w:autoSpaceDE w:val="0"/>
        <w:autoSpaceDN w:val="0"/>
        <w:bidi w:val="0"/>
        <w:adjustRightInd w:val="0"/>
        <w:snapToGrid w:val="0"/>
        <w:spacing w:line="385" w:lineRule="auto"/>
        <w:ind w:right="0"/>
        <w:textAlignment w:val="baseline"/>
        <w:rPr>
          <w:rFonts w:hint="eastAsia" w:ascii="仿宋" w:hAnsi="仿宋" w:eastAsia="仿宋" w:cs="仿宋"/>
          <w:sz w:val="21"/>
        </w:rPr>
      </w:pPr>
    </w:p>
    <w:p w14:paraId="04719209">
      <w:pPr>
        <w:pStyle w:val="5"/>
        <w:pageBreakBefore w:val="0"/>
        <w:kinsoku w:val="0"/>
        <w:overflowPunct/>
        <w:topLinePunct w:val="0"/>
        <w:autoSpaceDE w:val="0"/>
        <w:autoSpaceDN w:val="0"/>
        <w:bidi w:val="0"/>
        <w:adjustRightInd w:val="0"/>
        <w:snapToGrid w:val="0"/>
        <w:spacing w:before="99" w:line="192" w:lineRule="auto"/>
        <w:ind w:left="2864" w:right="0"/>
        <w:textAlignment w:val="baseline"/>
        <w:rPr>
          <w:rFonts w:hint="eastAsia" w:ascii="仿宋" w:hAnsi="仿宋" w:eastAsia="仿宋" w:cs="仿宋"/>
          <w:sz w:val="23"/>
          <w:szCs w:val="23"/>
        </w:rPr>
      </w:pPr>
      <w:r>
        <w:rPr>
          <w:rFonts w:hint="eastAsia" w:ascii="仿宋" w:hAnsi="仿宋" w:eastAsia="仿宋" w:cs="仿宋"/>
          <w:spacing w:val="22"/>
          <w:sz w:val="23"/>
          <w:szCs w:val="23"/>
        </w:rPr>
        <w:t>节能、环境标志产品证明材料</w:t>
      </w:r>
    </w:p>
    <w:p w14:paraId="738D9119">
      <w:pPr>
        <w:pStyle w:val="5"/>
        <w:pageBreakBefore w:val="0"/>
        <w:kinsoku w:val="0"/>
        <w:overflowPunct/>
        <w:topLinePunct w:val="0"/>
        <w:autoSpaceDE w:val="0"/>
        <w:autoSpaceDN w:val="0"/>
        <w:bidi w:val="0"/>
        <w:adjustRightInd w:val="0"/>
        <w:snapToGrid w:val="0"/>
        <w:spacing w:before="84" w:line="175" w:lineRule="auto"/>
        <w:ind w:left="26" w:right="0"/>
        <w:textAlignment w:val="baseline"/>
        <w:rPr>
          <w:rFonts w:hint="eastAsia" w:ascii="仿宋" w:hAnsi="仿宋" w:eastAsia="仿宋" w:cs="仿宋"/>
          <w:sz w:val="23"/>
          <w:szCs w:val="23"/>
        </w:rPr>
      </w:pPr>
      <w:r>
        <w:rPr>
          <w:rFonts w:hint="eastAsia" w:ascii="仿宋" w:hAnsi="仿宋" w:eastAsia="仿宋" w:cs="仿宋"/>
          <w:spacing w:val="26"/>
          <w:sz w:val="23"/>
          <w:szCs w:val="23"/>
        </w:rPr>
        <w:t>1.节能产品：应在中国政府采购网(</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sz w:val="23"/>
          <w:szCs w:val="23"/>
        </w:rPr>
        <w:t>http</w:t>
      </w:r>
      <w:r>
        <w:rPr>
          <w:rFonts w:hint="eastAsia" w:ascii="仿宋" w:hAnsi="仿宋" w:eastAsia="仿宋" w:cs="仿宋"/>
          <w:spacing w:val="26"/>
          <w:sz w:val="23"/>
          <w:szCs w:val="23"/>
        </w:rPr>
        <w:t>://</w:t>
      </w:r>
      <w:r>
        <w:rPr>
          <w:rFonts w:hint="eastAsia" w:ascii="仿宋" w:hAnsi="仿宋" w:eastAsia="仿宋" w:cs="仿宋"/>
          <w:sz w:val="23"/>
          <w:szCs w:val="23"/>
        </w:rPr>
        <w:t>www</w:t>
      </w:r>
      <w:r>
        <w:rPr>
          <w:rFonts w:hint="eastAsia" w:ascii="仿宋" w:hAnsi="仿宋" w:eastAsia="仿宋" w:cs="仿宋"/>
          <w:spacing w:val="26"/>
          <w:sz w:val="23"/>
          <w:szCs w:val="23"/>
        </w:rPr>
        <w:t>.</w:t>
      </w:r>
      <w:r>
        <w:rPr>
          <w:rFonts w:hint="eastAsia" w:ascii="仿宋" w:hAnsi="仿宋" w:eastAsia="仿宋" w:cs="仿宋"/>
          <w:sz w:val="23"/>
          <w:szCs w:val="23"/>
        </w:rPr>
        <w:t>ccgp</w:t>
      </w:r>
      <w:r>
        <w:rPr>
          <w:rFonts w:hint="eastAsia" w:ascii="仿宋" w:hAnsi="仿宋" w:eastAsia="仿宋" w:cs="仿宋"/>
          <w:spacing w:val="26"/>
          <w:sz w:val="23"/>
          <w:szCs w:val="23"/>
        </w:rPr>
        <w:t>.</w:t>
      </w:r>
      <w:r>
        <w:rPr>
          <w:rFonts w:hint="eastAsia" w:ascii="仿宋" w:hAnsi="仿宋" w:eastAsia="仿宋" w:cs="仿宋"/>
          <w:sz w:val="23"/>
          <w:szCs w:val="23"/>
        </w:rPr>
        <w:t>gov</w:t>
      </w:r>
      <w:r>
        <w:rPr>
          <w:rFonts w:hint="eastAsia" w:ascii="仿宋" w:hAnsi="仿宋" w:eastAsia="仿宋" w:cs="仿宋"/>
          <w:spacing w:val="26"/>
          <w:sz w:val="23"/>
          <w:szCs w:val="23"/>
        </w:rPr>
        <w:t>.</w:t>
      </w:r>
      <w:r>
        <w:rPr>
          <w:rFonts w:hint="eastAsia" w:ascii="仿宋" w:hAnsi="仿宋" w:eastAsia="仿宋" w:cs="仿宋"/>
          <w:sz w:val="23"/>
          <w:szCs w:val="23"/>
        </w:rPr>
        <w:t>cn</w:t>
      </w:r>
      <w:r>
        <w:rPr>
          <w:rFonts w:hint="eastAsia" w:ascii="仿宋" w:hAnsi="仿宋" w:eastAsia="仿宋" w:cs="仿宋"/>
          <w:sz w:val="23"/>
          <w:szCs w:val="23"/>
        </w:rPr>
        <w:fldChar w:fldCharType="end"/>
      </w:r>
      <w:r>
        <w:rPr>
          <w:rFonts w:hint="eastAsia" w:ascii="仿宋" w:hAnsi="仿宋" w:eastAsia="仿宋" w:cs="仿宋"/>
          <w:spacing w:val="26"/>
          <w:sz w:val="23"/>
          <w:szCs w:val="23"/>
        </w:rPr>
        <w:t>)</w:t>
      </w:r>
    </w:p>
    <w:p w14:paraId="405AAF5E">
      <w:pPr>
        <w:pStyle w:val="5"/>
        <w:pageBreakBefore w:val="0"/>
        <w:kinsoku w:val="0"/>
        <w:overflowPunct/>
        <w:topLinePunct w:val="0"/>
        <w:autoSpaceDE w:val="0"/>
        <w:autoSpaceDN w:val="0"/>
        <w:bidi w:val="0"/>
        <w:adjustRightInd w:val="0"/>
        <w:snapToGrid w:val="0"/>
        <w:spacing w:before="113" w:line="175" w:lineRule="auto"/>
        <w:ind w:left="11" w:right="0"/>
        <w:textAlignment w:val="baseline"/>
        <w:rPr>
          <w:rFonts w:hint="eastAsia" w:ascii="仿宋" w:hAnsi="仿宋" w:eastAsia="仿宋" w:cs="仿宋"/>
          <w:sz w:val="23"/>
          <w:szCs w:val="23"/>
        </w:rPr>
      </w:pPr>
      <w:r>
        <w:rPr>
          <w:rFonts w:hint="eastAsia" w:ascii="仿宋" w:hAnsi="仿宋" w:eastAsia="仿宋" w:cs="仿宋"/>
          <w:spacing w:val="17"/>
          <w:sz w:val="23"/>
          <w:szCs w:val="23"/>
        </w:rPr>
        <w:t>2.环境标志产品：应在中国政府采购网(</w:t>
      </w:r>
      <w:r>
        <w:rPr>
          <w:rFonts w:hint="eastAsia" w:ascii="仿宋" w:hAnsi="仿宋" w:eastAsia="仿宋" w:cs="仿宋"/>
          <w:sz w:val="23"/>
          <w:szCs w:val="23"/>
        </w:rPr>
        <w:t>http</w:t>
      </w:r>
      <w:r>
        <w:rPr>
          <w:rFonts w:hint="eastAsia" w:ascii="仿宋" w:hAnsi="仿宋" w:eastAsia="仿宋" w:cs="仿宋"/>
          <w:spacing w:val="17"/>
          <w:sz w:val="23"/>
          <w:szCs w:val="23"/>
        </w:rPr>
        <w:t>://</w:t>
      </w:r>
      <w:r>
        <w:rPr>
          <w:rFonts w:hint="eastAsia" w:ascii="仿宋" w:hAnsi="仿宋" w:eastAsia="仿宋" w:cs="仿宋"/>
          <w:sz w:val="23"/>
          <w:szCs w:val="23"/>
        </w:rPr>
        <w:t>www</w:t>
      </w:r>
      <w:r>
        <w:rPr>
          <w:rFonts w:hint="eastAsia" w:ascii="仿宋" w:hAnsi="仿宋" w:eastAsia="仿宋" w:cs="仿宋"/>
          <w:spacing w:val="17"/>
          <w:sz w:val="23"/>
          <w:szCs w:val="23"/>
        </w:rPr>
        <w:t>.</w:t>
      </w:r>
      <w:r>
        <w:rPr>
          <w:rFonts w:hint="eastAsia" w:ascii="仿宋" w:hAnsi="仿宋" w:eastAsia="仿宋" w:cs="仿宋"/>
          <w:sz w:val="23"/>
          <w:szCs w:val="23"/>
        </w:rPr>
        <w:t>ccgp</w:t>
      </w:r>
      <w:r>
        <w:rPr>
          <w:rFonts w:hint="eastAsia" w:ascii="仿宋" w:hAnsi="仿宋" w:eastAsia="仿宋" w:cs="仿宋"/>
          <w:spacing w:val="17"/>
          <w:sz w:val="23"/>
          <w:szCs w:val="23"/>
        </w:rPr>
        <w:t>.</w:t>
      </w:r>
      <w:r>
        <w:rPr>
          <w:rFonts w:hint="eastAsia" w:ascii="仿宋" w:hAnsi="仿宋" w:eastAsia="仿宋" w:cs="仿宋"/>
          <w:sz w:val="23"/>
          <w:szCs w:val="23"/>
        </w:rPr>
        <w:t>gov</w:t>
      </w:r>
      <w:r>
        <w:rPr>
          <w:rFonts w:hint="eastAsia" w:ascii="仿宋" w:hAnsi="仿宋" w:eastAsia="仿宋" w:cs="仿宋"/>
          <w:spacing w:val="17"/>
          <w:sz w:val="23"/>
          <w:szCs w:val="23"/>
        </w:rPr>
        <w:t>.</w:t>
      </w:r>
      <w:r>
        <w:rPr>
          <w:rFonts w:hint="eastAsia" w:ascii="仿宋" w:hAnsi="仿宋" w:eastAsia="仿宋" w:cs="仿宋"/>
          <w:sz w:val="23"/>
          <w:szCs w:val="23"/>
        </w:rPr>
        <w:t>cn</w:t>
      </w:r>
      <w:r>
        <w:rPr>
          <w:rFonts w:hint="eastAsia" w:ascii="仿宋" w:hAnsi="仿宋" w:eastAsia="仿宋" w:cs="仿宋"/>
          <w:spacing w:val="17"/>
          <w:sz w:val="23"/>
          <w:szCs w:val="23"/>
        </w:rPr>
        <w:t>)</w:t>
      </w:r>
    </w:p>
    <w:p w14:paraId="38AFEEF1">
      <w:pPr>
        <w:pStyle w:val="5"/>
        <w:pageBreakBefore w:val="0"/>
        <w:kinsoku w:val="0"/>
        <w:overflowPunct/>
        <w:topLinePunct w:val="0"/>
        <w:autoSpaceDE w:val="0"/>
        <w:autoSpaceDN w:val="0"/>
        <w:bidi w:val="0"/>
        <w:adjustRightInd w:val="0"/>
        <w:snapToGrid w:val="0"/>
        <w:spacing w:before="103" w:line="217" w:lineRule="auto"/>
        <w:ind w:left="7" w:right="0" w:firstLine="5"/>
        <w:textAlignment w:val="baseline"/>
        <w:rPr>
          <w:rFonts w:hint="eastAsia" w:ascii="仿宋" w:hAnsi="仿宋" w:eastAsia="仿宋" w:cs="仿宋"/>
          <w:sz w:val="23"/>
          <w:szCs w:val="23"/>
        </w:rPr>
      </w:pPr>
      <w:r>
        <w:rPr>
          <w:rFonts w:hint="eastAsia" w:ascii="仿宋" w:hAnsi="仿宋" w:eastAsia="仿宋" w:cs="仿宋"/>
          <w:spacing w:val="25"/>
          <w:sz w:val="23"/>
          <w:szCs w:val="23"/>
        </w:rPr>
        <w:t>3.属优先采购节能、环境标志产品须从以上权威媒体网站上查询并打印结果。</w:t>
      </w:r>
      <w:r>
        <w:rPr>
          <w:rFonts w:hint="eastAsia" w:ascii="仿宋" w:hAnsi="仿宋" w:eastAsia="仿宋" w:cs="仿宋"/>
          <w:spacing w:val="23"/>
          <w:sz w:val="23"/>
          <w:szCs w:val="23"/>
        </w:rPr>
        <w:t>4.证明材料加盖供应商公章。</w:t>
      </w:r>
    </w:p>
    <w:p w14:paraId="0E7F3530">
      <w:pPr>
        <w:pageBreakBefore w:val="0"/>
        <w:kinsoku w:val="0"/>
        <w:overflowPunct/>
        <w:topLinePunct w:val="0"/>
        <w:autoSpaceDE w:val="0"/>
        <w:autoSpaceDN w:val="0"/>
        <w:bidi w:val="0"/>
        <w:adjustRightInd w:val="0"/>
        <w:snapToGrid w:val="0"/>
        <w:spacing w:line="217" w:lineRule="auto"/>
        <w:ind w:right="0"/>
        <w:textAlignment w:val="baseline"/>
        <w:rPr>
          <w:rFonts w:hint="eastAsia" w:ascii="仿宋" w:hAnsi="仿宋" w:eastAsia="仿宋" w:cs="仿宋"/>
          <w:sz w:val="23"/>
          <w:szCs w:val="23"/>
        </w:rPr>
        <w:sectPr>
          <w:footerReference r:id="rId21" w:type="default"/>
          <w:pgSz w:w="11905" w:h="16838"/>
          <w:pgMar w:top="1440" w:right="1803" w:bottom="1440" w:left="1803" w:header="0" w:footer="567" w:gutter="0"/>
          <w:pgNumType w:fmt="decimal"/>
          <w:cols w:space="0" w:num="1"/>
          <w:rtlGutter w:val="0"/>
          <w:docGrid w:linePitch="0" w:charSpace="0"/>
        </w:sectPr>
      </w:pPr>
    </w:p>
    <w:p w14:paraId="4408B69D">
      <w:pPr>
        <w:pStyle w:val="5"/>
        <w:pageBreakBefore w:val="0"/>
        <w:kinsoku w:val="0"/>
        <w:overflowPunct/>
        <w:topLinePunct w:val="0"/>
        <w:autoSpaceDE w:val="0"/>
        <w:autoSpaceDN w:val="0"/>
        <w:bidi w:val="0"/>
        <w:adjustRightInd w:val="0"/>
        <w:snapToGrid w:val="0"/>
        <w:spacing w:before="47" w:line="191" w:lineRule="auto"/>
        <w:ind w:left="5" w:right="0"/>
        <w:jc w:val="center"/>
        <w:textAlignment w:val="baseline"/>
        <w:rPr>
          <w:rFonts w:hint="eastAsia" w:ascii="仿宋" w:hAnsi="仿宋" w:eastAsia="仿宋" w:cs="仿宋"/>
          <w:b/>
          <w:bCs/>
          <w:sz w:val="28"/>
          <w:szCs w:val="28"/>
        </w:rPr>
      </w:pPr>
      <w:r>
        <w:rPr>
          <w:rFonts w:hint="eastAsia" w:ascii="仿宋" w:hAnsi="仿宋" w:eastAsia="仿宋" w:cs="仿宋"/>
          <w:b/>
          <w:bCs/>
          <w:spacing w:val="19"/>
          <w:sz w:val="28"/>
          <w:szCs w:val="28"/>
        </w:rPr>
        <w:t>3、本项目特定资质证明资料</w:t>
      </w:r>
    </w:p>
    <w:p w14:paraId="4E8EA7C5">
      <w:pPr>
        <w:pageBreakBefore w:val="0"/>
        <w:kinsoku w:val="0"/>
        <w:overflowPunct/>
        <w:topLinePunct w:val="0"/>
        <w:autoSpaceDE w:val="0"/>
        <w:autoSpaceDN w:val="0"/>
        <w:bidi w:val="0"/>
        <w:adjustRightInd w:val="0"/>
        <w:snapToGrid w:val="0"/>
        <w:spacing w:line="393" w:lineRule="auto"/>
        <w:ind w:right="0"/>
        <w:textAlignment w:val="baseline"/>
        <w:rPr>
          <w:rFonts w:hint="eastAsia" w:ascii="仿宋" w:hAnsi="仿宋" w:eastAsia="仿宋" w:cs="仿宋"/>
          <w:sz w:val="21"/>
        </w:rPr>
      </w:pPr>
    </w:p>
    <w:p w14:paraId="67995A83">
      <w:pPr>
        <w:pStyle w:val="5"/>
        <w:pageBreakBefore w:val="0"/>
        <w:kinsoku w:val="0"/>
        <w:overflowPunct/>
        <w:topLinePunct w:val="0"/>
        <w:autoSpaceDE w:val="0"/>
        <w:autoSpaceDN w:val="0"/>
        <w:bidi w:val="0"/>
        <w:adjustRightInd w:val="0"/>
        <w:snapToGrid w:val="0"/>
        <w:spacing w:before="99" w:line="187" w:lineRule="auto"/>
        <w:ind w:right="0"/>
        <w:jc w:val="right"/>
        <w:textAlignment w:val="baseline"/>
        <w:rPr>
          <w:rFonts w:hint="eastAsia" w:ascii="仿宋" w:hAnsi="仿宋" w:eastAsia="仿宋" w:cs="仿宋"/>
          <w:sz w:val="23"/>
          <w:szCs w:val="23"/>
        </w:rPr>
      </w:pPr>
      <w:r>
        <w:rPr>
          <w:rFonts w:hint="eastAsia" w:ascii="仿宋" w:hAnsi="仿宋" w:eastAsia="仿宋" w:cs="仿宋"/>
          <w:spacing w:val="4"/>
          <w:sz w:val="23"/>
          <w:szCs w:val="23"/>
        </w:rPr>
        <w:t>供应商名称(电子签章)：</w:t>
      </w:r>
    </w:p>
    <w:p w14:paraId="7312E7A3">
      <w:pPr>
        <w:pStyle w:val="5"/>
        <w:pageBreakBefore w:val="0"/>
        <w:kinsoku w:val="0"/>
        <w:overflowPunct/>
        <w:topLinePunct w:val="0"/>
        <w:autoSpaceDE w:val="0"/>
        <w:autoSpaceDN w:val="0"/>
        <w:bidi w:val="0"/>
        <w:adjustRightInd w:val="0"/>
        <w:snapToGrid w:val="0"/>
        <w:spacing w:before="93" w:line="191" w:lineRule="auto"/>
        <w:ind w:left="6301" w:right="0" w:firstLine="218" w:firstLineChars="100"/>
        <w:textAlignment w:val="baseline"/>
        <w:rPr>
          <w:rFonts w:hint="eastAsia" w:ascii="仿宋" w:hAnsi="仿宋" w:eastAsia="仿宋" w:cs="仿宋"/>
          <w:sz w:val="23"/>
          <w:szCs w:val="23"/>
        </w:rPr>
      </w:pPr>
      <w:r>
        <w:rPr>
          <w:rFonts w:hint="eastAsia" w:ascii="仿宋" w:hAnsi="仿宋" w:eastAsia="仿宋" w:cs="仿宋"/>
          <w:spacing w:val="-6"/>
          <w:sz w:val="23"/>
          <w:szCs w:val="23"/>
        </w:rPr>
        <w:t>日期：年月日</w:t>
      </w:r>
    </w:p>
    <w:p w14:paraId="2BCAB982">
      <w:pPr>
        <w:pageBreakBefore w:val="0"/>
        <w:kinsoku w:val="0"/>
        <w:overflowPunct/>
        <w:topLinePunct w:val="0"/>
        <w:autoSpaceDE w:val="0"/>
        <w:autoSpaceDN w:val="0"/>
        <w:bidi w:val="0"/>
        <w:adjustRightInd w:val="0"/>
        <w:snapToGrid w:val="0"/>
        <w:spacing w:line="336" w:lineRule="auto"/>
        <w:ind w:right="0"/>
        <w:textAlignment w:val="baseline"/>
        <w:rPr>
          <w:rFonts w:hint="eastAsia" w:ascii="仿宋" w:hAnsi="仿宋" w:eastAsia="仿宋" w:cs="仿宋"/>
          <w:sz w:val="21"/>
        </w:rPr>
      </w:pPr>
    </w:p>
    <w:p w14:paraId="71C72BB7">
      <w:pPr>
        <w:pStyle w:val="5"/>
        <w:pageBreakBefore w:val="0"/>
        <w:kinsoku w:val="0"/>
        <w:overflowPunct/>
        <w:topLinePunct w:val="0"/>
        <w:autoSpaceDE w:val="0"/>
        <w:autoSpaceDN w:val="0"/>
        <w:bidi w:val="0"/>
        <w:adjustRightInd w:val="0"/>
        <w:snapToGrid w:val="0"/>
        <w:spacing w:before="99" w:line="191" w:lineRule="auto"/>
        <w:ind w:right="0"/>
        <w:jc w:val="center"/>
        <w:textAlignment w:val="baseline"/>
        <w:rPr>
          <w:rFonts w:hint="eastAsia" w:ascii="仿宋" w:hAnsi="仿宋" w:eastAsia="仿宋" w:cs="仿宋"/>
          <w:b/>
          <w:bCs/>
          <w:sz w:val="28"/>
          <w:szCs w:val="28"/>
        </w:rPr>
      </w:pPr>
      <w:r>
        <w:rPr>
          <w:rFonts w:hint="eastAsia" w:ascii="仿宋" w:hAnsi="仿宋" w:eastAsia="仿宋" w:cs="仿宋"/>
          <w:b/>
          <w:bCs/>
          <w:spacing w:val="26"/>
          <w:sz w:val="28"/>
          <w:szCs w:val="28"/>
        </w:rPr>
        <w:t>4、参加政府采购活动前三年内在经营活动中没有重大违法记录的书面声明</w:t>
      </w:r>
    </w:p>
    <w:p w14:paraId="2F1A6FAB">
      <w:pPr>
        <w:pageBreakBefore w:val="0"/>
        <w:kinsoku w:val="0"/>
        <w:overflowPunct/>
        <w:topLinePunct w:val="0"/>
        <w:autoSpaceDE w:val="0"/>
        <w:autoSpaceDN w:val="0"/>
        <w:bidi w:val="0"/>
        <w:adjustRightInd w:val="0"/>
        <w:snapToGrid w:val="0"/>
        <w:spacing w:line="392" w:lineRule="auto"/>
        <w:ind w:right="0"/>
        <w:textAlignment w:val="baseline"/>
        <w:rPr>
          <w:rFonts w:hint="eastAsia" w:ascii="仿宋" w:hAnsi="仿宋" w:eastAsia="仿宋" w:cs="仿宋"/>
          <w:sz w:val="21"/>
        </w:rPr>
      </w:pPr>
    </w:p>
    <w:p w14:paraId="0EA98DF2">
      <w:pPr>
        <w:pStyle w:val="5"/>
        <w:pageBreakBefore w:val="0"/>
        <w:kinsoku w:val="0"/>
        <w:overflowPunct/>
        <w:topLinePunct w:val="0"/>
        <w:autoSpaceDE w:val="0"/>
        <w:autoSpaceDN w:val="0"/>
        <w:bidi w:val="0"/>
        <w:adjustRightInd w:val="0"/>
        <w:snapToGrid w:val="0"/>
        <w:spacing w:before="99" w:line="192" w:lineRule="auto"/>
        <w:ind w:left="527" w:right="0"/>
        <w:textAlignment w:val="baseline"/>
        <w:rPr>
          <w:rFonts w:hint="eastAsia" w:ascii="仿宋" w:hAnsi="仿宋" w:eastAsia="仿宋" w:cs="仿宋"/>
          <w:sz w:val="23"/>
          <w:szCs w:val="23"/>
        </w:rPr>
      </w:pPr>
      <w:r>
        <w:rPr>
          <w:rFonts w:hint="eastAsia" w:ascii="仿宋" w:hAnsi="仿宋" w:eastAsia="仿宋" w:cs="仿宋"/>
          <w:spacing w:val="18"/>
          <w:sz w:val="23"/>
          <w:szCs w:val="23"/>
        </w:rPr>
        <w:t>本单位郑重声明：</w:t>
      </w:r>
    </w:p>
    <w:p w14:paraId="5A4E4323">
      <w:pPr>
        <w:pStyle w:val="5"/>
        <w:pageBreakBefore w:val="0"/>
        <w:kinsoku w:val="0"/>
        <w:overflowPunct/>
        <w:topLinePunct w:val="0"/>
        <w:autoSpaceDE w:val="0"/>
        <w:autoSpaceDN w:val="0"/>
        <w:bidi w:val="0"/>
        <w:adjustRightInd w:val="0"/>
        <w:snapToGrid w:val="0"/>
        <w:spacing w:before="86" w:line="401" w:lineRule="exact"/>
        <w:ind w:right="0"/>
        <w:jc w:val="right"/>
        <w:textAlignment w:val="baseline"/>
        <w:rPr>
          <w:rFonts w:hint="eastAsia" w:ascii="仿宋" w:hAnsi="仿宋" w:eastAsia="仿宋" w:cs="仿宋"/>
          <w:sz w:val="23"/>
          <w:szCs w:val="23"/>
        </w:rPr>
      </w:pPr>
      <w:r>
        <w:rPr>
          <w:rFonts w:hint="eastAsia" w:ascii="仿宋" w:hAnsi="仿宋" w:eastAsia="仿宋" w:cs="仿宋"/>
          <w:spacing w:val="29"/>
          <w:position w:val="12"/>
          <w:sz w:val="23"/>
          <w:szCs w:val="23"/>
        </w:rPr>
        <w:t>我单位在参加采购活动前三年内在经营活动中没有《政府采购法》第二十</w:t>
      </w:r>
    </w:p>
    <w:p w14:paraId="51969AB3">
      <w:pPr>
        <w:pStyle w:val="5"/>
        <w:pageBreakBefore w:val="0"/>
        <w:kinsoku w:val="0"/>
        <w:overflowPunct/>
        <w:topLinePunct w:val="0"/>
        <w:autoSpaceDE w:val="0"/>
        <w:autoSpaceDN w:val="0"/>
        <w:bidi w:val="0"/>
        <w:adjustRightInd w:val="0"/>
        <w:snapToGrid w:val="0"/>
        <w:spacing w:before="1" w:line="186" w:lineRule="auto"/>
        <w:ind w:left="4" w:right="0"/>
        <w:textAlignment w:val="baseline"/>
        <w:rPr>
          <w:rFonts w:hint="eastAsia" w:ascii="仿宋" w:hAnsi="仿宋" w:eastAsia="仿宋" w:cs="仿宋"/>
          <w:sz w:val="23"/>
          <w:szCs w:val="23"/>
        </w:rPr>
      </w:pPr>
      <w:r>
        <w:rPr>
          <w:rFonts w:hint="eastAsia" w:ascii="仿宋" w:hAnsi="仿宋" w:eastAsia="仿宋" w:cs="仿宋"/>
          <w:spacing w:val="24"/>
          <w:sz w:val="23"/>
          <w:szCs w:val="23"/>
        </w:rPr>
        <w:t>二条第一款第(五)项所称重大违法记录，包括：</w:t>
      </w:r>
    </w:p>
    <w:p w14:paraId="3AF4BAE5">
      <w:pPr>
        <w:pStyle w:val="5"/>
        <w:pageBreakBefore w:val="0"/>
        <w:kinsoku w:val="0"/>
        <w:overflowPunct/>
        <w:topLinePunct w:val="0"/>
        <w:autoSpaceDE w:val="0"/>
        <w:autoSpaceDN w:val="0"/>
        <w:bidi w:val="0"/>
        <w:adjustRightInd w:val="0"/>
        <w:snapToGrid w:val="0"/>
        <w:spacing w:before="90" w:line="244" w:lineRule="auto"/>
        <w:ind w:left="4" w:right="0" w:firstLine="542"/>
        <w:textAlignment w:val="baseline"/>
        <w:rPr>
          <w:rFonts w:hint="eastAsia" w:ascii="仿宋" w:hAnsi="仿宋" w:eastAsia="仿宋" w:cs="仿宋"/>
          <w:sz w:val="23"/>
          <w:szCs w:val="23"/>
        </w:rPr>
      </w:pPr>
      <w:r>
        <w:rPr>
          <w:rFonts w:hint="eastAsia" w:ascii="仿宋" w:hAnsi="仿宋" w:eastAsia="仿宋" w:cs="仿宋"/>
          <w:spacing w:val="24"/>
          <w:sz w:val="23"/>
          <w:szCs w:val="23"/>
        </w:rPr>
        <w:t>我单位或者其法定代表人(或分公司负责人)</w:t>
      </w:r>
      <w:r>
        <w:rPr>
          <w:rFonts w:hint="eastAsia" w:ascii="仿宋" w:hAnsi="仿宋" w:eastAsia="仿宋" w:cs="仿宋"/>
          <w:spacing w:val="23"/>
          <w:sz w:val="23"/>
          <w:szCs w:val="23"/>
        </w:rPr>
        <w:t>、董事、监事、高级管理人员</w:t>
      </w:r>
      <w:r>
        <w:rPr>
          <w:rFonts w:hint="eastAsia" w:ascii="仿宋" w:hAnsi="仿宋" w:eastAsia="仿宋" w:cs="仿宋"/>
          <w:spacing w:val="26"/>
          <w:sz w:val="23"/>
          <w:szCs w:val="23"/>
        </w:rPr>
        <w:t>未因经营活动中的违法行为受到刑事处罚或者责令停产停</w:t>
      </w:r>
      <w:r>
        <w:rPr>
          <w:rFonts w:hint="eastAsia" w:ascii="仿宋" w:hAnsi="仿宋" w:eastAsia="仿宋" w:cs="仿宋"/>
          <w:spacing w:val="25"/>
          <w:sz w:val="23"/>
          <w:szCs w:val="23"/>
        </w:rPr>
        <w:t>业、吊销许可证或者执</w:t>
      </w:r>
      <w:r>
        <w:rPr>
          <w:rFonts w:hint="eastAsia" w:ascii="仿宋" w:hAnsi="仿宋" w:eastAsia="仿宋" w:cs="仿宋"/>
          <w:spacing w:val="23"/>
          <w:sz w:val="23"/>
          <w:szCs w:val="23"/>
        </w:rPr>
        <w:t>照、较大数额罚款等行政处罚。</w:t>
      </w:r>
    </w:p>
    <w:p w14:paraId="045BE1AD">
      <w:pPr>
        <w:pStyle w:val="5"/>
        <w:pageBreakBefore w:val="0"/>
        <w:kinsoku w:val="0"/>
        <w:overflowPunct/>
        <w:topLinePunct w:val="0"/>
        <w:autoSpaceDE w:val="0"/>
        <w:autoSpaceDN w:val="0"/>
        <w:bidi w:val="0"/>
        <w:adjustRightInd w:val="0"/>
        <w:snapToGrid w:val="0"/>
        <w:spacing w:before="85" w:line="192" w:lineRule="auto"/>
        <w:ind w:left="509" w:right="0"/>
        <w:textAlignment w:val="baseline"/>
        <w:rPr>
          <w:rFonts w:hint="eastAsia" w:ascii="仿宋" w:hAnsi="仿宋" w:eastAsia="仿宋" w:cs="仿宋"/>
          <w:sz w:val="23"/>
          <w:szCs w:val="23"/>
        </w:rPr>
      </w:pPr>
      <w:r>
        <w:rPr>
          <w:rFonts w:hint="eastAsia" w:ascii="仿宋" w:hAnsi="仿宋" w:eastAsia="仿宋" w:cs="仿宋"/>
          <w:spacing w:val="13"/>
          <w:sz w:val="23"/>
          <w:szCs w:val="23"/>
        </w:rPr>
        <w:t>特此声明！</w:t>
      </w:r>
    </w:p>
    <w:p w14:paraId="2D81F382">
      <w:pPr>
        <w:pageBreakBefore w:val="0"/>
        <w:kinsoku w:val="0"/>
        <w:overflowPunct/>
        <w:topLinePunct w:val="0"/>
        <w:autoSpaceDE w:val="0"/>
        <w:autoSpaceDN w:val="0"/>
        <w:bidi w:val="0"/>
        <w:adjustRightInd w:val="0"/>
        <w:snapToGrid w:val="0"/>
        <w:spacing w:line="294" w:lineRule="auto"/>
        <w:ind w:right="0"/>
        <w:textAlignment w:val="baseline"/>
        <w:rPr>
          <w:rFonts w:hint="eastAsia" w:ascii="仿宋" w:hAnsi="仿宋" w:eastAsia="仿宋" w:cs="仿宋"/>
          <w:sz w:val="21"/>
        </w:rPr>
      </w:pPr>
    </w:p>
    <w:p w14:paraId="68F783BD">
      <w:pPr>
        <w:pageBreakBefore w:val="0"/>
        <w:kinsoku w:val="0"/>
        <w:overflowPunct/>
        <w:topLinePunct w:val="0"/>
        <w:autoSpaceDE w:val="0"/>
        <w:autoSpaceDN w:val="0"/>
        <w:bidi w:val="0"/>
        <w:adjustRightInd w:val="0"/>
        <w:snapToGrid w:val="0"/>
        <w:spacing w:line="295" w:lineRule="auto"/>
        <w:ind w:right="0"/>
        <w:textAlignment w:val="baseline"/>
        <w:rPr>
          <w:rFonts w:hint="eastAsia" w:ascii="仿宋" w:hAnsi="仿宋" w:eastAsia="仿宋" w:cs="仿宋"/>
          <w:sz w:val="21"/>
        </w:rPr>
      </w:pPr>
    </w:p>
    <w:p w14:paraId="275A9004">
      <w:pPr>
        <w:pageBreakBefore w:val="0"/>
        <w:kinsoku w:val="0"/>
        <w:overflowPunct/>
        <w:topLinePunct w:val="0"/>
        <w:autoSpaceDE w:val="0"/>
        <w:autoSpaceDN w:val="0"/>
        <w:bidi w:val="0"/>
        <w:adjustRightInd w:val="0"/>
        <w:snapToGrid w:val="0"/>
        <w:spacing w:line="295" w:lineRule="auto"/>
        <w:ind w:right="0"/>
        <w:textAlignment w:val="baseline"/>
        <w:rPr>
          <w:rFonts w:hint="eastAsia" w:ascii="仿宋" w:hAnsi="仿宋" w:eastAsia="仿宋" w:cs="仿宋"/>
          <w:sz w:val="21"/>
        </w:rPr>
      </w:pPr>
    </w:p>
    <w:p w14:paraId="16B2B13F">
      <w:pPr>
        <w:pageBreakBefore w:val="0"/>
        <w:kinsoku w:val="0"/>
        <w:overflowPunct/>
        <w:topLinePunct w:val="0"/>
        <w:autoSpaceDE w:val="0"/>
        <w:autoSpaceDN w:val="0"/>
        <w:bidi w:val="0"/>
        <w:adjustRightInd w:val="0"/>
        <w:snapToGrid w:val="0"/>
        <w:spacing w:line="295" w:lineRule="auto"/>
        <w:ind w:right="0"/>
        <w:textAlignment w:val="baseline"/>
        <w:rPr>
          <w:rFonts w:hint="eastAsia" w:ascii="仿宋" w:hAnsi="仿宋" w:eastAsia="仿宋" w:cs="仿宋"/>
          <w:sz w:val="21"/>
        </w:rPr>
      </w:pPr>
    </w:p>
    <w:p w14:paraId="1DA26335">
      <w:pPr>
        <w:pStyle w:val="5"/>
        <w:pageBreakBefore w:val="0"/>
        <w:kinsoku w:val="0"/>
        <w:overflowPunct/>
        <w:topLinePunct w:val="0"/>
        <w:autoSpaceDE w:val="0"/>
        <w:autoSpaceDN w:val="0"/>
        <w:bidi w:val="0"/>
        <w:adjustRightInd w:val="0"/>
        <w:snapToGrid w:val="0"/>
        <w:spacing w:before="98" w:line="187" w:lineRule="auto"/>
        <w:ind w:right="0"/>
        <w:jc w:val="center"/>
        <w:textAlignment w:val="baseline"/>
        <w:rPr>
          <w:rFonts w:hint="eastAsia" w:ascii="仿宋" w:hAnsi="仿宋" w:eastAsia="仿宋" w:cs="仿宋"/>
          <w:sz w:val="23"/>
          <w:szCs w:val="23"/>
        </w:rPr>
      </w:pPr>
      <w:r>
        <w:rPr>
          <w:rFonts w:hint="eastAsia" w:ascii="仿宋" w:hAnsi="仿宋" w:eastAsia="仿宋" w:cs="仿宋"/>
          <w:spacing w:val="4"/>
          <w:sz w:val="23"/>
          <w:szCs w:val="23"/>
        </w:rPr>
        <w:t>供应商名称(电子签章)：</w:t>
      </w:r>
    </w:p>
    <w:p w14:paraId="438B48E1">
      <w:pPr>
        <w:pStyle w:val="5"/>
        <w:pageBreakBefore w:val="0"/>
        <w:kinsoku w:val="0"/>
        <w:overflowPunct/>
        <w:topLinePunct w:val="0"/>
        <w:autoSpaceDE w:val="0"/>
        <w:autoSpaceDN w:val="0"/>
        <w:bidi w:val="0"/>
        <w:adjustRightInd w:val="0"/>
        <w:snapToGrid w:val="0"/>
        <w:spacing w:before="94" w:line="191" w:lineRule="auto"/>
        <w:ind w:left="6354" w:right="0"/>
        <w:textAlignment w:val="baseline"/>
        <w:rPr>
          <w:rFonts w:hint="eastAsia" w:ascii="仿宋" w:hAnsi="仿宋" w:eastAsia="仿宋" w:cs="仿宋"/>
          <w:sz w:val="23"/>
          <w:szCs w:val="23"/>
        </w:rPr>
      </w:pPr>
      <w:r>
        <w:rPr>
          <w:rFonts w:hint="eastAsia" w:ascii="仿宋" w:hAnsi="仿宋" w:eastAsia="仿宋" w:cs="仿宋"/>
          <w:spacing w:val="-5"/>
          <w:sz w:val="23"/>
          <w:szCs w:val="23"/>
        </w:rPr>
        <w:t>日期：年月日</w:t>
      </w:r>
    </w:p>
    <w:p w14:paraId="6299769B">
      <w:pPr>
        <w:pageBreakBefore w:val="0"/>
        <w:kinsoku w:val="0"/>
        <w:overflowPunct/>
        <w:topLinePunct w:val="0"/>
        <w:autoSpaceDE w:val="0"/>
        <w:autoSpaceDN w:val="0"/>
        <w:bidi w:val="0"/>
        <w:adjustRightInd w:val="0"/>
        <w:snapToGrid w:val="0"/>
        <w:spacing w:line="191" w:lineRule="auto"/>
        <w:ind w:right="0"/>
        <w:textAlignment w:val="baseline"/>
        <w:rPr>
          <w:rFonts w:hint="eastAsia" w:ascii="仿宋" w:hAnsi="仿宋" w:eastAsia="仿宋" w:cs="仿宋"/>
          <w:sz w:val="23"/>
          <w:szCs w:val="23"/>
        </w:rPr>
        <w:sectPr>
          <w:footerReference r:id="rId22" w:type="default"/>
          <w:pgSz w:w="11905" w:h="16838"/>
          <w:pgMar w:top="1440" w:right="1803" w:bottom="1440" w:left="1803" w:header="0" w:footer="567" w:gutter="0"/>
          <w:pgNumType w:fmt="decimal"/>
          <w:cols w:space="0" w:num="1"/>
          <w:rtlGutter w:val="0"/>
          <w:docGrid w:linePitch="0" w:charSpace="0"/>
        </w:sectPr>
      </w:pPr>
    </w:p>
    <w:p w14:paraId="6F49F3C7">
      <w:pPr>
        <w:pStyle w:val="5"/>
        <w:pageBreakBefore w:val="0"/>
        <w:kinsoku w:val="0"/>
        <w:overflowPunct/>
        <w:topLinePunct w:val="0"/>
        <w:autoSpaceDE w:val="0"/>
        <w:autoSpaceDN w:val="0"/>
        <w:bidi w:val="0"/>
        <w:adjustRightInd w:val="0"/>
        <w:snapToGrid w:val="0"/>
        <w:spacing w:before="47" w:line="187" w:lineRule="auto"/>
        <w:ind w:left="13" w:right="0"/>
        <w:jc w:val="center"/>
        <w:textAlignment w:val="baseline"/>
        <w:rPr>
          <w:rFonts w:hint="eastAsia" w:ascii="仿宋" w:hAnsi="仿宋" w:eastAsia="仿宋" w:cs="仿宋"/>
          <w:b/>
          <w:bCs/>
          <w:sz w:val="28"/>
          <w:szCs w:val="28"/>
        </w:rPr>
      </w:pPr>
      <w:r>
        <w:rPr>
          <w:rFonts w:hint="eastAsia" w:ascii="仿宋" w:hAnsi="仿宋" w:eastAsia="仿宋" w:cs="仿宋"/>
          <w:b/>
          <w:bCs/>
          <w:spacing w:val="1"/>
          <w:sz w:val="28"/>
          <w:szCs w:val="28"/>
        </w:rPr>
        <w:t>5、供应商直接控股、管理关系信息表</w:t>
      </w:r>
      <w:r>
        <w:rPr>
          <w:rFonts w:hint="eastAsia" w:ascii="仿宋" w:hAnsi="仿宋" w:eastAsia="仿宋" w:cs="仿宋"/>
          <w:b/>
          <w:bCs/>
          <w:spacing w:val="-4"/>
          <w:sz w:val="28"/>
          <w:szCs w:val="28"/>
        </w:rPr>
        <w:t>；（</w:t>
      </w:r>
      <w:r>
        <w:rPr>
          <w:rFonts w:hint="eastAsia" w:ascii="仿宋" w:hAnsi="仿宋" w:eastAsia="仿宋" w:cs="仿宋"/>
          <w:b/>
          <w:bCs/>
          <w:spacing w:val="1"/>
          <w:sz w:val="28"/>
          <w:szCs w:val="28"/>
        </w:rPr>
        <w:t>格式如下）</w:t>
      </w:r>
    </w:p>
    <w:p w14:paraId="44904CE0">
      <w:pPr>
        <w:pStyle w:val="5"/>
        <w:pageBreakBefore w:val="0"/>
        <w:kinsoku w:val="0"/>
        <w:overflowPunct/>
        <w:topLinePunct w:val="0"/>
        <w:autoSpaceDE w:val="0"/>
        <w:autoSpaceDN w:val="0"/>
        <w:bidi w:val="0"/>
        <w:adjustRightInd w:val="0"/>
        <w:snapToGrid w:val="0"/>
        <w:spacing w:before="91" w:line="175" w:lineRule="auto"/>
        <w:ind w:left="747" w:right="0"/>
        <w:textAlignment w:val="baseline"/>
        <w:rPr>
          <w:rFonts w:hint="eastAsia" w:ascii="仿宋" w:hAnsi="仿宋" w:eastAsia="仿宋" w:cs="仿宋"/>
          <w:sz w:val="23"/>
          <w:szCs w:val="23"/>
        </w:rPr>
      </w:pPr>
      <w:r>
        <w:rPr>
          <w:rFonts w:hint="eastAsia" w:ascii="仿宋" w:hAnsi="仿宋" w:eastAsia="仿宋" w:cs="仿宋"/>
          <w:spacing w:val="6"/>
          <w:sz w:val="23"/>
          <w:szCs w:val="23"/>
        </w:rPr>
        <w:t>附表</w:t>
      </w:r>
      <w:r>
        <w:rPr>
          <w:rFonts w:hint="eastAsia" w:ascii="仿宋" w:hAnsi="仿宋" w:eastAsia="仿宋" w:cs="仿宋"/>
          <w:spacing w:val="6"/>
          <w:sz w:val="23"/>
          <w:szCs w:val="23"/>
          <w14:textOutline w14:w="4388" w14:cap="flat" w14:cmpd="sng">
            <w14:solidFill>
              <w14:srgbClr w14:val="000000"/>
            </w14:solidFill>
            <w14:prstDash w14:val="solid"/>
            <w14:miter w14:val="0"/>
          </w14:textOutline>
        </w:rPr>
        <w:t>1</w:t>
      </w:r>
      <w:r>
        <w:rPr>
          <w:rFonts w:hint="eastAsia" w:ascii="仿宋" w:hAnsi="仿宋" w:eastAsia="仿宋" w:cs="仿宋"/>
          <w:spacing w:val="6"/>
          <w:sz w:val="23"/>
          <w:szCs w:val="23"/>
        </w:rPr>
        <w:t>、供应商直接控股股东信息</w:t>
      </w:r>
    </w:p>
    <w:tbl>
      <w:tblPr>
        <w:tblStyle w:val="26"/>
        <w:tblW w:w="90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2112"/>
        <w:gridCol w:w="1061"/>
        <w:gridCol w:w="4335"/>
        <w:gridCol w:w="625"/>
      </w:tblGrid>
      <w:tr w14:paraId="6FB22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88" w:type="dxa"/>
            <w:vAlign w:val="top"/>
          </w:tcPr>
          <w:p w14:paraId="033642D7">
            <w:pPr>
              <w:pStyle w:val="27"/>
              <w:pageBreakBefore w:val="0"/>
              <w:kinsoku w:val="0"/>
              <w:overflowPunct/>
              <w:topLinePunct w:val="0"/>
              <w:autoSpaceDE w:val="0"/>
              <w:autoSpaceDN w:val="0"/>
              <w:bidi w:val="0"/>
              <w:adjustRightInd w:val="0"/>
              <w:snapToGrid w:val="0"/>
              <w:spacing w:before="158" w:line="192" w:lineRule="auto"/>
              <w:ind w:left="206" w:right="0"/>
              <w:textAlignment w:val="baseline"/>
              <w:rPr>
                <w:rFonts w:hint="eastAsia" w:ascii="仿宋" w:hAnsi="仿宋" w:eastAsia="仿宋" w:cs="仿宋"/>
              </w:rPr>
            </w:pPr>
            <w:r>
              <w:rPr>
                <w:rFonts w:hint="eastAsia" w:ascii="仿宋" w:hAnsi="仿宋" w:eastAsia="仿宋" w:cs="仿宋"/>
                <w:spacing w:val="6"/>
              </w:rPr>
              <w:t>序号</w:t>
            </w:r>
          </w:p>
        </w:tc>
        <w:tc>
          <w:tcPr>
            <w:tcW w:w="2112" w:type="dxa"/>
            <w:vAlign w:val="top"/>
          </w:tcPr>
          <w:p w14:paraId="4B0C33E0">
            <w:pPr>
              <w:pStyle w:val="27"/>
              <w:pageBreakBefore w:val="0"/>
              <w:kinsoku w:val="0"/>
              <w:overflowPunct/>
              <w:topLinePunct w:val="0"/>
              <w:autoSpaceDE w:val="0"/>
              <w:autoSpaceDN w:val="0"/>
              <w:bidi w:val="0"/>
              <w:adjustRightInd w:val="0"/>
              <w:snapToGrid w:val="0"/>
              <w:spacing w:before="158" w:line="192" w:lineRule="auto"/>
              <w:ind w:left="51" w:right="0"/>
              <w:textAlignment w:val="baseline"/>
              <w:rPr>
                <w:rFonts w:hint="eastAsia" w:ascii="仿宋" w:hAnsi="仿宋" w:eastAsia="仿宋" w:cs="仿宋"/>
              </w:rPr>
            </w:pPr>
            <w:r>
              <w:rPr>
                <w:rFonts w:hint="eastAsia" w:ascii="仿宋" w:hAnsi="仿宋" w:eastAsia="仿宋" w:cs="仿宋"/>
                <w:spacing w:val="20"/>
              </w:rPr>
              <w:t>直接控股股东名称</w:t>
            </w:r>
          </w:p>
        </w:tc>
        <w:tc>
          <w:tcPr>
            <w:tcW w:w="1061" w:type="dxa"/>
            <w:vAlign w:val="top"/>
          </w:tcPr>
          <w:p w14:paraId="02B7B1A8">
            <w:pPr>
              <w:pStyle w:val="27"/>
              <w:pageBreakBefore w:val="0"/>
              <w:kinsoku w:val="0"/>
              <w:overflowPunct/>
              <w:topLinePunct w:val="0"/>
              <w:autoSpaceDE w:val="0"/>
              <w:autoSpaceDN w:val="0"/>
              <w:bidi w:val="0"/>
              <w:adjustRightInd w:val="0"/>
              <w:snapToGrid w:val="0"/>
              <w:spacing w:before="158" w:line="192" w:lineRule="auto"/>
              <w:ind w:left="105" w:right="0"/>
              <w:textAlignment w:val="baseline"/>
              <w:rPr>
                <w:rFonts w:hint="eastAsia" w:ascii="仿宋" w:hAnsi="仿宋" w:eastAsia="仿宋" w:cs="仿宋"/>
              </w:rPr>
            </w:pPr>
            <w:r>
              <w:rPr>
                <w:rFonts w:hint="eastAsia" w:ascii="仿宋" w:hAnsi="仿宋" w:eastAsia="仿宋" w:cs="仿宋"/>
                <w:spacing w:val="-8"/>
              </w:rPr>
              <w:t>出资比例</w:t>
            </w:r>
          </w:p>
        </w:tc>
        <w:tc>
          <w:tcPr>
            <w:tcW w:w="4335" w:type="dxa"/>
            <w:vAlign w:val="top"/>
          </w:tcPr>
          <w:p w14:paraId="5E3ECFD3">
            <w:pPr>
              <w:pStyle w:val="27"/>
              <w:pageBreakBefore w:val="0"/>
              <w:kinsoku w:val="0"/>
              <w:overflowPunct/>
              <w:topLinePunct w:val="0"/>
              <w:autoSpaceDE w:val="0"/>
              <w:autoSpaceDN w:val="0"/>
              <w:bidi w:val="0"/>
              <w:adjustRightInd w:val="0"/>
              <w:snapToGrid w:val="0"/>
              <w:spacing w:before="158" w:line="191" w:lineRule="auto"/>
              <w:ind w:left="276" w:right="0"/>
              <w:textAlignment w:val="baseline"/>
              <w:rPr>
                <w:rFonts w:hint="eastAsia" w:ascii="仿宋" w:hAnsi="仿宋" w:eastAsia="仿宋" w:cs="仿宋"/>
              </w:rPr>
            </w:pPr>
            <w:r>
              <w:rPr>
                <w:rFonts w:hint="eastAsia" w:ascii="仿宋" w:hAnsi="仿宋" w:eastAsia="仿宋" w:cs="仿宋"/>
                <w:spacing w:val="22"/>
              </w:rPr>
              <w:t>身份证号码或者统一社会信用代码</w:t>
            </w:r>
          </w:p>
        </w:tc>
        <w:tc>
          <w:tcPr>
            <w:tcW w:w="625" w:type="dxa"/>
            <w:vAlign w:val="top"/>
          </w:tcPr>
          <w:p w14:paraId="787BC08B">
            <w:pPr>
              <w:pStyle w:val="27"/>
              <w:pageBreakBefore w:val="0"/>
              <w:kinsoku w:val="0"/>
              <w:overflowPunct/>
              <w:topLinePunct w:val="0"/>
              <w:autoSpaceDE w:val="0"/>
              <w:autoSpaceDN w:val="0"/>
              <w:bidi w:val="0"/>
              <w:adjustRightInd w:val="0"/>
              <w:snapToGrid w:val="0"/>
              <w:spacing w:before="158" w:line="193" w:lineRule="auto"/>
              <w:ind w:left="84" w:right="0"/>
              <w:textAlignment w:val="baseline"/>
              <w:rPr>
                <w:rFonts w:hint="eastAsia" w:ascii="仿宋" w:hAnsi="仿宋" w:eastAsia="仿宋" w:cs="仿宋"/>
              </w:rPr>
            </w:pPr>
            <w:r>
              <w:rPr>
                <w:rFonts w:hint="eastAsia" w:ascii="仿宋" w:hAnsi="仿宋" w:eastAsia="仿宋" w:cs="仿宋"/>
                <w:spacing w:val="2"/>
              </w:rPr>
              <w:t>备注</w:t>
            </w:r>
          </w:p>
        </w:tc>
      </w:tr>
      <w:tr w14:paraId="1C7DD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8" w:type="dxa"/>
            <w:vAlign w:val="top"/>
          </w:tcPr>
          <w:p w14:paraId="666FDD10">
            <w:pPr>
              <w:pStyle w:val="27"/>
              <w:pageBreakBefore w:val="0"/>
              <w:kinsoku w:val="0"/>
              <w:overflowPunct/>
              <w:topLinePunct w:val="0"/>
              <w:autoSpaceDE w:val="0"/>
              <w:autoSpaceDN w:val="0"/>
              <w:bidi w:val="0"/>
              <w:adjustRightInd w:val="0"/>
              <w:snapToGrid w:val="0"/>
              <w:spacing w:before="190" w:line="165" w:lineRule="auto"/>
              <w:ind w:left="407" w:right="0"/>
              <w:textAlignment w:val="baseline"/>
              <w:rPr>
                <w:rFonts w:hint="eastAsia" w:ascii="仿宋" w:hAnsi="仿宋" w:eastAsia="仿宋" w:cs="仿宋"/>
              </w:rPr>
            </w:pPr>
            <w:r>
              <w:rPr>
                <w:rFonts w:hint="eastAsia" w:ascii="仿宋" w:hAnsi="仿宋" w:eastAsia="仿宋" w:cs="仿宋"/>
              </w:rPr>
              <w:t>1</w:t>
            </w:r>
          </w:p>
        </w:tc>
        <w:tc>
          <w:tcPr>
            <w:tcW w:w="2112" w:type="dxa"/>
            <w:vAlign w:val="top"/>
          </w:tcPr>
          <w:p w14:paraId="61FB296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061" w:type="dxa"/>
            <w:vAlign w:val="top"/>
          </w:tcPr>
          <w:p w14:paraId="514B5A9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4335" w:type="dxa"/>
            <w:vAlign w:val="top"/>
          </w:tcPr>
          <w:p w14:paraId="02ED748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625" w:type="dxa"/>
            <w:vAlign w:val="top"/>
          </w:tcPr>
          <w:p w14:paraId="304A49FE">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5AA5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8" w:type="dxa"/>
            <w:vAlign w:val="top"/>
          </w:tcPr>
          <w:p w14:paraId="4F8D363B">
            <w:pPr>
              <w:pStyle w:val="27"/>
              <w:pageBreakBefore w:val="0"/>
              <w:kinsoku w:val="0"/>
              <w:overflowPunct/>
              <w:topLinePunct w:val="0"/>
              <w:autoSpaceDE w:val="0"/>
              <w:autoSpaceDN w:val="0"/>
              <w:bidi w:val="0"/>
              <w:adjustRightInd w:val="0"/>
              <w:snapToGrid w:val="0"/>
              <w:spacing w:before="192" w:line="164" w:lineRule="auto"/>
              <w:ind w:left="393" w:right="0"/>
              <w:textAlignment w:val="baseline"/>
              <w:rPr>
                <w:rFonts w:hint="eastAsia" w:ascii="仿宋" w:hAnsi="仿宋" w:eastAsia="仿宋" w:cs="仿宋"/>
              </w:rPr>
            </w:pPr>
            <w:r>
              <w:rPr>
                <w:rFonts w:hint="eastAsia" w:ascii="仿宋" w:hAnsi="仿宋" w:eastAsia="仿宋" w:cs="仿宋"/>
              </w:rPr>
              <w:t>2</w:t>
            </w:r>
          </w:p>
        </w:tc>
        <w:tc>
          <w:tcPr>
            <w:tcW w:w="2112" w:type="dxa"/>
            <w:vAlign w:val="top"/>
          </w:tcPr>
          <w:p w14:paraId="5079291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061" w:type="dxa"/>
            <w:vAlign w:val="top"/>
          </w:tcPr>
          <w:p w14:paraId="5589DF2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4335" w:type="dxa"/>
            <w:vAlign w:val="top"/>
          </w:tcPr>
          <w:p w14:paraId="4BCC98DE">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625" w:type="dxa"/>
            <w:vAlign w:val="top"/>
          </w:tcPr>
          <w:p w14:paraId="002F8DE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2CA6D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8" w:type="dxa"/>
            <w:vAlign w:val="top"/>
          </w:tcPr>
          <w:p w14:paraId="4CDF3809">
            <w:pPr>
              <w:pStyle w:val="27"/>
              <w:pageBreakBefore w:val="0"/>
              <w:kinsoku w:val="0"/>
              <w:overflowPunct/>
              <w:topLinePunct w:val="0"/>
              <w:autoSpaceDE w:val="0"/>
              <w:autoSpaceDN w:val="0"/>
              <w:bidi w:val="0"/>
              <w:adjustRightInd w:val="0"/>
              <w:snapToGrid w:val="0"/>
              <w:spacing w:before="193" w:line="164" w:lineRule="auto"/>
              <w:ind w:left="394" w:right="0"/>
              <w:textAlignment w:val="baseline"/>
              <w:rPr>
                <w:rFonts w:hint="eastAsia" w:ascii="仿宋" w:hAnsi="仿宋" w:eastAsia="仿宋" w:cs="仿宋"/>
              </w:rPr>
            </w:pPr>
            <w:r>
              <w:rPr>
                <w:rFonts w:hint="eastAsia" w:ascii="仿宋" w:hAnsi="仿宋" w:eastAsia="仿宋" w:cs="仿宋"/>
              </w:rPr>
              <w:t>3</w:t>
            </w:r>
          </w:p>
        </w:tc>
        <w:tc>
          <w:tcPr>
            <w:tcW w:w="2112" w:type="dxa"/>
            <w:vAlign w:val="top"/>
          </w:tcPr>
          <w:p w14:paraId="5A058FC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061" w:type="dxa"/>
            <w:vAlign w:val="top"/>
          </w:tcPr>
          <w:p w14:paraId="6352088E">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4335" w:type="dxa"/>
            <w:vAlign w:val="top"/>
          </w:tcPr>
          <w:p w14:paraId="00F3803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625" w:type="dxa"/>
            <w:vAlign w:val="top"/>
          </w:tcPr>
          <w:p w14:paraId="58F3559C">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37BC2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88" w:type="dxa"/>
            <w:vAlign w:val="top"/>
          </w:tcPr>
          <w:p w14:paraId="5B85680E">
            <w:pPr>
              <w:pStyle w:val="27"/>
              <w:pageBreakBefore w:val="0"/>
              <w:kinsoku w:val="0"/>
              <w:overflowPunct/>
              <w:topLinePunct w:val="0"/>
              <w:autoSpaceDE w:val="0"/>
              <w:autoSpaceDN w:val="0"/>
              <w:bidi w:val="0"/>
              <w:adjustRightInd w:val="0"/>
              <w:snapToGrid w:val="0"/>
              <w:spacing w:before="148" w:line="202" w:lineRule="auto"/>
              <w:ind w:left="234" w:right="0"/>
              <w:textAlignment w:val="baseline"/>
              <w:rPr>
                <w:rFonts w:hint="eastAsia" w:ascii="仿宋" w:hAnsi="仿宋" w:eastAsia="仿宋" w:cs="仿宋"/>
              </w:rPr>
            </w:pPr>
            <w:r>
              <w:rPr>
                <w:rFonts w:hint="eastAsia" w:ascii="仿宋" w:hAnsi="仿宋" w:eastAsia="仿宋" w:cs="仿宋"/>
                <w:spacing w:val="34"/>
              </w:rPr>
              <w:t>……</w:t>
            </w:r>
          </w:p>
        </w:tc>
        <w:tc>
          <w:tcPr>
            <w:tcW w:w="2112" w:type="dxa"/>
            <w:vAlign w:val="top"/>
          </w:tcPr>
          <w:p w14:paraId="47CA38F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061" w:type="dxa"/>
            <w:vAlign w:val="top"/>
          </w:tcPr>
          <w:p w14:paraId="297D8CD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4335" w:type="dxa"/>
            <w:vAlign w:val="top"/>
          </w:tcPr>
          <w:p w14:paraId="3449C6D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625" w:type="dxa"/>
            <w:vAlign w:val="top"/>
          </w:tcPr>
          <w:p w14:paraId="509890B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bl>
    <w:p w14:paraId="11AD260E">
      <w:pPr>
        <w:pStyle w:val="5"/>
        <w:pageBreakBefore w:val="0"/>
        <w:kinsoku w:val="0"/>
        <w:overflowPunct/>
        <w:topLinePunct w:val="0"/>
        <w:autoSpaceDE w:val="0"/>
        <w:autoSpaceDN w:val="0"/>
        <w:bidi w:val="0"/>
        <w:adjustRightInd w:val="0"/>
        <w:snapToGrid w:val="0"/>
        <w:spacing w:before="114" w:line="193" w:lineRule="auto"/>
        <w:ind w:left="488" w:right="0"/>
        <w:textAlignment w:val="baseline"/>
        <w:rPr>
          <w:rFonts w:hint="eastAsia" w:ascii="仿宋" w:hAnsi="仿宋" w:eastAsia="仿宋" w:cs="仿宋"/>
          <w:sz w:val="23"/>
          <w:szCs w:val="23"/>
        </w:rPr>
      </w:pPr>
      <w:r>
        <w:rPr>
          <w:rFonts w:hint="eastAsia" w:ascii="仿宋" w:hAnsi="仿宋" w:eastAsia="仿宋" w:cs="仿宋"/>
          <w:spacing w:val="-13"/>
          <w:sz w:val="23"/>
          <w:szCs w:val="23"/>
        </w:rPr>
        <w:t>注：</w:t>
      </w:r>
    </w:p>
    <w:p w14:paraId="05F85DC8">
      <w:pPr>
        <w:pStyle w:val="5"/>
        <w:pageBreakBefore w:val="0"/>
        <w:kinsoku w:val="0"/>
        <w:overflowPunct/>
        <w:topLinePunct w:val="0"/>
        <w:autoSpaceDE w:val="0"/>
        <w:autoSpaceDN w:val="0"/>
        <w:bidi w:val="0"/>
        <w:adjustRightInd w:val="0"/>
        <w:snapToGrid w:val="0"/>
        <w:spacing w:before="84" w:line="243" w:lineRule="auto"/>
        <w:ind w:left="11" w:right="0" w:firstLine="566"/>
        <w:textAlignment w:val="baseline"/>
        <w:rPr>
          <w:rFonts w:hint="eastAsia" w:ascii="仿宋" w:hAnsi="仿宋" w:eastAsia="仿宋" w:cs="仿宋"/>
          <w:sz w:val="23"/>
          <w:szCs w:val="23"/>
        </w:rPr>
      </w:pPr>
      <w:r>
        <w:rPr>
          <w:rFonts w:hint="eastAsia" w:ascii="仿宋" w:hAnsi="仿宋" w:eastAsia="仿宋" w:cs="仿宋"/>
          <w:spacing w:val="-3"/>
          <w:sz w:val="23"/>
          <w:szCs w:val="23"/>
        </w:rPr>
        <w:t>1.直接控股股东：是指其出资额占有限责任公</w:t>
      </w:r>
      <w:r>
        <w:rPr>
          <w:rFonts w:hint="eastAsia" w:ascii="仿宋" w:hAnsi="仿宋" w:eastAsia="仿宋" w:cs="仿宋"/>
          <w:spacing w:val="-4"/>
          <w:sz w:val="23"/>
          <w:szCs w:val="23"/>
        </w:rPr>
        <w:t>司资本总额百分之五十以上</w:t>
      </w:r>
      <w:r>
        <w:rPr>
          <w:rFonts w:hint="eastAsia" w:ascii="仿宋" w:hAnsi="仿宋" w:eastAsia="仿宋" w:cs="仿宋"/>
          <w:spacing w:val="24"/>
          <w:sz w:val="23"/>
          <w:szCs w:val="23"/>
        </w:rPr>
        <w:t>或者其持有的股份占股份有限公司股份总额百分之五十以上的股东；出资额或者</w:t>
      </w:r>
      <w:r>
        <w:rPr>
          <w:rFonts w:hint="eastAsia" w:ascii="仿宋" w:hAnsi="仿宋" w:eastAsia="仿宋" w:cs="仿宋"/>
          <w:spacing w:val="21"/>
          <w:sz w:val="23"/>
          <w:szCs w:val="23"/>
        </w:rPr>
        <w:t>持有股份的比例虽然不足百分之五十，但依其出资额或者持有的股份所享有的表</w:t>
      </w:r>
      <w:r>
        <w:rPr>
          <w:rFonts w:hint="eastAsia" w:ascii="仿宋" w:hAnsi="仿宋" w:eastAsia="仿宋" w:cs="仿宋"/>
          <w:spacing w:val="20"/>
          <w:sz w:val="23"/>
          <w:szCs w:val="23"/>
        </w:rPr>
        <w:t>决权已足以对股东会、股东大会的决议产生重大影响的股东。</w:t>
      </w:r>
    </w:p>
    <w:p w14:paraId="7F737469">
      <w:pPr>
        <w:pStyle w:val="5"/>
        <w:pageBreakBefore w:val="0"/>
        <w:kinsoku w:val="0"/>
        <w:overflowPunct/>
        <w:topLinePunct w:val="0"/>
        <w:autoSpaceDE w:val="0"/>
        <w:autoSpaceDN w:val="0"/>
        <w:bidi w:val="0"/>
        <w:adjustRightInd w:val="0"/>
        <w:snapToGrid w:val="0"/>
        <w:spacing w:before="84" w:line="243" w:lineRule="auto"/>
        <w:ind w:left="11" w:right="0" w:firstLine="566"/>
        <w:textAlignment w:val="baseline"/>
        <w:rPr>
          <w:rFonts w:hint="eastAsia" w:ascii="仿宋" w:hAnsi="仿宋" w:eastAsia="仿宋" w:cs="仿宋"/>
          <w:spacing w:val="20"/>
          <w:sz w:val="23"/>
          <w:szCs w:val="23"/>
        </w:rPr>
      </w:pPr>
      <w:r>
        <w:rPr>
          <w:rFonts w:hint="eastAsia" w:ascii="仿宋" w:hAnsi="仿宋" w:eastAsia="仿宋" w:cs="仿宋"/>
          <w:spacing w:val="20"/>
          <w:sz w:val="23"/>
          <w:szCs w:val="23"/>
        </w:rPr>
        <w:t>2.本表所指的控股关系仅限于直接控股关系，不包括间接的控股关系。公司实际控制人与公司之间的关系不属于本表所指的直接控股关系。</w:t>
      </w:r>
    </w:p>
    <w:p w14:paraId="18C797B8">
      <w:pPr>
        <w:pStyle w:val="5"/>
        <w:pageBreakBefore w:val="0"/>
        <w:kinsoku w:val="0"/>
        <w:overflowPunct/>
        <w:topLinePunct w:val="0"/>
        <w:autoSpaceDE w:val="0"/>
        <w:autoSpaceDN w:val="0"/>
        <w:bidi w:val="0"/>
        <w:adjustRightInd w:val="0"/>
        <w:snapToGrid w:val="0"/>
        <w:spacing w:before="86" w:line="191" w:lineRule="auto"/>
        <w:ind w:left="558" w:right="0"/>
        <w:textAlignment w:val="baseline"/>
        <w:rPr>
          <w:rFonts w:hint="eastAsia" w:ascii="仿宋" w:hAnsi="仿宋" w:eastAsia="仿宋" w:cs="仿宋"/>
          <w:sz w:val="23"/>
          <w:szCs w:val="23"/>
        </w:rPr>
      </w:pPr>
      <w:r>
        <w:rPr>
          <w:rFonts w:hint="eastAsia" w:ascii="仿宋" w:hAnsi="仿宋" w:eastAsia="仿宋" w:cs="仿宋"/>
          <w:spacing w:val="17"/>
          <w:sz w:val="23"/>
          <w:szCs w:val="23"/>
        </w:rPr>
        <w:t>3.供应商不存在直接控股股东的，则填“</w:t>
      </w:r>
      <w:r>
        <w:rPr>
          <w:rFonts w:hint="eastAsia" w:ascii="仿宋" w:hAnsi="仿宋" w:eastAsia="仿宋" w:cs="仿宋"/>
          <w:spacing w:val="16"/>
          <w:sz w:val="23"/>
          <w:szCs w:val="23"/>
        </w:rPr>
        <w:t>无”。</w:t>
      </w:r>
    </w:p>
    <w:p w14:paraId="797DD6FD">
      <w:pPr>
        <w:pageBreakBefore w:val="0"/>
        <w:kinsoku w:val="0"/>
        <w:overflowPunct/>
        <w:topLinePunct w:val="0"/>
        <w:autoSpaceDE w:val="0"/>
        <w:autoSpaceDN w:val="0"/>
        <w:bidi w:val="0"/>
        <w:adjustRightInd w:val="0"/>
        <w:snapToGrid w:val="0"/>
        <w:spacing w:line="326" w:lineRule="auto"/>
        <w:ind w:right="0"/>
        <w:textAlignment w:val="baseline"/>
        <w:rPr>
          <w:rFonts w:hint="eastAsia" w:ascii="仿宋" w:hAnsi="仿宋" w:eastAsia="仿宋" w:cs="仿宋"/>
          <w:sz w:val="21"/>
        </w:rPr>
      </w:pPr>
    </w:p>
    <w:p w14:paraId="5EB3B3B7">
      <w:pPr>
        <w:pageBreakBefore w:val="0"/>
        <w:kinsoku w:val="0"/>
        <w:overflowPunct/>
        <w:topLinePunct w:val="0"/>
        <w:autoSpaceDE w:val="0"/>
        <w:autoSpaceDN w:val="0"/>
        <w:bidi w:val="0"/>
        <w:adjustRightInd w:val="0"/>
        <w:snapToGrid w:val="0"/>
        <w:spacing w:line="326" w:lineRule="auto"/>
        <w:ind w:right="0"/>
        <w:textAlignment w:val="baseline"/>
        <w:rPr>
          <w:rFonts w:hint="eastAsia" w:ascii="仿宋" w:hAnsi="仿宋" w:eastAsia="仿宋" w:cs="仿宋"/>
          <w:sz w:val="21"/>
        </w:rPr>
      </w:pPr>
    </w:p>
    <w:p w14:paraId="1E7444D2">
      <w:pPr>
        <w:pStyle w:val="5"/>
        <w:pageBreakBefore w:val="0"/>
        <w:kinsoku w:val="0"/>
        <w:overflowPunct/>
        <w:topLinePunct w:val="0"/>
        <w:autoSpaceDE w:val="0"/>
        <w:autoSpaceDN w:val="0"/>
        <w:bidi w:val="0"/>
        <w:adjustRightInd w:val="0"/>
        <w:snapToGrid w:val="0"/>
        <w:spacing w:before="100" w:line="187" w:lineRule="auto"/>
        <w:ind w:right="0"/>
        <w:jc w:val="right"/>
        <w:textAlignment w:val="baseline"/>
        <w:rPr>
          <w:rFonts w:hint="eastAsia" w:ascii="仿宋" w:hAnsi="仿宋" w:eastAsia="仿宋" w:cs="仿宋"/>
          <w:sz w:val="23"/>
          <w:szCs w:val="23"/>
        </w:rPr>
      </w:pPr>
      <w:r>
        <w:rPr>
          <w:rFonts w:hint="eastAsia" w:ascii="仿宋" w:hAnsi="仿宋" w:eastAsia="仿宋" w:cs="仿宋"/>
          <w:spacing w:val="9"/>
          <w:sz w:val="23"/>
          <w:szCs w:val="23"/>
        </w:rPr>
        <w:t>供应商名称(电子签章)：</w:t>
      </w:r>
    </w:p>
    <w:p w14:paraId="2975831C">
      <w:pPr>
        <w:pStyle w:val="5"/>
        <w:pageBreakBefore w:val="0"/>
        <w:kinsoku w:val="0"/>
        <w:overflowPunct/>
        <w:topLinePunct w:val="0"/>
        <w:autoSpaceDE w:val="0"/>
        <w:autoSpaceDN w:val="0"/>
        <w:bidi w:val="0"/>
        <w:adjustRightInd w:val="0"/>
        <w:snapToGrid w:val="0"/>
        <w:spacing w:before="94" w:line="191" w:lineRule="auto"/>
        <w:ind w:left="6249" w:right="0"/>
        <w:textAlignment w:val="baseline"/>
        <w:rPr>
          <w:rFonts w:hint="eastAsia" w:ascii="仿宋" w:hAnsi="仿宋" w:eastAsia="仿宋" w:cs="仿宋"/>
          <w:sz w:val="23"/>
          <w:szCs w:val="23"/>
        </w:rPr>
      </w:pPr>
      <w:r>
        <w:rPr>
          <w:rFonts w:hint="eastAsia" w:ascii="仿宋" w:hAnsi="仿宋" w:eastAsia="仿宋" w:cs="仿宋"/>
          <w:spacing w:val="-10"/>
          <w:sz w:val="23"/>
          <w:szCs w:val="23"/>
        </w:rPr>
        <w:t>日期：年月日</w:t>
      </w:r>
    </w:p>
    <w:p w14:paraId="5EA87647">
      <w:pPr>
        <w:pageBreakBefore w:val="0"/>
        <w:kinsoku w:val="0"/>
        <w:overflowPunct/>
        <w:topLinePunct w:val="0"/>
        <w:autoSpaceDE w:val="0"/>
        <w:autoSpaceDN w:val="0"/>
        <w:bidi w:val="0"/>
        <w:adjustRightInd w:val="0"/>
        <w:snapToGrid w:val="0"/>
        <w:spacing w:line="347" w:lineRule="auto"/>
        <w:ind w:right="0"/>
        <w:textAlignment w:val="baseline"/>
        <w:rPr>
          <w:rFonts w:hint="eastAsia" w:ascii="仿宋" w:hAnsi="仿宋" w:eastAsia="仿宋" w:cs="仿宋"/>
          <w:sz w:val="21"/>
        </w:rPr>
      </w:pPr>
    </w:p>
    <w:p w14:paraId="0B020CCF">
      <w:pPr>
        <w:pStyle w:val="5"/>
        <w:pageBreakBefore w:val="0"/>
        <w:kinsoku w:val="0"/>
        <w:overflowPunct/>
        <w:topLinePunct w:val="0"/>
        <w:autoSpaceDE w:val="0"/>
        <w:autoSpaceDN w:val="0"/>
        <w:bidi w:val="0"/>
        <w:adjustRightInd w:val="0"/>
        <w:snapToGrid w:val="0"/>
        <w:spacing w:before="99" w:line="174" w:lineRule="auto"/>
        <w:ind w:left="524" w:right="0"/>
        <w:textAlignment w:val="baseline"/>
        <w:rPr>
          <w:rFonts w:hint="eastAsia" w:ascii="仿宋" w:hAnsi="仿宋" w:eastAsia="仿宋" w:cs="仿宋"/>
          <w:sz w:val="23"/>
          <w:szCs w:val="23"/>
        </w:rPr>
      </w:pPr>
      <w:r>
        <w:rPr>
          <w:rFonts w:hint="eastAsia" w:ascii="仿宋" w:hAnsi="仿宋" w:eastAsia="仿宋" w:cs="仿宋"/>
          <w:spacing w:val="7"/>
          <w:sz w:val="23"/>
          <w:szCs w:val="23"/>
        </w:rPr>
        <w:t>附表</w:t>
      </w:r>
      <w:r>
        <w:rPr>
          <w:rFonts w:hint="eastAsia" w:ascii="仿宋" w:hAnsi="仿宋" w:eastAsia="仿宋" w:cs="仿宋"/>
          <w:spacing w:val="7"/>
          <w:sz w:val="23"/>
          <w:szCs w:val="23"/>
          <w14:textOutline w14:w="4388" w14:cap="flat" w14:cmpd="sng">
            <w14:solidFill>
              <w14:srgbClr w14:val="000000"/>
            </w14:solidFill>
            <w14:prstDash w14:val="solid"/>
            <w14:miter w14:val="0"/>
          </w14:textOutline>
        </w:rPr>
        <w:t>2</w:t>
      </w:r>
      <w:r>
        <w:rPr>
          <w:rFonts w:hint="eastAsia" w:ascii="仿宋" w:hAnsi="仿宋" w:eastAsia="仿宋" w:cs="仿宋"/>
          <w:spacing w:val="7"/>
          <w:sz w:val="23"/>
          <w:szCs w:val="23"/>
        </w:rPr>
        <w:t>、供应商直接管理关系信息表</w:t>
      </w:r>
    </w:p>
    <w:tbl>
      <w:tblPr>
        <w:tblStyle w:val="26"/>
        <w:tblW w:w="9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3208"/>
        <w:gridCol w:w="3044"/>
        <w:gridCol w:w="1986"/>
      </w:tblGrid>
      <w:tr w14:paraId="1F03C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18" w:type="dxa"/>
            <w:vAlign w:val="top"/>
          </w:tcPr>
          <w:p w14:paraId="5CA352E4">
            <w:pPr>
              <w:pStyle w:val="27"/>
              <w:pageBreakBefore w:val="0"/>
              <w:kinsoku w:val="0"/>
              <w:overflowPunct/>
              <w:topLinePunct w:val="0"/>
              <w:autoSpaceDE w:val="0"/>
              <w:autoSpaceDN w:val="0"/>
              <w:bidi w:val="0"/>
              <w:adjustRightInd w:val="0"/>
              <w:snapToGrid w:val="0"/>
              <w:spacing w:before="157" w:line="192" w:lineRule="auto"/>
              <w:ind w:left="173" w:right="0"/>
              <w:textAlignment w:val="baseline"/>
              <w:rPr>
                <w:rFonts w:hint="eastAsia" w:ascii="仿宋" w:hAnsi="仿宋" w:eastAsia="仿宋" w:cs="仿宋"/>
              </w:rPr>
            </w:pPr>
            <w:r>
              <w:rPr>
                <w:rFonts w:hint="eastAsia" w:ascii="仿宋" w:hAnsi="仿宋" w:eastAsia="仿宋" w:cs="仿宋"/>
                <w:spacing w:val="6"/>
              </w:rPr>
              <w:t>序号</w:t>
            </w:r>
          </w:p>
        </w:tc>
        <w:tc>
          <w:tcPr>
            <w:tcW w:w="3208" w:type="dxa"/>
            <w:vAlign w:val="top"/>
          </w:tcPr>
          <w:p w14:paraId="686E6343">
            <w:pPr>
              <w:pStyle w:val="27"/>
              <w:pageBreakBefore w:val="0"/>
              <w:kinsoku w:val="0"/>
              <w:overflowPunct/>
              <w:topLinePunct w:val="0"/>
              <w:autoSpaceDE w:val="0"/>
              <w:autoSpaceDN w:val="0"/>
              <w:bidi w:val="0"/>
              <w:adjustRightInd w:val="0"/>
              <w:snapToGrid w:val="0"/>
              <w:spacing w:before="158" w:line="192" w:lineRule="auto"/>
              <w:ind w:left="339" w:right="0"/>
              <w:textAlignment w:val="baseline"/>
              <w:rPr>
                <w:rFonts w:hint="eastAsia" w:ascii="仿宋" w:hAnsi="仿宋" w:eastAsia="仿宋" w:cs="仿宋"/>
              </w:rPr>
            </w:pPr>
            <w:r>
              <w:rPr>
                <w:rFonts w:hint="eastAsia" w:ascii="仿宋" w:hAnsi="仿宋" w:eastAsia="仿宋" w:cs="仿宋"/>
                <w:spacing w:val="21"/>
              </w:rPr>
              <w:t>直接管理关系单位名称</w:t>
            </w:r>
          </w:p>
        </w:tc>
        <w:tc>
          <w:tcPr>
            <w:tcW w:w="3044" w:type="dxa"/>
            <w:vAlign w:val="top"/>
          </w:tcPr>
          <w:p w14:paraId="172D7202">
            <w:pPr>
              <w:pStyle w:val="27"/>
              <w:pageBreakBefore w:val="0"/>
              <w:kinsoku w:val="0"/>
              <w:overflowPunct/>
              <w:topLinePunct w:val="0"/>
              <w:autoSpaceDE w:val="0"/>
              <w:autoSpaceDN w:val="0"/>
              <w:bidi w:val="0"/>
              <w:adjustRightInd w:val="0"/>
              <w:snapToGrid w:val="0"/>
              <w:spacing w:before="158" w:line="191" w:lineRule="auto"/>
              <w:ind w:left="536" w:right="0"/>
              <w:textAlignment w:val="baseline"/>
              <w:rPr>
                <w:rFonts w:hint="eastAsia" w:ascii="仿宋" w:hAnsi="仿宋" w:eastAsia="仿宋" w:cs="仿宋"/>
              </w:rPr>
            </w:pPr>
            <w:r>
              <w:rPr>
                <w:rFonts w:hint="eastAsia" w:ascii="仿宋" w:hAnsi="仿宋" w:eastAsia="仿宋" w:cs="仿宋"/>
                <w:spacing w:val="16"/>
              </w:rPr>
              <w:t>统一社会信用代码</w:t>
            </w:r>
          </w:p>
        </w:tc>
        <w:tc>
          <w:tcPr>
            <w:tcW w:w="1986" w:type="dxa"/>
            <w:vAlign w:val="top"/>
          </w:tcPr>
          <w:p w14:paraId="42E6C820">
            <w:pPr>
              <w:pStyle w:val="27"/>
              <w:pageBreakBefore w:val="0"/>
              <w:kinsoku w:val="0"/>
              <w:overflowPunct/>
              <w:topLinePunct w:val="0"/>
              <w:autoSpaceDE w:val="0"/>
              <w:autoSpaceDN w:val="0"/>
              <w:bidi w:val="0"/>
              <w:adjustRightInd w:val="0"/>
              <w:snapToGrid w:val="0"/>
              <w:spacing w:before="158" w:line="193" w:lineRule="auto"/>
              <w:ind w:left="765" w:right="0"/>
              <w:textAlignment w:val="baseline"/>
              <w:rPr>
                <w:rFonts w:hint="eastAsia" w:ascii="仿宋" w:hAnsi="仿宋" w:eastAsia="仿宋" w:cs="仿宋"/>
              </w:rPr>
            </w:pPr>
            <w:r>
              <w:rPr>
                <w:rFonts w:hint="eastAsia" w:ascii="仿宋" w:hAnsi="仿宋" w:eastAsia="仿宋" w:cs="仿宋"/>
                <w:spacing w:val="2"/>
              </w:rPr>
              <w:t>备注</w:t>
            </w:r>
          </w:p>
        </w:tc>
      </w:tr>
      <w:tr w14:paraId="04231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18" w:type="dxa"/>
            <w:vAlign w:val="top"/>
          </w:tcPr>
          <w:p w14:paraId="180A2398">
            <w:pPr>
              <w:pStyle w:val="27"/>
              <w:pageBreakBefore w:val="0"/>
              <w:kinsoku w:val="0"/>
              <w:overflowPunct/>
              <w:topLinePunct w:val="0"/>
              <w:autoSpaceDE w:val="0"/>
              <w:autoSpaceDN w:val="0"/>
              <w:bidi w:val="0"/>
              <w:adjustRightInd w:val="0"/>
              <w:snapToGrid w:val="0"/>
              <w:spacing w:before="191" w:line="165" w:lineRule="auto"/>
              <w:ind w:left="371" w:right="0"/>
              <w:textAlignment w:val="baseline"/>
              <w:rPr>
                <w:rFonts w:hint="eastAsia" w:ascii="仿宋" w:hAnsi="仿宋" w:eastAsia="仿宋" w:cs="仿宋"/>
              </w:rPr>
            </w:pPr>
            <w:r>
              <w:rPr>
                <w:rFonts w:hint="eastAsia" w:ascii="仿宋" w:hAnsi="仿宋" w:eastAsia="仿宋" w:cs="仿宋"/>
              </w:rPr>
              <w:t>1</w:t>
            </w:r>
          </w:p>
        </w:tc>
        <w:tc>
          <w:tcPr>
            <w:tcW w:w="3208" w:type="dxa"/>
            <w:vAlign w:val="top"/>
          </w:tcPr>
          <w:p w14:paraId="3CD85F8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3044" w:type="dxa"/>
            <w:vAlign w:val="top"/>
          </w:tcPr>
          <w:p w14:paraId="062E771F">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986" w:type="dxa"/>
            <w:vAlign w:val="top"/>
          </w:tcPr>
          <w:p w14:paraId="1006510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6265A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18" w:type="dxa"/>
            <w:vAlign w:val="top"/>
          </w:tcPr>
          <w:p w14:paraId="674C6815">
            <w:pPr>
              <w:pStyle w:val="27"/>
              <w:pageBreakBefore w:val="0"/>
              <w:kinsoku w:val="0"/>
              <w:overflowPunct/>
              <w:topLinePunct w:val="0"/>
              <w:autoSpaceDE w:val="0"/>
              <w:autoSpaceDN w:val="0"/>
              <w:bidi w:val="0"/>
              <w:adjustRightInd w:val="0"/>
              <w:snapToGrid w:val="0"/>
              <w:spacing w:before="193" w:line="164" w:lineRule="auto"/>
              <w:ind w:left="357" w:right="0"/>
              <w:textAlignment w:val="baseline"/>
              <w:rPr>
                <w:rFonts w:hint="eastAsia" w:ascii="仿宋" w:hAnsi="仿宋" w:eastAsia="仿宋" w:cs="仿宋"/>
              </w:rPr>
            </w:pPr>
            <w:r>
              <w:rPr>
                <w:rFonts w:hint="eastAsia" w:ascii="仿宋" w:hAnsi="仿宋" w:eastAsia="仿宋" w:cs="仿宋"/>
              </w:rPr>
              <w:t>2</w:t>
            </w:r>
          </w:p>
        </w:tc>
        <w:tc>
          <w:tcPr>
            <w:tcW w:w="3208" w:type="dxa"/>
            <w:vAlign w:val="top"/>
          </w:tcPr>
          <w:p w14:paraId="7D9B0F4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3044" w:type="dxa"/>
            <w:vAlign w:val="top"/>
          </w:tcPr>
          <w:p w14:paraId="22DD318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986" w:type="dxa"/>
            <w:vAlign w:val="top"/>
          </w:tcPr>
          <w:p w14:paraId="3C3E058F">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2E946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18" w:type="dxa"/>
            <w:vAlign w:val="top"/>
          </w:tcPr>
          <w:p w14:paraId="424E167D">
            <w:pPr>
              <w:pStyle w:val="27"/>
              <w:pageBreakBefore w:val="0"/>
              <w:kinsoku w:val="0"/>
              <w:overflowPunct/>
              <w:topLinePunct w:val="0"/>
              <w:autoSpaceDE w:val="0"/>
              <w:autoSpaceDN w:val="0"/>
              <w:bidi w:val="0"/>
              <w:adjustRightInd w:val="0"/>
              <w:snapToGrid w:val="0"/>
              <w:spacing w:before="192" w:line="164" w:lineRule="auto"/>
              <w:ind w:left="358" w:right="0"/>
              <w:textAlignment w:val="baseline"/>
              <w:rPr>
                <w:rFonts w:hint="eastAsia" w:ascii="仿宋" w:hAnsi="仿宋" w:eastAsia="仿宋" w:cs="仿宋"/>
              </w:rPr>
            </w:pPr>
            <w:r>
              <w:rPr>
                <w:rFonts w:hint="eastAsia" w:ascii="仿宋" w:hAnsi="仿宋" w:eastAsia="仿宋" w:cs="仿宋"/>
              </w:rPr>
              <w:t>3</w:t>
            </w:r>
          </w:p>
        </w:tc>
        <w:tc>
          <w:tcPr>
            <w:tcW w:w="3208" w:type="dxa"/>
            <w:vAlign w:val="top"/>
          </w:tcPr>
          <w:p w14:paraId="24BC3F1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3044" w:type="dxa"/>
            <w:vAlign w:val="top"/>
          </w:tcPr>
          <w:p w14:paraId="4A43836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986" w:type="dxa"/>
            <w:vAlign w:val="top"/>
          </w:tcPr>
          <w:p w14:paraId="1B74515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46E63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18" w:type="dxa"/>
            <w:vAlign w:val="top"/>
          </w:tcPr>
          <w:p w14:paraId="08C3BA11">
            <w:pPr>
              <w:pStyle w:val="27"/>
              <w:pageBreakBefore w:val="0"/>
              <w:kinsoku w:val="0"/>
              <w:overflowPunct/>
              <w:topLinePunct w:val="0"/>
              <w:autoSpaceDE w:val="0"/>
              <w:autoSpaceDN w:val="0"/>
              <w:bidi w:val="0"/>
              <w:adjustRightInd w:val="0"/>
              <w:snapToGrid w:val="0"/>
              <w:spacing w:before="149" w:line="202" w:lineRule="auto"/>
              <w:ind w:left="201" w:right="0"/>
              <w:textAlignment w:val="baseline"/>
              <w:rPr>
                <w:rFonts w:hint="eastAsia" w:ascii="仿宋" w:hAnsi="仿宋" w:eastAsia="仿宋" w:cs="仿宋"/>
              </w:rPr>
            </w:pPr>
            <w:r>
              <w:rPr>
                <w:rFonts w:hint="eastAsia" w:ascii="仿宋" w:hAnsi="仿宋" w:eastAsia="仿宋" w:cs="仿宋"/>
                <w:spacing w:val="34"/>
              </w:rPr>
              <w:t>……</w:t>
            </w:r>
          </w:p>
        </w:tc>
        <w:tc>
          <w:tcPr>
            <w:tcW w:w="3208" w:type="dxa"/>
            <w:vAlign w:val="top"/>
          </w:tcPr>
          <w:p w14:paraId="5161C38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3044" w:type="dxa"/>
            <w:vAlign w:val="top"/>
          </w:tcPr>
          <w:p w14:paraId="694D950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986" w:type="dxa"/>
            <w:vAlign w:val="top"/>
          </w:tcPr>
          <w:p w14:paraId="767BDED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bl>
    <w:p w14:paraId="1D306B9A">
      <w:pPr>
        <w:pStyle w:val="5"/>
        <w:pageBreakBefore w:val="0"/>
        <w:kinsoku w:val="0"/>
        <w:overflowPunct/>
        <w:topLinePunct w:val="0"/>
        <w:autoSpaceDE w:val="0"/>
        <w:autoSpaceDN w:val="0"/>
        <w:bidi w:val="0"/>
        <w:adjustRightInd w:val="0"/>
        <w:snapToGrid w:val="0"/>
        <w:spacing w:before="114" w:line="193" w:lineRule="auto"/>
        <w:ind w:left="488" w:right="0"/>
        <w:textAlignment w:val="baseline"/>
        <w:rPr>
          <w:rFonts w:hint="eastAsia" w:ascii="仿宋" w:hAnsi="仿宋" w:eastAsia="仿宋" w:cs="仿宋"/>
          <w:sz w:val="23"/>
          <w:szCs w:val="23"/>
        </w:rPr>
      </w:pPr>
      <w:r>
        <w:rPr>
          <w:rFonts w:hint="eastAsia" w:ascii="仿宋" w:hAnsi="仿宋" w:eastAsia="仿宋" w:cs="仿宋"/>
          <w:spacing w:val="-13"/>
          <w:sz w:val="23"/>
          <w:szCs w:val="23"/>
        </w:rPr>
        <w:t>注：</w:t>
      </w:r>
    </w:p>
    <w:p w14:paraId="63472928">
      <w:pPr>
        <w:pStyle w:val="5"/>
        <w:pageBreakBefore w:val="0"/>
        <w:kinsoku w:val="0"/>
        <w:overflowPunct/>
        <w:topLinePunct w:val="0"/>
        <w:autoSpaceDE w:val="0"/>
        <w:autoSpaceDN w:val="0"/>
        <w:bidi w:val="0"/>
        <w:adjustRightInd w:val="0"/>
        <w:snapToGrid w:val="0"/>
        <w:spacing w:before="83" w:line="400" w:lineRule="exact"/>
        <w:ind w:right="0"/>
        <w:jc w:val="left"/>
        <w:textAlignment w:val="baseline"/>
        <w:rPr>
          <w:rFonts w:hint="eastAsia" w:ascii="仿宋" w:hAnsi="仿宋" w:eastAsia="仿宋" w:cs="仿宋"/>
          <w:spacing w:val="-5"/>
          <w:position w:val="12"/>
          <w:sz w:val="23"/>
          <w:szCs w:val="23"/>
        </w:rPr>
      </w:pPr>
      <w:r>
        <w:rPr>
          <w:rFonts w:hint="eastAsia" w:ascii="仿宋" w:hAnsi="仿宋" w:eastAsia="仿宋" w:cs="仿宋"/>
          <w:spacing w:val="-5"/>
          <w:position w:val="12"/>
          <w:sz w:val="23"/>
          <w:szCs w:val="23"/>
        </w:rPr>
        <w:t>1.管理关系：是指不具有出资持股关系其他单位之间存在的管理与被管理关系</w:t>
      </w:r>
      <w:r>
        <w:rPr>
          <w:rFonts w:hint="eastAsia" w:ascii="仿宋" w:hAnsi="仿宋" w:eastAsia="仿宋" w:cs="仿宋"/>
          <w:spacing w:val="-5"/>
          <w:position w:val="12"/>
          <w:sz w:val="23"/>
          <w:szCs w:val="23"/>
          <w:lang w:eastAsia="zh-CN"/>
        </w:rPr>
        <w:t>，</w:t>
      </w:r>
      <w:r>
        <w:rPr>
          <w:rFonts w:hint="eastAsia" w:ascii="仿宋" w:hAnsi="仿宋" w:eastAsia="仿宋" w:cs="仿宋"/>
          <w:spacing w:val="-5"/>
          <w:position w:val="12"/>
          <w:sz w:val="23"/>
          <w:szCs w:val="23"/>
        </w:rPr>
        <w:t>如一些上下级关系的事业单位和团体组织。</w:t>
      </w:r>
    </w:p>
    <w:p w14:paraId="17054936">
      <w:pPr>
        <w:pStyle w:val="5"/>
        <w:pageBreakBefore w:val="0"/>
        <w:kinsoku w:val="0"/>
        <w:overflowPunct/>
        <w:topLinePunct w:val="0"/>
        <w:autoSpaceDE w:val="0"/>
        <w:autoSpaceDN w:val="0"/>
        <w:bidi w:val="0"/>
        <w:adjustRightInd w:val="0"/>
        <w:snapToGrid w:val="0"/>
        <w:spacing w:before="83" w:line="400" w:lineRule="exact"/>
        <w:ind w:right="0"/>
        <w:jc w:val="left"/>
        <w:textAlignment w:val="baseline"/>
        <w:rPr>
          <w:rFonts w:hint="eastAsia" w:ascii="仿宋" w:hAnsi="仿宋" w:eastAsia="仿宋" w:cs="仿宋"/>
          <w:spacing w:val="-5"/>
          <w:position w:val="12"/>
          <w:sz w:val="23"/>
          <w:szCs w:val="23"/>
        </w:rPr>
      </w:pPr>
      <w:r>
        <w:rPr>
          <w:rFonts w:hint="eastAsia" w:ascii="仿宋" w:hAnsi="仿宋" w:eastAsia="仿宋" w:cs="仿宋"/>
          <w:spacing w:val="-5"/>
          <w:position w:val="12"/>
          <w:sz w:val="23"/>
          <w:szCs w:val="23"/>
        </w:rPr>
        <w:t>2.本表所指的管理关系仅限于直接管理关系，不包括间接的管理关系。</w:t>
      </w:r>
    </w:p>
    <w:p w14:paraId="66CA2CF6">
      <w:pPr>
        <w:pStyle w:val="5"/>
        <w:pageBreakBefore w:val="0"/>
        <w:kinsoku w:val="0"/>
        <w:overflowPunct/>
        <w:topLinePunct w:val="0"/>
        <w:autoSpaceDE w:val="0"/>
        <w:autoSpaceDN w:val="0"/>
        <w:bidi w:val="0"/>
        <w:adjustRightInd w:val="0"/>
        <w:snapToGrid w:val="0"/>
        <w:spacing w:before="83" w:line="400" w:lineRule="exact"/>
        <w:ind w:right="0"/>
        <w:jc w:val="left"/>
        <w:textAlignment w:val="baseline"/>
        <w:rPr>
          <w:rFonts w:hint="eastAsia" w:ascii="仿宋" w:hAnsi="仿宋" w:eastAsia="仿宋" w:cs="仿宋"/>
          <w:spacing w:val="-5"/>
          <w:position w:val="12"/>
          <w:sz w:val="23"/>
          <w:szCs w:val="23"/>
        </w:rPr>
      </w:pPr>
      <w:r>
        <w:rPr>
          <w:rFonts w:hint="eastAsia" w:ascii="仿宋" w:hAnsi="仿宋" w:eastAsia="仿宋" w:cs="仿宋"/>
          <w:spacing w:val="-5"/>
          <w:position w:val="12"/>
          <w:sz w:val="23"/>
          <w:szCs w:val="23"/>
        </w:rPr>
        <w:t>3.供应商不存在直接管理关系的，则填“无”。</w:t>
      </w:r>
    </w:p>
    <w:p w14:paraId="3AE0ACF5">
      <w:pPr>
        <w:pStyle w:val="5"/>
        <w:pageBreakBefore w:val="0"/>
        <w:kinsoku w:val="0"/>
        <w:overflowPunct/>
        <w:topLinePunct w:val="0"/>
        <w:autoSpaceDE w:val="0"/>
        <w:autoSpaceDN w:val="0"/>
        <w:bidi w:val="0"/>
        <w:adjustRightInd w:val="0"/>
        <w:snapToGrid w:val="0"/>
        <w:spacing w:before="326" w:line="187" w:lineRule="auto"/>
        <w:ind w:right="0"/>
        <w:jc w:val="right"/>
        <w:textAlignment w:val="baseline"/>
        <w:rPr>
          <w:rFonts w:hint="eastAsia" w:ascii="仿宋" w:hAnsi="仿宋" w:eastAsia="仿宋" w:cs="仿宋"/>
          <w:sz w:val="23"/>
          <w:szCs w:val="23"/>
        </w:rPr>
      </w:pPr>
      <w:r>
        <w:rPr>
          <w:rFonts w:hint="eastAsia" w:ascii="仿宋" w:hAnsi="仿宋" w:eastAsia="仿宋" w:cs="仿宋"/>
          <w:spacing w:val="19"/>
          <w:sz w:val="23"/>
          <w:szCs w:val="23"/>
        </w:rPr>
        <w:t>供应商名称(电子签章)：</w:t>
      </w:r>
    </w:p>
    <w:p w14:paraId="3D8DFD28">
      <w:pPr>
        <w:pStyle w:val="5"/>
        <w:pageBreakBefore w:val="0"/>
        <w:kinsoku w:val="0"/>
        <w:overflowPunct/>
        <w:topLinePunct w:val="0"/>
        <w:autoSpaceDE w:val="0"/>
        <w:autoSpaceDN w:val="0"/>
        <w:bidi w:val="0"/>
        <w:adjustRightInd w:val="0"/>
        <w:snapToGrid w:val="0"/>
        <w:spacing w:before="94" w:line="191" w:lineRule="auto"/>
        <w:ind w:left="6085" w:right="0"/>
        <w:textAlignment w:val="baseline"/>
        <w:rPr>
          <w:rFonts w:hint="eastAsia" w:ascii="仿宋" w:hAnsi="仿宋" w:eastAsia="仿宋" w:cs="仿宋"/>
          <w:sz w:val="23"/>
          <w:szCs w:val="23"/>
        </w:rPr>
      </w:pPr>
      <w:r>
        <w:rPr>
          <w:rFonts w:hint="eastAsia" w:ascii="仿宋" w:hAnsi="仿宋" w:eastAsia="仿宋" w:cs="仿宋"/>
          <w:spacing w:val="-11"/>
          <w:sz w:val="23"/>
          <w:szCs w:val="23"/>
        </w:rPr>
        <w:t>日期：年月日</w:t>
      </w:r>
    </w:p>
    <w:p w14:paraId="2647851B">
      <w:pPr>
        <w:pageBreakBefore w:val="0"/>
        <w:kinsoku w:val="0"/>
        <w:overflowPunct/>
        <w:topLinePunct w:val="0"/>
        <w:autoSpaceDE w:val="0"/>
        <w:autoSpaceDN w:val="0"/>
        <w:bidi w:val="0"/>
        <w:adjustRightInd w:val="0"/>
        <w:snapToGrid w:val="0"/>
        <w:spacing w:line="191" w:lineRule="auto"/>
        <w:ind w:right="0"/>
        <w:textAlignment w:val="baseline"/>
        <w:rPr>
          <w:rFonts w:hint="eastAsia" w:ascii="仿宋" w:hAnsi="仿宋" w:eastAsia="仿宋" w:cs="仿宋"/>
          <w:sz w:val="23"/>
          <w:szCs w:val="23"/>
        </w:rPr>
        <w:sectPr>
          <w:footerReference r:id="rId23" w:type="default"/>
          <w:pgSz w:w="11905" w:h="16838"/>
          <w:pgMar w:top="1440" w:right="1803" w:bottom="1440" w:left="1803" w:header="0" w:footer="567" w:gutter="0"/>
          <w:pgNumType w:fmt="decimal"/>
          <w:cols w:space="0" w:num="1"/>
          <w:rtlGutter w:val="0"/>
          <w:docGrid w:linePitch="0" w:charSpace="0"/>
        </w:sectPr>
      </w:pPr>
    </w:p>
    <w:p w14:paraId="017AF6BB">
      <w:pPr>
        <w:pStyle w:val="5"/>
        <w:pageBreakBefore w:val="0"/>
        <w:kinsoku w:val="0"/>
        <w:overflowPunct/>
        <w:topLinePunct w:val="0"/>
        <w:autoSpaceDE w:val="0"/>
        <w:autoSpaceDN w:val="0"/>
        <w:bidi w:val="0"/>
        <w:adjustRightInd w:val="0"/>
        <w:snapToGrid w:val="0"/>
        <w:spacing w:before="47" w:line="187" w:lineRule="auto"/>
        <w:ind w:left="2" w:right="0"/>
        <w:textAlignment w:val="baseline"/>
        <w:rPr>
          <w:rFonts w:hint="eastAsia" w:ascii="仿宋" w:hAnsi="仿宋" w:eastAsia="仿宋" w:cs="仿宋"/>
          <w:sz w:val="23"/>
          <w:szCs w:val="23"/>
        </w:rPr>
      </w:pPr>
      <w:r>
        <w:rPr>
          <w:rFonts w:hint="eastAsia" w:ascii="仿宋" w:hAnsi="仿宋" w:eastAsia="仿宋" w:cs="仿宋"/>
          <w:spacing w:val="17"/>
          <w:sz w:val="23"/>
          <w:szCs w:val="23"/>
        </w:rPr>
        <w:t>6、资格声明函(格式)；</w:t>
      </w:r>
    </w:p>
    <w:p w14:paraId="0FF25D18">
      <w:pPr>
        <w:pStyle w:val="5"/>
        <w:pageBreakBefore w:val="0"/>
        <w:kinsoku w:val="0"/>
        <w:overflowPunct/>
        <w:topLinePunct w:val="0"/>
        <w:autoSpaceDE w:val="0"/>
        <w:autoSpaceDN w:val="0"/>
        <w:bidi w:val="0"/>
        <w:adjustRightInd w:val="0"/>
        <w:snapToGrid w:val="0"/>
        <w:spacing w:before="90" w:line="192" w:lineRule="auto"/>
        <w:ind w:left="3911" w:right="0"/>
        <w:textAlignment w:val="baseline"/>
        <w:rPr>
          <w:rFonts w:hint="eastAsia" w:ascii="仿宋" w:hAnsi="仿宋" w:eastAsia="仿宋" w:cs="仿宋"/>
          <w:sz w:val="28"/>
          <w:szCs w:val="28"/>
        </w:rPr>
      </w:pPr>
      <w:r>
        <w:rPr>
          <w:rFonts w:hint="eastAsia" w:ascii="仿宋" w:hAnsi="仿宋" w:eastAsia="仿宋" w:cs="仿宋"/>
          <w:spacing w:val="18"/>
          <w:sz w:val="28"/>
          <w:szCs w:val="28"/>
          <w14:textOutline w14:w="4388" w14:cap="flat" w14:cmpd="sng">
            <w14:solidFill>
              <w14:srgbClr w14:val="000000"/>
            </w14:solidFill>
            <w14:prstDash w14:val="solid"/>
            <w14:miter w14:val="0"/>
          </w14:textOutline>
        </w:rPr>
        <w:t>资格声明函</w:t>
      </w:r>
    </w:p>
    <w:p w14:paraId="198E7BD5">
      <w:pPr>
        <w:pStyle w:val="5"/>
        <w:pageBreakBefore w:val="0"/>
        <w:kinsoku w:val="0"/>
        <w:overflowPunct/>
        <w:topLinePunct w:val="0"/>
        <w:autoSpaceDE w:val="0"/>
        <w:autoSpaceDN w:val="0"/>
        <w:bidi w:val="0"/>
        <w:adjustRightInd w:val="0"/>
        <w:snapToGrid w:val="0"/>
        <w:spacing w:before="37" w:line="187" w:lineRule="auto"/>
        <w:ind w:right="0"/>
        <w:textAlignment w:val="baseline"/>
        <w:rPr>
          <w:rFonts w:hint="eastAsia" w:ascii="仿宋" w:hAnsi="仿宋" w:eastAsia="仿宋" w:cs="仿宋"/>
          <w:sz w:val="23"/>
          <w:szCs w:val="23"/>
        </w:rPr>
      </w:pPr>
      <w:r>
        <w:rPr>
          <w:rFonts w:hint="eastAsia" w:ascii="仿宋" w:hAnsi="仿宋" w:eastAsia="仿宋" w:cs="仿宋"/>
          <w:spacing w:val="-2"/>
          <w:sz w:val="23"/>
          <w:szCs w:val="23"/>
        </w:rPr>
        <w:t>致：</w:t>
      </w:r>
      <w:r>
        <w:rPr>
          <w:rFonts w:hint="eastAsia" w:ascii="仿宋" w:hAnsi="仿宋" w:eastAsia="仿宋" w:cs="仿宋"/>
          <w:spacing w:val="-2"/>
          <w:sz w:val="23"/>
          <w:szCs w:val="23"/>
          <w:u w:val="single" w:color="auto"/>
        </w:rPr>
        <w:t>(采购人)</w:t>
      </w:r>
    </w:p>
    <w:p w14:paraId="57BD0BB4">
      <w:pPr>
        <w:pStyle w:val="5"/>
        <w:pageBreakBefore w:val="0"/>
        <w:kinsoku w:val="0"/>
        <w:overflowPunct/>
        <w:topLinePunct w:val="0"/>
        <w:autoSpaceDE w:val="0"/>
        <w:autoSpaceDN w:val="0"/>
        <w:bidi w:val="0"/>
        <w:adjustRightInd w:val="0"/>
        <w:snapToGrid w:val="0"/>
        <w:spacing w:before="33" w:line="187" w:lineRule="auto"/>
        <w:ind w:left="460" w:right="0"/>
        <w:textAlignment w:val="baseline"/>
        <w:rPr>
          <w:rFonts w:hint="eastAsia" w:ascii="仿宋" w:hAnsi="仿宋" w:eastAsia="仿宋" w:cs="仿宋"/>
          <w:sz w:val="23"/>
          <w:szCs w:val="23"/>
        </w:rPr>
      </w:pPr>
      <w:r>
        <w:rPr>
          <w:rFonts w:hint="eastAsia" w:ascii="仿宋" w:hAnsi="仿宋" w:eastAsia="仿宋" w:cs="仿宋"/>
          <w:spacing w:val="-1"/>
          <w:sz w:val="23"/>
          <w:szCs w:val="23"/>
          <w:u w:val="single" w:color="auto"/>
        </w:rPr>
        <w:t>(供应商名称)</w:t>
      </w:r>
      <w:r>
        <w:rPr>
          <w:rFonts w:hint="eastAsia" w:ascii="仿宋" w:hAnsi="仿宋" w:eastAsia="仿宋" w:cs="仿宋"/>
          <w:spacing w:val="-1"/>
          <w:sz w:val="23"/>
          <w:szCs w:val="23"/>
        </w:rPr>
        <w:t>系中华人民共和国</w:t>
      </w:r>
      <w:r>
        <w:rPr>
          <w:rFonts w:hint="eastAsia" w:ascii="仿宋" w:hAnsi="仿宋" w:eastAsia="仿宋" w:cs="仿宋"/>
          <w:spacing w:val="-2"/>
          <w:sz w:val="23"/>
          <w:szCs w:val="23"/>
        </w:rPr>
        <w:t>合法供应商，经营地址</w:t>
      </w:r>
      <w:r>
        <w:rPr>
          <w:rFonts w:hint="eastAsia" w:ascii="仿宋" w:hAnsi="仿宋" w:eastAsia="仿宋" w:cs="仿宋"/>
          <w:spacing w:val="-2"/>
          <w:sz w:val="23"/>
          <w:szCs w:val="23"/>
          <w:u w:val="single" w:color="auto"/>
        </w:rPr>
        <w:t>。</w:t>
      </w:r>
    </w:p>
    <w:p w14:paraId="474CB416">
      <w:pPr>
        <w:pStyle w:val="5"/>
        <w:pageBreakBefore w:val="0"/>
        <w:kinsoku w:val="0"/>
        <w:overflowPunct/>
        <w:topLinePunct w:val="0"/>
        <w:autoSpaceDE w:val="0"/>
        <w:autoSpaceDN w:val="0"/>
        <w:bidi w:val="0"/>
        <w:adjustRightInd w:val="0"/>
        <w:snapToGrid w:val="0"/>
        <w:spacing w:before="33" w:line="202" w:lineRule="auto"/>
        <w:ind w:right="0" w:firstLine="487"/>
        <w:textAlignment w:val="baseline"/>
        <w:rPr>
          <w:rFonts w:hint="eastAsia" w:ascii="仿宋" w:hAnsi="仿宋" w:eastAsia="仿宋" w:cs="仿宋"/>
          <w:sz w:val="23"/>
          <w:szCs w:val="23"/>
        </w:rPr>
      </w:pPr>
      <w:r>
        <w:rPr>
          <w:rFonts w:hint="eastAsia" w:ascii="仿宋" w:hAnsi="仿宋" w:eastAsia="仿宋" w:cs="仿宋"/>
          <w:spacing w:val="-4"/>
          <w:sz w:val="23"/>
          <w:szCs w:val="23"/>
        </w:rPr>
        <w:t>我方愿意参加贵方组织的</w:t>
      </w:r>
      <w:r>
        <w:rPr>
          <w:rFonts w:hint="eastAsia" w:ascii="仿宋" w:hAnsi="仿宋" w:eastAsia="仿宋" w:cs="仿宋"/>
          <w:spacing w:val="-4"/>
          <w:sz w:val="23"/>
          <w:szCs w:val="23"/>
          <w:u w:val="single" w:color="auto"/>
        </w:rPr>
        <w:t>[项目名称]</w:t>
      </w:r>
      <w:r>
        <w:rPr>
          <w:rFonts w:hint="eastAsia" w:ascii="仿宋" w:hAnsi="仿宋" w:eastAsia="仿宋" w:cs="仿宋"/>
          <w:spacing w:val="-4"/>
          <w:sz w:val="23"/>
          <w:szCs w:val="23"/>
        </w:rPr>
        <w:t>项目的投标，为便于贵方公正、择</w:t>
      </w:r>
      <w:r>
        <w:rPr>
          <w:rFonts w:hint="eastAsia" w:ascii="仿宋" w:hAnsi="仿宋" w:eastAsia="仿宋" w:cs="仿宋"/>
          <w:spacing w:val="12"/>
          <w:sz w:val="23"/>
          <w:szCs w:val="23"/>
        </w:rPr>
        <w:t>优地确定成交供应商及其投标产品和服务，我方就本次投标有关事项郑重声明</w:t>
      </w:r>
      <w:r>
        <w:rPr>
          <w:rFonts w:hint="eastAsia" w:ascii="仿宋" w:hAnsi="仿宋" w:eastAsia="仿宋" w:cs="仿宋"/>
          <w:spacing w:val="9"/>
          <w:sz w:val="23"/>
          <w:szCs w:val="23"/>
        </w:rPr>
        <w:t>如下：</w:t>
      </w:r>
    </w:p>
    <w:p w14:paraId="572B0DC5">
      <w:pPr>
        <w:pStyle w:val="5"/>
        <w:pageBreakBefore w:val="0"/>
        <w:kinsoku w:val="0"/>
        <w:overflowPunct/>
        <w:topLinePunct w:val="0"/>
        <w:autoSpaceDE w:val="0"/>
        <w:autoSpaceDN w:val="0"/>
        <w:bidi w:val="0"/>
        <w:adjustRightInd w:val="0"/>
        <w:snapToGrid w:val="0"/>
        <w:spacing w:before="12" w:line="191" w:lineRule="auto"/>
        <w:ind w:left="539" w:right="0"/>
        <w:textAlignment w:val="baseline"/>
        <w:rPr>
          <w:rFonts w:hint="eastAsia" w:ascii="仿宋" w:hAnsi="仿宋" w:eastAsia="仿宋" w:cs="仿宋"/>
          <w:sz w:val="23"/>
          <w:szCs w:val="23"/>
        </w:rPr>
      </w:pPr>
      <w:r>
        <w:rPr>
          <w:rFonts w:hint="eastAsia" w:ascii="仿宋" w:hAnsi="仿宋" w:eastAsia="仿宋" w:cs="仿宋"/>
          <w:spacing w:val="19"/>
          <w:sz w:val="23"/>
          <w:szCs w:val="23"/>
        </w:rPr>
        <w:t>1.我方向贵方提交的所有响应文件、资料都是准确的和真实的。</w:t>
      </w:r>
    </w:p>
    <w:p w14:paraId="11903357">
      <w:pPr>
        <w:pStyle w:val="5"/>
        <w:pageBreakBefore w:val="0"/>
        <w:kinsoku w:val="0"/>
        <w:overflowPunct/>
        <w:topLinePunct w:val="0"/>
        <w:autoSpaceDE w:val="0"/>
        <w:autoSpaceDN w:val="0"/>
        <w:bidi w:val="0"/>
        <w:adjustRightInd w:val="0"/>
        <w:snapToGrid w:val="0"/>
        <w:spacing w:before="37" w:line="201" w:lineRule="auto"/>
        <w:ind w:left="3" w:right="0" w:firstLine="496"/>
        <w:textAlignment w:val="baseline"/>
        <w:rPr>
          <w:rFonts w:hint="eastAsia" w:ascii="仿宋" w:hAnsi="仿宋" w:eastAsia="仿宋" w:cs="仿宋"/>
          <w:sz w:val="23"/>
          <w:szCs w:val="23"/>
        </w:rPr>
      </w:pPr>
      <w:r>
        <w:rPr>
          <w:rFonts w:hint="eastAsia" w:ascii="仿宋" w:hAnsi="仿宋" w:eastAsia="仿宋" w:cs="仿宋"/>
          <w:spacing w:val="21"/>
          <w:sz w:val="23"/>
          <w:szCs w:val="23"/>
        </w:rPr>
        <w:t>2.我方不是采购人的附属机构；不是为本次采购项目提供整体设计、规范</w:t>
      </w:r>
      <w:r>
        <w:rPr>
          <w:rFonts w:hint="eastAsia" w:ascii="仿宋" w:hAnsi="仿宋" w:eastAsia="仿宋" w:cs="仿宋"/>
          <w:spacing w:val="20"/>
          <w:sz w:val="23"/>
          <w:szCs w:val="23"/>
        </w:rPr>
        <w:t>编制</w:t>
      </w:r>
      <w:r>
        <w:rPr>
          <w:rFonts w:hint="eastAsia" w:ascii="仿宋" w:hAnsi="仿宋" w:eastAsia="仿宋" w:cs="仿宋"/>
          <w:spacing w:val="8"/>
          <w:sz w:val="23"/>
          <w:szCs w:val="23"/>
        </w:rPr>
        <w:t>或者项目管理、监理、检测等服务的供应商；在获知本项目采购信息后，与采购人</w:t>
      </w:r>
      <w:r>
        <w:rPr>
          <w:rFonts w:hint="eastAsia" w:ascii="仿宋" w:hAnsi="仿宋" w:eastAsia="仿宋" w:cs="仿宋"/>
          <w:spacing w:val="7"/>
          <w:sz w:val="23"/>
          <w:szCs w:val="23"/>
        </w:rPr>
        <w:t>聘请</w:t>
      </w:r>
      <w:r>
        <w:rPr>
          <w:rFonts w:hint="eastAsia" w:ascii="仿宋" w:hAnsi="仿宋" w:eastAsia="仿宋" w:cs="仿宋"/>
          <w:spacing w:val="5"/>
          <w:sz w:val="23"/>
          <w:szCs w:val="23"/>
        </w:rPr>
        <w:t>的为此项目提供咨询服务的公司及其附属机构没有任何联系。</w:t>
      </w:r>
    </w:p>
    <w:p w14:paraId="1F942977">
      <w:pPr>
        <w:pStyle w:val="5"/>
        <w:pageBreakBefore w:val="0"/>
        <w:kinsoku w:val="0"/>
        <w:overflowPunct/>
        <w:topLinePunct w:val="0"/>
        <w:autoSpaceDE w:val="0"/>
        <w:autoSpaceDN w:val="0"/>
        <w:bidi w:val="0"/>
        <w:adjustRightInd w:val="0"/>
        <w:snapToGrid w:val="0"/>
        <w:spacing w:before="28" w:line="191" w:lineRule="auto"/>
        <w:ind w:left="502" w:right="0"/>
        <w:textAlignment w:val="baseline"/>
        <w:rPr>
          <w:rFonts w:hint="eastAsia" w:ascii="仿宋" w:hAnsi="仿宋" w:eastAsia="仿宋" w:cs="仿宋"/>
          <w:sz w:val="23"/>
          <w:szCs w:val="23"/>
        </w:rPr>
      </w:pPr>
      <w:r>
        <w:rPr>
          <w:rFonts w:hint="eastAsia" w:ascii="仿宋" w:hAnsi="仿宋" w:eastAsia="仿宋" w:cs="仿宋"/>
          <w:spacing w:val="11"/>
          <w:sz w:val="23"/>
          <w:szCs w:val="23"/>
        </w:rPr>
        <w:t>3.在此，我方宣布同意如下：</w:t>
      </w:r>
    </w:p>
    <w:p w14:paraId="5A3B1CBD">
      <w:pPr>
        <w:pStyle w:val="5"/>
        <w:pageBreakBefore w:val="0"/>
        <w:kinsoku w:val="0"/>
        <w:overflowPunct/>
        <w:topLinePunct w:val="0"/>
        <w:autoSpaceDE w:val="0"/>
        <w:autoSpaceDN w:val="0"/>
        <w:bidi w:val="0"/>
        <w:adjustRightInd w:val="0"/>
        <w:snapToGrid w:val="0"/>
        <w:spacing w:before="26" w:line="187" w:lineRule="auto"/>
        <w:ind w:left="527" w:right="0"/>
        <w:textAlignment w:val="baseline"/>
        <w:rPr>
          <w:rFonts w:hint="eastAsia" w:ascii="仿宋" w:hAnsi="仿宋" w:eastAsia="仿宋" w:cs="仿宋"/>
          <w:sz w:val="23"/>
          <w:szCs w:val="23"/>
        </w:rPr>
      </w:pPr>
      <w:r>
        <w:rPr>
          <w:rFonts w:hint="eastAsia" w:ascii="仿宋" w:hAnsi="仿宋" w:eastAsia="仿宋" w:cs="仿宋"/>
          <w:spacing w:val="13"/>
          <w:sz w:val="23"/>
          <w:szCs w:val="23"/>
        </w:rPr>
        <w:t>（1）将按磋商文件的约定履行合同责任和义务；</w:t>
      </w:r>
    </w:p>
    <w:p w14:paraId="4ED988A5">
      <w:pPr>
        <w:pStyle w:val="5"/>
        <w:pageBreakBefore w:val="0"/>
        <w:kinsoku w:val="0"/>
        <w:overflowPunct/>
        <w:topLinePunct w:val="0"/>
        <w:autoSpaceDE w:val="0"/>
        <w:autoSpaceDN w:val="0"/>
        <w:bidi w:val="0"/>
        <w:adjustRightInd w:val="0"/>
        <w:snapToGrid w:val="0"/>
        <w:spacing w:before="31" w:line="187" w:lineRule="auto"/>
        <w:ind w:left="499" w:right="0"/>
        <w:textAlignment w:val="baseline"/>
        <w:rPr>
          <w:rFonts w:hint="eastAsia" w:ascii="仿宋" w:hAnsi="仿宋" w:eastAsia="仿宋" w:cs="仿宋"/>
          <w:sz w:val="23"/>
          <w:szCs w:val="23"/>
        </w:rPr>
      </w:pPr>
      <w:r>
        <w:rPr>
          <w:rFonts w:hint="eastAsia" w:ascii="仿宋" w:hAnsi="仿宋" w:eastAsia="仿宋" w:cs="仿宋"/>
          <w:spacing w:val="9"/>
          <w:sz w:val="23"/>
          <w:szCs w:val="23"/>
        </w:rPr>
        <w:t>（2）已详细审查全部磋商文件，包括澄清或者更正公告(如有)；</w:t>
      </w:r>
    </w:p>
    <w:p w14:paraId="7E31199C">
      <w:pPr>
        <w:pStyle w:val="5"/>
        <w:pageBreakBefore w:val="0"/>
        <w:kinsoku w:val="0"/>
        <w:overflowPunct/>
        <w:topLinePunct w:val="0"/>
        <w:autoSpaceDE w:val="0"/>
        <w:autoSpaceDN w:val="0"/>
        <w:bidi w:val="0"/>
        <w:adjustRightInd w:val="0"/>
        <w:snapToGrid w:val="0"/>
        <w:spacing w:before="33" w:line="187" w:lineRule="auto"/>
        <w:ind w:left="542" w:right="0"/>
        <w:textAlignment w:val="baseline"/>
        <w:rPr>
          <w:rFonts w:hint="eastAsia" w:ascii="仿宋" w:hAnsi="仿宋" w:eastAsia="仿宋" w:cs="仿宋"/>
          <w:sz w:val="23"/>
          <w:szCs w:val="23"/>
        </w:rPr>
      </w:pPr>
      <w:r>
        <w:rPr>
          <w:rFonts w:hint="eastAsia" w:ascii="仿宋" w:hAnsi="仿宋" w:eastAsia="仿宋" w:cs="仿宋"/>
          <w:spacing w:val="27"/>
          <w:sz w:val="23"/>
          <w:szCs w:val="23"/>
        </w:rPr>
        <w:t>（3）同意提供按照贵方可能要求的与磋商有关的一切数据或者资料；</w:t>
      </w:r>
    </w:p>
    <w:p w14:paraId="3B77D7EE">
      <w:pPr>
        <w:pStyle w:val="5"/>
        <w:pageBreakBefore w:val="0"/>
        <w:kinsoku w:val="0"/>
        <w:overflowPunct/>
        <w:topLinePunct w:val="0"/>
        <w:autoSpaceDE w:val="0"/>
        <w:autoSpaceDN w:val="0"/>
        <w:bidi w:val="0"/>
        <w:adjustRightInd w:val="0"/>
        <w:snapToGrid w:val="0"/>
        <w:spacing w:before="33" w:line="187" w:lineRule="auto"/>
        <w:ind w:left="595" w:right="0"/>
        <w:textAlignment w:val="baseline"/>
        <w:rPr>
          <w:rFonts w:hint="eastAsia" w:ascii="仿宋" w:hAnsi="仿宋" w:eastAsia="仿宋" w:cs="仿宋"/>
          <w:sz w:val="23"/>
          <w:szCs w:val="23"/>
        </w:rPr>
      </w:pPr>
      <w:r>
        <w:rPr>
          <w:rFonts w:hint="eastAsia" w:ascii="仿宋" w:hAnsi="仿宋" w:eastAsia="仿宋" w:cs="仿宋"/>
          <w:spacing w:val="-3"/>
          <w:sz w:val="23"/>
          <w:szCs w:val="23"/>
        </w:rPr>
        <w:t>（4）响应磋商文件规定的投标</w:t>
      </w:r>
      <w:r>
        <w:rPr>
          <w:rFonts w:hint="eastAsia" w:ascii="仿宋" w:hAnsi="仿宋" w:eastAsia="仿宋" w:cs="仿宋"/>
          <w:spacing w:val="-4"/>
          <w:sz w:val="23"/>
          <w:szCs w:val="23"/>
        </w:rPr>
        <w:t>有效期。</w:t>
      </w:r>
    </w:p>
    <w:p w14:paraId="612F0118">
      <w:pPr>
        <w:pStyle w:val="5"/>
        <w:pageBreakBefore w:val="0"/>
        <w:kinsoku w:val="0"/>
        <w:overflowPunct/>
        <w:topLinePunct w:val="0"/>
        <w:autoSpaceDE w:val="0"/>
        <w:autoSpaceDN w:val="0"/>
        <w:bidi w:val="0"/>
        <w:adjustRightInd w:val="0"/>
        <w:snapToGrid w:val="0"/>
        <w:spacing w:before="32" w:line="202" w:lineRule="auto"/>
        <w:ind w:right="0" w:firstLine="477"/>
        <w:textAlignment w:val="baseline"/>
        <w:rPr>
          <w:rFonts w:hint="eastAsia" w:ascii="仿宋" w:hAnsi="仿宋" w:eastAsia="仿宋" w:cs="仿宋"/>
          <w:sz w:val="23"/>
          <w:szCs w:val="23"/>
        </w:rPr>
      </w:pPr>
      <w:r>
        <w:rPr>
          <w:rFonts w:hint="eastAsia" w:ascii="仿宋" w:hAnsi="仿宋" w:eastAsia="仿宋" w:cs="仿宋"/>
          <w:spacing w:val="9"/>
          <w:sz w:val="23"/>
          <w:szCs w:val="23"/>
        </w:rPr>
        <w:t>4.我方承诺已经具备《中华人民共和国政府采购法》第二十二条中规定的参加政府</w:t>
      </w:r>
      <w:r>
        <w:rPr>
          <w:rFonts w:hint="eastAsia" w:ascii="仿宋" w:hAnsi="仿宋" w:eastAsia="仿宋" w:cs="仿宋"/>
          <w:spacing w:val="10"/>
          <w:sz w:val="23"/>
          <w:szCs w:val="23"/>
        </w:rPr>
        <w:t>采购活动的供应商应当具备的条件并按本项目响应文件“第二章”“供应商须知前附</w:t>
      </w:r>
      <w:r>
        <w:rPr>
          <w:rFonts w:hint="eastAsia" w:ascii="仿宋" w:hAnsi="仿宋" w:eastAsia="仿宋" w:cs="仿宋"/>
          <w:spacing w:val="3"/>
          <w:sz w:val="23"/>
          <w:szCs w:val="23"/>
        </w:rPr>
        <w:t>表”中“资格证明文件组成”完整提供证明材料。</w:t>
      </w:r>
    </w:p>
    <w:p w14:paraId="43E25E92">
      <w:pPr>
        <w:pStyle w:val="5"/>
        <w:pageBreakBefore w:val="0"/>
        <w:kinsoku w:val="0"/>
        <w:overflowPunct/>
        <w:topLinePunct w:val="0"/>
        <w:autoSpaceDE w:val="0"/>
        <w:autoSpaceDN w:val="0"/>
        <w:bidi w:val="0"/>
        <w:adjustRightInd w:val="0"/>
        <w:snapToGrid w:val="0"/>
        <w:spacing w:before="27" w:line="204" w:lineRule="auto"/>
        <w:ind w:left="1" w:right="0" w:firstLine="500"/>
        <w:textAlignment w:val="baseline"/>
        <w:rPr>
          <w:rFonts w:hint="eastAsia" w:ascii="仿宋" w:hAnsi="仿宋" w:eastAsia="仿宋" w:cs="仿宋"/>
          <w:sz w:val="23"/>
          <w:szCs w:val="23"/>
        </w:rPr>
      </w:pPr>
      <w:r>
        <w:rPr>
          <w:rFonts w:hint="eastAsia" w:ascii="仿宋" w:hAnsi="仿宋" w:eastAsia="仿宋" w:cs="仿宋"/>
          <w:spacing w:val="-5"/>
          <w:sz w:val="23"/>
          <w:szCs w:val="23"/>
        </w:rPr>
        <w:t>5.我方在此声明，我方在参加本项目</w:t>
      </w:r>
      <w:r>
        <w:rPr>
          <w:rFonts w:hint="eastAsia" w:ascii="仿宋" w:hAnsi="仿宋" w:eastAsia="仿宋" w:cs="仿宋"/>
          <w:spacing w:val="-6"/>
          <w:sz w:val="23"/>
          <w:szCs w:val="23"/>
        </w:rPr>
        <w:t>的政府采购活动前三年内，在经营活</w:t>
      </w:r>
      <w:r>
        <w:rPr>
          <w:rFonts w:hint="eastAsia" w:ascii="仿宋" w:hAnsi="仿宋" w:eastAsia="仿宋" w:cs="仿宋"/>
          <w:spacing w:val="13"/>
          <w:sz w:val="23"/>
          <w:szCs w:val="23"/>
        </w:rPr>
        <w:t>动中没有重大违法记录(重大违法记录是指供应商因违法经营受到刑事处罚或者</w:t>
      </w:r>
      <w:r>
        <w:rPr>
          <w:rFonts w:hint="eastAsia" w:ascii="仿宋" w:hAnsi="仿宋" w:eastAsia="仿宋" w:cs="仿宋"/>
          <w:spacing w:val="9"/>
          <w:sz w:val="23"/>
          <w:szCs w:val="23"/>
        </w:rPr>
        <w:t>责令停产停业、吊销许可证或者执照、较大数额罚款等行政处罚)，未被列入失信被执</w:t>
      </w:r>
      <w:r>
        <w:rPr>
          <w:rFonts w:hint="eastAsia" w:ascii="仿宋" w:hAnsi="仿宋" w:eastAsia="仿宋" w:cs="仿宋"/>
          <w:spacing w:val="3"/>
          <w:sz w:val="23"/>
          <w:szCs w:val="23"/>
        </w:rPr>
        <w:t>行人重大税收违法案件当事人名单、政府采购严重违法失信行为记</w:t>
      </w:r>
      <w:r>
        <w:rPr>
          <w:rFonts w:hint="eastAsia" w:ascii="仿宋" w:hAnsi="仿宋" w:eastAsia="仿宋" w:cs="仿宋"/>
          <w:spacing w:val="2"/>
          <w:sz w:val="23"/>
          <w:szCs w:val="23"/>
        </w:rPr>
        <w:t>录名单，完全符合《中</w:t>
      </w:r>
      <w:r>
        <w:rPr>
          <w:rFonts w:hint="eastAsia" w:ascii="仿宋" w:hAnsi="仿宋" w:eastAsia="仿宋" w:cs="仿宋"/>
          <w:spacing w:val="30"/>
          <w:sz w:val="23"/>
          <w:szCs w:val="23"/>
        </w:rPr>
        <w:t>华人民共和国政府采购法》第二十二条规定的供应商资格</w:t>
      </w:r>
      <w:r>
        <w:rPr>
          <w:rFonts w:hint="eastAsia" w:ascii="仿宋" w:hAnsi="仿宋" w:eastAsia="仿宋" w:cs="仿宋"/>
          <w:spacing w:val="29"/>
          <w:sz w:val="23"/>
          <w:szCs w:val="23"/>
        </w:rPr>
        <w:t>条件</w:t>
      </w:r>
      <w:r>
        <w:rPr>
          <w:rFonts w:hint="eastAsia" w:ascii="仿宋" w:hAnsi="仿宋" w:eastAsia="仿宋" w:cs="仿宋"/>
          <w:spacing w:val="-9"/>
          <w:sz w:val="23"/>
          <w:szCs w:val="23"/>
          <w:lang w:eastAsia="zh-CN"/>
        </w:rPr>
        <w:t>，</w:t>
      </w:r>
      <w:r>
        <w:rPr>
          <w:rFonts w:hint="eastAsia" w:ascii="仿宋" w:hAnsi="仿宋" w:eastAsia="仿宋" w:cs="仿宋"/>
          <w:spacing w:val="29"/>
          <w:sz w:val="23"/>
          <w:szCs w:val="23"/>
        </w:rPr>
        <w:t>我方对此声明</w:t>
      </w:r>
      <w:r>
        <w:rPr>
          <w:rFonts w:hint="eastAsia" w:ascii="仿宋" w:hAnsi="仿宋" w:eastAsia="仿宋" w:cs="仿宋"/>
          <w:spacing w:val="25"/>
          <w:sz w:val="23"/>
          <w:szCs w:val="23"/>
        </w:rPr>
        <w:t>负全部法律责任。</w:t>
      </w:r>
    </w:p>
    <w:p w14:paraId="78CA13B4">
      <w:pPr>
        <w:pStyle w:val="5"/>
        <w:pageBreakBefore w:val="0"/>
        <w:kinsoku w:val="0"/>
        <w:overflowPunct/>
        <w:topLinePunct w:val="0"/>
        <w:autoSpaceDE w:val="0"/>
        <w:autoSpaceDN w:val="0"/>
        <w:bidi w:val="0"/>
        <w:adjustRightInd w:val="0"/>
        <w:snapToGrid w:val="0"/>
        <w:spacing w:before="26" w:line="200" w:lineRule="auto"/>
        <w:ind w:right="0" w:firstLine="492"/>
        <w:textAlignment w:val="baseline"/>
        <w:rPr>
          <w:rFonts w:hint="eastAsia" w:ascii="仿宋" w:hAnsi="仿宋" w:eastAsia="仿宋" w:cs="仿宋"/>
          <w:sz w:val="23"/>
          <w:szCs w:val="23"/>
        </w:rPr>
      </w:pPr>
      <w:r>
        <w:rPr>
          <w:rFonts w:hint="eastAsia" w:ascii="仿宋" w:hAnsi="仿宋" w:eastAsia="仿宋" w:cs="仿宋"/>
          <w:spacing w:val="9"/>
          <w:sz w:val="23"/>
          <w:szCs w:val="23"/>
        </w:rPr>
        <w:t>6.根据《中华人民共和国政府采购法实施条例》第五十条要求对政府采购合同进行</w:t>
      </w:r>
      <w:r>
        <w:rPr>
          <w:rFonts w:hint="eastAsia" w:ascii="仿宋" w:hAnsi="仿宋" w:eastAsia="仿宋" w:cs="仿宋"/>
          <w:spacing w:val="11"/>
          <w:sz w:val="23"/>
          <w:szCs w:val="23"/>
        </w:rPr>
        <w:t>公告，但政府采购合同中涉及国家秘密、商业秘密的内容除外。我方就对本次响应文</w:t>
      </w:r>
      <w:r>
        <w:rPr>
          <w:rFonts w:hint="eastAsia" w:ascii="仿宋" w:hAnsi="仿宋" w:eastAsia="仿宋" w:cs="仿宋"/>
          <w:spacing w:val="12"/>
          <w:sz w:val="23"/>
          <w:szCs w:val="23"/>
        </w:rPr>
        <w:t>件进行注明如下：(两项内容中必须选择一项)</w:t>
      </w:r>
    </w:p>
    <w:p w14:paraId="1E07C60B">
      <w:pPr>
        <w:pStyle w:val="5"/>
        <w:pageBreakBefore w:val="0"/>
        <w:kinsoku w:val="0"/>
        <w:overflowPunct/>
        <w:topLinePunct w:val="0"/>
        <w:autoSpaceDE w:val="0"/>
        <w:autoSpaceDN w:val="0"/>
        <w:bidi w:val="0"/>
        <w:adjustRightInd w:val="0"/>
        <w:snapToGrid w:val="0"/>
        <w:spacing w:before="32" w:line="191" w:lineRule="auto"/>
        <w:ind w:left="539" w:right="0"/>
        <w:textAlignment w:val="baseline"/>
        <w:rPr>
          <w:rFonts w:hint="eastAsia" w:ascii="仿宋" w:hAnsi="仿宋" w:eastAsia="仿宋" w:cs="仿宋"/>
          <w:sz w:val="23"/>
          <w:szCs w:val="23"/>
        </w:rPr>
      </w:pPr>
      <w:r>
        <w:rPr>
          <w:rFonts w:hint="eastAsia" w:ascii="仿宋" w:hAnsi="仿宋" w:eastAsia="仿宋" w:cs="仿宋"/>
          <w:spacing w:val="19"/>
          <w:sz w:val="23"/>
          <w:szCs w:val="23"/>
        </w:rPr>
        <w:t>□我方本次响应文件内容中未涉及商业秘密；</w:t>
      </w:r>
    </w:p>
    <w:p w14:paraId="7663CEC9">
      <w:pPr>
        <w:pStyle w:val="5"/>
        <w:pageBreakBefore w:val="0"/>
        <w:kinsoku w:val="0"/>
        <w:overflowPunct/>
        <w:topLinePunct w:val="0"/>
        <w:autoSpaceDE w:val="0"/>
        <w:autoSpaceDN w:val="0"/>
        <w:bidi w:val="0"/>
        <w:adjustRightInd w:val="0"/>
        <w:snapToGrid w:val="0"/>
        <w:spacing w:before="26" w:line="191" w:lineRule="auto"/>
        <w:ind w:left="491" w:right="0"/>
        <w:textAlignment w:val="baseline"/>
        <w:rPr>
          <w:rFonts w:hint="eastAsia" w:ascii="仿宋" w:hAnsi="仿宋" w:eastAsia="仿宋" w:cs="仿宋"/>
          <w:sz w:val="23"/>
          <w:szCs w:val="23"/>
        </w:rPr>
      </w:pPr>
      <w:r>
        <w:rPr>
          <w:rFonts w:hint="eastAsia" w:ascii="仿宋" w:hAnsi="仿宋" w:eastAsia="仿宋" w:cs="仿宋"/>
          <w:spacing w:val="5"/>
          <w:sz w:val="23"/>
          <w:szCs w:val="23"/>
        </w:rPr>
        <w:t>□我方本次响应文件涉及商业秘密的内容有</w:t>
      </w:r>
      <w:r>
        <w:rPr>
          <w:rFonts w:hint="eastAsia" w:ascii="仿宋" w:hAnsi="仿宋" w:eastAsia="仿宋" w:cs="仿宋"/>
          <w:spacing w:val="1"/>
          <w:sz w:val="23"/>
          <w:szCs w:val="23"/>
        </w:rPr>
        <w:t>：；</w:t>
      </w:r>
    </w:p>
    <w:p w14:paraId="52B15F21">
      <w:pPr>
        <w:pStyle w:val="5"/>
        <w:pageBreakBefore w:val="0"/>
        <w:kinsoku w:val="0"/>
        <w:overflowPunct/>
        <w:topLinePunct w:val="0"/>
        <w:autoSpaceDE w:val="0"/>
        <w:autoSpaceDN w:val="0"/>
        <w:bidi w:val="0"/>
        <w:adjustRightInd w:val="0"/>
        <w:snapToGrid w:val="0"/>
        <w:spacing w:before="26" w:line="192" w:lineRule="auto"/>
        <w:ind w:left="474" w:right="0"/>
        <w:textAlignment w:val="baseline"/>
        <w:rPr>
          <w:rFonts w:hint="eastAsia" w:ascii="仿宋" w:hAnsi="仿宋" w:eastAsia="仿宋" w:cs="仿宋"/>
          <w:spacing w:val="3"/>
          <w:sz w:val="23"/>
          <w:szCs w:val="23"/>
          <w:u w:val="single" w:color="auto"/>
          <w:lang w:eastAsia="zh-CN"/>
        </w:rPr>
      </w:pPr>
      <w:r>
        <w:rPr>
          <w:rFonts w:hint="eastAsia" w:ascii="仿宋" w:hAnsi="仿宋" w:eastAsia="仿宋" w:cs="仿宋"/>
          <w:spacing w:val="4"/>
          <w:sz w:val="23"/>
          <w:szCs w:val="23"/>
        </w:rPr>
        <w:t>7.与本磋商有关的一切正式往来信函请寄：</w:t>
      </w:r>
    </w:p>
    <w:p w14:paraId="2DBF7378">
      <w:pPr>
        <w:pStyle w:val="5"/>
        <w:pageBreakBefore w:val="0"/>
        <w:kinsoku w:val="0"/>
        <w:overflowPunct/>
        <w:topLinePunct w:val="0"/>
        <w:autoSpaceDE w:val="0"/>
        <w:autoSpaceDN w:val="0"/>
        <w:bidi w:val="0"/>
        <w:adjustRightInd w:val="0"/>
        <w:snapToGrid w:val="0"/>
        <w:spacing w:before="26" w:line="192" w:lineRule="auto"/>
        <w:ind w:left="474" w:right="0"/>
        <w:textAlignment w:val="baseline"/>
        <w:rPr>
          <w:rFonts w:hint="eastAsia" w:ascii="仿宋" w:hAnsi="仿宋" w:eastAsia="仿宋" w:cs="仿宋"/>
          <w:sz w:val="23"/>
          <w:szCs w:val="23"/>
          <w:u w:val="none"/>
        </w:rPr>
      </w:pPr>
      <w:r>
        <w:rPr>
          <w:rFonts w:hint="eastAsia" w:ascii="仿宋" w:hAnsi="仿宋" w:eastAsia="仿宋" w:cs="仿宋"/>
          <w:spacing w:val="3"/>
          <w:sz w:val="23"/>
          <w:szCs w:val="23"/>
        </w:rPr>
        <w:t>邮政编号：</w:t>
      </w:r>
    </w:p>
    <w:p w14:paraId="1BA9CEE4">
      <w:pPr>
        <w:pStyle w:val="5"/>
        <w:pageBreakBefore w:val="0"/>
        <w:kinsoku w:val="0"/>
        <w:overflowPunct/>
        <w:topLinePunct w:val="0"/>
        <w:autoSpaceDE w:val="0"/>
        <w:autoSpaceDN w:val="0"/>
        <w:bidi w:val="0"/>
        <w:adjustRightInd w:val="0"/>
        <w:snapToGrid w:val="0"/>
        <w:spacing w:before="24" w:line="191" w:lineRule="auto"/>
        <w:ind w:left="477" w:right="0"/>
        <w:textAlignment w:val="baseline"/>
        <w:rPr>
          <w:rFonts w:hint="eastAsia" w:ascii="仿宋" w:hAnsi="仿宋" w:eastAsia="仿宋" w:cs="仿宋"/>
          <w:spacing w:val="-12"/>
          <w:sz w:val="23"/>
          <w:szCs w:val="23"/>
          <w:lang w:eastAsia="zh-CN"/>
        </w:rPr>
      </w:pPr>
      <w:r>
        <w:rPr>
          <w:rFonts w:hint="eastAsia" w:ascii="仿宋" w:hAnsi="仿宋" w:eastAsia="仿宋" w:cs="仿宋"/>
          <w:spacing w:val="-6"/>
          <w:sz w:val="23"/>
          <w:szCs w:val="23"/>
        </w:rPr>
        <w:t>电话/传真：</w:t>
      </w:r>
    </w:p>
    <w:p w14:paraId="798A61A7">
      <w:pPr>
        <w:pStyle w:val="5"/>
        <w:pageBreakBefore w:val="0"/>
        <w:kinsoku w:val="0"/>
        <w:overflowPunct/>
        <w:topLinePunct w:val="0"/>
        <w:autoSpaceDE w:val="0"/>
        <w:autoSpaceDN w:val="0"/>
        <w:bidi w:val="0"/>
        <w:adjustRightInd w:val="0"/>
        <w:snapToGrid w:val="0"/>
        <w:spacing w:before="24" w:line="191" w:lineRule="auto"/>
        <w:ind w:left="477" w:right="0"/>
        <w:textAlignment w:val="baseline"/>
        <w:rPr>
          <w:rFonts w:hint="eastAsia" w:ascii="仿宋" w:hAnsi="仿宋" w:eastAsia="仿宋" w:cs="仿宋"/>
          <w:sz w:val="23"/>
          <w:szCs w:val="23"/>
        </w:rPr>
      </w:pPr>
      <w:r>
        <w:rPr>
          <w:rFonts w:hint="eastAsia" w:ascii="仿宋" w:hAnsi="仿宋" w:eastAsia="仿宋" w:cs="仿宋"/>
          <w:spacing w:val="-6"/>
          <w:sz w:val="23"/>
          <w:szCs w:val="23"/>
        </w:rPr>
        <w:t>电子函件：</w:t>
      </w:r>
    </w:p>
    <w:p w14:paraId="48F51189">
      <w:pPr>
        <w:pStyle w:val="5"/>
        <w:pageBreakBefore w:val="0"/>
        <w:kinsoku w:val="0"/>
        <w:overflowPunct/>
        <w:topLinePunct w:val="0"/>
        <w:autoSpaceDE w:val="0"/>
        <w:autoSpaceDN w:val="0"/>
        <w:bidi w:val="0"/>
        <w:adjustRightInd w:val="0"/>
        <w:snapToGrid w:val="0"/>
        <w:spacing w:before="26" w:line="191" w:lineRule="auto"/>
        <w:ind w:left="457" w:right="0"/>
        <w:textAlignment w:val="baseline"/>
        <w:rPr>
          <w:rFonts w:hint="eastAsia" w:ascii="仿宋" w:hAnsi="仿宋" w:eastAsia="仿宋" w:cs="仿宋"/>
          <w:spacing w:val="-50"/>
          <w:sz w:val="23"/>
          <w:szCs w:val="23"/>
          <w:lang w:eastAsia="zh-CN"/>
        </w:rPr>
      </w:pPr>
      <w:r>
        <w:rPr>
          <w:rFonts w:hint="eastAsia" w:ascii="仿宋" w:hAnsi="仿宋" w:eastAsia="仿宋" w:cs="仿宋"/>
          <w:sz w:val="23"/>
          <w:szCs w:val="23"/>
        </w:rPr>
        <w:t>开户银行：</w:t>
      </w:r>
    </w:p>
    <w:p w14:paraId="791EF64F">
      <w:pPr>
        <w:pStyle w:val="5"/>
        <w:pageBreakBefore w:val="0"/>
        <w:kinsoku w:val="0"/>
        <w:overflowPunct/>
        <w:topLinePunct w:val="0"/>
        <w:autoSpaceDE w:val="0"/>
        <w:autoSpaceDN w:val="0"/>
        <w:bidi w:val="0"/>
        <w:adjustRightInd w:val="0"/>
        <w:snapToGrid w:val="0"/>
        <w:spacing w:before="26" w:line="191" w:lineRule="auto"/>
        <w:ind w:left="457" w:right="0"/>
        <w:textAlignment w:val="baseline"/>
        <w:rPr>
          <w:rFonts w:hint="eastAsia" w:ascii="仿宋" w:hAnsi="仿宋" w:eastAsia="仿宋" w:cs="仿宋"/>
          <w:spacing w:val="-50"/>
          <w:sz w:val="23"/>
          <w:szCs w:val="23"/>
          <w:lang w:eastAsia="zh-CN"/>
        </w:rPr>
      </w:pPr>
      <w:r>
        <w:rPr>
          <w:rFonts w:hint="eastAsia" w:ascii="仿宋" w:hAnsi="仿宋" w:eastAsia="仿宋" w:cs="仿宋"/>
          <w:spacing w:val="-1"/>
          <w:sz w:val="23"/>
          <w:szCs w:val="23"/>
        </w:rPr>
        <w:t>帐号：</w:t>
      </w:r>
    </w:p>
    <w:p w14:paraId="14D6D0E2">
      <w:pPr>
        <w:pStyle w:val="5"/>
        <w:pageBreakBefore w:val="0"/>
        <w:kinsoku w:val="0"/>
        <w:overflowPunct/>
        <w:topLinePunct w:val="0"/>
        <w:autoSpaceDE w:val="0"/>
        <w:autoSpaceDN w:val="0"/>
        <w:bidi w:val="0"/>
        <w:adjustRightInd w:val="0"/>
        <w:snapToGrid w:val="0"/>
        <w:spacing w:before="28" w:line="198" w:lineRule="auto"/>
        <w:ind w:left="33" w:right="0" w:firstLine="443"/>
        <w:textAlignment w:val="baseline"/>
        <w:rPr>
          <w:rFonts w:hint="eastAsia" w:ascii="仿宋" w:hAnsi="仿宋" w:eastAsia="仿宋" w:cs="仿宋"/>
          <w:sz w:val="23"/>
          <w:szCs w:val="23"/>
        </w:rPr>
      </w:pPr>
      <w:r>
        <w:rPr>
          <w:rFonts w:hint="eastAsia" w:ascii="仿宋" w:hAnsi="仿宋" w:eastAsia="仿宋" w:cs="仿宋"/>
          <w:spacing w:val="-2"/>
          <w:sz w:val="23"/>
          <w:szCs w:val="23"/>
        </w:rPr>
        <w:t>8.以上事项如有虚假或者隐瞒</w:t>
      </w:r>
      <w:r>
        <w:rPr>
          <w:rFonts w:hint="eastAsia" w:ascii="仿宋" w:hAnsi="仿宋" w:eastAsia="仿宋" w:cs="仿宋"/>
          <w:spacing w:val="-2"/>
          <w:sz w:val="23"/>
          <w:szCs w:val="23"/>
          <w:lang w:eastAsia="zh-CN"/>
        </w:rPr>
        <w:t>，</w:t>
      </w:r>
      <w:r>
        <w:rPr>
          <w:rFonts w:hint="eastAsia" w:ascii="仿宋" w:hAnsi="仿宋" w:eastAsia="仿宋" w:cs="仿宋"/>
          <w:spacing w:val="-2"/>
          <w:sz w:val="23"/>
          <w:szCs w:val="23"/>
        </w:rPr>
        <w:t>我方愿意承担一切后果，并不再寻求任何</w:t>
      </w:r>
      <w:r>
        <w:rPr>
          <w:rFonts w:hint="eastAsia" w:ascii="仿宋" w:hAnsi="仿宋" w:eastAsia="仿宋" w:cs="仿宋"/>
          <w:spacing w:val="1"/>
          <w:sz w:val="23"/>
          <w:szCs w:val="23"/>
        </w:rPr>
        <w:t>旨在减轻或者免除法律责任的辩解。</w:t>
      </w:r>
    </w:p>
    <w:p w14:paraId="470B98A1">
      <w:pPr>
        <w:pStyle w:val="5"/>
        <w:pageBreakBefore w:val="0"/>
        <w:kinsoku w:val="0"/>
        <w:overflowPunct/>
        <w:topLinePunct w:val="0"/>
        <w:autoSpaceDE w:val="0"/>
        <w:autoSpaceDN w:val="0"/>
        <w:bidi w:val="0"/>
        <w:adjustRightInd w:val="0"/>
        <w:snapToGrid w:val="0"/>
        <w:spacing w:before="26" w:line="193" w:lineRule="auto"/>
        <w:ind w:left="497" w:right="0"/>
        <w:textAlignment w:val="baseline"/>
        <w:rPr>
          <w:rFonts w:hint="eastAsia" w:ascii="仿宋" w:hAnsi="仿宋" w:eastAsia="仿宋" w:cs="仿宋"/>
          <w:sz w:val="23"/>
          <w:szCs w:val="23"/>
        </w:rPr>
      </w:pPr>
      <w:r>
        <w:rPr>
          <w:rFonts w:hint="eastAsia" w:ascii="仿宋" w:hAnsi="仿宋" w:eastAsia="仿宋" w:cs="仿宋"/>
          <w:spacing w:val="9"/>
          <w:sz w:val="23"/>
          <w:szCs w:val="23"/>
        </w:rPr>
        <w:t>特此承诺。</w:t>
      </w:r>
    </w:p>
    <w:p w14:paraId="28E90E55">
      <w:pPr>
        <w:pStyle w:val="5"/>
        <w:pageBreakBefore w:val="0"/>
        <w:kinsoku w:val="0"/>
        <w:overflowPunct/>
        <w:topLinePunct w:val="0"/>
        <w:autoSpaceDE w:val="0"/>
        <w:autoSpaceDN w:val="0"/>
        <w:bidi w:val="0"/>
        <w:adjustRightInd w:val="0"/>
        <w:snapToGrid w:val="0"/>
        <w:spacing w:before="26" w:line="198" w:lineRule="auto"/>
        <w:ind w:right="0" w:firstLine="485"/>
        <w:textAlignment w:val="baseline"/>
        <w:rPr>
          <w:rFonts w:hint="eastAsia" w:ascii="仿宋" w:hAnsi="仿宋" w:eastAsia="仿宋" w:cs="仿宋"/>
          <w:sz w:val="23"/>
          <w:szCs w:val="23"/>
        </w:rPr>
      </w:pPr>
      <w:r>
        <w:rPr>
          <w:rFonts w:hint="eastAsia" w:ascii="仿宋" w:hAnsi="仿宋" w:eastAsia="仿宋" w:cs="仿宋"/>
          <w:spacing w:val="30"/>
          <w:sz w:val="23"/>
          <w:szCs w:val="23"/>
        </w:rPr>
        <w:t>注：如为联合体投标，盖章处须加盖联合体各方公章并由联合体各方法定</w:t>
      </w:r>
      <w:r>
        <w:rPr>
          <w:rFonts w:hint="eastAsia" w:ascii="仿宋" w:hAnsi="仿宋" w:eastAsia="仿宋" w:cs="仿宋"/>
          <w:spacing w:val="5"/>
          <w:sz w:val="23"/>
          <w:szCs w:val="23"/>
        </w:rPr>
        <w:t>代表人签署，否则其响应文件按无效响应处理。</w:t>
      </w:r>
    </w:p>
    <w:p w14:paraId="59EB4A50">
      <w:pPr>
        <w:pageBreakBefore w:val="0"/>
        <w:kinsoku w:val="0"/>
        <w:overflowPunct/>
        <w:topLinePunct w:val="0"/>
        <w:autoSpaceDE w:val="0"/>
        <w:autoSpaceDN w:val="0"/>
        <w:bidi w:val="0"/>
        <w:adjustRightInd w:val="0"/>
        <w:snapToGrid w:val="0"/>
        <w:spacing w:line="323" w:lineRule="auto"/>
        <w:ind w:right="0"/>
        <w:textAlignment w:val="baseline"/>
        <w:rPr>
          <w:rFonts w:hint="eastAsia" w:ascii="仿宋" w:hAnsi="仿宋" w:eastAsia="仿宋" w:cs="仿宋"/>
          <w:sz w:val="21"/>
        </w:rPr>
      </w:pPr>
    </w:p>
    <w:p w14:paraId="0526CC2B">
      <w:pPr>
        <w:pStyle w:val="5"/>
        <w:pageBreakBefore w:val="0"/>
        <w:kinsoku w:val="0"/>
        <w:overflowPunct/>
        <w:topLinePunct w:val="0"/>
        <w:autoSpaceDE w:val="0"/>
        <w:autoSpaceDN w:val="0"/>
        <w:bidi w:val="0"/>
        <w:adjustRightInd w:val="0"/>
        <w:snapToGrid w:val="0"/>
        <w:spacing w:before="99" w:line="187" w:lineRule="auto"/>
        <w:ind w:left="5000" w:right="0"/>
        <w:textAlignment w:val="baseline"/>
        <w:rPr>
          <w:rFonts w:hint="eastAsia" w:ascii="仿宋" w:hAnsi="仿宋" w:eastAsia="仿宋" w:cs="仿宋"/>
          <w:sz w:val="23"/>
          <w:szCs w:val="23"/>
        </w:rPr>
      </w:pPr>
      <w:r>
        <w:rPr>
          <w:rFonts w:hint="eastAsia" w:ascii="仿宋" w:hAnsi="仿宋" w:eastAsia="仿宋" w:cs="仿宋"/>
          <w:spacing w:val="9"/>
          <w:sz w:val="23"/>
          <w:szCs w:val="23"/>
        </w:rPr>
        <w:t>供应商名称(电子签章)：</w:t>
      </w:r>
    </w:p>
    <w:p w14:paraId="45D13514">
      <w:pPr>
        <w:pStyle w:val="5"/>
        <w:pageBreakBefore w:val="0"/>
        <w:kinsoku w:val="0"/>
        <w:overflowPunct/>
        <w:topLinePunct w:val="0"/>
        <w:autoSpaceDE w:val="0"/>
        <w:autoSpaceDN w:val="0"/>
        <w:bidi w:val="0"/>
        <w:adjustRightInd w:val="0"/>
        <w:snapToGrid w:val="0"/>
        <w:spacing w:before="142" w:line="191" w:lineRule="auto"/>
        <w:ind w:left="5235" w:right="0"/>
        <w:textAlignment w:val="baseline"/>
        <w:rPr>
          <w:rFonts w:hint="eastAsia" w:ascii="仿宋" w:hAnsi="仿宋" w:eastAsia="仿宋" w:cs="仿宋"/>
          <w:sz w:val="23"/>
          <w:szCs w:val="23"/>
        </w:rPr>
      </w:pPr>
      <w:r>
        <w:rPr>
          <w:rFonts w:hint="eastAsia" w:ascii="仿宋" w:hAnsi="仿宋" w:eastAsia="仿宋" w:cs="仿宋"/>
          <w:spacing w:val="-9"/>
          <w:sz w:val="23"/>
          <w:szCs w:val="23"/>
        </w:rPr>
        <w:t>日期：年月日</w:t>
      </w:r>
    </w:p>
    <w:p w14:paraId="5C8040FB">
      <w:pPr>
        <w:pageBreakBefore w:val="0"/>
        <w:kinsoku w:val="0"/>
        <w:overflowPunct/>
        <w:topLinePunct w:val="0"/>
        <w:autoSpaceDE w:val="0"/>
        <w:autoSpaceDN w:val="0"/>
        <w:bidi w:val="0"/>
        <w:adjustRightInd w:val="0"/>
        <w:snapToGrid w:val="0"/>
        <w:spacing w:line="191" w:lineRule="auto"/>
        <w:ind w:right="0"/>
        <w:textAlignment w:val="baseline"/>
        <w:rPr>
          <w:rFonts w:hint="eastAsia" w:ascii="仿宋" w:hAnsi="仿宋" w:eastAsia="仿宋" w:cs="仿宋"/>
          <w:sz w:val="23"/>
          <w:szCs w:val="23"/>
        </w:rPr>
        <w:sectPr>
          <w:footerReference r:id="rId24" w:type="default"/>
          <w:pgSz w:w="11905" w:h="16838"/>
          <w:pgMar w:top="1440" w:right="1803" w:bottom="1440" w:left="1803" w:header="0" w:footer="567" w:gutter="0"/>
          <w:pgNumType w:fmt="decimal"/>
          <w:cols w:space="0" w:num="1"/>
          <w:rtlGutter w:val="0"/>
          <w:docGrid w:linePitch="0" w:charSpace="0"/>
        </w:sectPr>
      </w:pPr>
    </w:p>
    <w:p w14:paraId="3853BE4F">
      <w:pPr>
        <w:pStyle w:val="5"/>
        <w:pageBreakBefore w:val="0"/>
        <w:kinsoku w:val="0"/>
        <w:overflowPunct/>
        <w:topLinePunct w:val="0"/>
        <w:autoSpaceDE w:val="0"/>
        <w:autoSpaceDN w:val="0"/>
        <w:bidi w:val="0"/>
        <w:adjustRightInd w:val="0"/>
        <w:snapToGrid w:val="0"/>
        <w:spacing w:before="48" w:line="191" w:lineRule="auto"/>
        <w:ind w:right="0"/>
        <w:textAlignment w:val="baseline"/>
        <w:rPr>
          <w:rFonts w:hint="eastAsia" w:ascii="仿宋" w:hAnsi="仿宋" w:eastAsia="仿宋" w:cs="仿宋"/>
          <w:sz w:val="23"/>
          <w:szCs w:val="23"/>
        </w:rPr>
      </w:pPr>
      <w:r>
        <w:rPr>
          <w:rFonts w:hint="eastAsia" w:ascii="仿宋" w:hAnsi="仿宋" w:eastAsia="仿宋" w:cs="仿宋"/>
          <w:spacing w:val="25"/>
          <w:sz w:val="23"/>
          <w:szCs w:val="23"/>
        </w:rPr>
        <w:t>7、除磋商文件规定必须提供以外，供应商认为需要提供的其他证明材料；</w:t>
      </w:r>
    </w:p>
    <w:p w14:paraId="5DF2B090">
      <w:pPr>
        <w:pageBreakBefore w:val="0"/>
        <w:kinsoku w:val="0"/>
        <w:overflowPunct/>
        <w:topLinePunct w:val="0"/>
        <w:autoSpaceDE w:val="0"/>
        <w:autoSpaceDN w:val="0"/>
        <w:bidi w:val="0"/>
        <w:adjustRightInd w:val="0"/>
        <w:snapToGrid w:val="0"/>
        <w:spacing w:line="191" w:lineRule="auto"/>
        <w:ind w:right="0"/>
        <w:textAlignment w:val="baseline"/>
        <w:rPr>
          <w:rFonts w:hint="eastAsia" w:ascii="仿宋" w:hAnsi="仿宋" w:eastAsia="仿宋" w:cs="仿宋"/>
          <w:sz w:val="23"/>
          <w:szCs w:val="23"/>
        </w:rPr>
        <w:sectPr>
          <w:footerReference r:id="rId25" w:type="default"/>
          <w:pgSz w:w="11905" w:h="16838"/>
          <w:pgMar w:top="1440" w:right="1803" w:bottom="1440" w:left="1803" w:header="0" w:footer="567" w:gutter="0"/>
          <w:pgNumType w:fmt="decimal"/>
          <w:cols w:space="0" w:num="1"/>
          <w:rtlGutter w:val="0"/>
          <w:docGrid w:linePitch="0" w:charSpace="0"/>
        </w:sectPr>
      </w:pPr>
    </w:p>
    <w:p w14:paraId="3377B3A5">
      <w:pPr>
        <w:pStyle w:val="5"/>
        <w:pageBreakBefore w:val="0"/>
        <w:kinsoku w:val="0"/>
        <w:overflowPunct/>
        <w:topLinePunct w:val="0"/>
        <w:autoSpaceDE w:val="0"/>
        <w:autoSpaceDN w:val="0"/>
        <w:bidi w:val="0"/>
        <w:adjustRightInd w:val="0"/>
        <w:snapToGrid w:val="0"/>
        <w:spacing w:before="48" w:line="191" w:lineRule="auto"/>
        <w:ind w:right="0"/>
        <w:textAlignment w:val="baseline"/>
        <w:outlineLvl w:val="1"/>
        <w:rPr>
          <w:rFonts w:hint="eastAsia" w:ascii="仿宋" w:hAnsi="仿宋" w:eastAsia="仿宋" w:cs="仿宋"/>
          <w:sz w:val="23"/>
          <w:szCs w:val="23"/>
        </w:rPr>
      </w:pPr>
      <w:r>
        <w:rPr>
          <w:rFonts w:hint="eastAsia" w:ascii="仿宋" w:hAnsi="仿宋" w:eastAsia="仿宋" w:cs="仿宋"/>
          <w:spacing w:val="7"/>
          <w:sz w:val="23"/>
          <w:szCs w:val="23"/>
          <w14:textOutline w14:w="4388" w14:cap="flat" w14:cmpd="sng">
            <w14:solidFill>
              <w14:srgbClr w14:val="000000"/>
            </w14:solidFill>
            <w14:prstDash w14:val="solid"/>
            <w14:miter w14:val="0"/>
          </w14:textOutline>
        </w:rPr>
        <w:t>第三节：商务技术文件格式</w:t>
      </w:r>
    </w:p>
    <w:p w14:paraId="6BAD35C4">
      <w:pPr>
        <w:pageBreakBefore w:val="0"/>
        <w:kinsoku w:val="0"/>
        <w:overflowPunct/>
        <w:topLinePunct w:val="0"/>
        <w:autoSpaceDE w:val="0"/>
        <w:autoSpaceDN w:val="0"/>
        <w:bidi w:val="0"/>
        <w:adjustRightInd w:val="0"/>
        <w:snapToGrid w:val="0"/>
        <w:spacing w:line="383" w:lineRule="auto"/>
        <w:ind w:right="0"/>
        <w:textAlignment w:val="baseline"/>
        <w:rPr>
          <w:rFonts w:hint="eastAsia" w:ascii="仿宋" w:hAnsi="仿宋" w:eastAsia="仿宋" w:cs="仿宋"/>
          <w:sz w:val="21"/>
        </w:rPr>
      </w:pPr>
    </w:p>
    <w:p w14:paraId="7EA54148">
      <w:pPr>
        <w:pStyle w:val="5"/>
        <w:pageBreakBefore w:val="0"/>
        <w:kinsoku w:val="0"/>
        <w:overflowPunct/>
        <w:topLinePunct w:val="0"/>
        <w:autoSpaceDE w:val="0"/>
        <w:autoSpaceDN w:val="0"/>
        <w:bidi w:val="0"/>
        <w:adjustRightInd w:val="0"/>
        <w:snapToGrid w:val="0"/>
        <w:spacing w:before="99" w:line="187" w:lineRule="auto"/>
        <w:ind w:left="18" w:right="0"/>
        <w:textAlignment w:val="baseline"/>
        <w:rPr>
          <w:rFonts w:hint="eastAsia" w:ascii="仿宋" w:hAnsi="仿宋" w:eastAsia="仿宋" w:cs="仿宋"/>
          <w:sz w:val="23"/>
          <w:szCs w:val="23"/>
        </w:rPr>
      </w:pPr>
      <w:r>
        <w:rPr>
          <w:rFonts w:hint="eastAsia" w:ascii="仿宋" w:hAnsi="仿宋" w:eastAsia="仿宋" w:cs="仿宋"/>
          <w:spacing w:val="18"/>
          <w:sz w:val="23"/>
          <w:szCs w:val="23"/>
        </w:rPr>
        <w:t>1、无串标行为承诺函(格式)</w:t>
      </w:r>
    </w:p>
    <w:p w14:paraId="2D5EAF01">
      <w:pPr>
        <w:pageBreakBefore w:val="0"/>
        <w:kinsoku w:val="0"/>
        <w:overflowPunct/>
        <w:topLinePunct w:val="0"/>
        <w:autoSpaceDE w:val="0"/>
        <w:autoSpaceDN w:val="0"/>
        <w:bidi w:val="0"/>
        <w:adjustRightInd w:val="0"/>
        <w:snapToGrid w:val="0"/>
        <w:spacing w:line="352" w:lineRule="auto"/>
        <w:ind w:right="0"/>
        <w:textAlignment w:val="baseline"/>
        <w:rPr>
          <w:rFonts w:hint="eastAsia" w:ascii="仿宋" w:hAnsi="仿宋" w:eastAsia="仿宋" w:cs="仿宋"/>
          <w:sz w:val="21"/>
        </w:rPr>
      </w:pPr>
    </w:p>
    <w:p w14:paraId="0DFB852C">
      <w:pPr>
        <w:pStyle w:val="5"/>
        <w:pageBreakBefore w:val="0"/>
        <w:kinsoku w:val="0"/>
        <w:overflowPunct/>
        <w:topLinePunct w:val="0"/>
        <w:autoSpaceDE w:val="0"/>
        <w:autoSpaceDN w:val="0"/>
        <w:bidi w:val="0"/>
        <w:adjustRightInd w:val="0"/>
        <w:snapToGrid w:val="0"/>
        <w:spacing w:before="99" w:line="191" w:lineRule="auto"/>
        <w:ind w:left="3499" w:right="0"/>
        <w:textAlignment w:val="baseline"/>
        <w:outlineLvl w:val="2"/>
        <w:rPr>
          <w:rFonts w:hint="eastAsia" w:ascii="仿宋" w:hAnsi="仿宋" w:eastAsia="仿宋" w:cs="仿宋"/>
          <w:sz w:val="28"/>
          <w:szCs w:val="28"/>
        </w:rPr>
      </w:pPr>
      <w:r>
        <w:rPr>
          <w:rFonts w:hint="eastAsia" w:ascii="仿宋" w:hAnsi="仿宋" w:eastAsia="仿宋" w:cs="仿宋"/>
          <w:spacing w:val="18"/>
          <w:sz w:val="28"/>
          <w:szCs w:val="28"/>
          <w14:textOutline w14:w="4388" w14:cap="flat" w14:cmpd="sng">
            <w14:solidFill>
              <w14:srgbClr w14:val="000000"/>
            </w14:solidFill>
            <w14:prstDash w14:val="solid"/>
            <w14:miter w14:val="0"/>
          </w14:textOutline>
        </w:rPr>
        <w:t>无串标行为承诺函</w:t>
      </w:r>
    </w:p>
    <w:p w14:paraId="24AFCF93">
      <w:pPr>
        <w:pageBreakBefore w:val="0"/>
        <w:kinsoku w:val="0"/>
        <w:overflowPunct/>
        <w:topLinePunct w:val="0"/>
        <w:autoSpaceDE w:val="0"/>
        <w:autoSpaceDN w:val="0"/>
        <w:bidi w:val="0"/>
        <w:adjustRightInd w:val="0"/>
        <w:snapToGrid w:val="0"/>
        <w:spacing w:line="387" w:lineRule="auto"/>
        <w:ind w:right="0"/>
        <w:textAlignment w:val="baseline"/>
        <w:rPr>
          <w:rFonts w:hint="eastAsia" w:ascii="仿宋" w:hAnsi="仿宋" w:eastAsia="仿宋" w:cs="仿宋"/>
          <w:sz w:val="21"/>
        </w:rPr>
      </w:pPr>
    </w:p>
    <w:p w14:paraId="217B6478">
      <w:pPr>
        <w:pStyle w:val="5"/>
        <w:pageBreakBefore w:val="0"/>
        <w:kinsoku w:val="0"/>
        <w:overflowPunct/>
        <w:topLinePunct w:val="0"/>
        <w:autoSpaceDE w:val="0"/>
        <w:autoSpaceDN w:val="0"/>
        <w:bidi w:val="0"/>
        <w:adjustRightInd w:val="0"/>
        <w:snapToGrid w:val="0"/>
        <w:spacing w:before="98" w:line="191" w:lineRule="auto"/>
        <w:ind w:left="508" w:right="0"/>
        <w:textAlignment w:val="baseline"/>
        <w:rPr>
          <w:rFonts w:hint="eastAsia" w:ascii="仿宋" w:hAnsi="仿宋" w:eastAsia="仿宋" w:cs="仿宋"/>
          <w:sz w:val="23"/>
          <w:szCs w:val="23"/>
        </w:rPr>
      </w:pPr>
      <w:r>
        <w:rPr>
          <w:rFonts w:hint="eastAsia" w:ascii="仿宋" w:hAnsi="仿宋" w:eastAsia="仿宋" w:cs="仿宋"/>
          <w:spacing w:val="11"/>
          <w:sz w:val="23"/>
          <w:szCs w:val="23"/>
        </w:rPr>
        <w:t>一、我方承诺无下列相互串通投标的情形：</w:t>
      </w:r>
    </w:p>
    <w:p w14:paraId="25F75B12">
      <w:pPr>
        <w:pStyle w:val="5"/>
        <w:pageBreakBefore w:val="0"/>
        <w:kinsoku w:val="0"/>
        <w:overflowPunct/>
        <w:topLinePunct w:val="0"/>
        <w:autoSpaceDE w:val="0"/>
        <w:autoSpaceDN w:val="0"/>
        <w:bidi w:val="0"/>
        <w:adjustRightInd w:val="0"/>
        <w:snapToGrid w:val="0"/>
        <w:spacing w:before="82" w:line="244" w:lineRule="auto"/>
        <w:ind w:left="20" w:right="0" w:firstLine="559"/>
        <w:textAlignment w:val="baseline"/>
        <w:rPr>
          <w:rFonts w:hint="eastAsia" w:ascii="仿宋" w:hAnsi="仿宋" w:eastAsia="仿宋" w:cs="仿宋"/>
          <w:sz w:val="23"/>
          <w:szCs w:val="23"/>
        </w:rPr>
      </w:pPr>
      <w:r>
        <w:rPr>
          <w:rFonts w:hint="eastAsia" w:ascii="仿宋" w:hAnsi="仿宋" w:eastAsia="仿宋" w:cs="仿宋"/>
          <w:spacing w:val="-4"/>
          <w:sz w:val="23"/>
          <w:szCs w:val="23"/>
        </w:rPr>
        <w:t>1.不同供应商的响应文件由同一单</w:t>
      </w:r>
      <w:r>
        <w:rPr>
          <w:rFonts w:hint="eastAsia" w:ascii="仿宋" w:hAnsi="仿宋" w:eastAsia="仿宋" w:cs="仿宋"/>
          <w:spacing w:val="-5"/>
          <w:sz w:val="23"/>
          <w:szCs w:val="23"/>
        </w:rPr>
        <w:t>位或者个人编制</w:t>
      </w:r>
      <w:r>
        <w:rPr>
          <w:rFonts w:hint="eastAsia" w:ascii="仿宋" w:hAnsi="仿宋" w:eastAsia="仿宋" w:cs="仿宋"/>
          <w:spacing w:val="-5"/>
          <w:sz w:val="23"/>
          <w:szCs w:val="23"/>
          <w:lang w:val="en-US" w:eastAsia="zh-CN"/>
        </w:rPr>
        <w:t>;</w:t>
      </w:r>
      <w:r>
        <w:rPr>
          <w:rFonts w:hint="eastAsia" w:ascii="仿宋" w:hAnsi="仿宋" w:eastAsia="仿宋" w:cs="仿宋"/>
          <w:spacing w:val="-5"/>
          <w:sz w:val="23"/>
          <w:szCs w:val="23"/>
        </w:rPr>
        <w:t>或者不同供应商报名</w:t>
      </w:r>
      <w:r>
        <w:rPr>
          <w:rFonts w:hint="eastAsia" w:ascii="仿宋" w:hAnsi="仿宋" w:eastAsia="仿宋" w:cs="仿宋"/>
          <w:spacing w:val="15"/>
          <w:sz w:val="23"/>
          <w:szCs w:val="23"/>
        </w:rPr>
        <w:t>的</w:t>
      </w:r>
      <w:r>
        <w:rPr>
          <w:rFonts w:hint="eastAsia" w:ascii="仿宋" w:hAnsi="仿宋" w:eastAsia="仿宋" w:cs="仿宋"/>
          <w:sz w:val="23"/>
          <w:szCs w:val="23"/>
        </w:rPr>
        <w:t>IP</w:t>
      </w:r>
      <w:r>
        <w:rPr>
          <w:rFonts w:hint="eastAsia" w:ascii="仿宋" w:hAnsi="仿宋" w:eastAsia="仿宋" w:cs="仿宋"/>
          <w:spacing w:val="15"/>
          <w:sz w:val="23"/>
          <w:szCs w:val="23"/>
        </w:rPr>
        <w:t>地址一致的；或者编制响应文件硬件设备</w:t>
      </w:r>
      <w:r>
        <w:rPr>
          <w:rFonts w:hint="eastAsia" w:ascii="仿宋" w:hAnsi="仿宋" w:eastAsia="仿宋" w:cs="仿宋"/>
          <w:sz w:val="23"/>
          <w:szCs w:val="23"/>
        </w:rPr>
        <w:t>CPU</w:t>
      </w:r>
      <w:r>
        <w:rPr>
          <w:rFonts w:hint="eastAsia" w:ascii="仿宋" w:hAnsi="仿宋" w:eastAsia="仿宋" w:cs="仿宋"/>
          <w:spacing w:val="15"/>
          <w:sz w:val="23"/>
          <w:szCs w:val="23"/>
        </w:rPr>
        <w:t>编号、硬盘编</w:t>
      </w:r>
      <w:r>
        <w:rPr>
          <w:rFonts w:hint="eastAsia" w:ascii="仿宋" w:hAnsi="仿宋" w:eastAsia="仿宋" w:cs="仿宋"/>
          <w:spacing w:val="14"/>
          <w:sz w:val="23"/>
          <w:szCs w:val="23"/>
        </w:rPr>
        <w:t>号、网卡地址</w:t>
      </w:r>
    </w:p>
    <w:p w14:paraId="1F702068">
      <w:pPr>
        <w:pStyle w:val="5"/>
        <w:pageBreakBefore w:val="0"/>
        <w:kinsoku w:val="0"/>
        <w:overflowPunct/>
        <w:topLinePunct w:val="0"/>
        <w:autoSpaceDE w:val="0"/>
        <w:autoSpaceDN w:val="0"/>
        <w:bidi w:val="0"/>
        <w:adjustRightInd w:val="0"/>
        <w:snapToGrid w:val="0"/>
        <w:spacing w:before="1" w:line="191" w:lineRule="auto"/>
        <w:ind w:left="4" w:right="0"/>
        <w:textAlignment w:val="baseline"/>
        <w:rPr>
          <w:rFonts w:hint="eastAsia" w:ascii="仿宋" w:hAnsi="仿宋" w:eastAsia="仿宋" w:cs="仿宋"/>
          <w:sz w:val="23"/>
          <w:szCs w:val="23"/>
        </w:rPr>
      </w:pPr>
      <w:r>
        <w:rPr>
          <w:rFonts w:hint="eastAsia" w:ascii="仿宋" w:hAnsi="仿宋" w:eastAsia="仿宋" w:cs="仿宋"/>
          <w:spacing w:val="14"/>
          <w:sz w:val="23"/>
          <w:szCs w:val="23"/>
        </w:rPr>
        <w:t>一致的情况；</w:t>
      </w:r>
    </w:p>
    <w:p w14:paraId="6BA0C4AC">
      <w:pPr>
        <w:pStyle w:val="5"/>
        <w:pageBreakBefore w:val="0"/>
        <w:kinsoku w:val="0"/>
        <w:overflowPunct/>
        <w:topLinePunct w:val="0"/>
        <w:autoSpaceDE w:val="0"/>
        <w:autoSpaceDN w:val="0"/>
        <w:bidi w:val="0"/>
        <w:adjustRightInd w:val="0"/>
        <w:snapToGrid w:val="0"/>
        <w:spacing w:before="84" w:line="191" w:lineRule="auto"/>
        <w:ind w:left="548" w:right="0"/>
        <w:textAlignment w:val="baseline"/>
        <w:rPr>
          <w:rFonts w:hint="eastAsia" w:ascii="仿宋" w:hAnsi="仿宋" w:eastAsia="仿宋" w:cs="仿宋"/>
          <w:sz w:val="23"/>
          <w:szCs w:val="23"/>
        </w:rPr>
      </w:pPr>
      <w:r>
        <w:rPr>
          <w:rFonts w:hint="eastAsia" w:ascii="仿宋" w:hAnsi="仿宋" w:eastAsia="仿宋" w:cs="仿宋"/>
          <w:spacing w:val="22"/>
          <w:sz w:val="23"/>
          <w:szCs w:val="23"/>
        </w:rPr>
        <w:t>2</w:t>
      </w:r>
      <w:r>
        <w:rPr>
          <w:rFonts w:hint="eastAsia" w:ascii="仿宋" w:hAnsi="仿宋" w:eastAsia="仿宋" w:cs="仿宋"/>
          <w:spacing w:val="23"/>
          <w:sz w:val="23"/>
          <w:szCs w:val="23"/>
        </w:rPr>
        <w:t>.</w:t>
      </w:r>
      <w:r>
        <w:rPr>
          <w:rFonts w:hint="eastAsia" w:ascii="仿宋" w:hAnsi="仿宋" w:eastAsia="仿宋" w:cs="仿宋"/>
          <w:spacing w:val="22"/>
          <w:sz w:val="23"/>
          <w:szCs w:val="23"/>
        </w:rPr>
        <w:t>不同供应商委托同一单位或者个人办理投标事宜；</w:t>
      </w:r>
    </w:p>
    <w:p w14:paraId="2472D7B5">
      <w:pPr>
        <w:pStyle w:val="5"/>
        <w:pageBreakBefore w:val="0"/>
        <w:kinsoku w:val="0"/>
        <w:overflowPunct/>
        <w:topLinePunct w:val="0"/>
        <w:autoSpaceDE w:val="0"/>
        <w:autoSpaceDN w:val="0"/>
        <w:bidi w:val="0"/>
        <w:adjustRightInd w:val="0"/>
        <w:snapToGrid w:val="0"/>
        <w:spacing w:before="76" w:line="191" w:lineRule="auto"/>
        <w:ind w:left="550" w:right="0"/>
        <w:textAlignment w:val="baseline"/>
        <w:rPr>
          <w:rFonts w:hint="eastAsia" w:ascii="仿宋" w:hAnsi="仿宋" w:eastAsia="仿宋" w:cs="仿宋"/>
          <w:sz w:val="23"/>
          <w:szCs w:val="23"/>
        </w:rPr>
      </w:pPr>
      <w:r>
        <w:rPr>
          <w:rFonts w:hint="eastAsia" w:ascii="仿宋" w:hAnsi="仿宋" w:eastAsia="仿宋" w:cs="仿宋"/>
          <w:spacing w:val="23"/>
          <w:sz w:val="23"/>
          <w:szCs w:val="23"/>
        </w:rPr>
        <w:t>3.不同的供应商的响应文件载明的项目管理员为同一个人；</w:t>
      </w:r>
    </w:p>
    <w:p w14:paraId="645F4814">
      <w:pPr>
        <w:pStyle w:val="5"/>
        <w:pageBreakBefore w:val="0"/>
        <w:kinsoku w:val="0"/>
        <w:overflowPunct/>
        <w:topLinePunct w:val="0"/>
        <w:autoSpaceDE w:val="0"/>
        <w:autoSpaceDN w:val="0"/>
        <w:bidi w:val="0"/>
        <w:adjustRightInd w:val="0"/>
        <w:snapToGrid w:val="0"/>
        <w:spacing w:before="97" w:line="191" w:lineRule="auto"/>
        <w:ind w:left="515" w:right="0"/>
        <w:textAlignment w:val="baseline"/>
        <w:rPr>
          <w:rFonts w:hint="eastAsia" w:ascii="仿宋" w:hAnsi="仿宋" w:eastAsia="仿宋" w:cs="仿宋"/>
          <w:sz w:val="23"/>
          <w:szCs w:val="23"/>
        </w:rPr>
      </w:pPr>
      <w:r>
        <w:rPr>
          <w:rFonts w:hint="eastAsia" w:ascii="仿宋" w:hAnsi="仿宋" w:eastAsia="仿宋" w:cs="仿宋"/>
          <w:spacing w:val="26"/>
          <w:sz w:val="23"/>
          <w:szCs w:val="23"/>
        </w:rPr>
        <w:t>4.不同供应商的响应文件异常一致或者投标报价呈规律性差异；</w:t>
      </w:r>
    </w:p>
    <w:p w14:paraId="7A2EACB0">
      <w:pPr>
        <w:pStyle w:val="5"/>
        <w:pageBreakBefore w:val="0"/>
        <w:kinsoku w:val="0"/>
        <w:overflowPunct/>
        <w:topLinePunct w:val="0"/>
        <w:autoSpaceDE w:val="0"/>
        <w:autoSpaceDN w:val="0"/>
        <w:bidi w:val="0"/>
        <w:adjustRightInd w:val="0"/>
        <w:snapToGrid w:val="0"/>
        <w:spacing w:before="75" w:line="191" w:lineRule="auto"/>
        <w:ind w:left="519" w:right="0"/>
        <w:textAlignment w:val="baseline"/>
        <w:rPr>
          <w:rFonts w:hint="eastAsia" w:ascii="仿宋" w:hAnsi="仿宋" w:eastAsia="仿宋" w:cs="仿宋"/>
          <w:sz w:val="23"/>
          <w:szCs w:val="23"/>
        </w:rPr>
      </w:pPr>
      <w:r>
        <w:rPr>
          <w:rFonts w:hint="eastAsia" w:ascii="仿宋" w:hAnsi="仿宋" w:eastAsia="仿宋" w:cs="仿宋"/>
          <w:spacing w:val="23"/>
          <w:sz w:val="23"/>
          <w:szCs w:val="23"/>
        </w:rPr>
        <w:t>5.不同供应商的响应文件相互混装；</w:t>
      </w:r>
    </w:p>
    <w:p w14:paraId="75D20828">
      <w:pPr>
        <w:pStyle w:val="5"/>
        <w:pageBreakBefore w:val="0"/>
        <w:kinsoku w:val="0"/>
        <w:overflowPunct/>
        <w:topLinePunct w:val="0"/>
        <w:autoSpaceDE w:val="0"/>
        <w:autoSpaceDN w:val="0"/>
        <w:bidi w:val="0"/>
        <w:adjustRightInd w:val="0"/>
        <w:snapToGrid w:val="0"/>
        <w:spacing w:before="86" w:line="191" w:lineRule="auto"/>
        <w:ind w:left="518" w:right="0"/>
        <w:textAlignment w:val="baseline"/>
        <w:rPr>
          <w:rFonts w:hint="eastAsia" w:ascii="仿宋" w:hAnsi="仿宋" w:eastAsia="仿宋" w:cs="仿宋"/>
          <w:sz w:val="23"/>
          <w:szCs w:val="23"/>
        </w:rPr>
      </w:pPr>
      <w:r>
        <w:rPr>
          <w:rFonts w:hint="eastAsia" w:ascii="仿宋" w:hAnsi="仿宋" w:eastAsia="仿宋" w:cs="仿宋"/>
          <w:spacing w:val="26"/>
          <w:sz w:val="23"/>
          <w:szCs w:val="23"/>
        </w:rPr>
        <w:t>6.不同供应商的投标保证金从同一单位或者个人账户转出。</w:t>
      </w:r>
    </w:p>
    <w:p w14:paraId="34CFE210">
      <w:pPr>
        <w:pStyle w:val="5"/>
        <w:pageBreakBefore w:val="0"/>
        <w:kinsoku w:val="0"/>
        <w:overflowPunct/>
        <w:topLinePunct w:val="0"/>
        <w:autoSpaceDE w:val="0"/>
        <w:autoSpaceDN w:val="0"/>
        <w:bidi w:val="0"/>
        <w:adjustRightInd w:val="0"/>
        <w:snapToGrid w:val="0"/>
        <w:spacing w:before="97" w:line="191" w:lineRule="auto"/>
        <w:ind w:left="501" w:right="0"/>
        <w:textAlignment w:val="baseline"/>
        <w:rPr>
          <w:rFonts w:hint="eastAsia" w:ascii="仿宋" w:hAnsi="仿宋" w:eastAsia="仿宋" w:cs="仿宋"/>
          <w:sz w:val="23"/>
          <w:szCs w:val="23"/>
        </w:rPr>
      </w:pPr>
      <w:r>
        <w:rPr>
          <w:rFonts w:hint="eastAsia" w:ascii="仿宋" w:hAnsi="仿宋" w:eastAsia="仿宋" w:cs="仿宋"/>
          <w:spacing w:val="13"/>
          <w:sz w:val="23"/>
          <w:szCs w:val="23"/>
        </w:rPr>
        <w:t>二、我方承诺无下列恶意串通的情形：</w:t>
      </w:r>
    </w:p>
    <w:p w14:paraId="6E4E8D93">
      <w:pPr>
        <w:pStyle w:val="5"/>
        <w:pageBreakBefore w:val="0"/>
        <w:kinsoku w:val="0"/>
        <w:overflowPunct/>
        <w:topLinePunct w:val="0"/>
        <w:autoSpaceDE w:val="0"/>
        <w:autoSpaceDN w:val="0"/>
        <w:bidi w:val="0"/>
        <w:adjustRightInd w:val="0"/>
        <w:snapToGrid w:val="0"/>
        <w:spacing w:before="84" w:line="401" w:lineRule="exact"/>
        <w:ind w:right="0" w:firstLine="460" w:firstLineChars="200"/>
        <w:jc w:val="left"/>
        <w:textAlignment w:val="baseline"/>
        <w:rPr>
          <w:rFonts w:hint="eastAsia" w:ascii="仿宋" w:hAnsi="仿宋" w:eastAsia="仿宋" w:cs="仿宋"/>
          <w:spacing w:val="-1"/>
          <w:position w:val="12"/>
          <w:sz w:val="23"/>
          <w:szCs w:val="23"/>
        </w:rPr>
      </w:pPr>
      <w:r>
        <w:rPr>
          <w:rFonts w:hint="eastAsia" w:ascii="仿宋" w:hAnsi="仿宋" w:eastAsia="仿宋" w:cs="仿宋"/>
          <w:position w:val="12"/>
          <w:sz w:val="23"/>
          <w:szCs w:val="23"/>
        </w:rPr>
        <w:t>1.供应商直接或者间接从采购人或者采购代</w:t>
      </w:r>
      <w:r>
        <w:rPr>
          <w:rFonts w:hint="eastAsia" w:ascii="仿宋" w:hAnsi="仿宋" w:eastAsia="仿宋" w:cs="仿宋"/>
          <w:spacing w:val="-1"/>
          <w:position w:val="12"/>
          <w:sz w:val="23"/>
          <w:szCs w:val="23"/>
        </w:rPr>
        <w:t>理机构处得其他供应商的相关信息并修改其响应文件；</w:t>
      </w:r>
    </w:p>
    <w:p w14:paraId="1AE84DEA">
      <w:pPr>
        <w:pStyle w:val="5"/>
        <w:pageBreakBefore w:val="0"/>
        <w:kinsoku w:val="0"/>
        <w:overflowPunct/>
        <w:topLinePunct w:val="0"/>
        <w:autoSpaceDE w:val="0"/>
        <w:autoSpaceDN w:val="0"/>
        <w:bidi w:val="0"/>
        <w:adjustRightInd w:val="0"/>
        <w:snapToGrid w:val="0"/>
        <w:spacing w:before="87" w:line="191" w:lineRule="auto"/>
        <w:ind w:right="0" w:firstLine="452" w:firstLineChars="200"/>
        <w:jc w:val="both"/>
        <w:textAlignment w:val="baseline"/>
        <w:rPr>
          <w:rFonts w:hint="eastAsia" w:ascii="仿宋" w:hAnsi="仿宋" w:eastAsia="仿宋" w:cs="仿宋"/>
          <w:sz w:val="23"/>
          <w:szCs w:val="23"/>
        </w:rPr>
      </w:pPr>
      <w:r>
        <w:rPr>
          <w:rFonts w:hint="eastAsia" w:ascii="仿宋" w:hAnsi="仿宋" w:eastAsia="仿宋" w:cs="仿宋"/>
          <w:spacing w:val="-2"/>
          <w:sz w:val="23"/>
          <w:szCs w:val="23"/>
        </w:rPr>
        <w:t>2.供应按照采购人或者采购代理机构的授意撤</w:t>
      </w:r>
      <w:r>
        <w:rPr>
          <w:rFonts w:hint="eastAsia" w:ascii="仿宋" w:hAnsi="仿宋" w:eastAsia="仿宋" w:cs="仿宋"/>
          <w:spacing w:val="-3"/>
          <w:sz w:val="23"/>
          <w:szCs w:val="23"/>
        </w:rPr>
        <w:t>换、修改响应文件；</w:t>
      </w:r>
    </w:p>
    <w:p w14:paraId="3B32745E">
      <w:pPr>
        <w:pStyle w:val="5"/>
        <w:pageBreakBefore w:val="0"/>
        <w:kinsoku w:val="0"/>
        <w:overflowPunct/>
        <w:topLinePunct w:val="0"/>
        <w:autoSpaceDE w:val="0"/>
        <w:autoSpaceDN w:val="0"/>
        <w:bidi w:val="0"/>
        <w:adjustRightInd w:val="0"/>
        <w:snapToGrid w:val="0"/>
        <w:spacing w:before="84" w:line="191" w:lineRule="auto"/>
        <w:ind w:right="0" w:firstLine="448" w:firstLineChars="200"/>
        <w:jc w:val="left"/>
        <w:textAlignment w:val="baseline"/>
        <w:rPr>
          <w:rFonts w:hint="eastAsia" w:ascii="仿宋" w:hAnsi="仿宋" w:eastAsia="仿宋" w:cs="仿宋"/>
          <w:sz w:val="23"/>
          <w:szCs w:val="23"/>
        </w:rPr>
      </w:pPr>
      <w:r>
        <w:rPr>
          <w:rFonts w:hint="eastAsia" w:ascii="仿宋" w:hAnsi="仿宋" w:eastAsia="仿宋" w:cs="仿宋"/>
          <w:spacing w:val="-3"/>
          <w:sz w:val="23"/>
          <w:szCs w:val="23"/>
        </w:rPr>
        <w:t>3.供应商之间协商报价、技术方案等响应文件的实质性内容；</w:t>
      </w:r>
    </w:p>
    <w:p w14:paraId="1AB77AC4">
      <w:pPr>
        <w:pStyle w:val="5"/>
        <w:pageBreakBefore w:val="0"/>
        <w:kinsoku w:val="0"/>
        <w:overflowPunct/>
        <w:topLinePunct w:val="0"/>
        <w:autoSpaceDE w:val="0"/>
        <w:autoSpaceDN w:val="0"/>
        <w:bidi w:val="0"/>
        <w:adjustRightInd w:val="0"/>
        <w:snapToGrid w:val="0"/>
        <w:spacing w:before="87" w:line="401" w:lineRule="exact"/>
        <w:ind w:left="479" w:right="0"/>
        <w:textAlignment w:val="baseline"/>
        <w:rPr>
          <w:rFonts w:hint="eastAsia" w:ascii="仿宋" w:hAnsi="仿宋" w:eastAsia="仿宋" w:cs="仿宋"/>
          <w:sz w:val="23"/>
          <w:szCs w:val="23"/>
        </w:rPr>
      </w:pPr>
      <w:r>
        <w:rPr>
          <w:rFonts w:hint="eastAsia" w:ascii="仿宋" w:hAnsi="仿宋" w:eastAsia="仿宋" w:cs="仿宋"/>
          <w:spacing w:val="11"/>
          <w:position w:val="12"/>
          <w:sz w:val="23"/>
          <w:szCs w:val="23"/>
        </w:rPr>
        <w:t>4.属于同一集团、协会、商会等组织成员的</w:t>
      </w:r>
      <w:r>
        <w:rPr>
          <w:rFonts w:hint="eastAsia" w:ascii="仿宋" w:hAnsi="仿宋" w:eastAsia="仿宋" w:cs="仿宋"/>
          <w:spacing w:val="10"/>
          <w:position w:val="12"/>
          <w:sz w:val="23"/>
          <w:szCs w:val="23"/>
        </w:rPr>
        <w:t>供应商按照该组织要求协同参加政府</w:t>
      </w:r>
    </w:p>
    <w:p w14:paraId="4722477C">
      <w:pPr>
        <w:pStyle w:val="5"/>
        <w:pageBreakBefore w:val="0"/>
        <w:kinsoku w:val="0"/>
        <w:overflowPunct/>
        <w:topLinePunct w:val="0"/>
        <w:autoSpaceDE w:val="0"/>
        <w:autoSpaceDN w:val="0"/>
        <w:bidi w:val="0"/>
        <w:adjustRightInd w:val="0"/>
        <w:snapToGrid w:val="0"/>
        <w:spacing w:line="191" w:lineRule="auto"/>
        <w:ind w:right="0"/>
        <w:textAlignment w:val="baseline"/>
        <w:rPr>
          <w:rFonts w:hint="eastAsia" w:ascii="仿宋" w:hAnsi="仿宋" w:eastAsia="仿宋" w:cs="仿宋"/>
          <w:sz w:val="23"/>
          <w:szCs w:val="23"/>
        </w:rPr>
      </w:pPr>
      <w:r>
        <w:rPr>
          <w:rFonts w:hint="eastAsia" w:ascii="仿宋" w:hAnsi="仿宋" w:eastAsia="仿宋" w:cs="仿宋"/>
          <w:spacing w:val="-3"/>
          <w:sz w:val="23"/>
          <w:szCs w:val="23"/>
        </w:rPr>
        <w:t>采购活动；</w:t>
      </w:r>
    </w:p>
    <w:p w14:paraId="2E0AEDFF">
      <w:pPr>
        <w:pStyle w:val="5"/>
        <w:pageBreakBefore w:val="0"/>
        <w:kinsoku w:val="0"/>
        <w:overflowPunct/>
        <w:topLinePunct w:val="0"/>
        <w:autoSpaceDE w:val="0"/>
        <w:autoSpaceDN w:val="0"/>
        <w:bidi w:val="0"/>
        <w:adjustRightInd w:val="0"/>
        <w:snapToGrid w:val="0"/>
        <w:spacing w:before="83" w:line="244" w:lineRule="auto"/>
        <w:ind w:left="23" w:right="0" w:firstLine="407"/>
        <w:textAlignment w:val="baseline"/>
        <w:rPr>
          <w:rFonts w:hint="eastAsia" w:ascii="仿宋" w:hAnsi="仿宋" w:eastAsia="仿宋" w:cs="仿宋"/>
          <w:sz w:val="23"/>
          <w:szCs w:val="23"/>
        </w:rPr>
      </w:pPr>
      <w:r>
        <w:rPr>
          <w:rFonts w:hint="eastAsia" w:ascii="仿宋" w:hAnsi="仿宋" w:eastAsia="仿宋" w:cs="仿宋"/>
          <w:sz w:val="23"/>
          <w:szCs w:val="23"/>
        </w:rPr>
        <w:t>5.供应商之间事先约定一致抬高或者压低投标报价,或者在竞争性磋商项目</w:t>
      </w:r>
      <w:r>
        <w:rPr>
          <w:rFonts w:hint="eastAsia" w:ascii="仿宋" w:hAnsi="仿宋" w:eastAsia="仿宋" w:cs="仿宋"/>
          <w:spacing w:val="29"/>
          <w:sz w:val="23"/>
          <w:szCs w:val="23"/>
        </w:rPr>
        <w:t>中事先约定轮流以高价位或者低价位成交,或者事先约定</w:t>
      </w:r>
      <w:r>
        <w:rPr>
          <w:rFonts w:hint="eastAsia" w:ascii="仿宋" w:hAnsi="仿宋" w:eastAsia="仿宋" w:cs="仿宋"/>
          <w:spacing w:val="28"/>
          <w:sz w:val="23"/>
          <w:szCs w:val="23"/>
        </w:rPr>
        <w:t>由某一特定供应商成交,</w:t>
      </w:r>
    </w:p>
    <w:p w14:paraId="6E4E19A8">
      <w:pPr>
        <w:pStyle w:val="5"/>
        <w:pageBreakBefore w:val="0"/>
        <w:kinsoku w:val="0"/>
        <w:overflowPunct/>
        <w:topLinePunct w:val="0"/>
        <w:autoSpaceDE w:val="0"/>
        <w:autoSpaceDN w:val="0"/>
        <w:bidi w:val="0"/>
        <w:adjustRightInd w:val="0"/>
        <w:snapToGrid w:val="0"/>
        <w:spacing w:line="191" w:lineRule="auto"/>
        <w:ind w:left="1" w:right="0"/>
        <w:textAlignment w:val="baseline"/>
        <w:rPr>
          <w:rFonts w:hint="eastAsia" w:ascii="仿宋" w:hAnsi="仿宋" w:eastAsia="仿宋" w:cs="仿宋"/>
          <w:sz w:val="23"/>
          <w:szCs w:val="23"/>
        </w:rPr>
      </w:pPr>
      <w:r>
        <w:rPr>
          <w:rFonts w:hint="eastAsia" w:ascii="仿宋" w:hAnsi="仿宋" w:eastAsia="仿宋" w:cs="仿宋"/>
          <w:spacing w:val="20"/>
          <w:sz w:val="23"/>
          <w:szCs w:val="23"/>
        </w:rPr>
        <w:t>然后再参加投标；</w:t>
      </w:r>
    </w:p>
    <w:p w14:paraId="1C952CA6">
      <w:pPr>
        <w:pStyle w:val="5"/>
        <w:pageBreakBefore w:val="0"/>
        <w:kinsoku w:val="0"/>
        <w:overflowPunct/>
        <w:topLinePunct w:val="0"/>
        <w:autoSpaceDE w:val="0"/>
        <w:autoSpaceDN w:val="0"/>
        <w:bidi w:val="0"/>
        <w:adjustRightInd w:val="0"/>
        <w:snapToGrid w:val="0"/>
        <w:spacing w:before="75" w:line="191" w:lineRule="auto"/>
        <w:ind w:left="518" w:right="0"/>
        <w:textAlignment w:val="baseline"/>
        <w:rPr>
          <w:rFonts w:hint="eastAsia" w:ascii="仿宋" w:hAnsi="仿宋" w:eastAsia="仿宋" w:cs="仿宋"/>
          <w:sz w:val="23"/>
          <w:szCs w:val="23"/>
        </w:rPr>
      </w:pPr>
      <w:r>
        <w:rPr>
          <w:rFonts w:hint="eastAsia" w:ascii="仿宋" w:hAnsi="仿宋" w:eastAsia="仿宋" w:cs="仿宋"/>
          <w:spacing w:val="26"/>
          <w:sz w:val="23"/>
          <w:szCs w:val="23"/>
        </w:rPr>
        <w:t>6.供应商之间商定部分供应商放弃参加政府采购活动或者放弃成交；</w:t>
      </w:r>
    </w:p>
    <w:p w14:paraId="61A04B62">
      <w:pPr>
        <w:pStyle w:val="5"/>
        <w:pageBreakBefore w:val="0"/>
        <w:kinsoku w:val="0"/>
        <w:overflowPunct/>
        <w:topLinePunct w:val="0"/>
        <w:autoSpaceDE w:val="0"/>
        <w:autoSpaceDN w:val="0"/>
        <w:bidi w:val="0"/>
        <w:adjustRightInd w:val="0"/>
        <w:snapToGrid w:val="0"/>
        <w:spacing w:before="96" w:line="401" w:lineRule="exact"/>
        <w:ind w:right="0"/>
        <w:jc w:val="right"/>
        <w:textAlignment w:val="baseline"/>
        <w:rPr>
          <w:rFonts w:hint="eastAsia" w:ascii="仿宋" w:hAnsi="仿宋" w:eastAsia="仿宋" w:cs="仿宋"/>
          <w:sz w:val="23"/>
          <w:szCs w:val="23"/>
        </w:rPr>
      </w:pPr>
      <w:r>
        <w:rPr>
          <w:rFonts w:hint="eastAsia" w:ascii="仿宋" w:hAnsi="仿宋" w:eastAsia="仿宋" w:cs="仿宋"/>
          <w:spacing w:val="25"/>
          <w:position w:val="12"/>
          <w:sz w:val="23"/>
          <w:szCs w:val="23"/>
        </w:rPr>
        <w:t>7.供应商与采购人或者采购代理机构之间、供应商相互之间，为谋求特定供</w:t>
      </w:r>
    </w:p>
    <w:p w14:paraId="104E1830">
      <w:pPr>
        <w:pStyle w:val="5"/>
        <w:pageBreakBefore w:val="0"/>
        <w:kinsoku w:val="0"/>
        <w:overflowPunct/>
        <w:topLinePunct w:val="0"/>
        <w:autoSpaceDE w:val="0"/>
        <w:autoSpaceDN w:val="0"/>
        <w:bidi w:val="0"/>
        <w:adjustRightInd w:val="0"/>
        <w:snapToGrid w:val="0"/>
        <w:spacing w:before="2" w:line="190" w:lineRule="auto"/>
        <w:ind w:right="0"/>
        <w:textAlignment w:val="baseline"/>
        <w:rPr>
          <w:rFonts w:hint="eastAsia" w:ascii="仿宋" w:hAnsi="仿宋" w:eastAsia="仿宋" w:cs="仿宋"/>
          <w:sz w:val="23"/>
          <w:szCs w:val="23"/>
        </w:rPr>
      </w:pPr>
      <w:r>
        <w:rPr>
          <w:rFonts w:hint="eastAsia" w:ascii="仿宋" w:hAnsi="仿宋" w:eastAsia="仿宋" w:cs="仿宋"/>
          <w:spacing w:val="23"/>
          <w:sz w:val="23"/>
          <w:szCs w:val="23"/>
        </w:rPr>
        <w:t>应商成交或者排斥其他供应商的其他串通行为。</w:t>
      </w:r>
    </w:p>
    <w:p w14:paraId="04D5D03A">
      <w:pPr>
        <w:pStyle w:val="5"/>
        <w:pageBreakBefore w:val="0"/>
        <w:kinsoku w:val="0"/>
        <w:overflowPunct/>
        <w:topLinePunct w:val="0"/>
        <w:autoSpaceDE w:val="0"/>
        <w:autoSpaceDN w:val="0"/>
        <w:bidi w:val="0"/>
        <w:adjustRightInd w:val="0"/>
        <w:snapToGrid w:val="0"/>
        <w:spacing w:before="99" w:line="226" w:lineRule="auto"/>
        <w:ind w:right="0" w:firstLine="541"/>
        <w:jc w:val="both"/>
        <w:textAlignment w:val="baseline"/>
        <w:rPr>
          <w:rFonts w:hint="eastAsia" w:ascii="仿宋" w:hAnsi="仿宋" w:eastAsia="仿宋" w:cs="仿宋"/>
          <w:sz w:val="23"/>
          <w:szCs w:val="23"/>
        </w:rPr>
      </w:pPr>
      <w:r>
        <w:rPr>
          <w:rFonts w:hint="eastAsia" w:ascii="仿宋" w:hAnsi="仿宋" w:eastAsia="仿宋" w:cs="仿宋"/>
          <w:spacing w:val="24"/>
          <w:sz w:val="23"/>
          <w:szCs w:val="23"/>
        </w:rPr>
        <w:t>以上情形一经核查属实，我方愿意承担一切后果，接受政府采购监管部门对</w:t>
      </w:r>
      <w:r>
        <w:rPr>
          <w:rFonts w:hint="eastAsia" w:ascii="仿宋" w:hAnsi="仿宋" w:eastAsia="仿宋" w:cs="仿宋"/>
          <w:spacing w:val="-4"/>
          <w:sz w:val="23"/>
          <w:szCs w:val="23"/>
        </w:rPr>
        <w:t>我方认定存在围标串标行为，并不再寻求任何旨在减轻或者免除法</w:t>
      </w:r>
      <w:r>
        <w:rPr>
          <w:rFonts w:hint="eastAsia" w:ascii="仿宋" w:hAnsi="仿宋" w:eastAsia="仿宋" w:cs="仿宋"/>
          <w:spacing w:val="-5"/>
          <w:sz w:val="23"/>
          <w:szCs w:val="23"/>
        </w:rPr>
        <w:t>律责任的辩</w:t>
      </w:r>
      <w:r>
        <w:rPr>
          <w:rFonts w:hint="eastAsia" w:ascii="仿宋" w:hAnsi="仿宋" w:eastAsia="仿宋" w:cs="仿宋"/>
          <w:sz w:val="23"/>
          <w:szCs w:val="23"/>
        </w:rPr>
        <w:t>解。</w:t>
      </w:r>
    </w:p>
    <w:p w14:paraId="4E42B31C">
      <w:pPr>
        <w:pageBreakBefore w:val="0"/>
        <w:kinsoku w:val="0"/>
        <w:overflowPunct/>
        <w:topLinePunct w:val="0"/>
        <w:autoSpaceDE w:val="0"/>
        <w:autoSpaceDN w:val="0"/>
        <w:bidi w:val="0"/>
        <w:adjustRightInd w:val="0"/>
        <w:snapToGrid w:val="0"/>
        <w:spacing w:line="259" w:lineRule="auto"/>
        <w:ind w:right="0"/>
        <w:textAlignment w:val="baseline"/>
        <w:rPr>
          <w:rFonts w:hint="eastAsia" w:ascii="仿宋" w:hAnsi="仿宋" w:eastAsia="仿宋" w:cs="仿宋"/>
          <w:sz w:val="21"/>
        </w:rPr>
      </w:pPr>
    </w:p>
    <w:p w14:paraId="130798F1">
      <w:pPr>
        <w:pageBreakBefore w:val="0"/>
        <w:kinsoku w:val="0"/>
        <w:overflowPunct/>
        <w:topLinePunct w:val="0"/>
        <w:autoSpaceDE w:val="0"/>
        <w:autoSpaceDN w:val="0"/>
        <w:bidi w:val="0"/>
        <w:adjustRightInd w:val="0"/>
        <w:snapToGrid w:val="0"/>
        <w:spacing w:line="260" w:lineRule="auto"/>
        <w:ind w:right="0"/>
        <w:textAlignment w:val="baseline"/>
        <w:rPr>
          <w:rFonts w:hint="eastAsia" w:ascii="仿宋" w:hAnsi="仿宋" w:eastAsia="仿宋" w:cs="仿宋"/>
          <w:sz w:val="21"/>
        </w:rPr>
      </w:pPr>
    </w:p>
    <w:p w14:paraId="0203C4B4">
      <w:pPr>
        <w:pageBreakBefore w:val="0"/>
        <w:kinsoku w:val="0"/>
        <w:overflowPunct/>
        <w:topLinePunct w:val="0"/>
        <w:autoSpaceDE w:val="0"/>
        <w:autoSpaceDN w:val="0"/>
        <w:bidi w:val="0"/>
        <w:adjustRightInd w:val="0"/>
        <w:snapToGrid w:val="0"/>
        <w:spacing w:line="260" w:lineRule="auto"/>
        <w:ind w:right="0"/>
        <w:textAlignment w:val="baseline"/>
        <w:rPr>
          <w:rFonts w:hint="eastAsia" w:ascii="仿宋" w:hAnsi="仿宋" w:eastAsia="仿宋" w:cs="仿宋"/>
          <w:sz w:val="21"/>
        </w:rPr>
      </w:pPr>
    </w:p>
    <w:p w14:paraId="52BAA59D">
      <w:pPr>
        <w:pStyle w:val="5"/>
        <w:pageBreakBefore w:val="0"/>
        <w:kinsoku w:val="0"/>
        <w:overflowPunct/>
        <w:topLinePunct w:val="0"/>
        <w:autoSpaceDE w:val="0"/>
        <w:autoSpaceDN w:val="0"/>
        <w:bidi w:val="0"/>
        <w:adjustRightInd w:val="0"/>
        <w:snapToGrid w:val="0"/>
        <w:spacing w:before="99" w:line="187" w:lineRule="auto"/>
        <w:ind w:right="0"/>
        <w:jc w:val="right"/>
        <w:textAlignment w:val="baseline"/>
        <w:rPr>
          <w:rFonts w:hint="eastAsia" w:ascii="仿宋" w:hAnsi="仿宋" w:eastAsia="仿宋" w:cs="仿宋"/>
          <w:sz w:val="23"/>
          <w:szCs w:val="23"/>
        </w:rPr>
      </w:pPr>
      <w:r>
        <w:rPr>
          <w:rFonts w:hint="eastAsia" w:ascii="仿宋" w:hAnsi="仿宋" w:eastAsia="仿宋" w:cs="仿宋"/>
          <w:spacing w:val="18"/>
          <w:sz w:val="23"/>
          <w:szCs w:val="23"/>
        </w:rPr>
        <w:t>供应商名称(电子签章)：</w:t>
      </w:r>
    </w:p>
    <w:p w14:paraId="0F9EDEEF">
      <w:pPr>
        <w:pStyle w:val="5"/>
        <w:pageBreakBefore w:val="0"/>
        <w:kinsoku w:val="0"/>
        <w:overflowPunct/>
        <w:topLinePunct w:val="0"/>
        <w:autoSpaceDE w:val="0"/>
        <w:autoSpaceDN w:val="0"/>
        <w:bidi w:val="0"/>
        <w:adjustRightInd w:val="0"/>
        <w:snapToGrid w:val="0"/>
        <w:spacing w:before="94" w:line="191" w:lineRule="auto"/>
        <w:ind w:left="6010" w:right="0"/>
        <w:textAlignment w:val="baseline"/>
        <w:rPr>
          <w:rFonts w:hint="eastAsia" w:ascii="仿宋" w:hAnsi="仿宋" w:eastAsia="仿宋" w:cs="仿宋"/>
          <w:sz w:val="23"/>
          <w:szCs w:val="23"/>
        </w:rPr>
      </w:pPr>
      <w:r>
        <w:rPr>
          <w:rFonts w:hint="eastAsia" w:ascii="仿宋" w:hAnsi="仿宋" w:eastAsia="仿宋" w:cs="仿宋"/>
          <w:spacing w:val="-5"/>
          <w:sz w:val="23"/>
          <w:szCs w:val="23"/>
        </w:rPr>
        <w:t>日期：年月日</w:t>
      </w:r>
    </w:p>
    <w:p w14:paraId="333E32EF">
      <w:pPr>
        <w:pageBreakBefore w:val="0"/>
        <w:kinsoku w:val="0"/>
        <w:overflowPunct/>
        <w:topLinePunct w:val="0"/>
        <w:autoSpaceDE w:val="0"/>
        <w:autoSpaceDN w:val="0"/>
        <w:bidi w:val="0"/>
        <w:adjustRightInd w:val="0"/>
        <w:snapToGrid w:val="0"/>
        <w:spacing w:line="191" w:lineRule="auto"/>
        <w:ind w:right="0"/>
        <w:textAlignment w:val="baseline"/>
        <w:rPr>
          <w:rFonts w:hint="eastAsia" w:ascii="仿宋" w:hAnsi="仿宋" w:eastAsia="仿宋" w:cs="仿宋"/>
          <w:sz w:val="23"/>
          <w:szCs w:val="23"/>
        </w:rPr>
        <w:sectPr>
          <w:footerReference r:id="rId26" w:type="default"/>
          <w:pgSz w:w="11905" w:h="16838"/>
          <w:pgMar w:top="1440" w:right="1803" w:bottom="1440" w:left="1803" w:header="0" w:footer="567" w:gutter="0"/>
          <w:pgNumType w:fmt="decimal"/>
          <w:cols w:space="0" w:num="1"/>
          <w:rtlGutter w:val="0"/>
          <w:docGrid w:linePitch="0" w:charSpace="0"/>
        </w:sectPr>
      </w:pPr>
    </w:p>
    <w:p w14:paraId="554A50E2">
      <w:pPr>
        <w:pStyle w:val="5"/>
        <w:pageBreakBefore w:val="0"/>
        <w:kinsoku w:val="0"/>
        <w:overflowPunct/>
        <w:topLinePunct w:val="0"/>
        <w:autoSpaceDE w:val="0"/>
        <w:autoSpaceDN w:val="0"/>
        <w:bidi w:val="0"/>
        <w:adjustRightInd w:val="0"/>
        <w:snapToGrid w:val="0"/>
        <w:spacing w:before="48" w:line="242" w:lineRule="auto"/>
        <w:ind w:left="3" w:right="0"/>
        <w:textAlignment w:val="baseline"/>
        <w:rPr>
          <w:rFonts w:hint="eastAsia" w:ascii="仿宋" w:hAnsi="仿宋" w:eastAsia="仿宋" w:cs="仿宋"/>
          <w:sz w:val="23"/>
          <w:szCs w:val="23"/>
        </w:rPr>
      </w:pPr>
      <w:r>
        <w:rPr>
          <w:rFonts w:hint="eastAsia" w:ascii="仿宋" w:hAnsi="仿宋" w:eastAsia="仿宋" w:cs="仿宋"/>
          <w:spacing w:val="15"/>
          <w:sz w:val="23"/>
          <w:szCs w:val="23"/>
        </w:rPr>
        <w:t>2、身份证明书</w:t>
      </w:r>
    </w:p>
    <w:p w14:paraId="09666F56">
      <w:pPr>
        <w:pStyle w:val="5"/>
        <w:pageBreakBefore w:val="0"/>
        <w:kinsoku w:val="0"/>
        <w:overflowPunct/>
        <w:topLinePunct w:val="0"/>
        <w:autoSpaceDE w:val="0"/>
        <w:autoSpaceDN w:val="0"/>
        <w:bidi w:val="0"/>
        <w:adjustRightInd w:val="0"/>
        <w:snapToGrid w:val="0"/>
        <w:spacing w:before="1" w:line="191" w:lineRule="auto"/>
        <w:ind w:left="19" w:right="0"/>
        <w:textAlignment w:val="baseline"/>
        <w:rPr>
          <w:rFonts w:hint="eastAsia" w:ascii="仿宋" w:hAnsi="仿宋" w:eastAsia="仿宋" w:cs="仿宋"/>
          <w:sz w:val="23"/>
          <w:szCs w:val="23"/>
        </w:rPr>
      </w:pPr>
      <w:r>
        <w:rPr>
          <w:rFonts w:hint="eastAsia" w:ascii="仿宋" w:hAnsi="仿宋" w:eastAsia="仿宋" w:cs="仿宋"/>
          <w:spacing w:val="-19"/>
          <w:sz w:val="23"/>
          <w:szCs w:val="23"/>
        </w:rPr>
        <w:t>附表1：</w:t>
      </w:r>
    </w:p>
    <w:p w14:paraId="79BF2C8F">
      <w:pPr>
        <w:pStyle w:val="5"/>
        <w:pageBreakBefore w:val="0"/>
        <w:kinsoku w:val="0"/>
        <w:overflowPunct/>
        <w:topLinePunct w:val="0"/>
        <w:autoSpaceDE w:val="0"/>
        <w:autoSpaceDN w:val="0"/>
        <w:bidi w:val="0"/>
        <w:adjustRightInd w:val="0"/>
        <w:snapToGrid w:val="0"/>
        <w:spacing w:before="85" w:line="187" w:lineRule="auto"/>
        <w:ind w:left="2928" w:right="0"/>
        <w:textAlignment w:val="baseline"/>
        <w:rPr>
          <w:rFonts w:hint="eastAsia" w:ascii="仿宋" w:hAnsi="仿宋" w:eastAsia="仿宋" w:cs="仿宋"/>
          <w:sz w:val="24"/>
          <w:szCs w:val="24"/>
        </w:rPr>
      </w:pPr>
      <w:r>
        <w:rPr>
          <w:rFonts w:hint="eastAsia" w:ascii="仿宋" w:hAnsi="仿宋" w:eastAsia="仿宋" w:cs="仿宋"/>
          <w:spacing w:val="21"/>
          <w:sz w:val="24"/>
          <w:szCs w:val="24"/>
          <w14:textOutline w14:w="4388" w14:cap="flat" w14:cmpd="sng">
            <w14:solidFill>
              <w14:srgbClr w14:val="000000"/>
            </w14:solidFill>
            <w14:prstDash w14:val="solid"/>
            <w14:miter w14:val="0"/>
          </w14:textOutline>
        </w:rPr>
        <w:t>身份证明书(供应商为法人)</w:t>
      </w:r>
    </w:p>
    <w:p w14:paraId="3C105CF2">
      <w:pPr>
        <w:pageBreakBefore w:val="0"/>
        <w:kinsoku w:val="0"/>
        <w:overflowPunct/>
        <w:topLinePunct w:val="0"/>
        <w:autoSpaceDE w:val="0"/>
        <w:autoSpaceDN w:val="0"/>
        <w:bidi w:val="0"/>
        <w:adjustRightInd w:val="0"/>
        <w:snapToGrid w:val="0"/>
        <w:spacing w:line="390" w:lineRule="auto"/>
        <w:ind w:right="0"/>
        <w:textAlignment w:val="baseline"/>
        <w:rPr>
          <w:rFonts w:hint="eastAsia" w:ascii="仿宋" w:hAnsi="仿宋" w:eastAsia="仿宋" w:cs="仿宋"/>
          <w:sz w:val="21"/>
        </w:rPr>
      </w:pPr>
    </w:p>
    <w:p w14:paraId="4E299A49">
      <w:pPr>
        <w:pStyle w:val="5"/>
        <w:pageBreakBefore w:val="0"/>
        <w:kinsoku w:val="0"/>
        <w:overflowPunct/>
        <w:topLinePunct w:val="0"/>
        <w:autoSpaceDE w:val="0"/>
        <w:autoSpaceDN w:val="0"/>
        <w:bidi w:val="0"/>
        <w:adjustRightInd w:val="0"/>
        <w:snapToGrid w:val="0"/>
        <w:spacing w:before="99" w:line="192" w:lineRule="auto"/>
        <w:ind w:left="2" w:right="0"/>
        <w:textAlignment w:val="baseline"/>
        <w:rPr>
          <w:rFonts w:hint="eastAsia" w:ascii="仿宋" w:hAnsi="仿宋" w:eastAsia="仿宋" w:cs="仿宋"/>
          <w:sz w:val="23"/>
          <w:szCs w:val="23"/>
          <w:lang w:eastAsia="zh-CN"/>
        </w:rPr>
      </w:pPr>
      <w:r>
        <w:rPr>
          <w:rFonts w:hint="eastAsia" w:ascii="仿宋" w:hAnsi="仿宋" w:eastAsia="仿宋" w:cs="仿宋"/>
          <w:spacing w:val="-17"/>
          <w:sz w:val="23"/>
          <w:szCs w:val="23"/>
        </w:rPr>
        <w:t>单位名称：</w:t>
      </w:r>
    </w:p>
    <w:p w14:paraId="294BDA69">
      <w:pPr>
        <w:pageBreakBefore w:val="0"/>
        <w:kinsoku w:val="0"/>
        <w:overflowPunct/>
        <w:topLinePunct w:val="0"/>
        <w:autoSpaceDE w:val="0"/>
        <w:autoSpaceDN w:val="0"/>
        <w:bidi w:val="0"/>
        <w:adjustRightInd w:val="0"/>
        <w:snapToGrid w:val="0"/>
        <w:spacing w:line="385" w:lineRule="auto"/>
        <w:ind w:right="0"/>
        <w:textAlignment w:val="baseline"/>
        <w:rPr>
          <w:rFonts w:hint="eastAsia" w:ascii="仿宋" w:hAnsi="仿宋" w:eastAsia="仿宋" w:cs="仿宋"/>
          <w:sz w:val="21"/>
        </w:rPr>
      </w:pPr>
    </w:p>
    <w:p w14:paraId="676A0E2E">
      <w:pPr>
        <w:pStyle w:val="5"/>
        <w:pageBreakBefore w:val="0"/>
        <w:kinsoku w:val="0"/>
        <w:overflowPunct/>
        <w:topLinePunct w:val="0"/>
        <w:autoSpaceDE w:val="0"/>
        <w:autoSpaceDN w:val="0"/>
        <w:bidi w:val="0"/>
        <w:adjustRightInd w:val="0"/>
        <w:snapToGrid w:val="0"/>
        <w:spacing w:before="99" w:line="197" w:lineRule="auto"/>
        <w:ind w:right="0"/>
        <w:textAlignment w:val="baseline"/>
        <w:rPr>
          <w:rFonts w:hint="eastAsia" w:ascii="仿宋" w:hAnsi="仿宋" w:eastAsia="仿宋" w:cs="仿宋"/>
          <w:sz w:val="23"/>
          <w:szCs w:val="23"/>
        </w:rPr>
      </w:pPr>
      <w:r>
        <w:rPr>
          <w:rFonts w:hint="eastAsia" w:ascii="仿宋" w:hAnsi="仿宋" w:eastAsia="仿宋" w:cs="仿宋"/>
          <w:spacing w:val="-9"/>
          <w:sz w:val="23"/>
          <w:szCs w:val="23"/>
        </w:rPr>
        <w:t>地址：</w:t>
      </w:r>
    </w:p>
    <w:p w14:paraId="5E6C993F">
      <w:pPr>
        <w:pStyle w:val="5"/>
        <w:pageBreakBefore w:val="0"/>
        <w:kinsoku w:val="0"/>
        <w:overflowPunct/>
        <w:topLinePunct w:val="0"/>
        <w:autoSpaceDE w:val="0"/>
        <w:autoSpaceDN w:val="0"/>
        <w:bidi w:val="0"/>
        <w:adjustRightInd w:val="0"/>
        <w:snapToGrid w:val="0"/>
        <w:spacing w:before="306" w:line="191" w:lineRule="auto"/>
        <w:ind w:right="0"/>
        <w:textAlignment w:val="baseline"/>
        <w:rPr>
          <w:rFonts w:hint="eastAsia" w:ascii="仿宋" w:hAnsi="仿宋" w:eastAsia="仿宋" w:cs="仿宋"/>
          <w:spacing w:val="-12"/>
          <w:sz w:val="23"/>
          <w:szCs w:val="23"/>
          <w:lang w:eastAsia="zh-CN"/>
        </w:rPr>
      </w:pPr>
      <w:r>
        <w:rPr>
          <w:rFonts w:hint="eastAsia" w:ascii="仿宋" w:hAnsi="仿宋" w:eastAsia="仿宋" w:cs="仿宋"/>
          <w:spacing w:val="-11"/>
          <w:sz w:val="23"/>
          <w:szCs w:val="23"/>
        </w:rPr>
        <w:t>姓名：性别：</w:t>
      </w:r>
      <w:r>
        <w:rPr>
          <w:rFonts w:hint="eastAsia" w:ascii="仿宋" w:hAnsi="仿宋" w:eastAsia="仿宋" w:cs="仿宋"/>
          <w:spacing w:val="-12"/>
          <w:sz w:val="23"/>
          <w:szCs w:val="23"/>
        </w:rPr>
        <w:t>年龄：</w:t>
      </w:r>
    </w:p>
    <w:p w14:paraId="69F53393">
      <w:pPr>
        <w:pStyle w:val="5"/>
        <w:pageBreakBefore w:val="0"/>
        <w:kinsoku w:val="0"/>
        <w:overflowPunct/>
        <w:topLinePunct w:val="0"/>
        <w:autoSpaceDE w:val="0"/>
        <w:autoSpaceDN w:val="0"/>
        <w:bidi w:val="0"/>
        <w:adjustRightInd w:val="0"/>
        <w:snapToGrid w:val="0"/>
        <w:spacing w:before="306" w:line="191" w:lineRule="auto"/>
        <w:ind w:right="0"/>
        <w:textAlignment w:val="baseline"/>
        <w:rPr>
          <w:rFonts w:hint="eastAsia" w:ascii="仿宋" w:hAnsi="仿宋" w:eastAsia="仿宋" w:cs="仿宋"/>
          <w:sz w:val="23"/>
          <w:szCs w:val="23"/>
        </w:rPr>
      </w:pPr>
      <w:r>
        <w:rPr>
          <w:rFonts w:hint="eastAsia" w:ascii="仿宋" w:hAnsi="仿宋" w:eastAsia="仿宋" w:cs="仿宋"/>
          <w:spacing w:val="-12"/>
          <w:sz w:val="23"/>
          <w:szCs w:val="23"/>
        </w:rPr>
        <w:t>职务：</w:t>
      </w:r>
    </w:p>
    <w:p w14:paraId="1DDA9DF4">
      <w:pPr>
        <w:pageBreakBefore w:val="0"/>
        <w:kinsoku w:val="0"/>
        <w:overflowPunct/>
        <w:topLinePunct w:val="0"/>
        <w:autoSpaceDE w:val="0"/>
        <w:autoSpaceDN w:val="0"/>
        <w:bidi w:val="0"/>
        <w:adjustRightInd w:val="0"/>
        <w:snapToGrid w:val="0"/>
        <w:spacing w:line="326" w:lineRule="auto"/>
        <w:ind w:right="0"/>
        <w:textAlignment w:val="baseline"/>
        <w:rPr>
          <w:rFonts w:hint="eastAsia" w:ascii="仿宋" w:hAnsi="仿宋" w:eastAsia="仿宋" w:cs="仿宋"/>
          <w:sz w:val="21"/>
        </w:rPr>
      </w:pPr>
    </w:p>
    <w:p w14:paraId="02068526">
      <w:pPr>
        <w:pStyle w:val="5"/>
        <w:pageBreakBefore w:val="0"/>
        <w:kinsoku w:val="0"/>
        <w:overflowPunct/>
        <w:topLinePunct w:val="0"/>
        <w:autoSpaceDE w:val="0"/>
        <w:autoSpaceDN w:val="0"/>
        <w:bidi w:val="0"/>
        <w:adjustRightInd w:val="0"/>
        <w:snapToGrid w:val="0"/>
        <w:spacing w:before="99" w:line="193" w:lineRule="auto"/>
        <w:ind w:left="7" w:right="0"/>
        <w:textAlignment w:val="baseline"/>
        <w:rPr>
          <w:rFonts w:hint="eastAsia" w:ascii="仿宋" w:hAnsi="仿宋" w:eastAsia="仿宋" w:cs="仿宋"/>
          <w:sz w:val="23"/>
          <w:szCs w:val="23"/>
        </w:rPr>
      </w:pPr>
      <w:r>
        <w:rPr>
          <w:rFonts w:hint="eastAsia" w:ascii="仿宋" w:hAnsi="仿宋" w:eastAsia="仿宋" w:cs="仿宋"/>
          <w:spacing w:val="-3"/>
          <w:sz w:val="23"/>
          <w:szCs w:val="23"/>
        </w:rPr>
        <w:t>身份证号码：</w:t>
      </w:r>
    </w:p>
    <w:p w14:paraId="18141054">
      <w:pPr>
        <w:pStyle w:val="5"/>
        <w:pageBreakBefore w:val="0"/>
        <w:kinsoku w:val="0"/>
        <w:overflowPunct/>
        <w:topLinePunct w:val="0"/>
        <w:autoSpaceDE w:val="0"/>
        <w:autoSpaceDN w:val="0"/>
        <w:bidi w:val="0"/>
        <w:adjustRightInd w:val="0"/>
        <w:snapToGrid w:val="0"/>
        <w:spacing w:before="73" w:line="244" w:lineRule="auto"/>
        <w:ind w:right="0" w:firstLine="430"/>
        <w:jc w:val="both"/>
        <w:textAlignment w:val="baseline"/>
        <w:rPr>
          <w:rFonts w:hint="eastAsia" w:ascii="仿宋" w:hAnsi="仿宋" w:eastAsia="仿宋" w:cs="仿宋"/>
          <w:sz w:val="23"/>
          <w:szCs w:val="23"/>
        </w:rPr>
      </w:pPr>
      <w:r>
        <w:rPr>
          <w:rFonts w:hint="eastAsia" w:ascii="仿宋" w:hAnsi="仿宋" w:eastAsia="仿宋" w:cs="仿宋"/>
          <w:spacing w:val="14"/>
          <w:sz w:val="23"/>
          <w:szCs w:val="23"/>
        </w:rPr>
        <w:t>系的法定代表人，为具有参加(项目名</w:t>
      </w:r>
      <w:r>
        <w:rPr>
          <w:rFonts w:hint="eastAsia" w:ascii="仿宋" w:hAnsi="仿宋" w:eastAsia="仿宋" w:cs="仿宋"/>
          <w:spacing w:val="24"/>
          <w:sz w:val="23"/>
          <w:szCs w:val="23"/>
        </w:rPr>
        <w:t>称)的投标、签署上述响应文件、进行合同谈判、签署合同和处理与之有关的一</w:t>
      </w:r>
      <w:r>
        <w:rPr>
          <w:rFonts w:hint="eastAsia" w:ascii="仿宋" w:hAnsi="仿宋" w:eastAsia="仿宋" w:cs="仿宋"/>
          <w:spacing w:val="22"/>
          <w:sz w:val="23"/>
          <w:szCs w:val="23"/>
        </w:rPr>
        <w:t>切事务权利的供应商。</w:t>
      </w:r>
    </w:p>
    <w:p w14:paraId="30CE2E69">
      <w:pPr>
        <w:pStyle w:val="5"/>
        <w:pageBreakBefore w:val="0"/>
        <w:kinsoku w:val="0"/>
        <w:overflowPunct/>
        <w:topLinePunct w:val="0"/>
        <w:autoSpaceDE w:val="0"/>
        <w:autoSpaceDN w:val="0"/>
        <w:bidi w:val="0"/>
        <w:adjustRightInd w:val="0"/>
        <w:snapToGrid w:val="0"/>
        <w:spacing w:before="83" w:line="192" w:lineRule="auto"/>
        <w:ind w:left="504" w:right="0"/>
        <w:textAlignment w:val="baseline"/>
        <w:rPr>
          <w:rFonts w:hint="eastAsia" w:ascii="仿宋" w:hAnsi="仿宋" w:eastAsia="仿宋" w:cs="仿宋"/>
          <w:sz w:val="23"/>
          <w:szCs w:val="23"/>
        </w:rPr>
      </w:pPr>
      <w:r>
        <w:rPr>
          <w:rFonts w:hint="eastAsia" w:ascii="仿宋" w:hAnsi="仿宋" w:eastAsia="仿宋" w:cs="仿宋"/>
          <w:spacing w:val="13"/>
          <w:sz w:val="23"/>
          <w:szCs w:val="23"/>
        </w:rPr>
        <w:t>特此证明。</w:t>
      </w:r>
    </w:p>
    <w:p w14:paraId="09765C7B">
      <w:pPr>
        <w:pageBreakBefore w:val="0"/>
        <w:kinsoku w:val="0"/>
        <w:overflowPunct/>
        <w:topLinePunct w:val="0"/>
        <w:autoSpaceDE w:val="0"/>
        <w:autoSpaceDN w:val="0"/>
        <w:bidi w:val="0"/>
        <w:adjustRightInd w:val="0"/>
        <w:snapToGrid w:val="0"/>
        <w:spacing w:line="260" w:lineRule="auto"/>
        <w:ind w:right="0"/>
        <w:textAlignment w:val="baseline"/>
        <w:rPr>
          <w:rFonts w:hint="eastAsia" w:ascii="仿宋" w:hAnsi="仿宋" w:eastAsia="仿宋" w:cs="仿宋"/>
          <w:sz w:val="21"/>
        </w:rPr>
      </w:pPr>
    </w:p>
    <w:p w14:paraId="04075BB8">
      <w:pPr>
        <w:pageBreakBefore w:val="0"/>
        <w:kinsoku w:val="0"/>
        <w:overflowPunct/>
        <w:topLinePunct w:val="0"/>
        <w:autoSpaceDE w:val="0"/>
        <w:autoSpaceDN w:val="0"/>
        <w:bidi w:val="0"/>
        <w:adjustRightInd w:val="0"/>
        <w:snapToGrid w:val="0"/>
        <w:spacing w:line="260" w:lineRule="auto"/>
        <w:ind w:right="0"/>
        <w:textAlignment w:val="baseline"/>
        <w:rPr>
          <w:rFonts w:hint="eastAsia" w:ascii="仿宋" w:hAnsi="仿宋" w:eastAsia="仿宋" w:cs="仿宋"/>
          <w:sz w:val="21"/>
        </w:rPr>
      </w:pPr>
    </w:p>
    <w:p w14:paraId="31AB2461">
      <w:pPr>
        <w:pageBreakBefore w:val="0"/>
        <w:kinsoku w:val="0"/>
        <w:overflowPunct/>
        <w:topLinePunct w:val="0"/>
        <w:autoSpaceDE w:val="0"/>
        <w:autoSpaceDN w:val="0"/>
        <w:bidi w:val="0"/>
        <w:adjustRightInd w:val="0"/>
        <w:snapToGrid w:val="0"/>
        <w:spacing w:line="260" w:lineRule="auto"/>
        <w:ind w:right="0"/>
        <w:textAlignment w:val="baseline"/>
        <w:rPr>
          <w:rFonts w:hint="eastAsia" w:ascii="仿宋" w:hAnsi="仿宋" w:eastAsia="仿宋" w:cs="仿宋"/>
          <w:sz w:val="21"/>
        </w:rPr>
      </w:pPr>
    </w:p>
    <w:p w14:paraId="3B48122A">
      <w:pPr>
        <w:pStyle w:val="5"/>
        <w:pageBreakBefore w:val="0"/>
        <w:kinsoku w:val="0"/>
        <w:overflowPunct/>
        <w:topLinePunct w:val="0"/>
        <w:autoSpaceDE w:val="0"/>
        <w:autoSpaceDN w:val="0"/>
        <w:bidi w:val="0"/>
        <w:adjustRightInd w:val="0"/>
        <w:snapToGrid w:val="0"/>
        <w:spacing w:before="99" w:line="192" w:lineRule="auto"/>
        <w:ind w:left="535" w:right="0"/>
        <w:textAlignment w:val="baseline"/>
        <w:rPr>
          <w:rFonts w:hint="eastAsia" w:ascii="仿宋" w:hAnsi="仿宋" w:eastAsia="仿宋" w:cs="仿宋"/>
          <w:sz w:val="23"/>
          <w:szCs w:val="23"/>
        </w:rPr>
      </w:pPr>
      <w:r>
        <w:rPr>
          <w:rFonts w:hint="eastAsia" w:ascii="仿宋" w:hAnsi="仿宋" w:eastAsia="仿宋" w:cs="仿宋"/>
          <w:spacing w:val="21"/>
          <w:sz w:val="23"/>
          <w:szCs w:val="23"/>
        </w:rPr>
        <w:t>附：法定代表人身份证正反面彩色扫描件。</w:t>
      </w:r>
    </w:p>
    <w:p w14:paraId="4DCB7735">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1"/>
        </w:rPr>
      </w:pPr>
    </w:p>
    <w:p w14:paraId="69FDABB2">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1"/>
        </w:rPr>
      </w:pPr>
    </w:p>
    <w:p w14:paraId="0B024710">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1"/>
        </w:rPr>
      </w:pPr>
    </w:p>
    <w:p w14:paraId="4C4FD98D">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1"/>
        </w:rPr>
      </w:pPr>
    </w:p>
    <w:p w14:paraId="178D67FC">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1"/>
        </w:rPr>
      </w:pPr>
    </w:p>
    <w:p w14:paraId="068BBFFA">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26ADB1E6">
      <w:pPr>
        <w:pStyle w:val="5"/>
        <w:pageBreakBefore w:val="0"/>
        <w:kinsoku w:val="0"/>
        <w:overflowPunct/>
        <w:topLinePunct w:val="0"/>
        <w:autoSpaceDE w:val="0"/>
        <w:autoSpaceDN w:val="0"/>
        <w:bidi w:val="0"/>
        <w:adjustRightInd w:val="0"/>
        <w:snapToGrid w:val="0"/>
        <w:spacing w:before="100" w:line="360" w:lineRule="auto"/>
        <w:ind w:right="0"/>
        <w:jc w:val="center"/>
        <w:textAlignment w:val="baseline"/>
        <w:rPr>
          <w:rFonts w:hint="eastAsia" w:ascii="仿宋" w:hAnsi="仿宋" w:eastAsia="仿宋" w:cs="仿宋"/>
          <w:spacing w:val="15"/>
          <w:sz w:val="23"/>
          <w:szCs w:val="23"/>
        </w:rPr>
      </w:pPr>
      <w:r>
        <w:rPr>
          <w:rFonts w:hint="eastAsia" w:ascii="仿宋" w:hAnsi="仿宋" w:eastAsia="仿宋" w:cs="仿宋"/>
          <w:spacing w:val="15"/>
          <w:sz w:val="23"/>
          <w:szCs w:val="23"/>
        </w:rPr>
        <w:t>法定代表人(签字或盖章)：</w:t>
      </w:r>
    </w:p>
    <w:p w14:paraId="635619CC">
      <w:pPr>
        <w:pStyle w:val="5"/>
        <w:pageBreakBefore w:val="0"/>
        <w:kinsoku w:val="0"/>
        <w:overflowPunct/>
        <w:topLinePunct w:val="0"/>
        <w:autoSpaceDE w:val="0"/>
        <w:autoSpaceDN w:val="0"/>
        <w:bidi w:val="0"/>
        <w:adjustRightInd w:val="0"/>
        <w:snapToGrid w:val="0"/>
        <w:spacing w:before="100" w:line="360" w:lineRule="auto"/>
        <w:ind w:right="0"/>
        <w:jc w:val="center"/>
        <w:textAlignment w:val="baseline"/>
        <w:rPr>
          <w:rFonts w:hint="eastAsia" w:ascii="仿宋" w:hAnsi="仿宋" w:eastAsia="仿宋" w:cs="仿宋"/>
          <w:sz w:val="23"/>
          <w:szCs w:val="23"/>
        </w:rPr>
      </w:pPr>
      <w:r>
        <w:rPr>
          <w:rFonts w:hint="eastAsia" w:ascii="仿宋" w:hAnsi="仿宋" w:eastAsia="仿宋" w:cs="仿宋"/>
          <w:spacing w:val="18"/>
          <w:sz w:val="23"/>
          <w:szCs w:val="23"/>
        </w:rPr>
        <w:t>供应商名称(电子签章)：</w:t>
      </w:r>
    </w:p>
    <w:p w14:paraId="18B13005">
      <w:pPr>
        <w:pStyle w:val="5"/>
        <w:pageBreakBefore w:val="0"/>
        <w:kinsoku w:val="0"/>
        <w:overflowPunct/>
        <w:topLinePunct w:val="0"/>
        <w:autoSpaceDE w:val="0"/>
        <w:autoSpaceDN w:val="0"/>
        <w:bidi w:val="0"/>
        <w:adjustRightInd w:val="0"/>
        <w:snapToGrid w:val="0"/>
        <w:spacing w:before="94" w:line="360" w:lineRule="auto"/>
        <w:ind w:right="0"/>
        <w:jc w:val="center"/>
        <w:textAlignment w:val="baseline"/>
        <w:rPr>
          <w:rFonts w:hint="eastAsia" w:ascii="仿宋" w:hAnsi="仿宋" w:eastAsia="仿宋" w:cs="仿宋"/>
          <w:sz w:val="23"/>
          <w:szCs w:val="23"/>
        </w:rPr>
      </w:pPr>
      <w:r>
        <w:rPr>
          <w:rFonts w:hint="eastAsia" w:ascii="仿宋" w:hAnsi="仿宋" w:eastAsia="仿宋" w:cs="仿宋"/>
          <w:spacing w:val="-8"/>
          <w:sz w:val="23"/>
          <w:szCs w:val="23"/>
        </w:rPr>
        <w:t>日期：年月日</w:t>
      </w:r>
    </w:p>
    <w:p w14:paraId="726259ED">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3"/>
          <w:szCs w:val="23"/>
        </w:rPr>
        <w:sectPr>
          <w:footerReference r:id="rId27" w:type="default"/>
          <w:pgSz w:w="11905" w:h="16838"/>
          <w:pgMar w:top="1440" w:right="1803" w:bottom="1440" w:left="1803" w:header="0" w:footer="567" w:gutter="0"/>
          <w:pgNumType w:fmt="decimal"/>
          <w:cols w:space="0" w:num="1"/>
          <w:rtlGutter w:val="0"/>
          <w:docGrid w:linePitch="0" w:charSpace="0"/>
        </w:sectPr>
      </w:pPr>
    </w:p>
    <w:p w14:paraId="233FE6B5">
      <w:pPr>
        <w:pStyle w:val="5"/>
        <w:pageBreakBefore w:val="0"/>
        <w:kinsoku w:val="0"/>
        <w:overflowPunct/>
        <w:topLinePunct w:val="0"/>
        <w:autoSpaceDE w:val="0"/>
        <w:autoSpaceDN w:val="0"/>
        <w:bidi w:val="0"/>
        <w:adjustRightInd w:val="0"/>
        <w:snapToGrid w:val="0"/>
        <w:spacing w:before="47" w:line="192" w:lineRule="auto"/>
        <w:ind w:left="18" w:right="0"/>
        <w:textAlignment w:val="baseline"/>
        <w:rPr>
          <w:rFonts w:hint="eastAsia" w:ascii="仿宋" w:hAnsi="仿宋" w:eastAsia="仿宋" w:cs="仿宋"/>
          <w:sz w:val="24"/>
          <w:szCs w:val="24"/>
        </w:rPr>
      </w:pPr>
      <w:r>
        <w:rPr>
          <w:rFonts w:hint="eastAsia" w:ascii="仿宋" w:hAnsi="仿宋" w:eastAsia="仿宋" w:cs="仿宋"/>
          <w:spacing w:val="-15"/>
          <w:sz w:val="24"/>
          <w:szCs w:val="24"/>
        </w:rPr>
        <w:t>附表2：</w:t>
      </w:r>
    </w:p>
    <w:p w14:paraId="13C94C07">
      <w:pPr>
        <w:pageBreakBefore w:val="0"/>
        <w:kinsoku w:val="0"/>
        <w:overflowPunct/>
        <w:topLinePunct w:val="0"/>
        <w:autoSpaceDE w:val="0"/>
        <w:autoSpaceDN w:val="0"/>
        <w:bidi w:val="0"/>
        <w:adjustRightInd w:val="0"/>
        <w:snapToGrid w:val="0"/>
        <w:spacing w:line="382" w:lineRule="auto"/>
        <w:ind w:right="0"/>
        <w:textAlignment w:val="baseline"/>
        <w:rPr>
          <w:rFonts w:hint="eastAsia" w:ascii="仿宋" w:hAnsi="仿宋" w:eastAsia="仿宋" w:cs="仿宋"/>
          <w:sz w:val="28"/>
          <w:szCs w:val="28"/>
        </w:rPr>
      </w:pPr>
    </w:p>
    <w:p w14:paraId="18AB5D52">
      <w:pPr>
        <w:pStyle w:val="5"/>
        <w:pageBreakBefore w:val="0"/>
        <w:kinsoku w:val="0"/>
        <w:overflowPunct/>
        <w:topLinePunct w:val="0"/>
        <w:autoSpaceDE w:val="0"/>
        <w:autoSpaceDN w:val="0"/>
        <w:bidi w:val="0"/>
        <w:adjustRightInd w:val="0"/>
        <w:snapToGrid w:val="0"/>
        <w:spacing w:before="99" w:line="187" w:lineRule="auto"/>
        <w:ind w:left="2802" w:right="0"/>
        <w:textAlignment w:val="baseline"/>
        <w:rPr>
          <w:rFonts w:hint="eastAsia" w:ascii="仿宋" w:hAnsi="仿宋" w:eastAsia="仿宋" w:cs="仿宋"/>
          <w:sz w:val="28"/>
          <w:szCs w:val="28"/>
        </w:rPr>
      </w:pPr>
      <w:r>
        <w:rPr>
          <w:rFonts w:hint="eastAsia" w:ascii="仿宋" w:hAnsi="仿宋" w:eastAsia="仿宋" w:cs="仿宋"/>
          <w:spacing w:val="24"/>
          <w:sz w:val="28"/>
          <w:szCs w:val="28"/>
          <w14:textOutline w14:w="4388" w14:cap="flat" w14:cmpd="sng">
            <w14:solidFill>
              <w14:srgbClr w14:val="000000"/>
            </w14:solidFill>
            <w14:prstDash w14:val="solid"/>
            <w14:miter w14:val="0"/>
          </w14:textOutline>
        </w:rPr>
        <w:t>身份证明书(供应商为非法人)</w:t>
      </w:r>
    </w:p>
    <w:p w14:paraId="380F4F7C">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4"/>
          <w:szCs w:val="24"/>
        </w:rPr>
      </w:pPr>
    </w:p>
    <w:p w14:paraId="1CCED231">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4"/>
          <w:szCs w:val="24"/>
        </w:rPr>
      </w:pPr>
    </w:p>
    <w:p w14:paraId="2D83DA29">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4"/>
          <w:szCs w:val="24"/>
        </w:rPr>
      </w:pPr>
    </w:p>
    <w:p w14:paraId="4280F953">
      <w:pPr>
        <w:pStyle w:val="5"/>
        <w:pageBreakBefore w:val="0"/>
        <w:kinsoku w:val="0"/>
        <w:overflowPunct/>
        <w:topLinePunct w:val="0"/>
        <w:autoSpaceDE w:val="0"/>
        <w:autoSpaceDN w:val="0"/>
        <w:bidi w:val="0"/>
        <w:adjustRightInd w:val="0"/>
        <w:snapToGrid w:val="0"/>
        <w:spacing w:before="99" w:line="360" w:lineRule="auto"/>
        <w:ind w:right="0"/>
        <w:textAlignment w:val="baseline"/>
        <w:rPr>
          <w:rFonts w:hint="eastAsia" w:ascii="仿宋" w:hAnsi="仿宋" w:eastAsia="仿宋" w:cs="仿宋"/>
          <w:sz w:val="24"/>
          <w:szCs w:val="24"/>
          <w:lang w:eastAsia="zh-CN"/>
        </w:rPr>
      </w:pPr>
      <w:r>
        <w:rPr>
          <w:rFonts w:hint="eastAsia" w:ascii="仿宋" w:hAnsi="仿宋" w:eastAsia="仿宋" w:cs="仿宋"/>
          <w:spacing w:val="-1"/>
          <w:sz w:val="24"/>
          <w:szCs w:val="24"/>
        </w:rPr>
        <w:t>姓名：性别：年龄：</w:t>
      </w:r>
      <w:r>
        <w:rPr>
          <w:rFonts w:hint="eastAsia" w:ascii="仿宋" w:hAnsi="仿宋" w:eastAsia="仿宋" w:cs="仿宋"/>
          <w:spacing w:val="-2"/>
          <w:sz w:val="24"/>
          <w:szCs w:val="24"/>
        </w:rPr>
        <w:t>职务：</w:t>
      </w:r>
    </w:p>
    <w:p w14:paraId="02183F6A">
      <w:pPr>
        <w:pStyle w:val="5"/>
        <w:pageBreakBefore w:val="0"/>
        <w:kinsoku w:val="0"/>
        <w:overflowPunct/>
        <w:topLinePunct w:val="0"/>
        <w:autoSpaceDE w:val="0"/>
        <w:autoSpaceDN w:val="0"/>
        <w:bidi w:val="0"/>
        <w:adjustRightInd w:val="0"/>
        <w:snapToGrid w:val="0"/>
        <w:spacing w:before="87" w:line="360" w:lineRule="auto"/>
        <w:ind w:right="0"/>
        <w:textAlignment w:val="baseline"/>
        <w:rPr>
          <w:rFonts w:hint="eastAsia" w:ascii="仿宋" w:hAnsi="仿宋" w:eastAsia="仿宋" w:cs="仿宋"/>
          <w:sz w:val="24"/>
          <w:szCs w:val="24"/>
          <w:lang w:eastAsia="zh-CN"/>
        </w:rPr>
      </w:pPr>
      <w:r>
        <w:rPr>
          <w:rFonts w:hint="eastAsia" w:ascii="仿宋" w:hAnsi="仿宋" w:eastAsia="仿宋" w:cs="仿宋"/>
          <w:spacing w:val="-3"/>
          <w:sz w:val="24"/>
          <w:szCs w:val="24"/>
        </w:rPr>
        <w:t>地址：</w:t>
      </w:r>
    </w:p>
    <w:p w14:paraId="57EB4DFE">
      <w:pPr>
        <w:pStyle w:val="5"/>
        <w:pageBreakBefore w:val="0"/>
        <w:kinsoku w:val="0"/>
        <w:overflowPunct/>
        <w:topLinePunct w:val="0"/>
        <w:autoSpaceDE w:val="0"/>
        <w:autoSpaceDN w:val="0"/>
        <w:bidi w:val="0"/>
        <w:adjustRightInd w:val="0"/>
        <w:snapToGrid w:val="0"/>
        <w:spacing w:before="73" w:line="360" w:lineRule="auto"/>
        <w:ind w:left="6" w:right="0"/>
        <w:textAlignment w:val="baseline"/>
        <w:rPr>
          <w:rFonts w:hint="eastAsia" w:ascii="仿宋" w:hAnsi="仿宋" w:eastAsia="仿宋" w:cs="仿宋"/>
          <w:sz w:val="24"/>
          <w:szCs w:val="24"/>
          <w:lang w:eastAsia="zh-CN"/>
        </w:rPr>
      </w:pPr>
      <w:r>
        <w:rPr>
          <w:rFonts w:hint="eastAsia" w:ascii="仿宋" w:hAnsi="仿宋" w:eastAsia="仿宋" w:cs="仿宋"/>
          <w:spacing w:val="-3"/>
          <w:sz w:val="24"/>
          <w:szCs w:val="24"/>
        </w:rPr>
        <w:t>身份证号码：</w:t>
      </w:r>
    </w:p>
    <w:p w14:paraId="79799DD7">
      <w:pPr>
        <w:pStyle w:val="5"/>
        <w:pageBreakBefore w:val="0"/>
        <w:kinsoku w:val="0"/>
        <w:overflowPunct/>
        <w:topLinePunct w:val="0"/>
        <w:autoSpaceDE w:val="0"/>
        <w:autoSpaceDN w:val="0"/>
        <w:bidi w:val="0"/>
        <w:adjustRightInd w:val="0"/>
        <w:snapToGrid w:val="0"/>
        <w:spacing w:before="83" w:line="360" w:lineRule="auto"/>
        <w:ind w:right="0"/>
        <w:jc w:val="left"/>
        <w:textAlignment w:val="baseline"/>
        <w:rPr>
          <w:rFonts w:hint="eastAsia" w:ascii="仿宋" w:hAnsi="仿宋" w:eastAsia="仿宋" w:cs="仿宋"/>
          <w:sz w:val="24"/>
          <w:szCs w:val="24"/>
        </w:rPr>
      </w:pPr>
      <w:r>
        <w:rPr>
          <w:rFonts w:hint="eastAsia" w:ascii="仿宋" w:hAnsi="仿宋" w:eastAsia="仿宋" w:cs="仿宋"/>
          <w:spacing w:val="21"/>
          <w:sz w:val="24"/>
          <w:szCs w:val="24"/>
        </w:rPr>
        <w:t>为具有参加(项目名称)的投标、签署上述响应文件、进行合同谈判、签署合同和处理与之有关的一切事务权利的供应商。</w:t>
      </w:r>
    </w:p>
    <w:p w14:paraId="47484F2D">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184651F2">
      <w:pPr>
        <w:pStyle w:val="5"/>
        <w:pageBreakBefore w:val="0"/>
        <w:kinsoku w:val="0"/>
        <w:overflowPunct/>
        <w:topLinePunct w:val="0"/>
        <w:autoSpaceDE w:val="0"/>
        <w:autoSpaceDN w:val="0"/>
        <w:bidi w:val="0"/>
        <w:adjustRightInd w:val="0"/>
        <w:snapToGrid w:val="0"/>
        <w:spacing w:before="99" w:line="192" w:lineRule="auto"/>
        <w:ind w:left="503" w:right="0"/>
        <w:textAlignment w:val="baseline"/>
        <w:rPr>
          <w:rFonts w:hint="eastAsia" w:ascii="仿宋" w:hAnsi="仿宋" w:eastAsia="仿宋" w:cs="仿宋"/>
          <w:sz w:val="24"/>
          <w:szCs w:val="24"/>
        </w:rPr>
      </w:pPr>
      <w:r>
        <w:rPr>
          <w:rFonts w:hint="eastAsia" w:ascii="仿宋" w:hAnsi="仿宋" w:eastAsia="仿宋" w:cs="仿宋"/>
          <w:spacing w:val="13"/>
          <w:sz w:val="24"/>
          <w:szCs w:val="24"/>
        </w:rPr>
        <w:t>特此证明。</w:t>
      </w:r>
    </w:p>
    <w:p w14:paraId="648EC495">
      <w:pPr>
        <w:pageBreakBefore w:val="0"/>
        <w:kinsoku w:val="0"/>
        <w:overflowPunct/>
        <w:topLinePunct w:val="0"/>
        <w:autoSpaceDE w:val="0"/>
        <w:autoSpaceDN w:val="0"/>
        <w:bidi w:val="0"/>
        <w:adjustRightInd w:val="0"/>
        <w:snapToGrid w:val="0"/>
        <w:spacing w:line="260" w:lineRule="auto"/>
        <w:ind w:right="0"/>
        <w:textAlignment w:val="baseline"/>
        <w:rPr>
          <w:rFonts w:hint="eastAsia" w:ascii="仿宋" w:hAnsi="仿宋" w:eastAsia="仿宋" w:cs="仿宋"/>
          <w:sz w:val="24"/>
          <w:szCs w:val="24"/>
        </w:rPr>
      </w:pPr>
    </w:p>
    <w:p w14:paraId="2B6E9432">
      <w:pPr>
        <w:pageBreakBefore w:val="0"/>
        <w:kinsoku w:val="0"/>
        <w:overflowPunct/>
        <w:topLinePunct w:val="0"/>
        <w:autoSpaceDE w:val="0"/>
        <w:autoSpaceDN w:val="0"/>
        <w:bidi w:val="0"/>
        <w:adjustRightInd w:val="0"/>
        <w:snapToGrid w:val="0"/>
        <w:spacing w:line="260" w:lineRule="auto"/>
        <w:ind w:right="0"/>
        <w:textAlignment w:val="baseline"/>
        <w:rPr>
          <w:rFonts w:hint="eastAsia" w:ascii="仿宋" w:hAnsi="仿宋" w:eastAsia="仿宋" w:cs="仿宋"/>
          <w:sz w:val="24"/>
          <w:szCs w:val="24"/>
        </w:rPr>
      </w:pPr>
    </w:p>
    <w:p w14:paraId="5CBBAF06">
      <w:pPr>
        <w:pageBreakBefore w:val="0"/>
        <w:kinsoku w:val="0"/>
        <w:overflowPunct/>
        <w:topLinePunct w:val="0"/>
        <w:autoSpaceDE w:val="0"/>
        <w:autoSpaceDN w:val="0"/>
        <w:bidi w:val="0"/>
        <w:adjustRightInd w:val="0"/>
        <w:snapToGrid w:val="0"/>
        <w:spacing w:line="260" w:lineRule="auto"/>
        <w:ind w:right="0"/>
        <w:textAlignment w:val="baseline"/>
        <w:rPr>
          <w:rFonts w:hint="eastAsia" w:ascii="仿宋" w:hAnsi="仿宋" w:eastAsia="仿宋" w:cs="仿宋"/>
          <w:sz w:val="24"/>
          <w:szCs w:val="24"/>
        </w:rPr>
      </w:pPr>
    </w:p>
    <w:p w14:paraId="04D4BCB6">
      <w:pPr>
        <w:pStyle w:val="5"/>
        <w:pageBreakBefore w:val="0"/>
        <w:kinsoku w:val="0"/>
        <w:overflowPunct/>
        <w:topLinePunct w:val="0"/>
        <w:autoSpaceDE w:val="0"/>
        <w:autoSpaceDN w:val="0"/>
        <w:bidi w:val="0"/>
        <w:adjustRightInd w:val="0"/>
        <w:snapToGrid w:val="0"/>
        <w:spacing w:before="100" w:line="192" w:lineRule="auto"/>
        <w:ind w:left="18" w:right="0"/>
        <w:textAlignment w:val="baseline"/>
        <w:rPr>
          <w:rFonts w:hint="eastAsia" w:ascii="仿宋" w:hAnsi="仿宋" w:eastAsia="仿宋" w:cs="仿宋"/>
          <w:sz w:val="24"/>
          <w:szCs w:val="24"/>
        </w:rPr>
      </w:pPr>
      <w:r>
        <w:rPr>
          <w:rFonts w:hint="eastAsia" w:ascii="仿宋" w:hAnsi="仿宋" w:eastAsia="仿宋" w:cs="仿宋"/>
          <w:spacing w:val="15"/>
          <w:sz w:val="24"/>
          <w:szCs w:val="24"/>
        </w:rPr>
        <w:t>附：身份证正反面彩色扫描件。</w:t>
      </w:r>
    </w:p>
    <w:p w14:paraId="29B67F92">
      <w:pPr>
        <w:pageBreakBefore w:val="0"/>
        <w:kinsoku w:val="0"/>
        <w:overflowPunct/>
        <w:topLinePunct w:val="0"/>
        <w:autoSpaceDE w:val="0"/>
        <w:autoSpaceDN w:val="0"/>
        <w:bidi w:val="0"/>
        <w:adjustRightInd w:val="0"/>
        <w:snapToGrid w:val="0"/>
        <w:spacing w:line="328" w:lineRule="auto"/>
        <w:ind w:right="0"/>
        <w:textAlignment w:val="baseline"/>
        <w:rPr>
          <w:rFonts w:hint="eastAsia" w:ascii="仿宋" w:hAnsi="仿宋" w:eastAsia="仿宋" w:cs="仿宋"/>
          <w:sz w:val="24"/>
          <w:szCs w:val="24"/>
        </w:rPr>
      </w:pPr>
    </w:p>
    <w:p w14:paraId="4E5D9C53">
      <w:pPr>
        <w:pageBreakBefore w:val="0"/>
        <w:kinsoku w:val="0"/>
        <w:overflowPunct/>
        <w:topLinePunct w:val="0"/>
        <w:autoSpaceDE w:val="0"/>
        <w:autoSpaceDN w:val="0"/>
        <w:bidi w:val="0"/>
        <w:adjustRightInd w:val="0"/>
        <w:snapToGrid w:val="0"/>
        <w:spacing w:line="328" w:lineRule="auto"/>
        <w:ind w:right="0"/>
        <w:textAlignment w:val="baseline"/>
        <w:rPr>
          <w:rFonts w:hint="eastAsia" w:ascii="仿宋" w:hAnsi="仿宋" w:eastAsia="仿宋" w:cs="仿宋"/>
          <w:sz w:val="24"/>
          <w:szCs w:val="24"/>
        </w:rPr>
      </w:pPr>
    </w:p>
    <w:p w14:paraId="4D76A5B0">
      <w:pPr>
        <w:pStyle w:val="5"/>
        <w:pageBreakBefore w:val="0"/>
        <w:kinsoku w:val="0"/>
        <w:overflowPunct/>
        <w:topLinePunct w:val="0"/>
        <w:autoSpaceDE w:val="0"/>
        <w:autoSpaceDN w:val="0"/>
        <w:bidi w:val="0"/>
        <w:adjustRightInd w:val="0"/>
        <w:snapToGrid w:val="0"/>
        <w:spacing w:before="99" w:line="214" w:lineRule="auto"/>
        <w:ind w:right="0" w:firstLine="5400" w:firstLineChars="2000"/>
        <w:textAlignment w:val="baseline"/>
        <w:rPr>
          <w:rFonts w:hint="eastAsia" w:ascii="仿宋" w:hAnsi="仿宋" w:eastAsia="仿宋" w:cs="仿宋"/>
          <w:spacing w:val="15"/>
          <w:sz w:val="24"/>
          <w:szCs w:val="24"/>
        </w:rPr>
      </w:pPr>
      <w:r>
        <w:rPr>
          <w:rFonts w:hint="eastAsia" w:ascii="仿宋" w:hAnsi="仿宋" w:eastAsia="仿宋" w:cs="仿宋"/>
          <w:spacing w:val="15"/>
          <w:sz w:val="24"/>
          <w:szCs w:val="24"/>
        </w:rPr>
        <w:t>法定代表人(签字或盖章)：</w:t>
      </w:r>
    </w:p>
    <w:p w14:paraId="0F9ADEB6">
      <w:pPr>
        <w:pStyle w:val="5"/>
        <w:pageBreakBefore w:val="0"/>
        <w:kinsoku w:val="0"/>
        <w:overflowPunct/>
        <w:topLinePunct w:val="0"/>
        <w:autoSpaceDE w:val="0"/>
        <w:autoSpaceDN w:val="0"/>
        <w:bidi w:val="0"/>
        <w:adjustRightInd w:val="0"/>
        <w:snapToGrid w:val="0"/>
        <w:spacing w:before="99" w:line="214" w:lineRule="auto"/>
        <w:ind w:right="0"/>
        <w:textAlignment w:val="baseline"/>
        <w:rPr>
          <w:rFonts w:hint="eastAsia" w:ascii="仿宋" w:hAnsi="仿宋" w:eastAsia="仿宋" w:cs="仿宋"/>
          <w:sz w:val="24"/>
          <w:szCs w:val="24"/>
        </w:rPr>
      </w:pPr>
      <w:r>
        <w:rPr>
          <w:rFonts w:hint="eastAsia" w:ascii="仿宋" w:hAnsi="仿宋" w:eastAsia="仿宋" w:cs="仿宋"/>
          <w:spacing w:val="18"/>
          <w:sz w:val="24"/>
          <w:szCs w:val="24"/>
        </w:rPr>
        <w:t>供应商名称(电子签章)：</w:t>
      </w:r>
    </w:p>
    <w:p w14:paraId="444B3C34">
      <w:pPr>
        <w:pStyle w:val="5"/>
        <w:pageBreakBefore w:val="0"/>
        <w:kinsoku w:val="0"/>
        <w:overflowPunct/>
        <w:topLinePunct w:val="0"/>
        <w:autoSpaceDE w:val="0"/>
        <w:autoSpaceDN w:val="0"/>
        <w:bidi w:val="0"/>
        <w:adjustRightInd w:val="0"/>
        <w:snapToGrid w:val="0"/>
        <w:spacing w:before="94" w:line="191" w:lineRule="auto"/>
        <w:ind w:right="0"/>
        <w:jc w:val="right"/>
        <w:textAlignment w:val="baseline"/>
        <w:rPr>
          <w:rFonts w:hint="eastAsia" w:ascii="仿宋" w:hAnsi="仿宋" w:eastAsia="仿宋" w:cs="仿宋"/>
          <w:spacing w:val="-8"/>
          <w:sz w:val="24"/>
          <w:szCs w:val="24"/>
        </w:rPr>
      </w:pPr>
    </w:p>
    <w:p w14:paraId="2A503EF7">
      <w:pPr>
        <w:pStyle w:val="5"/>
        <w:pageBreakBefore w:val="0"/>
        <w:kinsoku w:val="0"/>
        <w:overflowPunct/>
        <w:topLinePunct w:val="0"/>
        <w:autoSpaceDE w:val="0"/>
        <w:autoSpaceDN w:val="0"/>
        <w:bidi w:val="0"/>
        <w:adjustRightInd w:val="0"/>
        <w:snapToGrid w:val="0"/>
        <w:spacing w:before="94" w:line="191" w:lineRule="auto"/>
        <w:ind w:right="0"/>
        <w:jc w:val="right"/>
        <w:textAlignment w:val="baseline"/>
        <w:rPr>
          <w:rFonts w:hint="eastAsia" w:ascii="仿宋" w:hAnsi="仿宋" w:eastAsia="仿宋" w:cs="仿宋"/>
          <w:sz w:val="24"/>
          <w:szCs w:val="24"/>
        </w:rPr>
      </w:pPr>
      <w:r>
        <w:rPr>
          <w:rFonts w:hint="eastAsia" w:ascii="仿宋" w:hAnsi="仿宋" w:eastAsia="仿宋" w:cs="仿宋"/>
          <w:spacing w:val="-8"/>
          <w:sz w:val="24"/>
          <w:szCs w:val="24"/>
        </w:rPr>
        <w:t>日期：年月日</w:t>
      </w:r>
    </w:p>
    <w:p w14:paraId="70A40030">
      <w:pPr>
        <w:pageBreakBefore w:val="0"/>
        <w:kinsoku w:val="0"/>
        <w:overflowPunct/>
        <w:topLinePunct w:val="0"/>
        <w:autoSpaceDE w:val="0"/>
        <w:autoSpaceDN w:val="0"/>
        <w:bidi w:val="0"/>
        <w:adjustRightInd w:val="0"/>
        <w:snapToGrid w:val="0"/>
        <w:spacing w:line="191" w:lineRule="auto"/>
        <w:ind w:right="0"/>
        <w:textAlignment w:val="baseline"/>
        <w:rPr>
          <w:rFonts w:hint="eastAsia" w:ascii="仿宋" w:hAnsi="仿宋" w:eastAsia="仿宋" w:cs="仿宋"/>
          <w:sz w:val="23"/>
          <w:szCs w:val="23"/>
        </w:rPr>
        <w:sectPr>
          <w:footerReference r:id="rId28" w:type="default"/>
          <w:pgSz w:w="11905" w:h="16838"/>
          <w:pgMar w:top="1440" w:right="1803" w:bottom="1440" w:left="1803" w:header="0" w:footer="567" w:gutter="0"/>
          <w:pgNumType w:fmt="decimal"/>
          <w:cols w:space="0" w:num="1"/>
          <w:rtlGutter w:val="0"/>
          <w:docGrid w:linePitch="0" w:charSpace="0"/>
        </w:sectPr>
      </w:pPr>
    </w:p>
    <w:p w14:paraId="35819F93">
      <w:pPr>
        <w:pStyle w:val="5"/>
        <w:pageBreakBefore w:val="0"/>
        <w:kinsoku w:val="0"/>
        <w:overflowPunct/>
        <w:topLinePunct w:val="0"/>
        <w:autoSpaceDE w:val="0"/>
        <w:autoSpaceDN w:val="0"/>
        <w:bidi w:val="0"/>
        <w:adjustRightInd w:val="0"/>
        <w:snapToGrid w:val="0"/>
        <w:spacing w:before="47" w:line="192" w:lineRule="auto"/>
        <w:ind w:left="4" w:right="0"/>
        <w:textAlignment w:val="baseline"/>
        <w:rPr>
          <w:rFonts w:hint="eastAsia" w:ascii="仿宋" w:hAnsi="仿宋" w:eastAsia="仿宋" w:cs="仿宋"/>
          <w:sz w:val="23"/>
          <w:szCs w:val="23"/>
        </w:rPr>
      </w:pPr>
      <w:r>
        <w:rPr>
          <w:rFonts w:hint="eastAsia" w:ascii="仿宋" w:hAnsi="仿宋" w:eastAsia="仿宋" w:cs="仿宋"/>
          <w:spacing w:val="15"/>
          <w:sz w:val="23"/>
          <w:szCs w:val="23"/>
        </w:rPr>
        <w:t>3、授权委托书</w:t>
      </w:r>
    </w:p>
    <w:p w14:paraId="45AA2F85">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1"/>
        </w:rPr>
      </w:pPr>
    </w:p>
    <w:p w14:paraId="62C618E7">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1"/>
        </w:rPr>
      </w:pPr>
    </w:p>
    <w:p w14:paraId="69EF3309">
      <w:pPr>
        <w:pageBreakBefore w:val="0"/>
        <w:kinsoku w:val="0"/>
        <w:overflowPunct/>
        <w:topLinePunct w:val="0"/>
        <w:autoSpaceDE w:val="0"/>
        <w:autoSpaceDN w:val="0"/>
        <w:bidi w:val="0"/>
        <w:adjustRightInd w:val="0"/>
        <w:snapToGrid w:val="0"/>
        <w:spacing w:line="264" w:lineRule="auto"/>
        <w:ind w:right="0"/>
        <w:textAlignment w:val="baseline"/>
        <w:rPr>
          <w:rFonts w:hint="eastAsia" w:ascii="仿宋" w:hAnsi="仿宋" w:eastAsia="仿宋" w:cs="仿宋"/>
          <w:sz w:val="21"/>
        </w:rPr>
      </w:pPr>
    </w:p>
    <w:p w14:paraId="58A11EC2">
      <w:pPr>
        <w:pStyle w:val="5"/>
        <w:pageBreakBefore w:val="0"/>
        <w:kinsoku w:val="0"/>
        <w:overflowPunct/>
        <w:topLinePunct w:val="0"/>
        <w:autoSpaceDE w:val="0"/>
        <w:autoSpaceDN w:val="0"/>
        <w:bidi w:val="0"/>
        <w:adjustRightInd w:val="0"/>
        <w:snapToGrid w:val="0"/>
        <w:spacing w:before="99" w:line="187" w:lineRule="auto"/>
        <w:ind w:left="2264" w:right="0"/>
        <w:textAlignment w:val="baseline"/>
        <w:rPr>
          <w:rFonts w:hint="eastAsia" w:ascii="仿宋" w:hAnsi="仿宋" w:eastAsia="仿宋" w:cs="仿宋"/>
          <w:sz w:val="23"/>
          <w:szCs w:val="23"/>
        </w:rPr>
      </w:pPr>
      <w:r>
        <w:rPr>
          <w:rFonts w:hint="eastAsia" w:ascii="仿宋" w:hAnsi="仿宋" w:eastAsia="仿宋" w:cs="仿宋"/>
          <w:spacing w:val="24"/>
          <w:sz w:val="28"/>
          <w:szCs w:val="28"/>
          <w14:textOutline w14:w="4388" w14:cap="flat" w14:cmpd="sng">
            <w14:solidFill>
              <w14:srgbClr w14:val="000000"/>
            </w14:solidFill>
            <w14:prstDash w14:val="solid"/>
            <w14:miter w14:val="0"/>
          </w14:textOutline>
        </w:rPr>
        <w:t>法定代表人授权委托书(供应商为法人</w:t>
      </w:r>
      <w:r>
        <w:rPr>
          <w:rFonts w:hint="eastAsia" w:ascii="仿宋" w:hAnsi="仿宋" w:eastAsia="仿宋" w:cs="仿宋"/>
          <w:spacing w:val="24"/>
          <w:sz w:val="23"/>
          <w:szCs w:val="23"/>
          <w14:textOutline w14:w="4388" w14:cap="flat" w14:cmpd="sng">
            <w14:solidFill>
              <w14:srgbClr w14:val="000000"/>
            </w14:solidFill>
            <w14:prstDash w14:val="solid"/>
            <w14:miter w14:val="0"/>
          </w14:textOutline>
        </w:rPr>
        <w:t>)</w:t>
      </w:r>
    </w:p>
    <w:p w14:paraId="1AF4FF67">
      <w:pPr>
        <w:pageBreakBefore w:val="0"/>
        <w:kinsoku w:val="0"/>
        <w:overflowPunct/>
        <w:topLinePunct w:val="0"/>
        <w:autoSpaceDE w:val="0"/>
        <w:autoSpaceDN w:val="0"/>
        <w:bidi w:val="0"/>
        <w:adjustRightInd w:val="0"/>
        <w:snapToGrid w:val="0"/>
        <w:spacing w:line="296" w:lineRule="auto"/>
        <w:ind w:right="0"/>
        <w:textAlignment w:val="baseline"/>
        <w:rPr>
          <w:rFonts w:hint="eastAsia" w:ascii="仿宋" w:hAnsi="仿宋" w:eastAsia="仿宋" w:cs="仿宋"/>
          <w:sz w:val="21"/>
        </w:rPr>
      </w:pPr>
    </w:p>
    <w:p w14:paraId="2FEE3F1F">
      <w:pPr>
        <w:pageBreakBefore w:val="0"/>
        <w:kinsoku w:val="0"/>
        <w:overflowPunct/>
        <w:topLinePunct w:val="0"/>
        <w:autoSpaceDE w:val="0"/>
        <w:autoSpaceDN w:val="0"/>
        <w:bidi w:val="0"/>
        <w:adjustRightInd w:val="0"/>
        <w:snapToGrid w:val="0"/>
        <w:spacing w:line="296" w:lineRule="auto"/>
        <w:ind w:right="0"/>
        <w:textAlignment w:val="baseline"/>
        <w:rPr>
          <w:rFonts w:hint="eastAsia" w:ascii="仿宋" w:hAnsi="仿宋" w:eastAsia="仿宋" w:cs="仿宋"/>
          <w:sz w:val="21"/>
        </w:rPr>
      </w:pPr>
    </w:p>
    <w:p w14:paraId="4591C96A">
      <w:pPr>
        <w:pageBreakBefore w:val="0"/>
        <w:kinsoku w:val="0"/>
        <w:overflowPunct/>
        <w:topLinePunct w:val="0"/>
        <w:autoSpaceDE w:val="0"/>
        <w:autoSpaceDN w:val="0"/>
        <w:bidi w:val="0"/>
        <w:adjustRightInd w:val="0"/>
        <w:snapToGrid w:val="0"/>
        <w:spacing w:line="296" w:lineRule="auto"/>
        <w:ind w:right="0"/>
        <w:textAlignment w:val="baseline"/>
        <w:rPr>
          <w:rFonts w:hint="eastAsia" w:ascii="仿宋" w:hAnsi="仿宋" w:eastAsia="仿宋" w:cs="仿宋"/>
          <w:sz w:val="21"/>
        </w:rPr>
      </w:pPr>
    </w:p>
    <w:p w14:paraId="41206C1B">
      <w:pPr>
        <w:pageBreakBefore w:val="0"/>
        <w:kinsoku w:val="0"/>
        <w:overflowPunct/>
        <w:topLinePunct w:val="0"/>
        <w:autoSpaceDE w:val="0"/>
        <w:autoSpaceDN w:val="0"/>
        <w:bidi w:val="0"/>
        <w:adjustRightInd w:val="0"/>
        <w:snapToGrid w:val="0"/>
        <w:spacing w:line="296" w:lineRule="auto"/>
        <w:ind w:right="0"/>
        <w:textAlignment w:val="baseline"/>
        <w:rPr>
          <w:rFonts w:hint="eastAsia" w:ascii="仿宋" w:hAnsi="仿宋" w:eastAsia="仿宋" w:cs="仿宋"/>
          <w:sz w:val="21"/>
        </w:rPr>
      </w:pPr>
    </w:p>
    <w:p w14:paraId="628AC06D">
      <w:pPr>
        <w:pStyle w:val="5"/>
        <w:pageBreakBefore w:val="0"/>
        <w:kinsoku w:val="0"/>
        <w:overflowPunct/>
        <w:topLinePunct w:val="0"/>
        <w:autoSpaceDE w:val="0"/>
        <w:autoSpaceDN w:val="0"/>
        <w:bidi w:val="0"/>
        <w:adjustRightInd w:val="0"/>
        <w:snapToGrid w:val="0"/>
        <w:spacing w:before="99" w:line="360" w:lineRule="auto"/>
        <w:ind w:left="42" w:right="0"/>
        <w:textAlignment w:val="baseline"/>
        <w:rPr>
          <w:rFonts w:hint="eastAsia" w:ascii="仿宋" w:hAnsi="仿宋" w:eastAsia="仿宋" w:cs="仿宋"/>
          <w:sz w:val="24"/>
          <w:szCs w:val="24"/>
        </w:rPr>
      </w:pPr>
      <w:r>
        <w:rPr>
          <w:rFonts w:hint="eastAsia" w:ascii="仿宋" w:hAnsi="仿宋" w:eastAsia="仿宋" w:cs="仿宋"/>
          <w:spacing w:val="16"/>
          <w:sz w:val="24"/>
          <w:szCs w:val="24"/>
          <w:u w:val="single" w:color="auto"/>
        </w:rPr>
        <w:t>(采购人)</w:t>
      </w:r>
      <w:r>
        <w:rPr>
          <w:rFonts w:hint="eastAsia" w:ascii="仿宋" w:hAnsi="仿宋" w:eastAsia="仿宋" w:cs="仿宋"/>
          <w:spacing w:val="16"/>
          <w:sz w:val="24"/>
          <w:szCs w:val="24"/>
        </w:rPr>
        <w:t>：</w:t>
      </w:r>
    </w:p>
    <w:p w14:paraId="4EFE5ECF">
      <w:pPr>
        <w:pStyle w:val="5"/>
        <w:pageBreakBefore w:val="0"/>
        <w:kinsoku w:val="0"/>
        <w:overflowPunct/>
        <w:topLinePunct w:val="0"/>
        <w:autoSpaceDE w:val="0"/>
        <w:autoSpaceDN w:val="0"/>
        <w:bidi w:val="0"/>
        <w:adjustRightInd w:val="0"/>
        <w:snapToGrid w:val="0"/>
        <w:spacing w:before="95" w:line="360" w:lineRule="auto"/>
        <w:ind w:left="2" w:right="0" w:firstLine="494"/>
        <w:textAlignment w:val="baseline"/>
        <w:rPr>
          <w:rFonts w:hint="eastAsia" w:ascii="仿宋" w:hAnsi="仿宋" w:eastAsia="仿宋" w:cs="仿宋"/>
          <w:sz w:val="24"/>
          <w:szCs w:val="24"/>
        </w:rPr>
      </w:pPr>
      <w:r>
        <w:rPr>
          <w:rFonts w:hint="eastAsia" w:ascii="仿宋" w:hAnsi="仿宋" w:eastAsia="仿宋" w:cs="仿宋"/>
          <w:spacing w:val="17"/>
          <w:sz w:val="24"/>
          <w:szCs w:val="24"/>
        </w:rPr>
        <w:t>本授权声明：(供应商名称)(法定代表人姓</w:t>
      </w:r>
      <w:r>
        <w:rPr>
          <w:rFonts w:hint="eastAsia" w:ascii="仿宋" w:hAnsi="仿宋" w:eastAsia="仿宋" w:cs="仿宋"/>
          <w:spacing w:val="18"/>
          <w:sz w:val="24"/>
          <w:szCs w:val="24"/>
        </w:rPr>
        <w:t>名、职务)授权(被授权人姓名、职务)为我方“(项</w:t>
      </w:r>
      <w:r>
        <w:rPr>
          <w:rFonts w:hint="eastAsia" w:ascii="仿宋" w:hAnsi="仿宋" w:eastAsia="仿宋" w:cs="仿宋"/>
          <w:spacing w:val="17"/>
          <w:sz w:val="24"/>
          <w:szCs w:val="24"/>
        </w:rPr>
        <w:t>目名称、</w:t>
      </w:r>
      <w:r>
        <w:rPr>
          <w:rFonts w:hint="eastAsia" w:ascii="仿宋" w:hAnsi="仿宋" w:eastAsia="仿宋" w:cs="仿宋"/>
          <w:spacing w:val="18"/>
          <w:sz w:val="24"/>
          <w:szCs w:val="24"/>
        </w:rPr>
        <w:t>项目编号)”项目投标活动的合法代表，以我方名义全权处理该项目有关投标、</w:t>
      </w:r>
      <w:r>
        <w:rPr>
          <w:rFonts w:hint="eastAsia" w:ascii="仿宋" w:hAnsi="仿宋" w:eastAsia="仿宋" w:cs="仿宋"/>
          <w:spacing w:val="19"/>
          <w:sz w:val="24"/>
          <w:szCs w:val="24"/>
        </w:rPr>
        <w:t>签订合同以及执行合同等一切事宜。</w:t>
      </w:r>
    </w:p>
    <w:p w14:paraId="5ED8F146">
      <w:pPr>
        <w:pStyle w:val="5"/>
        <w:pageBreakBefore w:val="0"/>
        <w:kinsoku w:val="0"/>
        <w:overflowPunct/>
        <w:topLinePunct w:val="0"/>
        <w:autoSpaceDE w:val="0"/>
        <w:autoSpaceDN w:val="0"/>
        <w:bidi w:val="0"/>
        <w:adjustRightInd w:val="0"/>
        <w:snapToGrid w:val="0"/>
        <w:spacing w:before="86" w:line="360" w:lineRule="auto"/>
        <w:ind w:left="544" w:right="0"/>
        <w:textAlignment w:val="baseline"/>
        <w:rPr>
          <w:rFonts w:hint="eastAsia" w:ascii="仿宋" w:hAnsi="仿宋" w:eastAsia="仿宋" w:cs="仿宋"/>
          <w:sz w:val="24"/>
          <w:szCs w:val="24"/>
        </w:rPr>
      </w:pPr>
      <w:r>
        <w:rPr>
          <w:rFonts w:hint="eastAsia" w:ascii="仿宋" w:hAnsi="仿宋" w:eastAsia="仿宋" w:cs="仿宋"/>
          <w:spacing w:val="17"/>
          <w:sz w:val="24"/>
          <w:szCs w:val="24"/>
        </w:rPr>
        <w:t>被授权人无权转让本授权，特此声明。</w:t>
      </w:r>
    </w:p>
    <w:p w14:paraId="6D8AF98D">
      <w:pPr>
        <w:pStyle w:val="5"/>
        <w:pageBreakBefore w:val="0"/>
        <w:kinsoku w:val="0"/>
        <w:overflowPunct/>
        <w:topLinePunct w:val="0"/>
        <w:autoSpaceDE w:val="0"/>
        <w:autoSpaceDN w:val="0"/>
        <w:bidi w:val="0"/>
        <w:adjustRightInd w:val="0"/>
        <w:snapToGrid w:val="0"/>
        <w:spacing w:before="83" w:line="360" w:lineRule="auto"/>
        <w:ind w:left="534" w:right="0"/>
        <w:textAlignment w:val="baseline"/>
        <w:rPr>
          <w:rFonts w:hint="eastAsia" w:ascii="仿宋" w:hAnsi="仿宋" w:eastAsia="仿宋" w:cs="仿宋"/>
          <w:sz w:val="24"/>
          <w:szCs w:val="24"/>
        </w:rPr>
      </w:pPr>
      <w:r>
        <w:rPr>
          <w:rFonts w:hint="eastAsia" w:ascii="仿宋" w:hAnsi="仿宋" w:eastAsia="仿宋" w:cs="仿宋"/>
          <w:spacing w:val="23"/>
          <w:sz w:val="24"/>
          <w:szCs w:val="24"/>
        </w:rPr>
        <w:t>附：法定代表人及被授权人身份证正反面彩色扫描件</w:t>
      </w:r>
    </w:p>
    <w:p w14:paraId="42D1C6BE">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77E5A0A5">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1D10189E">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15A9FC6C">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27095AE1">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7640C0FF">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38D1FBB8">
      <w:pPr>
        <w:pStyle w:val="5"/>
        <w:pageBreakBefore w:val="0"/>
        <w:kinsoku w:val="0"/>
        <w:overflowPunct/>
        <w:topLinePunct w:val="0"/>
        <w:autoSpaceDE w:val="0"/>
        <w:autoSpaceDN w:val="0"/>
        <w:bidi w:val="0"/>
        <w:adjustRightInd w:val="0"/>
        <w:snapToGrid w:val="0"/>
        <w:spacing w:before="100" w:line="360" w:lineRule="auto"/>
        <w:ind w:right="0" w:firstLine="5400" w:firstLineChars="2000"/>
        <w:jc w:val="both"/>
        <w:textAlignment w:val="baseline"/>
        <w:rPr>
          <w:rFonts w:hint="eastAsia" w:ascii="仿宋" w:hAnsi="仿宋" w:eastAsia="仿宋" w:cs="仿宋"/>
          <w:spacing w:val="15"/>
          <w:sz w:val="24"/>
          <w:szCs w:val="24"/>
        </w:rPr>
      </w:pPr>
      <w:r>
        <w:rPr>
          <w:rFonts w:hint="eastAsia" w:ascii="仿宋" w:hAnsi="仿宋" w:eastAsia="仿宋" w:cs="仿宋"/>
          <w:spacing w:val="15"/>
          <w:sz w:val="24"/>
          <w:szCs w:val="24"/>
        </w:rPr>
        <w:t>法定代表人(签字或盖章)：</w:t>
      </w:r>
    </w:p>
    <w:p w14:paraId="5BD26F5A">
      <w:pPr>
        <w:pStyle w:val="5"/>
        <w:pageBreakBefore w:val="0"/>
        <w:kinsoku w:val="0"/>
        <w:overflowPunct/>
        <w:topLinePunct w:val="0"/>
        <w:autoSpaceDE w:val="0"/>
        <w:autoSpaceDN w:val="0"/>
        <w:bidi w:val="0"/>
        <w:adjustRightInd w:val="0"/>
        <w:snapToGrid w:val="0"/>
        <w:spacing w:before="100" w:line="360" w:lineRule="auto"/>
        <w:ind w:right="0" w:firstLine="6116" w:firstLineChars="2200"/>
        <w:jc w:val="both"/>
        <w:textAlignment w:val="baseline"/>
        <w:rPr>
          <w:rFonts w:hint="eastAsia" w:ascii="仿宋" w:hAnsi="仿宋" w:eastAsia="仿宋" w:cs="仿宋"/>
          <w:sz w:val="24"/>
          <w:szCs w:val="24"/>
        </w:rPr>
      </w:pPr>
      <w:r>
        <w:rPr>
          <w:rFonts w:hint="eastAsia" w:ascii="仿宋" w:hAnsi="仿宋" w:eastAsia="仿宋" w:cs="仿宋"/>
          <w:spacing w:val="19"/>
          <w:sz w:val="24"/>
          <w:szCs w:val="24"/>
        </w:rPr>
        <w:t>被授权人(签字)：</w:t>
      </w:r>
    </w:p>
    <w:p w14:paraId="6129C6E8">
      <w:pPr>
        <w:pStyle w:val="5"/>
        <w:pageBreakBefore w:val="0"/>
        <w:kinsoku w:val="0"/>
        <w:overflowPunct/>
        <w:topLinePunct w:val="0"/>
        <w:autoSpaceDE w:val="0"/>
        <w:autoSpaceDN w:val="0"/>
        <w:bidi w:val="0"/>
        <w:adjustRightInd w:val="0"/>
        <w:snapToGrid w:val="0"/>
        <w:spacing w:before="93"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20"/>
          <w:sz w:val="24"/>
          <w:szCs w:val="24"/>
        </w:rPr>
        <w:t>供应商名称(电子签章)：</w:t>
      </w:r>
    </w:p>
    <w:p w14:paraId="7AC0C1D6">
      <w:pPr>
        <w:pStyle w:val="5"/>
        <w:pageBreakBefore w:val="0"/>
        <w:kinsoku w:val="0"/>
        <w:overflowPunct/>
        <w:topLinePunct w:val="0"/>
        <w:autoSpaceDE w:val="0"/>
        <w:autoSpaceDN w:val="0"/>
        <w:bidi w:val="0"/>
        <w:adjustRightInd w:val="0"/>
        <w:snapToGrid w:val="0"/>
        <w:spacing w:before="94"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日期：年月日</w:t>
      </w:r>
    </w:p>
    <w:p w14:paraId="2AC61C1F">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sectPr>
          <w:footerReference r:id="rId29" w:type="default"/>
          <w:pgSz w:w="11905" w:h="16838"/>
          <w:pgMar w:top="1440" w:right="1803" w:bottom="1440" w:left="1803" w:header="0" w:footer="567" w:gutter="0"/>
          <w:pgNumType w:fmt="decimal"/>
          <w:cols w:space="0" w:num="1"/>
          <w:rtlGutter w:val="0"/>
          <w:docGrid w:linePitch="0" w:charSpace="0"/>
        </w:sectPr>
      </w:pPr>
    </w:p>
    <w:p w14:paraId="3AC3E9E5">
      <w:pPr>
        <w:pStyle w:val="5"/>
        <w:pageBreakBefore w:val="0"/>
        <w:kinsoku w:val="0"/>
        <w:overflowPunct/>
        <w:topLinePunct w:val="0"/>
        <w:autoSpaceDE w:val="0"/>
        <w:autoSpaceDN w:val="0"/>
        <w:bidi w:val="0"/>
        <w:adjustRightInd w:val="0"/>
        <w:snapToGrid w:val="0"/>
        <w:spacing w:before="47" w:line="187" w:lineRule="auto"/>
        <w:ind w:left="2794" w:right="0"/>
        <w:textAlignment w:val="baseline"/>
        <w:rPr>
          <w:rFonts w:hint="eastAsia" w:ascii="仿宋" w:hAnsi="仿宋" w:eastAsia="仿宋" w:cs="仿宋"/>
          <w:sz w:val="28"/>
          <w:szCs w:val="28"/>
        </w:rPr>
      </w:pPr>
      <w:r>
        <w:rPr>
          <w:rFonts w:hint="eastAsia" w:ascii="仿宋" w:hAnsi="仿宋" w:eastAsia="仿宋" w:cs="仿宋"/>
          <w:spacing w:val="22"/>
          <w:sz w:val="28"/>
          <w:szCs w:val="28"/>
          <w14:textOutline w14:w="4388" w14:cap="flat" w14:cmpd="sng">
            <w14:solidFill>
              <w14:srgbClr w14:val="000000"/>
            </w14:solidFill>
            <w14:prstDash w14:val="solid"/>
            <w14:miter w14:val="0"/>
          </w14:textOutline>
        </w:rPr>
        <w:t>授权委托书(供应商为非法人)</w:t>
      </w:r>
    </w:p>
    <w:p w14:paraId="1AD9E731">
      <w:pPr>
        <w:pageBreakBefore w:val="0"/>
        <w:kinsoku w:val="0"/>
        <w:overflowPunct/>
        <w:topLinePunct w:val="0"/>
        <w:autoSpaceDE w:val="0"/>
        <w:autoSpaceDN w:val="0"/>
        <w:bidi w:val="0"/>
        <w:adjustRightInd w:val="0"/>
        <w:snapToGrid w:val="0"/>
        <w:spacing w:line="262" w:lineRule="auto"/>
        <w:ind w:right="0"/>
        <w:textAlignment w:val="baseline"/>
        <w:rPr>
          <w:rFonts w:hint="eastAsia" w:ascii="仿宋" w:hAnsi="仿宋" w:eastAsia="仿宋" w:cs="仿宋"/>
          <w:sz w:val="24"/>
          <w:szCs w:val="24"/>
        </w:rPr>
      </w:pPr>
    </w:p>
    <w:p w14:paraId="2D5E3EB0">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1"/>
        </w:rPr>
      </w:pPr>
    </w:p>
    <w:p w14:paraId="77FFCC30">
      <w:pPr>
        <w:pageBreakBefore w:val="0"/>
        <w:kinsoku w:val="0"/>
        <w:overflowPunct/>
        <w:topLinePunct w:val="0"/>
        <w:autoSpaceDE w:val="0"/>
        <w:autoSpaceDN w:val="0"/>
        <w:bidi w:val="0"/>
        <w:adjustRightInd w:val="0"/>
        <w:snapToGrid w:val="0"/>
        <w:spacing w:line="263" w:lineRule="auto"/>
        <w:ind w:right="0"/>
        <w:textAlignment w:val="baseline"/>
        <w:rPr>
          <w:rFonts w:hint="eastAsia" w:ascii="仿宋" w:hAnsi="仿宋" w:eastAsia="仿宋" w:cs="仿宋"/>
          <w:sz w:val="21"/>
        </w:rPr>
      </w:pPr>
    </w:p>
    <w:p w14:paraId="5E1D6058">
      <w:pPr>
        <w:pStyle w:val="5"/>
        <w:pageBreakBefore w:val="0"/>
        <w:tabs>
          <w:tab w:val="left" w:pos="248"/>
        </w:tabs>
        <w:kinsoku w:val="0"/>
        <w:overflowPunct/>
        <w:topLinePunct w:val="0"/>
        <w:autoSpaceDE w:val="0"/>
        <w:autoSpaceDN w:val="0"/>
        <w:bidi w:val="0"/>
        <w:adjustRightInd w:val="0"/>
        <w:snapToGrid w:val="0"/>
        <w:spacing w:before="99" w:line="360" w:lineRule="auto"/>
        <w:ind w:right="0"/>
        <w:textAlignment w:val="baseline"/>
        <w:rPr>
          <w:rFonts w:hint="eastAsia" w:ascii="仿宋" w:hAnsi="仿宋" w:eastAsia="仿宋" w:cs="仿宋"/>
          <w:sz w:val="24"/>
          <w:szCs w:val="24"/>
        </w:rPr>
      </w:pPr>
      <w:r>
        <w:rPr>
          <w:rFonts w:hint="eastAsia" w:ascii="仿宋" w:hAnsi="仿宋" w:eastAsia="仿宋" w:cs="仿宋"/>
          <w:spacing w:val="16"/>
          <w:sz w:val="24"/>
          <w:szCs w:val="24"/>
        </w:rPr>
        <w:t>(采购人)：</w:t>
      </w:r>
    </w:p>
    <w:p w14:paraId="6740FF8A">
      <w:pPr>
        <w:pStyle w:val="5"/>
        <w:pageBreakBefore w:val="0"/>
        <w:kinsoku w:val="0"/>
        <w:overflowPunct/>
        <w:topLinePunct w:val="0"/>
        <w:autoSpaceDE w:val="0"/>
        <w:autoSpaceDN w:val="0"/>
        <w:bidi w:val="0"/>
        <w:adjustRightInd w:val="0"/>
        <w:snapToGrid w:val="0"/>
        <w:spacing w:before="94" w:line="360" w:lineRule="auto"/>
        <w:ind w:left="8" w:right="0" w:firstLine="522"/>
        <w:jc w:val="both"/>
        <w:textAlignment w:val="baseline"/>
        <w:rPr>
          <w:rFonts w:hint="eastAsia" w:ascii="仿宋" w:hAnsi="仿宋" w:eastAsia="仿宋" w:cs="仿宋"/>
          <w:sz w:val="24"/>
          <w:szCs w:val="24"/>
        </w:rPr>
      </w:pPr>
      <w:r>
        <w:rPr>
          <w:rFonts w:hint="eastAsia" w:ascii="仿宋" w:hAnsi="仿宋" w:eastAsia="仿宋" w:cs="仿宋"/>
          <w:spacing w:val="16"/>
          <w:sz w:val="24"/>
          <w:szCs w:val="24"/>
        </w:rPr>
        <w:t>本授权声明：(供应商名称)授权(被授权人姓</w:t>
      </w:r>
      <w:r>
        <w:rPr>
          <w:rFonts w:hint="eastAsia" w:ascii="仿宋" w:hAnsi="仿宋" w:eastAsia="仿宋" w:cs="仿宋"/>
          <w:spacing w:val="17"/>
          <w:sz w:val="24"/>
          <w:szCs w:val="24"/>
        </w:rPr>
        <w:t>名、职务)为我方“(项目名称、项目编号)”项目投标活动</w:t>
      </w:r>
      <w:r>
        <w:rPr>
          <w:rFonts w:hint="eastAsia" w:ascii="仿宋" w:hAnsi="仿宋" w:eastAsia="仿宋" w:cs="仿宋"/>
          <w:spacing w:val="3"/>
          <w:sz w:val="24"/>
          <w:szCs w:val="24"/>
        </w:rPr>
        <w:t>的合法代表，以我方名义全权处理该项目有关投标、签订合同以及执行合同等一</w:t>
      </w:r>
      <w:r>
        <w:rPr>
          <w:rFonts w:hint="eastAsia" w:ascii="仿宋" w:hAnsi="仿宋" w:eastAsia="仿宋" w:cs="仿宋"/>
          <w:spacing w:val="14"/>
          <w:sz w:val="24"/>
          <w:szCs w:val="24"/>
        </w:rPr>
        <w:t>切事宜。</w:t>
      </w:r>
    </w:p>
    <w:p w14:paraId="75422B10">
      <w:pPr>
        <w:pStyle w:val="5"/>
        <w:pageBreakBefore w:val="0"/>
        <w:kinsoku w:val="0"/>
        <w:overflowPunct/>
        <w:topLinePunct w:val="0"/>
        <w:autoSpaceDE w:val="0"/>
        <w:autoSpaceDN w:val="0"/>
        <w:bidi w:val="0"/>
        <w:adjustRightInd w:val="0"/>
        <w:snapToGrid w:val="0"/>
        <w:spacing w:before="85" w:line="360" w:lineRule="auto"/>
        <w:ind w:left="554" w:right="0"/>
        <w:textAlignment w:val="baseline"/>
        <w:rPr>
          <w:rFonts w:hint="eastAsia" w:ascii="仿宋" w:hAnsi="仿宋" w:eastAsia="仿宋" w:cs="仿宋"/>
          <w:sz w:val="24"/>
          <w:szCs w:val="24"/>
        </w:rPr>
      </w:pPr>
      <w:r>
        <w:rPr>
          <w:rFonts w:hint="eastAsia" w:ascii="仿宋" w:hAnsi="仿宋" w:eastAsia="仿宋" w:cs="仿宋"/>
          <w:spacing w:val="17"/>
          <w:sz w:val="24"/>
          <w:szCs w:val="24"/>
        </w:rPr>
        <w:t>被授权人无权转让本授权，特此声明。</w:t>
      </w:r>
    </w:p>
    <w:p w14:paraId="260D3654">
      <w:pPr>
        <w:pStyle w:val="5"/>
        <w:pageBreakBefore w:val="0"/>
        <w:kinsoku w:val="0"/>
        <w:overflowPunct/>
        <w:topLinePunct w:val="0"/>
        <w:autoSpaceDE w:val="0"/>
        <w:autoSpaceDN w:val="0"/>
        <w:bidi w:val="0"/>
        <w:adjustRightInd w:val="0"/>
        <w:snapToGrid w:val="0"/>
        <w:spacing w:before="85" w:line="360" w:lineRule="auto"/>
        <w:ind w:left="572" w:right="0"/>
        <w:textAlignment w:val="baseline"/>
        <w:rPr>
          <w:rFonts w:hint="eastAsia" w:ascii="仿宋" w:hAnsi="仿宋" w:eastAsia="仿宋" w:cs="仿宋"/>
          <w:sz w:val="24"/>
          <w:szCs w:val="24"/>
        </w:rPr>
      </w:pPr>
      <w:r>
        <w:rPr>
          <w:rFonts w:hint="eastAsia" w:ascii="仿宋" w:hAnsi="仿宋" w:eastAsia="仿宋" w:cs="仿宋"/>
          <w:spacing w:val="22"/>
          <w:sz w:val="24"/>
          <w:szCs w:val="24"/>
        </w:rPr>
        <w:t>附：授权人及被授权人身份证正反面彩色扫描件</w:t>
      </w:r>
    </w:p>
    <w:p w14:paraId="09FFCF48">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13177A51">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022B7C74">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7D5E38D1">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3DD17C3E">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5AA7CA46">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0FC3F269">
      <w:pPr>
        <w:pStyle w:val="5"/>
        <w:pageBreakBefore w:val="0"/>
        <w:kinsoku w:val="0"/>
        <w:overflowPunct/>
        <w:topLinePunct w:val="0"/>
        <w:autoSpaceDE w:val="0"/>
        <w:autoSpaceDN w:val="0"/>
        <w:bidi w:val="0"/>
        <w:adjustRightInd w:val="0"/>
        <w:snapToGrid w:val="0"/>
        <w:spacing w:before="100"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8"/>
          <w:position w:val="12"/>
          <w:sz w:val="24"/>
          <w:szCs w:val="24"/>
        </w:rPr>
        <w:t>授权人(签字或盖章)：</w:t>
      </w:r>
    </w:p>
    <w:p w14:paraId="08969211">
      <w:pPr>
        <w:pStyle w:val="5"/>
        <w:pageBreakBefore w:val="0"/>
        <w:kinsoku w:val="0"/>
        <w:overflowPunct/>
        <w:topLinePunct w:val="0"/>
        <w:autoSpaceDE w:val="0"/>
        <w:autoSpaceDN w:val="0"/>
        <w:bidi w:val="0"/>
        <w:adjustRightInd w:val="0"/>
        <w:snapToGrid w:val="0"/>
        <w:spacing w:before="1" w:line="360" w:lineRule="auto"/>
        <w:ind w:right="0" w:firstLine="5282" w:firstLineChars="1900"/>
        <w:textAlignment w:val="baseline"/>
        <w:rPr>
          <w:rFonts w:hint="eastAsia" w:ascii="仿宋" w:hAnsi="仿宋" w:eastAsia="仿宋" w:cs="仿宋"/>
          <w:sz w:val="24"/>
          <w:szCs w:val="24"/>
        </w:rPr>
      </w:pPr>
      <w:r>
        <w:rPr>
          <w:rFonts w:hint="eastAsia" w:ascii="仿宋" w:hAnsi="仿宋" w:eastAsia="仿宋" w:cs="仿宋"/>
          <w:spacing w:val="19"/>
          <w:sz w:val="24"/>
          <w:szCs w:val="24"/>
        </w:rPr>
        <w:t>被授权人(签字)：</w:t>
      </w:r>
    </w:p>
    <w:p w14:paraId="12C8C82D">
      <w:pPr>
        <w:pStyle w:val="5"/>
        <w:pageBreakBefore w:val="0"/>
        <w:kinsoku w:val="0"/>
        <w:overflowPunct/>
        <w:topLinePunct w:val="0"/>
        <w:autoSpaceDE w:val="0"/>
        <w:autoSpaceDN w:val="0"/>
        <w:bidi w:val="0"/>
        <w:adjustRightInd w:val="0"/>
        <w:snapToGrid w:val="0"/>
        <w:spacing w:before="91" w:line="360" w:lineRule="auto"/>
        <w:ind w:right="0"/>
        <w:jc w:val="center"/>
        <w:textAlignment w:val="baseline"/>
        <w:rPr>
          <w:rFonts w:hint="eastAsia" w:ascii="仿宋" w:hAnsi="仿宋" w:eastAsia="仿宋" w:cs="仿宋"/>
          <w:sz w:val="24"/>
          <w:szCs w:val="24"/>
          <w:lang w:eastAsia="zh-CN"/>
        </w:rPr>
        <w:sectPr>
          <w:footerReference r:id="rId30" w:type="default"/>
          <w:pgSz w:w="11905" w:h="16838"/>
          <w:pgMar w:top="1440" w:right="1803" w:bottom="1440" w:left="1803" w:header="0" w:footer="567" w:gutter="0"/>
          <w:pgNumType w:fmt="decimal"/>
          <w:cols w:space="0" w:num="1"/>
          <w:rtlGutter w:val="0"/>
          <w:docGrid w:linePitch="0" w:charSpace="0"/>
        </w:sectPr>
      </w:pPr>
      <w:r>
        <w:rPr>
          <w:rFonts w:hint="eastAsia" w:ascii="仿宋" w:hAnsi="仿宋" w:eastAsia="仿宋" w:cs="仿宋"/>
          <w:spacing w:val="-5"/>
          <w:sz w:val="24"/>
          <w:szCs w:val="24"/>
        </w:rPr>
        <w:t>日期：年月日</w:t>
      </w:r>
    </w:p>
    <w:p w14:paraId="56CB3A13">
      <w:pPr>
        <w:pStyle w:val="5"/>
        <w:pageBreakBefore w:val="0"/>
        <w:kinsoku w:val="0"/>
        <w:overflowPunct/>
        <w:topLinePunct w:val="0"/>
        <w:autoSpaceDE w:val="0"/>
        <w:autoSpaceDN w:val="0"/>
        <w:bidi w:val="0"/>
        <w:adjustRightInd w:val="0"/>
        <w:snapToGrid w:val="0"/>
        <w:spacing w:before="47" w:line="360" w:lineRule="auto"/>
        <w:ind w:left="7" w:right="0"/>
        <w:jc w:val="center"/>
        <w:textAlignment w:val="baseline"/>
        <w:rPr>
          <w:rFonts w:hint="eastAsia" w:ascii="仿宋" w:hAnsi="仿宋" w:eastAsia="仿宋" w:cs="仿宋"/>
          <w:sz w:val="28"/>
          <w:szCs w:val="28"/>
        </w:rPr>
      </w:pPr>
      <w:r>
        <w:rPr>
          <w:rFonts w:hint="eastAsia" w:ascii="仿宋" w:hAnsi="仿宋" w:eastAsia="仿宋" w:cs="仿宋"/>
          <w:spacing w:val="16"/>
          <w:sz w:val="28"/>
          <w:szCs w:val="28"/>
        </w:rPr>
        <w:t>4、供应商基本情况表</w:t>
      </w:r>
    </w:p>
    <w:tbl>
      <w:tblPr>
        <w:tblStyle w:val="26"/>
        <w:tblW w:w="8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6"/>
        <w:gridCol w:w="911"/>
        <w:gridCol w:w="757"/>
        <w:gridCol w:w="759"/>
        <w:gridCol w:w="380"/>
        <w:gridCol w:w="281"/>
        <w:gridCol w:w="1137"/>
        <w:gridCol w:w="157"/>
        <w:gridCol w:w="896"/>
        <w:gridCol w:w="1878"/>
      </w:tblGrid>
      <w:tr w14:paraId="5EB0B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66" w:type="dxa"/>
            <w:vAlign w:val="center"/>
          </w:tcPr>
          <w:p w14:paraId="3C29259B">
            <w:pPr>
              <w:pStyle w:val="27"/>
              <w:pageBreakBefore w:val="0"/>
              <w:kinsoku w:val="0"/>
              <w:overflowPunct/>
              <w:topLinePunct w:val="0"/>
              <w:autoSpaceDE w:val="0"/>
              <w:autoSpaceDN w:val="0"/>
              <w:bidi w:val="0"/>
              <w:adjustRightInd w:val="0"/>
              <w:snapToGrid w:val="0"/>
              <w:spacing w:before="198" w:line="360" w:lineRule="auto"/>
              <w:ind w:left="153" w:right="0"/>
              <w:jc w:val="center"/>
              <w:textAlignment w:val="baseline"/>
              <w:rPr>
                <w:rFonts w:hint="eastAsia" w:ascii="仿宋" w:hAnsi="仿宋" w:eastAsia="仿宋" w:cs="仿宋"/>
                <w:sz w:val="24"/>
                <w:szCs w:val="24"/>
              </w:rPr>
            </w:pPr>
            <w:r>
              <w:rPr>
                <w:rFonts w:hint="eastAsia" w:ascii="仿宋" w:hAnsi="仿宋" w:eastAsia="仿宋" w:cs="仿宋"/>
                <w:spacing w:val="20"/>
                <w:sz w:val="24"/>
                <w:szCs w:val="24"/>
              </w:rPr>
              <w:t>投标人名称</w:t>
            </w:r>
          </w:p>
        </w:tc>
        <w:tc>
          <w:tcPr>
            <w:tcW w:w="7156" w:type="dxa"/>
            <w:gridSpan w:val="9"/>
            <w:vAlign w:val="center"/>
          </w:tcPr>
          <w:p w14:paraId="7A578CFF">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01FF6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566" w:type="dxa"/>
            <w:vAlign w:val="center"/>
          </w:tcPr>
          <w:p w14:paraId="74D12794">
            <w:pPr>
              <w:pStyle w:val="27"/>
              <w:pageBreakBefore w:val="0"/>
              <w:kinsoku w:val="0"/>
              <w:overflowPunct/>
              <w:topLinePunct w:val="0"/>
              <w:autoSpaceDE w:val="0"/>
              <w:autoSpaceDN w:val="0"/>
              <w:bidi w:val="0"/>
              <w:adjustRightInd w:val="0"/>
              <w:snapToGrid w:val="0"/>
              <w:spacing w:before="219" w:line="360" w:lineRule="auto"/>
              <w:ind w:left="279" w:right="0"/>
              <w:jc w:val="center"/>
              <w:textAlignment w:val="baseline"/>
              <w:rPr>
                <w:rFonts w:hint="eastAsia" w:ascii="仿宋" w:hAnsi="仿宋" w:eastAsia="仿宋" w:cs="仿宋"/>
                <w:sz w:val="24"/>
                <w:szCs w:val="24"/>
              </w:rPr>
            </w:pPr>
            <w:r>
              <w:rPr>
                <w:rFonts w:hint="eastAsia" w:ascii="仿宋" w:hAnsi="仿宋" w:eastAsia="仿宋" w:cs="仿宋"/>
                <w:spacing w:val="19"/>
                <w:sz w:val="24"/>
                <w:szCs w:val="24"/>
              </w:rPr>
              <w:t>注册地址</w:t>
            </w:r>
          </w:p>
        </w:tc>
        <w:tc>
          <w:tcPr>
            <w:tcW w:w="3088" w:type="dxa"/>
            <w:gridSpan w:val="5"/>
            <w:vAlign w:val="center"/>
          </w:tcPr>
          <w:p w14:paraId="496A1F2B">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294" w:type="dxa"/>
            <w:gridSpan w:val="2"/>
            <w:vAlign w:val="center"/>
          </w:tcPr>
          <w:p w14:paraId="3EACE399">
            <w:pPr>
              <w:pStyle w:val="27"/>
              <w:pageBreakBefore w:val="0"/>
              <w:kinsoku w:val="0"/>
              <w:overflowPunct/>
              <w:topLinePunct w:val="0"/>
              <w:autoSpaceDE w:val="0"/>
              <w:autoSpaceDN w:val="0"/>
              <w:bidi w:val="0"/>
              <w:adjustRightInd w:val="0"/>
              <w:snapToGrid w:val="0"/>
              <w:spacing w:before="218"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邮政编码</w:t>
            </w:r>
          </w:p>
        </w:tc>
        <w:tc>
          <w:tcPr>
            <w:tcW w:w="2774" w:type="dxa"/>
            <w:gridSpan w:val="2"/>
            <w:vAlign w:val="center"/>
          </w:tcPr>
          <w:p w14:paraId="1D75904D">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26300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566" w:type="dxa"/>
            <w:vMerge w:val="restart"/>
            <w:tcBorders>
              <w:bottom w:val="nil"/>
            </w:tcBorders>
            <w:vAlign w:val="center"/>
          </w:tcPr>
          <w:p w14:paraId="62DFA719">
            <w:pPr>
              <w:pStyle w:val="27"/>
              <w:pageBreakBefore w:val="0"/>
              <w:kinsoku w:val="0"/>
              <w:overflowPunct/>
              <w:topLinePunct w:val="0"/>
              <w:autoSpaceDE w:val="0"/>
              <w:autoSpaceDN w:val="0"/>
              <w:bidi w:val="0"/>
              <w:adjustRightInd w:val="0"/>
              <w:snapToGrid w:val="0"/>
              <w:spacing w:before="99" w:line="360" w:lineRule="auto"/>
              <w:ind w:left="280" w:right="0"/>
              <w:jc w:val="center"/>
              <w:textAlignment w:val="baseline"/>
              <w:rPr>
                <w:rFonts w:hint="eastAsia" w:ascii="仿宋" w:hAnsi="仿宋" w:eastAsia="仿宋" w:cs="仿宋"/>
                <w:sz w:val="24"/>
                <w:szCs w:val="24"/>
              </w:rPr>
            </w:pPr>
            <w:r>
              <w:rPr>
                <w:rFonts w:hint="eastAsia" w:ascii="仿宋" w:hAnsi="仿宋" w:eastAsia="仿宋" w:cs="仿宋"/>
                <w:spacing w:val="17"/>
                <w:sz w:val="24"/>
                <w:szCs w:val="24"/>
              </w:rPr>
              <w:t>联系方式</w:t>
            </w:r>
          </w:p>
        </w:tc>
        <w:tc>
          <w:tcPr>
            <w:tcW w:w="911" w:type="dxa"/>
            <w:vAlign w:val="center"/>
          </w:tcPr>
          <w:p w14:paraId="1A0583D7">
            <w:pPr>
              <w:pStyle w:val="27"/>
              <w:pageBreakBefore w:val="0"/>
              <w:kinsoku w:val="0"/>
              <w:overflowPunct/>
              <w:topLinePunct w:val="0"/>
              <w:autoSpaceDE w:val="0"/>
              <w:autoSpaceDN w:val="0"/>
              <w:bidi w:val="0"/>
              <w:adjustRightInd w:val="0"/>
              <w:snapToGrid w:val="0"/>
              <w:spacing w:before="217" w:line="360" w:lineRule="auto"/>
              <w:ind w:left="82" w:right="0"/>
              <w:jc w:val="center"/>
              <w:textAlignment w:val="baseline"/>
              <w:rPr>
                <w:rFonts w:hint="eastAsia" w:ascii="仿宋" w:hAnsi="仿宋" w:eastAsia="仿宋" w:cs="仿宋"/>
                <w:sz w:val="24"/>
                <w:szCs w:val="24"/>
              </w:rPr>
            </w:pPr>
            <w:r>
              <w:rPr>
                <w:rFonts w:hint="eastAsia" w:ascii="仿宋" w:hAnsi="仿宋" w:eastAsia="仿宋" w:cs="仿宋"/>
                <w:spacing w:val="15"/>
                <w:sz w:val="24"/>
                <w:szCs w:val="24"/>
              </w:rPr>
              <w:t>联系人</w:t>
            </w:r>
          </w:p>
        </w:tc>
        <w:tc>
          <w:tcPr>
            <w:tcW w:w="2177" w:type="dxa"/>
            <w:gridSpan w:val="4"/>
            <w:vAlign w:val="center"/>
          </w:tcPr>
          <w:p w14:paraId="3086799F">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294" w:type="dxa"/>
            <w:gridSpan w:val="2"/>
            <w:vAlign w:val="center"/>
          </w:tcPr>
          <w:p w14:paraId="723D478A">
            <w:pPr>
              <w:pStyle w:val="27"/>
              <w:pageBreakBefore w:val="0"/>
              <w:kinsoku w:val="0"/>
              <w:overflowPunct/>
              <w:topLinePunct w:val="0"/>
              <w:autoSpaceDE w:val="0"/>
              <w:autoSpaceDN w:val="0"/>
              <w:bidi w:val="0"/>
              <w:adjustRightInd w:val="0"/>
              <w:snapToGrid w:val="0"/>
              <w:spacing w:before="218"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7"/>
                <w:w w:val="97"/>
                <w:sz w:val="24"/>
                <w:szCs w:val="24"/>
              </w:rPr>
              <w:t>电话</w:t>
            </w:r>
          </w:p>
        </w:tc>
        <w:tc>
          <w:tcPr>
            <w:tcW w:w="2774" w:type="dxa"/>
            <w:gridSpan w:val="2"/>
            <w:vAlign w:val="center"/>
          </w:tcPr>
          <w:p w14:paraId="4833DD65">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35564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566" w:type="dxa"/>
            <w:vMerge w:val="continue"/>
            <w:tcBorders>
              <w:top w:val="nil"/>
            </w:tcBorders>
            <w:vAlign w:val="center"/>
          </w:tcPr>
          <w:p w14:paraId="7524546D">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911" w:type="dxa"/>
            <w:vAlign w:val="center"/>
          </w:tcPr>
          <w:p w14:paraId="69D5CF22">
            <w:pPr>
              <w:pStyle w:val="27"/>
              <w:pageBreakBefore w:val="0"/>
              <w:kinsoku w:val="0"/>
              <w:overflowPunct/>
              <w:topLinePunct w:val="0"/>
              <w:autoSpaceDE w:val="0"/>
              <w:autoSpaceDN w:val="0"/>
              <w:bidi w:val="0"/>
              <w:adjustRightInd w:val="0"/>
              <w:snapToGrid w:val="0"/>
              <w:spacing w:before="222" w:line="360" w:lineRule="auto"/>
              <w:ind w:left="75" w:right="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传真</w:t>
            </w:r>
          </w:p>
        </w:tc>
        <w:tc>
          <w:tcPr>
            <w:tcW w:w="2177" w:type="dxa"/>
            <w:gridSpan w:val="4"/>
            <w:vAlign w:val="center"/>
          </w:tcPr>
          <w:p w14:paraId="56571164">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294" w:type="dxa"/>
            <w:gridSpan w:val="2"/>
            <w:vAlign w:val="center"/>
          </w:tcPr>
          <w:p w14:paraId="61A91818">
            <w:pPr>
              <w:pStyle w:val="27"/>
              <w:pageBreakBefore w:val="0"/>
              <w:kinsoku w:val="0"/>
              <w:overflowPunct/>
              <w:topLinePunct w:val="0"/>
              <w:autoSpaceDE w:val="0"/>
              <w:autoSpaceDN w:val="0"/>
              <w:bidi w:val="0"/>
              <w:adjustRightInd w:val="0"/>
              <w:snapToGrid w:val="0"/>
              <w:spacing w:before="221"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网址</w:t>
            </w:r>
          </w:p>
        </w:tc>
        <w:tc>
          <w:tcPr>
            <w:tcW w:w="2774" w:type="dxa"/>
            <w:gridSpan w:val="2"/>
            <w:vAlign w:val="center"/>
          </w:tcPr>
          <w:p w14:paraId="50FADA63">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4B1AC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566" w:type="dxa"/>
            <w:vAlign w:val="center"/>
          </w:tcPr>
          <w:p w14:paraId="3400E2B4">
            <w:pPr>
              <w:pStyle w:val="27"/>
              <w:pageBreakBefore w:val="0"/>
              <w:kinsoku w:val="0"/>
              <w:overflowPunct/>
              <w:topLinePunct w:val="0"/>
              <w:autoSpaceDE w:val="0"/>
              <w:autoSpaceDN w:val="0"/>
              <w:bidi w:val="0"/>
              <w:adjustRightInd w:val="0"/>
              <w:snapToGrid w:val="0"/>
              <w:spacing w:before="221" w:line="360" w:lineRule="auto"/>
              <w:ind w:left="285" w:right="0"/>
              <w:jc w:val="center"/>
              <w:textAlignment w:val="baseline"/>
              <w:rPr>
                <w:rFonts w:hint="eastAsia" w:ascii="仿宋" w:hAnsi="仿宋" w:eastAsia="仿宋" w:cs="仿宋"/>
                <w:sz w:val="24"/>
                <w:szCs w:val="24"/>
              </w:rPr>
            </w:pPr>
            <w:r>
              <w:rPr>
                <w:rFonts w:hint="eastAsia" w:ascii="仿宋" w:hAnsi="仿宋" w:eastAsia="仿宋" w:cs="仿宋"/>
                <w:spacing w:val="17"/>
                <w:sz w:val="24"/>
                <w:szCs w:val="24"/>
              </w:rPr>
              <w:t>组织结构</w:t>
            </w:r>
          </w:p>
        </w:tc>
        <w:tc>
          <w:tcPr>
            <w:tcW w:w="7156" w:type="dxa"/>
            <w:gridSpan w:val="9"/>
            <w:vAlign w:val="center"/>
          </w:tcPr>
          <w:p w14:paraId="5478F91C">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15365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566" w:type="dxa"/>
            <w:vAlign w:val="center"/>
          </w:tcPr>
          <w:p w14:paraId="71EFD8F2">
            <w:pPr>
              <w:pStyle w:val="27"/>
              <w:pageBreakBefore w:val="0"/>
              <w:kinsoku w:val="0"/>
              <w:overflowPunct/>
              <w:topLinePunct w:val="0"/>
              <w:autoSpaceDE w:val="0"/>
              <w:autoSpaceDN w:val="0"/>
              <w:bidi w:val="0"/>
              <w:adjustRightInd w:val="0"/>
              <w:snapToGrid w:val="0"/>
              <w:spacing w:before="218" w:line="360" w:lineRule="auto"/>
              <w:ind w:left="151" w:right="0"/>
              <w:jc w:val="center"/>
              <w:textAlignment w:val="baseline"/>
              <w:rPr>
                <w:rFonts w:hint="eastAsia" w:ascii="仿宋" w:hAnsi="仿宋" w:eastAsia="仿宋" w:cs="仿宋"/>
                <w:sz w:val="24"/>
                <w:szCs w:val="24"/>
              </w:rPr>
            </w:pPr>
            <w:r>
              <w:rPr>
                <w:rFonts w:hint="eastAsia" w:ascii="仿宋" w:hAnsi="仿宋" w:eastAsia="仿宋" w:cs="仿宋"/>
                <w:spacing w:val="20"/>
                <w:sz w:val="24"/>
                <w:szCs w:val="24"/>
              </w:rPr>
              <w:t>法定代表人</w:t>
            </w:r>
          </w:p>
        </w:tc>
        <w:tc>
          <w:tcPr>
            <w:tcW w:w="911" w:type="dxa"/>
            <w:vAlign w:val="center"/>
          </w:tcPr>
          <w:p w14:paraId="58856FE3">
            <w:pPr>
              <w:pStyle w:val="27"/>
              <w:pageBreakBefore w:val="0"/>
              <w:kinsoku w:val="0"/>
              <w:overflowPunct/>
              <w:topLinePunct w:val="0"/>
              <w:autoSpaceDE w:val="0"/>
              <w:autoSpaceDN w:val="0"/>
              <w:bidi w:val="0"/>
              <w:adjustRightInd w:val="0"/>
              <w:snapToGrid w:val="0"/>
              <w:spacing w:before="218" w:line="360" w:lineRule="auto"/>
              <w:ind w:left="213" w:right="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姓名</w:t>
            </w:r>
          </w:p>
        </w:tc>
        <w:tc>
          <w:tcPr>
            <w:tcW w:w="757" w:type="dxa"/>
            <w:vAlign w:val="center"/>
          </w:tcPr>
          <w:p w14:paraId="6FEC71E5">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139" w:type="dxa"/>
            <w:gridSpan w:val="2"/>
            <w:vAlign w:val="center"/>
          </w:tcPr>
          <w:p w14:paraId="66B049ED">
            <w:pPr>
              <w:pStyle w:val="27"/>
              <w:pageBreakBefore w:val="0"/>
              <w:kinsoku w:val="0"/>
              <w:overflowPunct/>
              <w:topLinePunct w:val="0"/>
              <w:autoSpaceDE w:val="0"/>
              <w:autoSpaceDN w:val="0"/>
              <w:bidi w:val="0"/>
              <w:adjustRightInd w:val="0"/>
              <w:snapToGrid w:val="0"/>
              <w:spacing w:before="219" w:line="360" w:lineRule="auto"/>
              <w:ind w:left="68" w:right="0"/>
              <w:jc w:val="center"/>
              <w:textAlignment w:val="baseline"/>
              <w:rPr>
                <w:rFonts w:hint="eastAsia" w:ascii="仿宋" w:hAnsi="仿宋" w:eastAsia="仿宋" w:cs="仿宋"/>
                <w:sz w:val="24"/>
                <w:szCs w:val="24"/>
              </w:rPr>
            </w:pPr>
            <w:r>
              <w:rPr>
                <w:rFonts w:hint="eastAsia" w:ascii="仿宋" w:hAnsi="仿宋" w:eastAsia="仿宋" w:cs="仿宋"/>
                <w:spacing w:val="17"/>
                <w:sz w:val="24"/>
                <w:szCs w:val="24"/>
              </w:rPr>
              <w:t>技术职称</w:t>
            </w:r>
          </w:p>
        </w:tc>
        <w:tc>
          <w:tcPr>
            <w:tcW w:w="1418" w:type="dxa"/>
            <w:gridSpan w:val="2"/>
            <w:vAlign w:val="center"/>
          </w:tcPr>
          <w:p w14:paraId="607A14CD">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053" w:type="dxa"/>
            <w:gridSpan w:val="2"/>
            <w:vAlign w:val="center"/>
          </w:tcPr>
          <w:p w14:paraId="115902EE">
            <w:pPr>
              <w:pStyle w:val="27"/>
              <w:pageBreakBefore w:val="0"/>
              <w:kinsoku w:val="0"/>
              <w:overflowPunct/>
              <w:topLinePunct w:val="0"/>
              <w:autoSpaceDE w:val="0"/>
              <w:autoSpaceDN w:val="0"/>
              <w:bidi w:val="0"/>
              <w:adjustRightInd w:val="0"/>
              <w:snapToGrid w:val="0"/>
              <w:spacing w:before="219" w:line="360" w:lineRule="auto"/>
              <w:ind w:left="336" w:right="0"/>
              <w:jc w:val="center"/>
              <w:textAlignment w:val="baseline"/>
              <w:rPr>
                <w:rFonts w:hint="eastAsia" w:ascii="仿宋" w:hAnsi="仿宋" w:eastAsia="仿宋" w:cs="仿宋"/>
                <w:sz w:val="24"/>
                <w:szCs w:val="24"/>
              </w:rPr>
            </w:pPr>
            <w:r>
              <w:rPr>
                <w:rFonts w:hint="eastAsia" w:ascii="仿宋" w:hAnsi="仿宋" w:eastAsia="仿宋" w:cs="仿宋"/>
                <w:spacing w:val="-7"/>
                <w:w w:val="97"/>
                <w:sz w:val="24"/>
                <w:szCs w:val="24"/>
              </w:rPr>
              <w:t>电话</w:t>
            </w:r>
          </w:p>
        </w:tc>
        <w:tc>
          <w:tcPr>
            <w:tcW w:w="1878" w:type="dxa"/>
            <w:vAlign w:val="center"/>
          </w:tcPr>
          <w:p w14:paraId="595305DB">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5E9B5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566" w:type="dxa"/>
            <w:vAlign w:val="center"/>
          </w:tcPr>
          <w:p w14:paraId="0645E6AF">
            <w:pPr>
              <w:pStyle w:val="27"/>
              <w:pageBreakBefore w:val="0"/>
              <w:kinsoku w:val="0"/>
              <w:overflowPunct/>
              <w:topLinePunct w:val="0"/>
              <w:autoSpaceDE w:val="0"/>
              <w:autoSpaceDN w:val="0"/>
              <w:bidi w:val="0"/>
              <w:adjustRightInd w:val="0"/>
              <w:snapToGrid w:val="0"/>
              <w:spacing w:before="215" w:line="360" w:lineRule="auto"/>
              <w:ind w:left="151" w:right="0"/>
              <w:jc w:val="center"/>
              <w:textAlignment w:val="baseline"/>
              <w:rPr>
                <w:rFonts w:hint="eastAsia" w:ascii="仿宋" w:hAnsi="仿宋" w:eastAsia="仿宋" w:cs="仿宋"/>
                <w:sz w:val="24"/>
                <w:szCs w:val="24"/>
              </w:rPr>
            </w:pPr>
            <w:r>
              <w:rPr>
                <w:rFonts w:hint="eastAsia" w:ascii="仿宋" w:hAnsi="仿宋" w:eastAsia="仿宋" w:cs="仿宋"/>
                <w:spacing w:val="20"/>
                <w:sz w:val="24"/>
                <w:szCs w:val="24"/>
              </w:rPr>
              <w:t>技术负责人</w:t>
            </w:r>
          </w:p>
        </w:tc>
        <w:tc>
          <w:tcPr>
            <w:tcW w:w="911" w:type="dxa"/>
            <w:vAlign w:val="center"/>
          </w:tcPr>
          <w:p w14:paraId="18FF2ABB">
            <w:pPr>
              <w:pStyle w:val="27"/>
              <w:pageBreakBefore w:val="0"/>
              <w:kinsoku w:val="0"/>
              <w:overflowPunct/>
              <w:topLinePunct w:val="0"/>
              <w:autoSpaceDE w:val="0"/>
              <w:autoSpaceDN w:val="0"/>
              <w:bidi w:val="0"/>
              <w:adjustRightInd w:val="0"/>
              <w:snapToGrid w:val="0"/>
              <w:spacing w:before="215" w:line="360" w:lineRule="auto"/>
              <w:ind w:left="213" w:right="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姓名</w:t>
            </w:r>
          </w:p>
        </w:tc>
        <w:tc>
          <w:tcPr>
            <w:tcW w:w="757" w:type="dxa"/>
            <w:vAlign w:val="center"/>
          </w:tcPr>
          <w:p w14:paraId="5FEB65D5">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139" w:type="dxa"/>
            <w:gridSpan w:val="2"/>
            <w:vAlign w:val="center"/>
          </w:tcPr>
          <w:p w14:paraId="511588F4">
            <w:pPr>
              <w:pStyle w:val="27"/>
              <w:pageBreakBefore w:val="0"/>
              <w:kinsoku w:val="0"/>
              <w:overflowPunct/>
              <w:topLinePunct w:val="0"/>
              <w:autoSpaceDE w:val="0"/>
              <w:autoSpaceDN w:val="0"/>
              <w:bidi w:val="0"/>
              <w:adjustRightInd w:val="0"/>
              <w:snapToGrid w:val="0"/>
              <w:spacing w:before="215" w:line="360" w:lineRule="auto"/>
              <w:ind w:left="68" w:right="0"/>
              <w:jc w:val="center"/>
              <w:textAlignment w:val="baseline"/>
              <w:rPr>
                <w:rFonts w:hint="eastAsia" w:ascii="仿宋" w:hAnsi="仿宋" w:eastAsia="仿宋" w:cs="仿宋"/>
                <w:sz w:val="24"/>
                <w:szCs w:val="24"/>
              </w:rPr>
            </w:pPr>
            <w:r>
              <w:rPr>
                <w:rFonts w:hint="eastAsia" w:ascii="仿宋" w:hAnsi="仿宋" w:eastAsia="仿宋" w:cs="仿宋"/>
                <w:spacing w:val="17"/>
                <w:sz w:val="24"/>
                <w:szCs w:val="24"/>
              </w:rPr>
              <w:t>技术职称</w:t>
            </w:r>
          </w:p>
        </w:tc>
        <w:tc>
          <w:tcPr>
            <w:tcW w:w="1418" w:type="dxa"/>
            <w:gridSpan w:val="2"/>
            <w:vAlign w:val="center"/>
          </w:tcPr>
          <w:p w14:paraId="6C935D66">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053" w:type="dxa"/>
            <w:gridSpan w:val="2"/>
            <w:vAlign w:val="center"/>
          </w:tcPr>
          <w:p w14:paraId="08AD3CFD">
            <w:pPr>
              <w:pStyle w:val="27"/>
              <w:pageBreakBefore w:val="0"/>
              <w:kinsoku w:val="0"/>
              <w:overflowPunct/>
              <w:topLinePunct w:val="0"/>
              <w:autoSpaceDE w:val="0"/>
              <w:autoSpaceDN w:val="0"/>
              <w:bidi w:val="0"/>
              <w:adjustRightInd w:val="0"/>
              <w:snapToGrid w:val="0"/>
              <w:spacing w:before="215" w:line="360" w:lineRule="auto"/>
              <w:ind w:left="336" w:right="0"/>
              <w:jc w:val="center"/>
              <w:textAlignment w:val="baseline"/>
              <w:rPr>
                <w:rFonts w:hint="eastAsia" w:ascii="仿宋" w:hAnsi="仿宋" w:eastAsia="仿宋" w:cs="仿宋"/>
                <w:sz w:val="24"/>
                <w:szCs w:val="24"/>
              </w:rPr>
            </w:pPr>
            <w:r>
              <w:rPr>
                <w:rFonts w:hint="eastAsia" w:ascii="仿宋" w:hAnsi="仿宋" w:eastAsia="仿宋" w:cs="仿宋"/>
                <w:spacing w:val="-7"/>
                <w:w w:val="97"/>
                <w:sz w:val="24"/>
                <w:szCs w:val="24"/>
              </w:rPr>
              <w:t>电话</w:t>
            </w:r>
          </w:p>
        </w:tc>
        <w:tc>
          <w:tcPr>
            <w:tcW w:w="1878" w:type="dxa"/>
            <w:vAlign w:val="center"/>
          </w:tcPr>
          <w:p w14:paraId="71248831">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137D3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66" w:type="dxa"/>
            <w:vAlign w:val="center"/>
          </w:tcPr>
          <w:p w14:paraId="5AF1EAB3">
            <w:pPr>
              <w:pStyle w:val="27"/>
              <w:pageBreakBefore w:val="0"/>
              <w:kinsoku w:val="0"/>
              <w:overflowPunct/>
              <w:topLinePunct w:val="0"/>
              <w:autoSpaceDE w:val="0"/>
              <w:autoSpaceDN w:val="0"/>
              <w:bidi w:val="0"/>
              <w:adjustRightInd w:val="0"/>
              <w:snapToGrid w:val="0"/>
              <w:spacing w:before="226" w:line="360" w:lineRule="auto"/>
              <w:ind w:left="284" w:right="0"/>
              <w:jc w:val="center"/>
              <w:textAlignment w:val="baseline"/>
              <w:rPr>
                <w:rFonts w:hint="eastAsia" w:ascii="仿宋" w:hAnsi="仿宋" w:eastAsia="仿宋" w:cs="仿宋"/>
                <w:sz w:val="24"/>
                <w:szCs w:val="24"/>
              </w:rPr>
            </w:pPr>
            <w:r>
              <w:rPr>
                <w:rFonts w:hint="eastAsia" w:ascii="仿宋" w:hAnsi="仿宋" w:eastAsia="仿宋" w:cs="仿宋"/>
                <w:spacing w:val="17"/>
                <w:sz w:val="24"/>
                <w:szCs w:val="24"/>
              </w:rPr>
              <w:t>成立时间</w:t>
            </w:r>
          </w:p>
        </w:tc>
        <w:tc>
          <w:tcPr>
            <w:tcW w:w="1668" w:type="dxa"/>
            <w:gridSpan w:val="2"/>
            <w:vAlign w:val="center"/>
          </w:tcPr>
          <w:p w14:paraId="571FD22E">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2557" w:type="dxa"/>
            <w:gridSpan w:val="4"/>
            <w:vAlign w:val="center"/>
          </w:tcPr>
          <w:p w14:paraId="16BBC6BF">
            <w:pPr>
              <w:pStyle w:val="27"/>
              <w:pageBreakBefore w:val="0"/>
              <w:kinsoku w:val="0"/>
              <w:overflowPunct/>
              <w:topLinePunct w:val="0"/>
              <w:autoSpaceDE w:val="0"/>
              <w:autoSpaceDN w:val="0"/>
              <w:bidi w:val="0"/>
              <w:adjustRightInd w:val="0"/>
              <w:snapToGrid w:val="0"/>
              <w:spacing w:before="228" w:line="360" w:lineRule="auto"/>
              <w:ind w:left="542" w:right="0"/>
              <w:jc w:val="center"/>
              <w:textAlignment w:val="baseline"/>
              <w:rPr>
                <w:rFonts w:hint="eastAsia" w:ascii="仿宋" w:hAnsi="仿宋" w:eastAsia="仿宋" w:cs="仿宋"/>
                <w:sz w:val="24"/>
                <w:szCs w:val="24"/>
              </w:rPr>
            </w:pPr>
            <w:r>
              <w:rPr>
                <w:rFonts w:hint="eastAsia" w:ascii="仿宋" w:hAnsi="仿宋" w:eastAsia="仿宋" w:cs="仿宋"/>
                <w:spacing w:val="12"/>
                <w:sz w:val="24"/>
                <w:szCs w:val="24"/>
              </w:rPr>
              <w:t>员工总人数：</w:t>
            </w:r>
          </w:p>
        </w:tc>
        <w:tc>
          <w:tcPr>
            <w:tcW w:w="2931" w:type="dxa"/>
            <w:gridSpan w:val="3"/>
            <w:vAlign w:val="center"/>
          </w:tcPr>
          <w:p w14:paraId="5F835DB3">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2881C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566" w:type="dxa"/>
            <w:vAlign w:val="center"/>
          </w:tcPr>
          <w:p w14:paraId="0C21E93F">
            <w:pPr>
              <w:pStyle w:val="27"/>
              <w:pageBreakBefore w:val="0"/>
              <w:kinsoku w:val="0"/>
              <w:overflowPunct/>
              <w:topLinePunct w:val="0"/>
              <w:autoSpaceDE w:val="0"/>
              <w:autoSpaceDN w:val="0"/>
              <w:bidi w:val="0"/>
              <w:adjustRightInd w:val="0"/>
              <w:snapToGrid w:val="0"/>
              <w:spacing w:before="246" w:line="360" w:lineRule="auto"/>
              <w:ind w:left="26" w:right="0"/>
              <w:jc w:val="center"/>
              <w:textAlignment w:val="baseline"/>
              <w:rPr>
                <w:rFonts w:hint="eastAsia" w:ascii="仿宋" w:hAnsi="仿宋" w:eastAsia="仿宋" w:cs="仿宋"/>
                <w:sz w:val="24"/>
                <w:szCs w:val="24"/>
              </w:rPr>
            </w:pPr>
            <w:r>
              <w:rPr>
                <w:rFonts w:hint="eastAsia" w:ascii="仿宋" w:hAnsi="仿宋" w:eastAsia="仿宋" w:cs="仿宋"/>
                <w:spacing w:val="20"/>
                <w:sz w:val="24"/>
                <w:szCs w:val="24"/>
              </w:rPr>
              <w:t>企业资质等级</w:t>
            </w:r>
          </w:p>
        </w:tc>
        <w:tc>
          <w:tcPr>
            <w:tcW w:w="1668" w:type="dxa"/>
            <w:gridSpan w:val="2"/>
            <w:vAlign w:val="center"/>
          </w:tcPr>
          <w:p w14:paraId="7BFAFEB5">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759" w:type="dxa"/>
            <w:vMerge w:val="restart"/>
            <w:tcBorders>
              <w:bottom w:val="nil"/>
            </w:tcBorders>
            <w:vAlign w:val="center"/>
          </w:tcPr>
          <w:p w14:paraId="3CCF8CC6">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p w14:paraId="088E1287">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p w14:paraId="67BD1DB5">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p w14:paraId="7EFD412D">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p w14:paraId="5EB6DB10">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p w14:paraId="55234AF7">
            <w:pPr>
              <w:pStyle w:val="27"/>
              <w:pageBreakBefore w:val="0"/>
              <w:kinsoku w:val="0"/>
              <w:overflowPunct/>
              <w:topLinePunct w:val="0"/>
              <w:autoSpaceDE w:val="0"/>
              <w:autoSpaceDN w:val="0"/>
              <w:bidi w:val="0"/>
              <w:adjustRightInd w:val="0"/>
              <w:snapToGrid w:val="0"/>
              <w:spacing w:before="99" w:line="360" w:lineRule="auto"/>
              <w:ind w:left="137" w:right="0"/>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其中</w:t>
            </w:r>
          </w:p>
        </w:tc>
        <w:tc>
          <w:tcPr>
            <w:tcW w:w="1798" w:type="dxa"/>
            <w:gridSpan w:val="3"/>
            <w:vAlign w:val="center"/>
          </w:tcPr>
          <w:p w14:paraId="6E1E1C7C">
            <w:pPr>
              <w:pStyle w:val="27"/>
              <w:pageBreakBefore w:val="0"/>
              <w:kinsoku w:val="0"/>
              <w:overflowPunct/>
              <w:topLinePunct w:val="0"/>
              <w:autoSpaceDE w:val="0"/>
              <w:autoSpaceDN w:val="0"/>
              <w:bidi w:val="0"/>
              <w:adjustRightInd w:val="0"/>
              <w:snapToGrid w:val="0"/>
              <w:spacing w:before="245"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6"/>
                <w:sz w:val="24"/>
                <w:szCs w:val="24"/>
              </w:rPr>
              <w:t>项目经理</w:t>
            </w:r>
          </w:p>
        </w:tc>
        <w:tc>
          <w:tcPr>
            <w:tcW w:w="2931" w:type="dxa"/>
            <w:gridSpan w:val="3"/>
            <w:vAlign w:val="center"/>
          </w:tcPr>
          <w:p w14:paraId="107162CC">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13F76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566" w:type="dxa"/>
            <w:vAlign w:val="center"/>
          </w:tcPr>
          <w:p w14:paraId="4410E1D1">
            <w:pPr>
              <w:pStyle w:val="27"/>
              <w:pageBreakBefore w:val="0"/>
              <w:kinsoku w:val="0"/>
              <w:overflowPunct/>
              <w:topLinePunct w:val="0"/>
              <w:autoSpaceDE w:val="0"/>
              <w:autoSpaceDN w:val="0"/>
              <w:bidi w:val="0"/>
              <w:adjustRightInd w:val="0"/>
              <w:snapToGrid w:val="0"/>
              <w:spacing w:before="220" w:line="360" w:lineRule="auto"/>
              <w:ind w:left="162" w:right="0"/>
              <w:jc w:val="center"/>
              <w:textAlignment w:val="baseline"/>
              <w:rPr>
                <w:rFonts w:hint="eastAsia" w:ascii="仿宋" w:hAnsi="仿宋" w:eastAsia="仿宋" w:cs="仿宋"/>
                <w:sz w:val="24"/>
                <w:szCs w:val="24"/>
              </w:rPr>
            </w:pPr>
            <w:r>
              <w:rPr>
                <w:rFonts w:hint="eastAsia" w:ascii="仿宋" w:hAnsi="仿宋" w:eastAsia="仿宋" w:cs="仿宋"/>
                <w:spacing w:val="17"/>
                <w:sz w:val="24"/>
                <w:szCs w:val="24"/>
              </w:rPr>
              <w:t>营业执照号</w:t>
            </w:r>
          </w:p>
        </w:tc>
        <w:tc>
          <w:tcPr>
            <w:tcW w:w="1668" w:type="dxa"/>
            <w:gridSpan w:val="2"/>
            <w:vAlign w:val="center"/>
          </w:tcPr>
          <w:p w14:paraId="4249E26B">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759" w:type="dxa"/>
            <w:vMerge w:val="continue"/>
            <w:tcBorders>
              <w:top w:val="nil"/>
              <w:bottom w:val="nil"/>
            </w:tcBorders>
            <w:vAlign w:val="center"/>
          </w:tcPr>
          <w:p w14:paraId="73EDF1FE">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798" w:type="dxa"/>
            <w:gridSpan w:val="3"/>
            <w:vAlign w:val="center"/>
          </w:tcPr>
          <w:p w14:paraId="5B062CD6">
            <w:pPr>
              <w:pStyle w:val="27"/>
              <w:pageBreakBefore w:val="0"/>
              <w:kinsoku w:val="0"/>
              <w:overflowPunct/>
              <w:topLinePunct w:val="0"/>
              <w:autoSpaceDE w:val="0"/>
              <w:autoSpaceDN w:val="0"/>
              <w:bidi w:val="0"/>
              <w:adjustRightInd w:val="0"/>
              <w:snapToGrid w:val="0"/>
              <w:spacing w:before="220" w:line="360" w:lineRule="auto"/>
              <w:ind w:left="149" w:right="0"/>
              <w:jc w:val="center"/>
              <w:textAlignment w:val="baseline"/>
              <w:rPr>
                <w:rFonts w:hint="eastAsia" w:ascii="仿宋" w:hAnsi="仿宋" w:eastAsia="仿宋" w:cs="仿宋"/>
                <w:sz w:val="24"/>
                <w:szCs w:val="24"/>
              </w:rPr>
            </w:pPr>
            <w:r>
              <w:rPr>
                <w:rFonts w:hint="eastAsia" w:ascii="仿宋" w:hAnsi="仿宋" w:eastAsia="仿宋" w:cs="仿宋"/>
                <w:spacing w:val="18"/>
                <w:sz w:val="24"/>
                <w:szCs w:val="24"/>
              </w:rPr>
              <w:t>高级职称人员</w:t>
            </w:r>
          </w:p>
        </w:tc>
        <w:tc>
          <w:tcPr>
            <w:tcW w:w="2931" w:type="dxa"/>
            <w:gridSpan w:val="3"/>
            <w:vAlign w:val="center"/>
          </w:tcPr>
          <w:p w14:paraId="474AEA80">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74FB4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566" w:type="dxa"/>
            <w:vAlign w:val="center"/>
          </w:tcPr>
          <w:p w14:paraId="20C9115E">
            <w:pPr>
              <w:pStyle w:val="27"/>
              <w:pageBreakBefore w:val="0"/>
              <w:kinsoku w:val="0"/>
              <w:overflowPunct/>
              <w:topLinePunct w:val="0"/>
              <w:autoSpaceDE w:val="0"/>
              <w:autoSpaceDN w:val="0"/>
              <w:bidi w:val="0"/>
              <w:adjustRightInd w:val="0"/>
              <w:snapToGrid w:val="0"/>
              <w:spacing w:before="214"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9"/>
                <w:sz w:val="24"/>
                <w:szCs w:val="24"/>
              </w:rPr>
              <w:t>注册资金</w:t>
            </w:r>
          </w:p>
        </w:tc>
        <w:tc>
          <w:tcPr>
            <w:tcW w:w="1668" w:type="dxa"/>
            <w:gridSpan w:val="2"/>
            <w:vAlign w:val="center"/>
          </w:tcPr>
          <w:p w14:paraId="1A780175">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759" w:type="dxa"/>
            <w:vMerge w:val="continue"/>
            <w:tcBorders>
              <w:top w:val="nil"/>
              <w:bottom w:val="nil"/>
            </w:tcBorders>
            <w:vAlign w:val="center"/>
          </w:tcPr>
          <w:p w14:paraId="741EED4C">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798" w:type="dxa"/>
            <w:gridSpan w:val="3"/>
            <w:vAlign w:val="center"/>
          </w:tcPr>
          <w:p w14:paraId="136F27BA">
            <w:pPr>
              <w:pStyle w:val="27"/>
              <w:pageBreakBefore w:val="0"/>
              <w:kinsoku w:val="0"/>
              <w:overflowPunct/>
              <w:topLinePunct w:val="0"/>
              <w:autoSpaceDE w:val="0"/>
              <w:autoSpaceDN w:val="0"/>
              <w:bidi w:val="0"/>
              <w:adjustRightInd w:val="0"/>
              <w:snapToGrid w:val="0"/>
              <w:spacing w:before="214" w:line="360" w:lineRule="auto"/>
              <w:ind w:left="178" w:right="0"/>
              <w:jc w:val="center"/>
              <w:textAlignment w:val="baseline"/>
              <w:rPr>
                <w:rFonts w:hint="eastAsia" w:ascii="仿宋" w:hAnsi="仿宋" w:eastAsia="仿宋" w:cs="仿宋"/>
                <w:sz w:val="24"/>
                <w:szCs w:val="24"/>
              </w:rPr>
            </w:pPr>
            <w:r>
              <w:rPr>
                <w:rFonts w:hint="eastAsia" w:ascii="仿宋" w:hAnsi="仿宋" w:eastAsia="仿宋" w:cs="仿宋"/>
                <w:spacing w:val="13"/>
                <w:sz w:val="24"/>
                <w:szCs w:val="24"/>
              </w:rPr>
              <w:t>中级职称人员</w:t>
            </w:r>
          </w:p>
        </w:tc>
        <w:tc>
          <w:tcPr>
            <w:tcW w:w="2931" w:type="dxa"/>
            <w:gridSpan w:val="3"/>
            <w:vAlign w:val="center"/>
          </w:tcPr>
          <w:p w14:paraId="05C7669D">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709AF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66" w:type="dxa"/>
            <w:vAlign w:val="center"/>
          </w:tcPr>
          <w:p w14:paraId="01BAA55C">
            <w:pPr>
              <w:pStyle w:val="27"/>
              <w:pageBreakBefore w:val="0"/>
              <w:kinsoku w:val="0"/>
              <w:overflowPunct/>
              <w:topLinePunct w:val="0"/>
              <w:autoSpaceDE w:val="0"/>
              <w:autoSpaceDN w:val="0"/>
              <w:bidi w:val="0"/>
              <w:adjustRightInd w:val="0"/>
              <w:snapToGrid w:val="0"/>
              <w:spacing w:before="229"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7"/>
                <w:sz w:val="24"/>
                <w:szCs w:val="24"/>
              </w:rPr>
              <w:t>开户银行</w:t>
            </w:r>
          </w:p>
        </w:tc>
        <w:tc>
          <w:tcPr>
            <w:tcW w:w="1668" w:type="dxa"/>
            <w:gridSpan w:val="2"/>
            <w:vAlign w:val="center"/>
          </w:tcPr>
          <w:p w14:paraId="0643F9E5">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759" w:type="dxa"/>
            <w:vMerge w:val="continue"/>
            <w:tcBorders>
              <w:top w:val="nil"/>
              <w:bottom w:val="nil"/>
            </w:tcBorders>
            <w:vAlign w:val="center"/>
          </w:tcPr>
          <w:p w14:paraId="2FDE4DE6">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798" w:type="dxa"/>
            <w:gridSpan w:val="3"/>
            <w:vAlign w:val="center"/>
          </w:tcPr>
          <w:p w14:paraId="1AE7B318">
            <w:pPr>
              <w:pStyle w:val="27"/>
              <w:pageBreakBefore w:val="0"/>
              <w:kinsoku w:val="0"/>
              <w:overflowPunct/>
              <w:topLinePunct w:val="0"/>
              <w:autoSpaceDE w:val="0"/>
              <w:autoSpaceDN w:val="0"/>
              <w:bidi w:val="0"/>
              <w:adjustRightInd w:val="0"/>
              <w:snapToGrid w:val="0"/>
              <w:spacing w:before="229" w:line="360" w:lineRule="auto"/>
              <w:ind w:left="135" w:right="0"/>
              <w:jc w:val="center"/>
              <w:textAlignment w:val="baseline"/>
              <w:rPr>
                <w:rFonts w:hint="eastAsia" w:ascii="仿宋" w:hAnsi="仿宋" w:eastAsia="仿宋" w:cs="仿宋"/>
                <w:sz w:val="24"/>
                <w:szCs w:val="24"/>
              </w:rPr>
            </w:pPr>
            <w:r>
              <w:rPr>
                <w:rFonts w:hint="eastAsia" w:ascii="仿宋" w:hAnsi="仿宋" w:eastAsia="仿宋" w:cs="仿宋"/>
                <w:spacing w:val="22"/>
                <w:sz w:val="24"/>
                <w:szCs w:val="24"/>
              </w:rPr>
              <w:t>初级职称人员</w:t>
            </w:r>
          </w:p>
        </w:tc>
        <w:tc>
          <w:tcPr>
            <w:tcW w:w="2931" w:type="dxa"/>
            <w:gridSpan w:val="3"/>
            <w:vAlign w:val="center"/>
          </w:tcPr>
          <w:p w14:paraId="243BDD99">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5EB0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566" w:type="dxa"/>
            <w:vAlign w:val="center"/>
          </w:tcPr>
          <w:p w14:paraId="743F1F89">
            <w:pPr>
              <w:pStyle w:val="27"/>
              <w:pageBreakBefore w:val="0"/>
              <w:kinsoku w:val="0"/>
              <w:overflowPunct/>
              <w:topLinePunct w:val="0"/>
              <w:autoSpaceDE w:val="0"/>
              <w:autoSpaceDN w:val="0"/>
              <w:bidi w:val="0"/>
              <w:adjustRightInd w:val="0"/>
              <w:snapToGrid w:val="0"/>
              <w:spacing w:before="220"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账号</w:t>
            </w:r>
          </w:p>
        </w:tc>
        <w:tc>
          <w:tcPr>
            <w:tcW w:w="1668" w:type="dxa"/>
            <w:gridSpan w:val="2"/>
            <w:vAlign w:val="center"/>
          </w:tcPr>
          <w:p w14:paraId="6B61D689">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759" w:type="dxa"/>
            <w:vMerge w:val="continue"/>
            <w:tcBorders>
              <w:top w:val="nil"/>
            </w:tcBorders>
            <w:vAlign w:val="center"/>
          </w:tcPr>
          <w:p w14:paraId="467AEDFC">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c>
          <w:tcPr>
            <w:tcW w:w="1798" w:type="dxa"/>
            <w:gridSpan w:val="3"/>
            <w:vAlign w:val="center"/>
          </w:tcPr>
          <w:p w14:paraId="5A1072E7">
            <w:pPr>
              <w:pStyle w:val="27"/>
              <w:pageBreakBefore w:val="0"/>
              <w:kinsoku w:val="0"/>
              <w:overflowPunct/>
              <w:topLinePunct w:val="0"/>
              <w:autoSpaceDE w:val="0"/>
              <w:autoSpaceDN w:val="0"/>
              <w:bidi w:val="0"/>
              <w:adjustRightInd w:val="0"/>
              <w:snapToGrid w:val="0"/>
              <w:spacing w:before="219"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技工</w:t>
            </w:r>
          </w:p>
        </w:tc>
        <w:tc>
          <w:tcPr>
            <w:tcW w:w="2931" w:type="dxa"/>
            <w:gridSpan w:val="3"/>
            <w:vAlign w:val="center"/>
          </w:tcPr>
          <w:p w14:paraId="01E28E94">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59D2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1" w:hRule="atLeast"/>
        </w:trPr>
        <w:tc>
          <w:tcPr>
            <w:tcW w:w="1566" w:type="dxa"/>
            <w:vAlign w:val="center"/>
          </w:tcPr>
          <w:p w14:paraId="696ED761">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p w14:paraId="50560946">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p w14:paraId="37689181">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p w14:paraId="287BE3EE">
            <w:pPr>
              <w:pStyle w:val="27"/>
              <w:pageBreakBefore w:val="0"/>
              <w:kinsoku w:val="0"/>
              <w:overflowPunct/>
              <w:topLinePunct w:val="0"/>
              <w:autoSpaceDE w:val="0"/>
              <w:autoSpaceDN w:val="0"/>
              <w:bidi w:val="0"/>
              <w:adjustRightInd w:val="0"/>
              <w:snapToGrid w:val="0"/>
              <w:spacing w:before="99" w:line="360" w:lineRule="auto"/>
              <w:ind w:left="284" w:right="0"/>
              <w:jc w:val="center"/>
              <w:textAlignment w:val="baseline"/>
              <w:rPr>
                <w:rFonts w:hint="eastAsia" w:ascii="仿宋" w:hAnsi="仿宋" w:eastAsia="仿宋" w:cs="仿宋"/>
                <w:sz w:val="24"/>
                <w:szCs w:val="24"/>
              </w:rPr>
            </w:pPr>
            <w:r>
              <w:rPr>
                <w:rFonts w:hint="eastAsia" w:ascii="仿宋" w:hAnsi="仿宋" w:eastAsia="仿宋" w:cs="仿宋"/>
                <w:spacing w:val="17"/>
                <w:sz w:val="24"/>
                <w:szCs w:val="24"/>
              </w:rPr>
              <w:t>经营范围</w:t>
            </w:r>
          </w:p>
        </w:tc>
        <w:tc>
          <w:tcPr>
            <w:tcW w:w="7156" w:type="dxa"/>
            <w:gridSpan w:val="9"/>
            <w:vAlign w:val="center"/>
          </w:tcPr>
          <w:p w14:paraId="0685EC77">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r w14:paraId="6D07A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66" w:type="dxa"/>
            <w:vAlign w:val="center"/>
          </w:tcPr>
          <w:p w14:paraId="163030F5">
            <w:pPr>
              <w:pStyle w:val="27"/>
              <w:pageBreakBefore w:val="0"/>
              <w:kinsoku w:val="0"/>
              <w:overflowPunct/>
              <w:topLinePunct w:val="0"/>
              <w:autoSpaceDE w:val="0"/>
              <w:autoSpaceDN w:val="0"/>
              <w:bidi w:val="0"/>
              <w:adjustRightInd w:val="0"/>
              <w:snapToGrid w:val="0"/>
              <w:spacing w:before="228"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备注</w:t>
            </w:r>
          </w:p>
        </w:tc>
        <w:tc>
          <w:tcPr>
            <w:tcW w:w="7156" w:type="dxa"/>
            <w:gridSpan w:val="9"/>
            <w:vAlign w:val="center"/>
          </w:tcPr>
          <w:p w14:paraId="2B2E8859">
            <w:pPr>
              <w:pageBreakBefore w:val="0"/>
              <w:kinsoku w:val="0"/>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sz w:val="24"/>
                <w:szCs w:val="24"/>
              </w:rPr>
            </w:pPr>
          </w:p>
        </w:tc>
      </w:tr>
    </w:tbl>
    <w:p w14:paraId="755AB37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p w14:paraId="1F7058E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szCs w:val="21"/>
        </w:rPr>
        <w:sectPr>
          <w:footerReference r:id="rId31" w:type="default"/>
          <w:pgSz w:w="11905" w:h="16838"/>
          <w:pgMar w:top="1440" w:right="1803" w:bottom="1440" w:left="1803" w:header="0" w:footer="567" w:gutter="0"/>
          <w:pgNumType w:fmt="decimal"/>
          <w:cols w:space="0" w:num="1"/>
          <w:rtlGutter w:val="0"/>
          <w:docGrid w:linePitch="0" w:charSpace="0"/>
        </w:sectPr>
      </w:pPr>
    </w:p>
    <w:p w14:paraId="05F98148">
      <w:pPr>
        <w:pStyle w:val="5"/>
        <w:pageBreakBefore w:val="0"/>
        <w:kinsoku w:val="0"/>
        <w:overflowPunct/>
        <w:topLinePunct w:val="0"/>
        <w:autoSpaceDE w:val="0"/>
        <w:autoSpaceDN w:val="0"/>
        <w:bidi w:val="0"/>
        <w:adjustRightInd w:val="0"/>
        <w:snapToGrid w:val="0"/>
        <w:spacing w:before="47" w:line="187" w:lineRule="auto"/>
        <w:ind w:left="13" w:right="0"/>
        <w:jc w:val="center"/>
        <w:textAlignment w:val="baseline"/>
        <w:rPr>
          <w:rFonts w:hint="eastAsia" w:ascii="仿宋" w:hAnsi="仿宋" w:eastAsia="仿宋" w:cs="仿宋"/>
          <w:sz w:val="28"/>
          <w:szCs w:val="28"/>
        </w:rPr>
      </w:pPr>
      <w:r>
        <w:rPr>
          <w:rFonts w:hint="eastAsia" w:ascii="仿宋" w:hAnsi="仿宋" w:eastAsia="仿宋" w:cs="仿宋"/>
          <w:spacing w:val="7"/>
          <w:sz w:val="28"/>
          <w:szCs w:val="28"/>
        </w:rPr>
        <w:t>5、近3年完成的类似项目情况表(若有)</w:t>
      </w:r>
    </w:p>
    <w:p w14:paraId="5850F303">
      <w:pPr>
        <w:pageBreakBefore w:val="0"/>
        <w:kinsoku w:val="0"/>
        <w:overflowPunct/>
        <w:topLinePunct w:val="0"/>
        <w:autoSpaceDE w:val="0"/>
        <w:autoSpaceDN w:val="0"/>
        <w:bidi w:val="0"/>
        <w:adjustRightInd w:val="0"/>
        <w:snapToGrid w:val="0"/>
        <w:spacing w:before="137"/>
        <w:ind w:right="0"/>
        <w:textAlignment w:val="baseline"/>
        <w:rPr>
          <w:rFonts w:hint="eastAsia" w:ascii="仿宋" w:hAnsi="仿宋" w:eastAsia="仿宋" w:cs="仿宋"/>
        </w:rPr>
      </w:pPr>
    </w:p>
    <w:tbl>
      <w:tblPr>
        <w:tblStyle w:val="26"/>
        <w:tblW w:w="8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1"/>
        <w:gridCol w:w="5481"/>
      </w:tblGrid>
      <w:tr w14:paraId="1E345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3241" w:type="dxa"/>
            <w:vAlign w:val="top"/>
          </w:tcPr>
          <w:p w14:paraId="0CB84B91">
            <w:pPr>
              <w:pStyle w:val="27"/>
              <w:pageBreakBefore w:val="0"/>
              <w:kinsoku w:val="0"/>
              <w:overflowPunct/>
              <w:topLinePunct w:val="0"/>
              <w:autoSpaceDE w:val="0"/>
              <w:autoSpaceDN w:val="0"/>
              <w:bidi w:val="0"/>
              <w:adjustRightInd w:val="0"/>
              <w:snapToGrid w:val="0"/>
              <w:spacing w:before="251" w:line="192" w:lineRule="auto"/>
              <w:ind w:left="1120" w:right="0"/>
              <w:textAlignment w:val="baseline"/>
              <w:rPr>
                <w:rFonts w:hint="eastAsia" w:ascii="仿宋" w:hAnsi="仿宋" w:eastAsia="仿宋" w:cs="仿宋"/>
              </w:rPr>
            </w:pPr>
            <w:r>
              <w:rPr>
                <w:rFonts w:hint="eastAsia" w:ascii="仿宋" w:hAnsi="仿宋" w:eastAsia="仿宋" w:cs="仿宋"/>
                <w:spacing w:val="17"/>
              </w:rPr>
              <w:t>合同名称</w:t>
            </w:r>
          </w:p>
        </w:tc>
        <w:tc>
          <w:tcPr>
            <w:tcW w:w="5481" w:type="dxa"/>
            <w:vAlign w:val="top"/>
          </w:tcPr>
          <w:p w14:paraId="2D7B3DCE">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7453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3241" w:type="dxa"/>
            <w:vAlign w:val="top"/>
          </w:tcPr>
          <w:p w14:paraId="00885313">
            <w:pPr>
              <w:pStyle w:val="27"/>
              <w:pageBreakBefore w:val="0"/>
              <w:kinsoku w:val="0"/>
              <w:overflowPunct/>
              <w:topLinePunct w:val="0"/>
              <w:autoSpaceDE w:val="0"/>
              <w:autoSpaceDN w:val="0"/>
              <w:bidi w:val="0"/>
              <w:adjustRightInd w:val="0"/>
              <w:snapToGrid w:val="0"/>
              <w:spacing w:before="235" w:line="191" w:lineRule="auto"/>
              <w:ind w:left="729" w:right="0"/>
              <w:textAlignment w:val="baseline"/>
              <w:rPr>
                <w:rFonts w:hint="eastAsia" w:ascii="仿宋" w:hAnsi="仿宋" w:eastAsia="仿宋" w:cs="仿宋"/>
              </w:rPr>
            </w:pPr>
            <w:r>
              <w:rPr>
                <w:rFonts w:hint="eastAsia" w:ascii="仿宋" w:hAnsi="仿宋" w:eastAsia="仿宋" w:cs="仿宋"/>
                <w:spacing w:val="22"/>
              </w:rPr>
              <w:t>合同项目所在地</w:t>
            </w:r>
          </w:p>
        </w:tc>
        <w:tc>
          <w:tcPr>
            <w:tcW w:w="5481" w:type="dxa"/>
            <w:vAlign w:val="top"/>
          </w:tcPr>
          <w:p w14:paraId="356E036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34897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3241" w:type="dxa"/>
            <w:vAlign w:val="top"/>
          </w:tcPr>
          <w:p w14:paraId="200E80A1">
            <w:pPr>
              <w:pStyle w:val="27"/>
              <w:pageBreakBefore w:val="0"/>
              <w:kinsoku w:val="0"/>
              <w:overflowPunct/>
              <w:topLinePunct w:val="0"/>
              <w:autoSpaceDE w:val="0"/>
              <w:autoSpaceDN w:val="0"/>
              <w:bidi w:val="0"/>
              <w:adjustRightInd w:val="0"/>
              <w:snapToGrid w:val="0"/>
              <w:spacing w:before="222" w:line="192" w:lineRule="auto"/>
              <w:ind w:left="993" w:right="0"/>
              <w:textAlignment w:val="baseline"/>
              <w:rPr>
                <w:rFonts w:hint="eastAsia" w:ascii="仿宋" w:hAnsi="仿宋" w:eastAsia="仿宋" w:cs="仿宋"/>
              </w:rPr>
            </w:pPr>
            <w:r>
              <w:rPr>
                <w:rFonts w:hint="eastAsia" w:ascii="仿宋" w:hAnsi="仿宋" w:eastAsia="仿宋" w:cs="仿宋"/>
                <w:spacing w:val="18"/>
              </w:rPr>
              <w:t>发包人名称</w:t>
            </w:r>
          </w:p>
        </w:tc>
        <w:tc>
          <w:tcPr>
            <w:tcW w:w="5481" w:type="dxa"/>
            <w:vAlign w:val="top"/>
          </w:tcPr>
          <w:p w14:paraId="6E5C70B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3D0D4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3241" w:type="dxa"/>
            <w:vAlign w:val="top"/>
          </w:tcPr>
          <w:p w14:paraId="0912C18B">
            <w:pPr>
              <w:pStyle w:val="27"/>
              <w:pageBreakBefore w:val="0"/>
              <w:kinsoku w:val="0"/>
              <w:overflowPunct/>
              <w:topLinePunct w:val="0"/>
              <w:autoSpaceDE w:val="0"/>
              <w:autoSpaceDN w:val="0"/>
              <w:bidi w:val="0"/>
              <w:adjustRightInd w:val="0"/>
              <w:snapToGrid w:val="0"/>
              <w:spacing w:before="220" w:line="191" w:lineRule="auto"/>
              <w:ind w:left="987" w:right="0"/>
              <w:textAlignment w:val="baseline"/>
              <w:rPr>
                <w:rFonts w:hint="eastAsia" w:ascii="仿宋" w:hAnsi="仿宋" w:eastAsia="仿宋" w:cs="仿宋"/>
              </w:rPr>
            </w:pPr>
            <w:r>
              <w:rPr>
                <w:rFonts w:hint="eastAsia" w:ascii="仿宋" w:hAnsi="仿宋" w:eastAsia="仿宋" w:cs="仿宋"/>
                <w:spacing w:val="21"/>
              </w:rPr>
              <w:t>签约合同价</w:t>
            </w:r>
          </w:p>
        </w:tc>
        <w:tc>
          <w:tcPr>
            <w:tcW w:w="5481" w:type="dxa"/>
            <w:vAlign w:val="top"/>
          </w:tcPr>
          <w:p w14:paraId="384864C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054F1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241" w:type="dxa"/>
            <w:vAlign w:val="top"/>
          </w:tcPr>
          <w:p w14:paraId="5A4E4CC2">
            <w:pPr>
              <w:pStyle w:val="27"/>
              <w:pageBreakBefore w:val="0"/>
              <w:kinsoku w:val="0"/>
              <w:overflowPunct/>
              <w:topLinePunct w:val="0"/>
              <w:autoSpaceDE w:val="0"/>
              <w:autoSpaceDN w:val="0"/>
              <w:bidi w:val="0"/>
              <w:adjustRightInd w:val="0"/>
              <w:snapToGrid w:val="0"/>
              <w:spacing w:before="216" w:line="191" w:lineRule="auto"/>
              <w:ind w:left="1120" w:right="0"/>
              <w:textAlignment w:val="baseline"/>
              <w:rPr>
                <w:rFonts w:hint="eastAsia" w:ascii="仿宋" w:hAnsi="仿宋" w:eastAsia="仿宋" w:cs="仿宋"/>
              </w:rPr>
            </w:pPr>
            <w:r>
              <w:rPr>
                <w:rFonts w:hint="eastAsia" w:ascii="仿宋" w:hAnsi="仿宋" w:eastAsia="仿宋" w:cs="仿宋"/>
                <w:spacing w:val="17"/>
              </w:rPr>
              <w:t>开工日期</w:t>
            </w:r>
          </w:p>
        </w:tc>
        <w:tc>
          <w:tcPr>
            <w:tcW w:w="5481" w:type="dxa"/>
            <w:vAlign w:val="top"/>
          </w:tcPr>
          <w:p w14:paraId="1712B3A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67B63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241" w:type="dxa"/>
            <w:vAlign w:val="top"/>
          </w:tcPr>
          <w:p w14:paraId="5A6D296C">
            <w:pPr>
              <w:pStyle w:val="27"/>
              <w:pageBreakBefore w:val="0"/>
              <w:kinsoku w:val="0"/>
              <w:overflowPunct/>
              <w:topLinePunct w:val="0"/>
              <w:autoSpaceDE w:val="0"/>
              <w:autoSpaceDN w:val="0"/>
              <w:bidi w:val="0"/>
              <w:adjustRightInd w:val="0"/>
              <w:snapToGrid w:val="0"/>
              <w:spacing w:before="226" w:line="191" w:lineRule="auto"/>
              <w:ind w:left="1121" w:right="0"/>
              <w:textAlignment w:val="baseline"/>
              <w:rPr>
                <w:rFonts w:hint="eastAsia" w:ascii="仿宋" w:hAnsi="仿宋" w:eastAsia="仿宋" w:cs="仿宋"/>
              </w:rPr>
            </w:pPr>
            <w:r>
              <w:rPr>
                <w:rFonts w:hint="eastAsia" w:ascii="仿宋" w:hAnsi="仿宋" w:eastAsia="仿宋" w:cs="仿宋"/>
                <w:spacing w:val="17"/>
              </w:rPr>
              <w:t>完工日期</w:t>
            </w:r>
          </w:p>
        </w:tc>
        <w:tc>
          <w:tcPr>
            <w:tcW w:w="5481" w:type="dxa"/>
            <w:vAlign w:val="top"/>
          </w:tcPr>
          <w:p w14:paraId="02F6783C">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3E6FA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3241" w:type="dxa"/>
            <w:vAlign w:val="top"/>
          </w:tcPr>
          <w:p w14:paraId="6B75DB70">
            <w:pPr>
              <w:pStyle w:val="27"/>
              <w:pageBreakBefore w:val="0"/>
              <w:kinsoku w:val="0"/>
              <w:overflowPunct/>
              <w:topLinePunct w:val="0"/>
              <w:autoSpaceDE w:val="0"/>
              <w:autoSpaceDN w:val="0"/>
              <w:bidi w:val="0"/>
              <w:adjustRightInd w:val="0"/>
              <w:snapToGrid w:val="0"/>
              <w:spacing w:before="220" w:line="193" w:lineRule="auto"/>
              <w:ind w:left="987" w:right="0"/>
              <w:textAlignment w:val="baseline"/>
              <w:rPr>
                <w:rFonts w:hint="eastAsia" w:ascii="仿宋" w:hAnsi="仿宋" w:eastAsia="仿宋" w:cs="仿宋"/>
              </w:rPr>
            </w:pPr>
            <w:r>
              <w:rPr>
                <w:rFonts w:hint="eastAsia" w:ascii="仿宋" w:hAnsi="仿宋" w:eastAsia="仿宋" w:cs="仿宋"/>
                <w:spacing w:val="21"/>
              </w:rPr>
              <w:t>承担的工作</w:t>
            </w:r>
          </w:p>
        </w:tc>
        <w:tc>
          <w:tcPr>
            <w:tcW w:w="5481" w:type="dxa"/>
            <w:vAlign w:val="top"/>
          </w:tcPr>
          <w:p w14:paraId="3A90A04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2EFFD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3241" w:type="dxa"/>
            <w:vAlign w:val="top"/>
          </w:tcPr>
          <w:p w14:paraId="16B7AE4E">
            <w:pPr>
              <w:pStyle w:val="27"/>
              <w:pageBreakBefore w:val="0"/>
              <w:kinsoku w:val="0"/>
              <w:overflowPunct/>
              <w:topLinePunct w:val="0"/>
              <w:autoSpaceDE w:val="0"/>
              <w:autoSpaceDN w:val="0"/>
              <w:bidi w:val="0"/>
              <w:adjustRightInd w:val="0"/>
              <w:snapToGrid w:val="0"/>
              <w:spacing w:before="223" w:line="191" w:lineRule="auto"/>
              <w:ind w:left="1122" w:right="0"/>
              <w:textAlignment w:val="baseline"/>
              <w:rPr>
                <w:rFonts w:hint="eastAsia" w:ascii="仿宋" w:hAnsi="仿宋" w:eastAsia="仿宋" w:cs="仿宋"/>
              </w:rPr>
            </w:pPr>
            <w:r>
              <w:rPr>
                <w:rFonts w:hint="eastAsia" w:ascii="仿宋" w:hAnsi="仿宋" w:eastAsia="仿宋" w:cs="仿宋"/>
                <w:spacing w:val="17"/>
              </w:rPr>
              <w:t>工程质量</w:t>
            </w:r>
          </w:p>
        </w:tc>
        <w:tc>
          <w:tcPr>
            <w:tcW w:w="5481" w:type="dxa"/>
            <w:vAlign w:val="top"/>
          </w:tcPr>
          <w:p w14:paraId="0E8712A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0432B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3241" w:type="dxa"/>
            <w:vAlign w:val="top"/>
          </w:tcPr>
          <w:p w14:paraId="1A6FEC91">
            <w:pPr>
              <w:pStyle w:val="27"/>
              <w:pageBreakBefore w:val="0"/>
              <w:kinsoku w:val="0"/>
              <w:overflowPunct/>
              <w:topLinePunct w:val="0"/>
              <w:autoSpaceDE w:val="0"/>
              <w:autoSpaceDN w:val="0"/>
              <w:bidi w:val="0"/>
              <w:adjustRightInd w:val="0"/>
              <w:snapToGrid w:val="0"/>
              <w:spacing w:before="222" w:line="191" w:lineRule="auto"/>
              <w:ind w:left="1123" w:right="0"/>
              <w:textAlignment w:val="baseline"/>
              <w:rPr>
                <w:rFonts w:hint="eastAsia" w:ascii="仿宋" w:hAnsi="仿宋" w:eastAsia="仿宋" w:cs="仿宋"/>
              </w:rPr>
            </w:pPr>
            <w:r>
              <w:rPr>
                <w:rFonts w:hint="eastAsia" w:ascii="仿宋" w:hAnsi="仿宋" w:eastAsia="仿宋" w:cs="仿宋"/>
                <w:spacing w:val="17"/>
              </w:rPr>
              <w:t>项目经理</w:t>
            </w:r>
          </w:p>
        </w:tc>
        <w:tc>
          <w:tcPr>
            <w:tcW w:w="5481" w:type="dxa"/>
            <w:vAlign w:val="top"/>
          </w:tcPr>
          <w:p w14:paraId="5F99B60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6F667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241" w:type="dxa"/>
            <w:vAlign w:val="top"/>
          </w:tcPr>
          <w:p w14:paraId="1EF8BC3C">
            <w:pPr>
              <w:pStyle w:val="27"/>
              <w:pageBreakBefore w:val="0"/>
              <w:kinsoku w:val="0"/>
              <w:overflowPunct/>
              <w:topLinePunct w:val="0"/>
              <w:autoSpaceDE w:val="0"/>
              <w:autoSpaceDN w:val="0"/>
              <w:bidi w:val="0"/>
              <w:adjustRightInd w:val="0"/>
              <w:snapToGrid w:val="0"/>
              <w:spacing w:before="256" w:line="191" w:lineRule="auto"/>
              <w:ind w:left="988" w:right="0"/>
              <w:textAlignment w:val="baseline"/>
              <w:rPr>
                <w:rFonts w:hint="eastAsia" w:ascii="仿宋" w:hAnsi="仿宋" w:eastAsia="仿宋" w:cs="仿宋"/>
              </w:rPr>
            </w:pPr>
            <w:r>
              <w:rPr>
                <w:rFonts w:hint="eastAsia" w:ascii="仿宋" w:hAnsi="仿宋" w:eastAsia="仿宋" w:cs="仿宋"/>
                <w:spacing w:val="20"/>
              </w:rPr>
              <w:t>技术负责人</w:t>
            </w:r>
          </w:p>
        </w:tc>
        <w:tc>
          <w:tcPr>
            <w:tcW w:w="5481" w:type="dxa"/>
            <w:vAlign w:val="top"/>
          </w:tcPr>
          <w:p w14:paraId="7ACF748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582CB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3241" w:type="dxa"/>
            <w:vAlign w:val="top"/>
          </w:tcPr>
          <w:p w14:paraId="3BBB5DA1">
            <w:pPr>
              <w:pStyle w:val="27"/>
              <w:pageBreakBefore w:val="0"/>
              <w:kinsoku w:val="0"/>
              <w:overflowPunct/>
              <w:topLinePunct w:val="0"/>
              <w:autoSpaceDE w:val="0"/>
              <w:autoSpaceDN w:val="0"/>
              <w:bidi w:val="0"/>
              <w:adjustRightInd w:val="0"/>
              <w:snapToGrid w:val="0"/>
              <w:spacing w:before="258" w:line="191" w:lineRule="auto"/>
              <w:ind w:left="859" w:right="0"/>
              <w:textAlignment w:val="baseline"/>
              <w:rPr>
                <w:rFonts w:hint="eastAsia" w:ascii="仿宋" w:hAnsi="仿宋" w:eastAsia="仿宋" w:cs="仿宋"/>
              </w:rPr>
            </w:pPr>
            <w:r>
              <w:rPr>
                <w:rFonts w:hint="eastAsia" w:ascii="仿宋" w:hAnsi="仿宋" w:eastAsia="仿宋" w:cs="仿宋"/>
                <w:spacing w:val="21"/>
              </w:rPr>
              <w:t>合同项目描述</w:t>
            </w:r>
          </w:p>
        </w:tc>
        <w:tc>
          <w:tcPr>
            <w:tcW w:w="5481" w:type="dxa"/>
            <w:vAlign w:val="top"/>
          </w:tcPr>
          <w:p w14:paraId="072FCBA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3AAC3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3241" w:type="dxa"/>
            <w:vAlign w:val="top"/>
          </w:tcPr>
          <w:p w14:paraId="58D8B059">
            <w:pPr>
              <w:pStyle w:val="27"/>
              <w:pageBreakBefore w:val="0"/>
              <w:kinsoku w:val="0"/>
              <w:overflowPunct/>
              <w:topLinePunct w:val="0"/>
              <w:autoSpaceDE w:val="0"/>
              <w:autoSpaceDN w:val="0"/>
              <w:bidi w:val="0"/>
              <w:adjustRightInd w:val="0"/>
              <w:snapToGrid w:val="0"/>
              <w:spacing w:before="223" w:line="193" w:lineRule="auto"/>
              <w:ind w:left="1381" w:right="0"/>
              <w:textAlignment w:val="baseline"/>
              <w:rPr>
                <w:rFonts w:hint="eastAsia" w:ascii="仿宋" w:hAnsi="仿宋" w:eastAsia="仿宋" w:cs="仿宋"/>
              </w:rPr>
            </w:pPr>
            <w:r>
              <w:rPr>
                <w:rFonts w:hint="eastAsia" w:ascii="仿宋" w:hAnsi="仿宋" w:eastAsia="仿宋" w:cs="仿宋"/>
                <w:spacing w:val="8"/>
              </w:rPr>
              <w:t>备注</w:t>
            </w:r>
          </w:p>
        </w:tc>
        <w:tc>
          <w:tcPr>
            <w:tcW w:w="5481" w:type="dxa"/>
            <w:vAlign w:val="top"/>
          </w:tcPr>
          <w:p w14:paraId="02C1360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bl>
    <w:p w14:paraId="0E5E0377">
      <w:pPr>
        <w:pageBreakBefore w:val="0"/>
        <w:kinsoku w:val="0"/>
        <w:overflowPunct/>
        <w:topLinePunct w:val="0"/>
        <w:autoSpaceDE w:val="0"/>
        <w:autoSpaceDN w:val="0"/>
        <w:bidi w:val="0"/>
        <w:adjustRightInd w:val="0"/>
        <w:snapToGrid w:val="0"/>
        <w:spacing w:line="413" w:lineRule="auto"/>
        <w:ind w:right="0"/>
        <w:textAlignment w:val="baseline"/>
        <w:rPr>
          <w:rFonts w:hint="eastAsia" w:ascii="仿宋" w:hAnsi="仿宋" w:eastAsia="仿宋" w:cs="仿宋"/>
          <w:sz w:val="21"/>
        </w:rPr>
      </w:pPr>
    </w:p>
    <w:p w14:paraId="28ADA5B7">
      <w:pPr>
        <w:pStyle w:val="5"/>
        <w:pageBreakBefore w:val="0"/>
        <w:kinsoku w:val="0"/>
        <w:overflowPunct/>
        <w:topLinePunct w:val="0"/>
        <w:autoSpaceDE w:val="0"/>
        <w:autoSpaceDN w:val="0"/>
        <w:bidi w:val="0"/>
        <w:adjustRightInd w:val="0"/>
        <w:snapToGrid w:val="0"/>
        <w:spacing w:before="98" w:line="217" w:lineRule="auto"/>
        <w:ind w:left="13" w:right="0" w:hanging="4"/>
        <w:textAlignment w:val="baseline"/>
        <w:rPr>
          <w:rFonts w:hint="eastAsia" w:ascii="仿宋" w:hAnsi="仿宋" w:eastAsia="仿宋" w:cs="仿宋"/>
          <w:sz w:val="23"/>
          <w:szCs w:val="23"/>
        </w:rPr>
      </w:pPr>
      <w:r>
        <w:rPr>
          <w:rFonts w:hint="eastAsia" w:ascii="仿宋" w:hAnsi="仿宋" w:eastAsia="仿宋" w:cs="仿宋"/>
          <w:spacing w:val="21"/>
          <w:sz w:val="23"/>
          <w:szCs w:val="23"/>
        </w:rPr>
        <w:t>本表后附中标通知书和(或)合同协议书</w:t>
      </w:r>
      <w:r>
        <w:rPr>
          <w:rFonts w:hint="eastAsia" w:ascii="仿宋" w:hAnsi="仿宋" w:eastAsia="仿宋" w:cs="仿宋"/>
          <w:spacing w:val="20"/>
          <w:sz w:val="23"/>
          <w:szCs w:val="23"/>
        </w:rPr>
        <w:t>的复印件，每张表格只填写一个项目，</w:t>
      </w:r>
      <w:r>
        <w:rPr>
          <w:rFonts w:hint="eastAsia" w:ascii="仿宋" w:hAnsi="仿宋" w:eastAsia="仿宋" w:cs="仿宋"/>
          <w:spacing w:val="16"/>
          <w:sz w:val="23"/>
          <w:szCs w:val="23"/>
        </w:rPr>
        <w:t>并标明序号。</w:t>
      </w:r>
    </w:p>
    <w:p w14:paraId="255F0351">
      <w:pPr>
        <w:pageBreakBefore w:val="0"/>
        <w:kinsoku w:val="0"/>
        <w:overflowPunct/>
        <w:topLinePunct w:val="0"/>
        <w:autoSpaceDE w:val="0"/>
        <w:autoSpaceDN w:val="0"/>
        <w:bidi w:val="0"/>
        <w:adjustRightInd w:val="0"/>
        <w:snapToGrid w:val="0"/>
        <w:spacing w:line="217" w:lineRule="auto"/>
        <w:ind w:right="0"/>
        <w:textAlignment w:val="baseline"/>
        <w:rPr>
          <w:rFonts w:hint="eastAsia" w:ascii="仿宋" w:hAnsi="仿宋" w:eastAsia="仿宋" w:cs="仿宋"/>
          <w:sz w:val="23"/>
          <w:szCs w:val="23"/>
        </w:rPr>
        <w:sectPr>
          <w:footerReference r:id="rId32" w:type="default"/>
          <w:pgSz w:w="11905" w:h="16838"/>
          <w:pgMar w:top="1440" w:right="1803" w:bottom="1440" w:left="1803" w:header="0" w:footer="567" w:gutter="0"/>
          <w:pgNumType w:fmt="decimal"/>
          <w:cols w:space="0" w:num="1"/>
          <w:rtlGutter w:val="0"/>
          <w:docGrid w:linePitch="0" w:charSpace="0"/>
        </w:sectPr>
      </w:pPr>
    </w:p>
    <w:p w14:paraId="5144D786">
      <w:pPr>
        <w:pStyle w:val="5"/>
        <w:pageBreakBefore w:val="0"/>
        <w:kinsoku w:val="0"/>
        <w:overflowPunct/>
        <w:topLinePunct w:val="0"/>
        <w:autoSpaceDE w:val="0"/>
        <w:autoSpaceDN w:val="0"/>
        <w:bidi w:val="0"/>
        <w:adjustRightInd w:val="0"/>
        <w:snapToGrid w:val="0"/>
        <w:spacing w:before="47" w:line="191" w:lineRule="auto"/>
        <w:ind w:left="10" w:right="0"/>
        <w:jc w:val="center"/>
        <w:textAlignment w:val="baseline"/>
        <w:rPr>
          <w:rFonts w:hint="eastAsia" w:ascii="仿宋" w:hAnsi="仿宋" w:eastAsia="仿宋" w:cs="仿宋"/>
          <w:b/>
          <w:bCs/>
          <w:sz w:val="28"/>
          <w:szCs w:val="28"/>
        </w:rPr>
      </w:pPr>
      <w:r>
        <w:rPr>
          <w:rFonts w:hint="eastAsia" w:ascii="仿宋" w:hAnsi="仿宋" w:eastAsia="仿宋" w:cs="仿宋"/>
          <w:b/>
          <w:bCs/>
          <w:spacing w:val="16"/>
          <w:sz w:val="28"/>
          <w:szCs w:val="28"/>
        </w:rPr>
        <w:t>6、项目管理机构组成表</w:t>
      </w:r>
    </w:p>
    <w:p w14:paraId="7447EA0F">
      <w:pPr>
        <w:pageBreakBefore w:val="0"/>
        <w:kinsoku w:val="0"/>
        <w:overflowPunct/>
        <w:topLinePunct w:val="0"/>
        <w:autoSpaceDE w:val="0"/>
        <w:autoSpaceDN w:val="0"/>
        <w:bidi w:val="0"/>
        <w:adjustRightInd w:val="0"/>
        <w:snapToGrid w:val="0"/>
        <w:spacing w:before="140"/>
        <w:ind w:right="0"/>
        <w:textAlignment w:val="baseline"/>
        <w:rPr>
          <w:rFonts w:hint="eastAsia" w:ascii="仿宋" w:hAnsi="仿宋" w:eastAsia="仿宋" w:cs="仿宋"/>
        </w:rPr>
      </w:pPr>
    </w:p>
    <w:tbl>
      <w:tblPr>
        <w:tblStyle w:val="26"/>
        <w:tblW w:w="8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964"/>
        <w:gridCol w:w="981"/>
        <w:gridCol w:w="1034"/>
        <w:gridCol w:w="654"/>
        <w:gridCol w:w="1180"/>
        <w:gridCol w:w="1126"/>
        <w:gridCol w:w="884"/>
        <w:gridCol w:w="535"/>
      </w:tblGrid>
      <w:tr w14:paraId="0217B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57" w:type="dxa"/>
            <w:vMerge w:val="restart"/>
            <w:tcBorders>
              <w:bottom w:val="nil"/>
            </w:tcBorders>
            <w:vAlign w:val="top"/>
          </w:tcPr>
          <w:p w14:paraId="1FB6AF58">
            <w:pPr>
              <w:pageBreakBefore w:val="0"/>
              <w:kinsoku w:val="0"/>
              <w:overflowPunct/>
              <w:topLinePunct w:val="0"/>
              <w:autoSpaceDE w:val="0"/>
              <w:autoSpaceDN w:val="0"/>
              <w:bidi w:val="0"/>
              <w:adjustRightInd w:val="0"/>
              <w:snapToGrid w:val="0"/>
              <w:spacing w:line="341" w:lineRule="auto"/>
              <w:ind w:right="0"/>
              <w:textAlignment w:val="baseline"/>
              <w:outlineLvl w:val="9"/>
              <w:rPr>
                <w:rFonts w:hint="eastAsia" w:ascii="仿宋" w:hAnsi="仿宋" w:eastAsia="仿宋" w:cs="仿宋"/>
                <w:sz w:val="21"/>
              </w:rPr>
            </w:pPr>
          </w:p>
          <w:p w14:paraId="710D9DB4">
            <w:pPr>
              <w:pStyle w:val="27"/>
              <w:pageBreakBefore w:val="0"/>
              <w:kinsoku w:val="0"/>
              <w:overflowPunct/>
              <w:topLinePunct w:val="0"/>
              <w:autoSpaceDE w:val="0"/>
              <w:autoSpaceDN w:val="0"/>
              <w:bidi w:val="0"/>
              <w:adjustRightInd w:val="0"/>
              <w:snapToGrid w:val="0"/>
              <w:spacing w:before="99" w:line="191" w:lineRule="auto"/>
              <w:ind w:left="237" w:right="0"/>
              <w:textAlignment w:val="baseline"/>
              <w:outlineLvl w:val="9"/>
              <w:rPr>
                <w:rFonts w:hint="eastAsia" w:ascii="仿宋" w:hAnsi="仿宋" w:eastAsia="仿宋" w:cs="仿宋"/>
              </w:rPr>
            </w:pPr>
            <w:r>
              <w:rPr>
                <w:rFonts w:hint="eastAsia" w:ascii="仿宋" w:hAnsi="仿宋" w:eastAsia="仿宋" w:cs="仿宋"/>
                <w:spacing w:val="8"/>
              </w:rPr>
              <w:t>职务</w:t>
            </w:r>
          </w:p>
        </w:tc>
        <w:tc>
          <w:tcPr>
            <w:tcW w:w="964" w:type="dxa"/>
            <w:vMerge w:val="restart"/>
            <w:tcBorders>
              <w:bottom w:val="nil"/>
            </w:tcBorders>
            <w:vAlign w:val="top"/>
          </w:tcPr>
          <w:p w14:paraId="46B38F9D">
            <w:pPr>
              <w:pageBreakBefore w:val="0"/>
              <w:kinsoku w:val="0"/>
              <w:overflowPunct/>
              <w:topLinePunct w:val="0"/>
              <w:autoSpaceDE w:val="0"/>
              <w:autoSpaceDN w:val="0"/>
              <w:bidi w:val="0"/>
              <w:adjustRightInd w:val="0"/>
              <w:snapToGrid w:val="0"/>
              <w:spacing w:line="340" w:lineRule="auto"/>
              <w:ind w:right="0"/>
              <w:textAlignment w:val="baseline"/>
              <w:outlineLvl w:val="9"/>
              <w:rPr>
                <w:rFonts w:hint="eastAsia" w:ascii="仿宋" w:hAnsi="仿宋" w:eastAsia="仿宋" w:cs="仿宋"/>
                <w:sz w:val="21"/>
              </w:rPr>
            </w:pPr>
          </w:p>
          <w:p w14:paraId="3331E824">
            <w:pPr>
              <w:pStyle w:val="27"/>
              <w:pageBreakBefore w:val="0"/>
              <w:kinsoku w:val="0"/>
              <w:overflowPunct/>
              <w:topLinePunct w:val="0"/>
              <w:autoSpaceDE w:val="0"/>
              <w:autoSpaceDN w:val="0"/>
              <w:bidi w:val="0"/>
              <w:adjustRightInd w:val="0"/>
              <w:snapToGrid w:val="0"/>
              <w:spacing w:before="99" w:line="192" w:lineRule="auto"/>
              <w:ind w:left="237" w:right="0"/>
              <w:textAlignment w:val="baseline"/>
              <w:outlineLvl w:val="9"/>
              <w:rPr>
                <w:rFonts w:hint="eastAsia" w:ascii="仿宋" w:hAnsi="仿宋" w:eastAsia="仿宋" w:cs="仿宋"/>
              </w:rPr>
            </w:pPr>
            <w:r>
              <w:rPr>
                <w:rFonts w:hint="eastAsia" w:ascii="仿宋" w:hAnsi="仿宋" w:eastAsia="仿宋" w:cs="仿宋"/>
                <w:spacing w:val="10"/>
              </w:rPr>
              <w:t>姓名</w:t>
            </w:r>
          </w:p>
        </w:tc>
        <w:tc>
          <w:tcPr>
            <w:tcW w:w="981" w:type="dxa"/>
            <w:vMerge w:val="restart"/>
            <w:tcBorders>
              <w:bottom w:val="nil"/>
            </w:tcBorders>
            <w:vAlign w:val="top"/>
          </w:tcPr>
          <w:p w14:paraId="22CF1AB7">
            <w:pPr>
              <w:pageBreakBefore w:val="0"/>
              <w:kinsoku w:val="0"/>
              <w:overflowPunct/>
              <w:topLinePunct w:val="0"/>
              <w:autoSpaceDE w:val="0"/>
              <w:autoSpaceDN w:val="0"/>
              <w:bidi w:val="0"/>
              <w:adjustRightInd w:val="0"/>
              <w:snapToGrid w:val="0"/>
              <w:spacing w:line="341" w:lineRule="auto"/>
              <w:ind w:right="0"/>
              <w:textAlignment w:val="baseline"/>
              <w:outlineLvl w:val="9"/>
              <w:rPr>
                <w:rFonts w:hint="eastAsia" w:ascii="仿宋" w:hAnsi="仿宋" w:eastAsia="仿宋" w:cs="仿宋"/>
                <w:sz w:val="21"/>
              </w:rPr>
            </w:pPr>
          </w:p>
          <w:p w14:paraId="6F38B06F">
            <w:pPr>
              <w:pStyle w:val="27"/>
              <w:pageBreakBefore w:val="0"/>
              <w:kinsoku w:val="0"/>
              <w:overflowPunct/>
              <w:topLinePunct w:val="0"/>
              <w:autoSpaceDE w:val="0"/>
              <w:autoSpaceDN w:val="0"/>
              <w:bidi w:val="0"/>
              <w:adjustRightInd w:val="0"/>
              <w:snapToGrid w:val="0"/>
              <w:spacing w:before="99" w:line="192" w:lineRule="auto"/>
              <w:ind w:left="248" w:right="0"/>
              <w:textAlignment w:val="baseline"/>
              <w:outlineLvl w:val="9"/>
              <w:rPr>
                <w:rFonts w:hint="eastAsia" w:ascii="仿宋" w:hAnsi="仿宋" w:eastAsia="仿宋" w:cs="仿宋"/>
              </w:rPr>
            </w:pPr>
            <w:r>
              <w:rPr>
                <w:rFonts w:hint="eastAsia" w:ascii="仿宋" w:hAnsi="仿宋" w:eastAsia="仿宋" w:cs="仿宋"/>
                <w:spacing w:val="8"/>
              </w:rPr>
              <w:t>职称</w:t>
            </w:r>
          </w:p>
        </w:tc>
        <w:tc>
          <w:tcPr>
            <w:tcW w:w="4878" w:type="dxa"/>
            <w:gridSpan w:val="5"/>
            <w:vAlign w:val="top"/>
          </w:tcPr>
          <w:p w14:paraId="725B5D14">
            <w:pPr>
              <w:pStyle w:val="27"/>
              <w:pageBreakBefore w:val="0"/>
              <w:kinsoku w:val="0"/>
              <w:overflowPunct/>
              <w:topLinePunct w:val="0"/>
              <w:autoSpaceDE w:val="0"/>
              <w:autoSpaceDN w:val="0"/>
              <w:bidi w:val="0"/>
              <w:adjustRightInd w:val="0"/>
              <w:snapToGrid w:val="0"/>
              <w:spacing w:before="174" w:line="192" w:lineRule="auto"/>
              <w:ind w:left="1462" w:right="0"/>
              <w:textAlignment w:val="baseline"/>
              <w:outlineLvl w:val="9"/>
              <w:rPr>
                <w:rFonts w:hint="eastAsia" w:ascii="仿宋" w:hAnsi="仿宋" w:eastAsia="仿宋" w:cs="仿宋"/>
              </w:rPr>
            </w:pPr>
            <w:r>
              <w:rPr>
                <w:rFonts w:hint="eastAsia" w:ascii="仿宋" w:hAnsi="仿宋" w:eastAsia="仿宋" w:cs="仿宋"/>
                <w:spacing w:val="24"/>
              </w:rPr>
              <w:t>执业或职业资格证明</w:t>
            </w:r>
          </w:p>
        </w:tc>
        <w:tc>
          <w:tcPr>
            <w:tcW w:w="535" w:type="dxa"/>
            <w:vAlign w:val="top"/>
          </w:tcPr>
          <w:p w14:paraId="24273E4B">
            <w:pPr>
              <w:pStyle w:val="27"/>
              <w:pageBreakBefore w:val="0"/>
              <w:kinsoku w:val="0"/>
              <w:overflowPunct/>
              <w:topLinePunct w:val="0"/>
              <w:autoSpaceDE w:val="0"/>
              <w:autoSpaceDN w:val="0"/>
              <w:bidi w:val="0"/>
              <w:adjustRightInd w:val="0"/>
              <w:snapToGrid w:val="0"/>
              <w:spacing w:before="175" w:line="193" w:lineRule="auto"/>
              <w:ind w:left="252" w:right="0"/>
              <w:textAlignment w:val="baseline"/>
              <w:outlineLvl w:val="9"/>
              <w:rPr>
                <w:rFonts w:hint="eastAsia" w:ascii="仿宋" w:hAnsi="仿宋" w:eastAsia="仿宋" w:cs="仿宋"/>
              </w:rPr>
            </w:pPr>
            <w:r>
              <w:rPr>
                <w:rFonts w:hint="eastAsia" w:ascii="仿宋" w:hAnsi="仿宋" w:eastAsia="仿宋" w:cs="仿宋"/>
                <w:spacing w:val="8"/>
              </w:rPr>
              <w:t>备注</w:t>
            </w:r>
          </w:p>
        </w:tc>
      </w:tr>
      <w:tr w14:paraId="56500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57" w:type="dxa"/>
            <w:vMerge w:val="continue"/>
            <w:tcBorders>
              <w:top w:val="nil"/>
            </w:tcBorders>
            <w:vAlign w:val="top"/>
          </w:tcPr>
          <w:p w14:paraId="1B53DBA5">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64" w:type="dxa"/>
            <w:vMerge w:val="continue"/>
            <w:tcBorders>
              <w:top w:val="nil"/>
            </w:tcBorders>
            <w:vAlign w:val="top"/>
          </w:tcPr>
          <w:p w14:paraId="76B9F0A6">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81" w:type="dxa"/>
            <w:vMerge w:val="continue"/>
            <w:tcBorders>
              <w:top w:val="nil"/>
            </w:tcBorders>
            <w:vAlign w:val="top"/>
          </w:tcPr>
          <w:p w14:paraId="10192263">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034" w:type="dxa"/>
            <w:vAlign w:val="top"/>
          </w:tcPr>
          <w:p w14:paraId="1522BFF9">
            <w:pPr>
              <w:pStyle w:val="27"/>
              <w:pageBreakBefore w:val="0"/>
              <w:kinsoku w:val="0"/>
              <w:overflowPunct/>
              <w:topLinePunct w:val="0"/>
              <w:autoSpaceDE w:val="0"/>
              <w:autoSpaceDN w:val="0"/>
              <w:bidi w:val="0"/>
              <w:adjustRightInd w:val="0"/>
              <w:snapToGrid w:val="0"/>
              <w:spacing w:before="176" w:line="192" w:lineRule="auto"/>
              <w:ind w:left="34" w:right="0"/>
              <w:textAlignment w:val="baseline"/>
              <w:outlineLvl w:val="9"/>
              <w:rPr>
                <w:rFonts w:hint="eastAsia" w:ascii="仿宋" w:hAnsi="仿宋" w:eastAsia="仿宋" w:cs="仿宋"/>
              </w:rPr>
            </w:pPr>
            <w:r>
              <w:rPr>
                <w:rFonts w:hint="eastAsia" w:ascii="仿宋" w:hAnsi="仿宋" w:eastAsia="仿宋" w:cs="仿宋"/>
                <w:spacing w:val="10"/>
              </w:rPr>
              <w:t>证书名称</w:t>
            </w:r>
          </w:p>
        </w:tc>
        <w:tc>
          <w:tcPr>
            <w:tcW w:w="654" w:type="dxa"/>
            <w:vAlign w:val="top"/>
          </w:tcPr>
          <w:p w14:paraId="308C5534">
            <w:pPr>
              <w:pStyle w:val="27"/>
              <w:pageBreakBefore w:val="0"/>
              <w:kinsoku w:val="0"/>
              <w:overflowPunct/>
              <w:topLinePunct w:val="0"/>
              <w:autoSpaceDE w:val="0"/>
              <w:autoSpaceDN w:val="0"/>
              <w:bidi w:val="0"/>
              <w:adjustRightInd w:val="0"/>
              <w:snapToGrid w:val="0"/>
              <w:spacing w:before="176" w:line="192" w:lineRule="auto"/>
              <w:ind w:left="91" w:right="0"/>
              <w:textAlignment w:val="baseline"/>
              <w:outlineLvl w:val="9"/>
              <w:rPr>
                <w:rFonts w:hint="eastAsia" w:ascii="仿宋" w:hAnsi="仿宋" w:eastAsia="仿宋" w:cs="仿宋"/>
              </w:rPr>
            </w:pPr>
            <w:r>
              <w:rPr>
                <w:rFonts w:hint="eastAsia" w:ascii="仿宋" w:hAnsi="仿宋" w:eastAsia="仿宋" w:cs="仿宋"/>
                <w:spacing w:val="5"/>
              </w:rPr>
              <w:t>级别</w:t>
            </w:r>
          </w:p>
        </w:tc>
        <w:tc>
          <w:tcPr>
            <w:tcW w:w="1180" w:type="dxa"/>
            <w:vAlign w:val="top"/>
          </w:tcPr>
          <w:p w14:paraId="4928A951">
            <w:pPr>
              <w:pStyle w:val="27"/>
              <w:pageBreakBefore w:val="0"/>
              <w:kinsoku w:val="0"/>
              <w:overflowPunct/>
              <w:topLinePunct w:val="0"/>
              <w:autoSpaceDE w:val="0"/>
              <w:autoSpaceDN w:val="0"/>
              <w:bidi w:val="0"/>
              <w:adjustRightInd w:val="0"/>
              <w:snapToGrid w:val="0"/>
              <w:spacing w:before="177" w:line="195" w:lineRule="auto"/>
              <w:ind w:left="348" w:right="0"/>
              <w:textAlignment w:val="baseline"/>
              <w:outlineLvl w:val="9"/>
              <w:rPr>
                <w:rFonts w:hint="eastAsia" w:ascii="仿宋" w:hAnsi="仿宋" w:eastAsia="仿宋" w:cs="仿宋"/>
              </w:rPr>
            </w:pPr>
            <w:r>
              <w:rPr>
                <w:rFonts w:hint="eastAsia" w:ascii="仿宋" w:hAnsi="仿宋" w:eastAsia="仿宋" w:cs="仿宋"/>
                <w:spacing w:val="10"/>
              </w:rPr>
              <w:t>证号</w:t>
            </w:r>
          </w:p>
        </w:tc>
        <w:tc>
          <w:tcPr>
            <w:tcW w:w="1126" w:type="dxa"/>
            <w:vAlign w:val="top"/>
          </w:tcPr>
          <w:p w14:paraId="088667A1">
            <w:pPr>
              <w:pStyle w:val="27"/>
              <w:pageBreakBefore w:val="0"/>
              <w:kinsoku w:val="0"/>
              <w:overflowPunct/>
              <w:topLinePunct w:val="0"/>
              <w:autoSpaceDE w:val="0"/>
              <w:autoSpaceDN w:val="0"/>
              <w:bidi w:val="0"/>
              <w:adjustRightInd w:val="0"/>
              <w:snapToGrid w:val="0"/>
              <w:spacing w:before="177" w:line="191" w:lineRule="auto"/>
              <w:ind w:left="323" w:right="0"/>
              <w:textAlignment w:val="baseline"/>
              <w:outlineLvl w:val="9"/>
              <w:rPr>
                <w:rFonts w:hint="eastAsia" w:ascii="仿宋" w:hAnsi="仿宋" w:eastAsia="仿宋" w:cs="仿宋"/>
              </w:rPr>
            </w:pPr>
            <w:r>
              <w:rPr>
                <w:rFonts w:hint="eastAsia" w:ascii="仿宋" w:hAnsi="仿宋" w:eastAsia="仿宋" w:cs="仿宋"/>
                <w:spacing w:val="8"/>
              </w:rPr>
              <w:t>专业</w:t>
            </w:r>
          </w:p>
        </w:tc>
        <w:tc>
          <w:tcPr>
            <w:tcW w:w="884" w:type="dxa"/>
            <w:vAlign w:val="top"/>
          </w:tcPr>
          <w:p w14:paraId="72D461BA">
            <w:pPr>
              <w:pStyle w:val="27"/>
              <w:pageBreakBefore w:val="0"/>
              <w:kinsoku w:val="0"/>
              <w:overflowPunct/>
              <w:topLinePunct w:val="0"/>
              <w:autoSpaceDE w:val="0"/>
              <w:autoSpaceDN w:val="0"/>
              <w:bidi w:val="0"/>
              <w:adjustRightInd w:val="0"/>
              <w:snapToGrid w:val="0"/>
              <w:spacing w:before="176" w:line="191" w:lineRule="auto"/>
              <w:ind w:left="122" w:right="0"/>
              <w:textAlignment w:val="baseline"/>
              <w:outlineLvl w:val="9"/>
              <w:rPr>
                <w:rFonts w:hint="eastAsia" w:ascii="仿宋" w:hAnsi="仿宋" w:eastAsia="仿宋" w:cs="仿宋"/>
              </w:rPr>
            </w:pPr>
            <w:r>
              <w:rPr>
                <w:rFonts w:hint="eastAsia" w:ascii="仿宋" w:hAnsi="仿宋" w:eastAsia="仿宋" w:cs="仿宋"/>
                <w:spacing w:val="17"/>
              </w:rPr>
              <w:t>社会保险</w:t>
            </w:r>
          </w:p>
        </w:tc>
        <w:tc>
          <w:tcPr>
            <w:tcW w:w="535" w:type="dxa"/>
            <w:vAlign w:val="top"/>
          </w:tcPr>
          <w:p w14:paraId="533198D6">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r>
      <w:tr w14:paraId="1CAC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957" w:type="dxa"/>
            <w:vAlign w:val="top"/>
          </w:tcPr>
          <w:p w14:paraId="25A5F68C">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64" w:type="dxa"/>
            <w:vAlign w:val="top"/>
          </w:tcPr>
          <w:p w14:paraId="6FDBDFE9">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81" w:type="dxa"/>
            <w:vAlign w:val="top"/>
          </w:tcPr>
          <w:p w14:paraId="4FF5D3BC">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034" w:type="dxa"/>
            <w:vAlign w:val="top"/>
          </w:tcPr>
          <w:p w14:paraId="6718CA14">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654" w:type="dxa"/>
            <w:vAlign w:val="top"/>
          </w:tcPr>
          <w:p w14:paraId="497495FB">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180" w:type="dxa"/>
            <w:vAlign w:val="top"/>
          </w:tcPr>
          <w:p w14:paraId="7A23243D">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126" w:type="dxa"/>
            <w:vAlign w:val="top"/>
          </w:tcPr>
          <w:p w14:paraId="53CF7658">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884" w:type="dxa"/>
            <w:vAlign w:val="top"/>
          </w:tcPr>
          <w:p w14:paraId="748C369E">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535" w:type="dxa"/>
            <w:vAlign w:val="top"/>
          </w:tcPr>
          <w:p w14:paraId="55C867BE">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48AF3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957" w:type="dxa"/>
            <w:vAlign w:val="top"/>
          </w:tcPr>
          <w:p w14:paraId="6319AAE9">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64" w:type="dxa"/>
            <w:vAlign w:val="top"/>
          </w:tcPr>
          <w:p w14:paraId="7559C488">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81" w:type="dxa"/>
            <w:vAlign w:val="top"/>
          </w:tcPr>
          <w:p w14:paraId="2010B047">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034" w:type="dxa"/>
            <w:vAlign w:val="top"/>
          </w:tcPr>
          <w:p w14:paraId="68A9F92C">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654" w:type="dxa"/>
            <w:vAlign w:val="top"/>
          </w:tcPr>
          <w:p w14:paraId="211E970A">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180" w:type="dxa"/>
            <w:vAlign w:val="top"/>
          </w:tcPr>
          <w:p w14:paraId="4D6C332E">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126" w:type="dxa"/>
            <w:vAlign w:val="top"/>
          </w:tcPr>
          <w:p w14:paraId="12E94C24">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884" w:type="dxa"/>
            <w:vAlign w:val="top"/>
          </w:tcPr>
          <w:p w14:paraId="3B5F853D">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535" w:type="dxa"/>
            <w:vAlign w:val="top"/>
          </w:tcPr>
          <w:p w14:paraId="2C195E5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59EAC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957" w:type="dxa"/>
            <w:vAlign w:val="top"/>
          </w:tcPr>
          <w:p w14:paraId="6EA2884B">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64" w:type="dxa"/>
            <w:vAlign w:val="top"/>
          </w:tcPr>
          <w:p w14:paraId="70B17D3F">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81" w:type="dxa"/>
            <w:vAlign w:val="top"/>
          </w:tcPr>
          <w:p w14:paraId="74B2775A">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034" w:type="dxa"/>
            <w:vAlign w:val="top"/>
          </w:tcPr>
          <w:p w14:paraId="3C0E6B0E">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654" w:type="dxa"/>
            <w:vAlign w:val="top"/>
          </w:tcPr>
          <w:p w14:paraId="3E508FB7">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180" w:type="dxa"/>
            <w:vAlign w:val="top"/>
          </w:tcPr>
          <w:p w14:paraId="70006E7A">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126" w:type="dxa"/>
            <w:vAlign w:val="top"/>
          </w:tcPr>
          <w:p w14:paraId="4EA3D75E">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884" w:type="dxa"/>
            <w:vAlign w:val="top"/>
          </w:tcPr>
          <w:p w14:paraId="612DA490">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535" w:type="dxa"/>
            <w:vAlign w:val="top"/>
          </w:tcPr>
          <w:p w14:paraId="75B7B6DE">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49609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57" w:type="dxa"/>
            <w:vAlign w:val="top"/>
          </w:tcPr>
          <w:p w14:paraId="100D18A1">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64" w:type="dxa"/>
            <w:vAlign w:val="top"/>
          </w:tcPr>
          <w:p w14:paraId="010E331D">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81" w:type="dxa"/>
            <w:vAlign w:val="top"/>
          </w:tcPr>
          <w:p w14:paraId="7CAE63A1">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034" w:type="dxa"/>
            <w:vAlign w:val="top"/>
          </w:tcPr>
          <w:p w14:paraId="37CD73D3">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654" w:type="dxa"/>
            <w:vAlign w:val="top"/>
          </w:tcPr>
          <w:p w14:paraId="0EF42D81">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180" w:type="dxa"/>
            <w:vAlign w:val="top"/>
          </w:tcPr>
          <w:p w14:paraId="44EF8B15">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126" w:type="dxa"/>
            <w:vAlign w:val="top"/>
          </w:tcPr>
          <w:p w14:paraId="3DE85BA1">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884" w:type="dxa"/>
            <w:vAlign w:val="top"/>
          </w:tcPr>
          <w:p w14:paraId="313E2D7D">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535" w:type="dxa"/>
            <w:vAlign w:val="top"/>
          </w:tcPr>
          <w:p w14:paraId="0715236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3D481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57" w:type="dxa"/>
            <w:vAlign w:val="top"/>
          </w:tcPr>
          <w:p w14:paraId="6D86ABB8">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64" w:type="dxa"/>
            <w:vAlign w:val="top"/>
          </w:tcPr>
          <w:p w14:paraId="0601E4E3">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981" w:type="dxa"/>
            <w:vAlign w:val="top"/>
          </w:tcPr>
          <w:p w14:paraId="5ACFFBF0">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034" w:type="dxa"/>
            <w:vAlign w:val="top"/>
          </w:tcPr>
          <w:p w14:paraId="059ABC55">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654" w:type="dxa"/>
            <w:vAlign w:val="top"/>
          </w:tcPr>
          <w:p w14:paraId="019366BA">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180" w:type="dxa"/>
            <w:vAlign w:val="top"/>
          </w:tcPr>
          <w:p w14:paraId="391A62C8">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1126" w:type="dxa"/>
            <w:vAlign w:val="top"/>
          </w:tcPr>
          <w:p w14:paraId="08D824AD">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884" w:type="dxa"/>
            <w:vAlign w:val="top"/>
          </w:tcPr>
          <w:p w14:paraId="53BB10DD">
            <w:pPr>
              <w:pageBreakBefore w:val="0"/>
              <w:kinsoku w:val="0"/>
              <w:overflowPunct/>
              <w:topLinePunct w:val="0"/>
              <w:autoSpaceDE w:val="0"/>
              <w:autoSpaceDN w:val="0"/>
              <w:bidi w:val="0"/>
              <w:adjustRightInd w:val="0"/>
              <w:snapToGrid w:val="0"/>
              <w:ind w:right="0"/>
              <w:textAlignment w:val="baseline"/>
              <w:outlineLvl w:val="9"/>
              <w:rPr>
                <w:rFonts w:hint="eastAsia" w:ascii="仿宋" w:hAnsi="仿宋" w:eastAsia="仿宋" w:cs="仿宋"/>
                <w:sz w:val="21"/>
              </w:rPr>
            </w:pPr>
          </w:p>
        </w:tc>
        <w:tc>
          <w:tcPr>
            <w:tcW w:w="535" w:type="dxa"/>
            <w:vAlign w:val="top"/>
          </w:tcPr>
          <w:p w14:paraId="23530DE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bl>
    <w:p w14:paraId="1E84EC9F">
      <w:pPr>
        <w:pageBreakBefore w:val="0"/>
        <w:kinsoku w:val="0"/>
        <w:overflowPunct/>
        <w:topLinePunct w:val="0"/>
        <w:autoSpaceDE w:val="0"/>
        <w:autoSpaceDN w:val="0"/>
        <w:bidi w:val="0"/>
        <w:adjustRightInd w:val="0"/>
        <w:snapToGrid w:val="0"/>
        <w:spacing w:line="412" w:lineRule="auto"/>
        <w:ind w:right="0"/>
        <w:textAlignment w:val="baseline"/>
        <w:rPr>
          <w:rFonts w:hint="eastAsia" w:ascii="仿宋" w:hAnsi="仿宋" w:eastAsia="仿宋" w:cs="仿宋"/>
          <w:sz w:val="21"/>
        </w:rPr>
      </w:pPr>
    </w:p>
    <w:p w14:paraId="55DFEF49">
      <w:pPr>
        <w:pStyle w:val="5"/>
        <w:pageBreakBefore w:val="0"/>
        <w:kinsoku w:val="0"/>
        <w:overflowPunct/>
        <w:topLinePunct w:val="0"/>
        <w:autoSpaceDE w:val="0"/>
        <w:autoSpaceDN w:val="0"/>
        <w:bidi w:val="0"/>
        <w:adjustRightInd w:val="0"/>
        <w:snapToGrid w:val="0"/>
        <w:spacing w:before="99" w:line="226" w:lineRule="auto"/>
        <w:ind w:left="10" w:right="0" w:hanging="2"/>
        <w:jc w:val="both"/>
        <w:textAlignment w:val="baseline"/>
        <w:rPr>
          <w:rFonts w:hint="eastAsia" w:ascii="仿宋" w:hAnsi="仿宋" w:eastAsia="仿宋" w:cs="仿宋"/>
          <w:sz w:val="23"/>
          <w:szCs w:val="23"/>
        </w:rPr>
      </w:pPr>
      <w:r>
        <w:rPr>
          <w:rFonts w:hint="eastAsia" w:ascii="仿宋" w:hAnsi="仿宋" w:eastAsia="仿宋" w:cs="仿宋"/>
          <w:spacing w:val="17"/>
          <w:sz w:val="23"/>
          <w:szCs w:val="23"/>
        </w:rPr>
        <w:t>注：本工程一旦我单位中标，将配备上述项目管理人员。上</w:t>
      </w:r>
      <w:r>
        <w:rPr>
          <w:rFonts w:hint="eastAsia" w:ascii="仿宋" w:hAnsi="仿宋" w:eastAsia="仿宋" w:cs="仿宋"/>
          <w:spacing w:val="16"/>
          <w:sz w:val="23"/>
          <w:szCs w:val="23"/>
        </w:rPr>
        <w:t>述填报内容真实，如不</w:t>
      </w:r>
      <w:r>
        <w:rPr>
          <w:rFonts w:hint="eastAsia" w:ascii="仿宋" w:hAnsi="仿宋" w:eastAsia="仿宋" w:cs="仿宋"/>
          <w:spacing w:val="24"/>
          <w:sz w:val="23"/>
          <w:szCs w:val="23"/>
        </w:rPr>
        <w:t>真实，将按照有关规定接受处理。附相关人员身份证、岗位证书或资格证书等证</w:t>
      </w:r>
      <w:r>
        <w:rPr>
          <w:rFonts w:hint="eastAsia" w:ascii="仿宋" w:hAnsi="仿宋" w:eastAsia="仿宋" w:cs="仿宋"/>
          <w:spacing w:val="13"/>
          <w:sz w:val="23"/>
          <w:szCs w:val="23"/>
        </w:rPr>
        <w:t>明文件。</w:t>
      </w:r>
    </w:p>
    <w:p w14:paraId="2A0B4302">
      <w:pPr>
        <w:pageBreakBefore w:val="0"/>
        <w:kinsoku w:val="0"/>
        <w:overflowPunct/>
        <w:topLinePunct w:val="0"/>
        <w:autoSpaceDE w:val="0"/>
        <w:autoSpaceDN w:val="0"/>
        <w:bidi w:val="0"/>
        <w:adjustRightInd w:val="0"/>
        <w:snapToGrid w:val="0"/>
        <w:spacing w:line="226" w:lineRule="auto"/>
        <w:ind w:right="0"/>
        <w:textAlignment w:val="baseline"/>
        <w:rPr>
          <w:rFonts w:hint="eastAsia" w:ascii="仿宋" w:hAnsi="仿宋" w:eastAsia="仿宋" w:cs="仿宋"/>
          <w:sz w:val="23"/>
          <w:szCs w:val="23"/>
        </w:rPr>
        <w:sectPr>
          <w:footerReference r:id="rId33" w:type="default"/>
          <w:pgSz w:w="11905" w:h="16838"/>
          <w:pgMar w:top="1440" w:right="1803" w:bottom="1440" w:left="1803" w:header="0" w:footer="567" w:gutter="0"/>
          <w:pgNumType w:fmt="decimal"/>
          <w:cols w:space="0" w:num="1"/>
          <w:rtlGutter w:val="0"/>
          <w:docGrid w:linePitch="0" w:charSpace="0"/>
        </w:sectPr>
      </w:pPr>
    </w:p>
    <w:p w14:paraId="11CFBF22">
      <w:pPr>
        <w:pStyle w:val="5"/>
        <w:pageBreakBefore w:val="0"/>
        <w:kinsoku w:val="0"/>
        <w:overflowPunct/>
        <w:topLinePunct w:val="0"/>
        <w:autoSpaceDE w:val="0"/>
        <w:autoSpaceDN w:val="0"/>
        <w:bidi w:val="0"/>
        <w:adjustRightInd w:val="0"/>
        <w:snapToGrid w:val="0"/>
        <w:spacing w:before="47" w:line="191" w:lineRule="auto"/>
        <w:ind w:left="1" w:right="0"/>
        <w:jc w:val="center"/>
        <w:textAlignment w:val="baseline"/>
        <w:rPr>
          <w:rFonts w:hint="eastAsia" w:ascii="仿宋" w:hAnsi="仿宋" w:eastAsia="仿宋" w:cs="仿宋"/>
          <w:sz w:val="28"/>
          <w:szCs w:val="28"/>
        </w:rPr>
      </w:pPr>
      <w:r>
        <w:rPr>
          <w:rFonts w:hint="eastAsia" w:ascii="仿宋" w:hAnsi="仿宋" w:eastAsia="仿宋" w:cs="仿宋"/>
          <w:spacing w:val="21"/>
          <w:sz w:val="28"/>
          <w:szCs w:val="28"/>
        </w:rPr>
        <w:t>现场主要人员简历表</w:t>
      </w:r>
    </w:p>
    <w:p w14:paraId="31EF9C36">
      <w:pPr>
        <w:pageBreakBefore w:val="0"/>
        <w:kinsoku w:val="0"/>
        <w:overflowPunct/>
        <w:topLinePunct w:val="0"/>
        <w:autoSpaceDE w:val="0"/>
        <w:autoSpaceDN w:val="0"/>
        <w:bidi w:val="0"/>
        <w:adjustRightInd w:val="0"/>
        <w:snapToGrid w:val="0"/>
        <w:spacing w:line="261" w:lineRule="auto"/>
        <w:ind w:right="0"/>
        <w:textAlignment w:val="baseline"/>
        <w:rPr>
          <w:rFonts w:hint="eastAsia" w:ascii="仿宋" w:hAnsi="仿宋" w:eastAsia="仿宋" w:cs="仿宋"/>
          <w:sz w:val="21"/>
        </w:rPr>
      </w:pPr>
    </w:p>
    <w:p w14:paraId="3D1B57CB">
      <w:pPr>
        <w:pageBreakBefore w:val="0"/>
        <w:kinsoku w:val="0"/>
        <w:overflowPunct/>
        <w:topLinePunct w:val="0"/>
        <w:autoSpaceDE w:val="0"/>
        <w:autoSpaceDN w:val="0"/>
        <w:bidi w:val="0"/>
        <w:adjustRightInd w:val="0"/>
        <w:snapToGrid w:val="0"/>
        <w:spacing w:line="261" w:lineRule="auto"/>
        <w:ind w:right="0"/>
        <w:textAlignment w:val="baseline"/>
        <w:rPr>
          <w:rFonts w:hint="eastAsia" w:ascii="仿宋" w:hAnsi="仿宋" w:eastAsia="仿宋" w:cs="仿宋"/>
          <w:sz w:val="21"/>
        </w:rPr>
      </w:pPr>
    </w:p>
    <w:p w14:paraId="20DC8F90">
      <w:pPr>
        <w:pageBreakBefore w:val="0"/>
        <w:kinsoku w:val="0"/>
        <w:overflowPunct/>
        <w:topLinePunct w:val="0"/>
        <w:autoSpaceDE w:val="0"/>
        <w:autoSpaceDN w:val="0"/>
        <w:bidi w:val="0"/>
        <w:adjustRightInd w:val="0"/>
        <w:snapToGrid w:val="0"/>
        <w:spacing w:line="262" w:lineRule="auto"/>
        <w:ind w:right="0"/>
        <w:textAlignment w:val="baseline"/>
        <w:rPr>
          <w:rFonts w:hint="eastAsia" w:ascii="仿宋" w:hAnsi="仿宋" w:eastAsia="仿宋" w:cs="仿宋"/>
          <w:sz w:val="21"/>
        </w:rPr>
      </w:pPr>
    </w:p>
    <w:p w14:paraId="2930F705">
      <w:pPr>
        <w:pStyle w:val="5"/>
        <w:pageBreakBefore w:val="0"/>
        <w:kinsoku w:val="0"/>
        <w:overflowPunct/>
        <w:topLinePunct w:val="0"/>
        <w:autoSpaceDE w:val="0"/>
        <w:autoSpaceDN w:val="0"/>
        <w:bidi w:val="0"/>
        <w:adjustRightInd w:val="0"/>
        <w:snapToGrid w:val="0"/>
        <w:spacing w:before="98" w:line="360" w:lineRule="auto"/>
        <w:ind w:right="0" w:firstLine="555"/>
        <w:jc w:val="both"/>
        <w:textAlignment w:val="baseline"/>
        <w:rPr>
          <w:rFonts w:hint="eastAsia" w:ascii="仿宋" w:hAnsi="仿宋" w:eastAsia="仿宋" w:cs="仿宋"/>
          <w:color w:val="FF0000"/>
          <w:sz w:val="24"/>
          <w:szCs w:val="24"/>
        </w:rPr>
      </w:pPr>
      <w:r>
        <w:rPr>
          <w:rFonts w:hint="eastAsia" w:ascii="仿宋" w:hAnsi="仿宋" w:eastAsia="仿宋" w:cs="仿宋"/>
          <w:color w:val="FF0000"/>
          <w:spacing w:val="-4"/>
          <w:sz w:val="24"/>
          <w:szCs w:val="24"/>
        </w:rPr>
        <w:t>项目负责人应附职称</w:t>
      </w:r>
      <w:r>
        <w:rPr>
          <w:rFonts w:hint="eastAsia" w:ascii="仿宋" w:hAnsi="仿宋" w:eastAsia="仿宋" w:cs="仿宋"/>
          <w:color w:val="FF0000"/>
          <w:spacing w:val="-4"/>
          <w:sz w:val="24"/>
          <w:szCs w:val="24"/>
          <w:lang w:val="en-US" w:eastAsia="zh-CN"/>
        </w:rPr>
        <w:t>证书或</w:t>
      </w:r>
      <w:r>
        <w:rPr>
          <w:rFonts w:hint="eastAsia" w:ascii="仿宋" w:hAnsi="仿宋" w:eastAsia="仿宋" w:cs="仿宋"/>
          <w:color w:val="FF0000"/>
          <w:spacing w:val="-4"/>
          <w:sz w:val="24"/>
          <w:szCs w:val="24"/>
        </w:rPr>
        <w:t>建造师执业资格证书</w:t>
      </w:r>
      <w:r>
        <w:rPr>
          <w:rFonts w:hint="eastAsia" w:ascii="仿宋" w:hAnsi="仿宋" w:eastAsia="仿宋" w:cs="仿宋"/>
          <w:color w:val="FF0000"/>
          <w:spacing w:val="-4"/>
          <w:sz w:val="24"/>
          <w:szCs w:val="24"/>
          <w:lang w:val="en-US" w:eastAsia="zh-CN"/>
        </w:rPr>
        <w:t>和</w:t>
      </w:r>
      <w:r>
        <w:rPr>
          <w:rFonts w:hint="eastAsia" w:ascii="仿宋" w:hAnsi="仿宋" w:eastAsia="仿宋" w:cs="仿宋"/>
          <w:color w:val="FF0000"/>
          <w:spacing w:val="-4"/>
          <w:sz w:val="24"/>
          <w:szCs w:val="24"/>
        </w:rPr>
        <w:t>注册证书、安全</w:t>
      </w:r>
      <w:r>
        <w:rPr>
          <w:rFonts w:hint="eastAsia" w:ascii="仿宋" w:hAnsi="仿宋" w:eastAsia="仿宋" w:cs="仿宋"/>
          <w:color w:val="FF0000"/>
          <w:spacing w:val="-5"/>
          <w:sz w:val="24"/>
          <w:szCs w:val="24"/>
        </w:rPr>
        <w:t>生产考核合格证</w:t>
      </w:r>
      <w:r>
        <w:rPr>
          <w:rFonts w:hint="eastAsia" w:ascii="仿宋" w:hAnsi="仿宋" w:eastAsia="仿宋" w:cs="仿宋"/>
          <w:color w:val="FF0000"/>
          <w:spacing w:val="23"/>
          <w:sz w:val="24"/>
          <w:szCs w:val="24"/>
        </w:rPr>
        <w:t>书</w:t>
      </w:r>
      <w:r>
        <w:rPr>
          <w:rFonts w:hint="eastAsia" w:ascii="仿宋" w:hAnsi="仿宋" w:eastAsia="仿宋" w:cs="仿宋"/>
          <w:color w:val="FF0000"/>
          <w:spacing w:val="23"/>
          <w:sz w:val="24"/>
          <w:szCs w:val="24"/>
          <w:lang w:eastAsia="zh-CN"/>
        </w:rPr>
        <w:t>（</w:t>
      </w:r>
      <w:r>
        <w:rPr>
          <w:rFonts w:hint="eastAsia" w:ascii="仿宋" w:hAnsi="仿宋" w:eastAsia="仿宋" w:cs="仿宋"/>
          <w:color w:val="FF0000"/>
          <w:spacing w:val="23"/>
          <w:sz w:val="24"/>
          <w:szCs w:val="24"/>
          <w:lang w:val="en-US" w:eastAsia="zh-CN"/>
        </w:rPr>
        <w:t>B证</w:t>
      </w:r>
      <w:r>
        <w:rPr>
          <w:rFonts w:hint="eastAsia" w:ascii="仿宋" w:hAnsi="仿宋" w:eastAsia="仿宋" w:cs="仿宋"/>
          <w:color w:val="FF0000"/>
          <w:spacing w:val="23"/>
          <w:sz w:val="24"/>
          <w:szCs w:val="24"/>
          <w:lang w:eastAsia="zh-CN"/>
        </w:rPr>
        <w:t>）</w:t>
      </w:r>
      <w:r>
        <w:rPr>
          <w:rFonts w:hint="eastAsia" w:ascii="仿宋" w:hAnsi="仿宋" w:eastAsia="仿宋" w:cs="仿宋"/>
          <w:color w:val="FF0000"/>
          <w:spacing w:val="23"/>
          <w:sz w:val="24"/>
          <w:szCs w:val="24"/>
        </w:rPr>
        <w:t>、身份证、养老保险复印件及未担任其他在施建设工程项目项目负责人的承</w:t>
      </w:r>
      <w:r>
        <w:rPr>
          <w:rFonts w:hint="eastAsia" w:ascii="仿宋" w:hAnsi="仿宋" w:eastAsia="仿宋" w:cs="仿宋"/>
          <w:color w:val="FF0000"/>
          <w:spacing w:val="-5"/>
          <w:sz w:val="24"/>
          <w:szCs w:val="24"/>
        </w:rPr>
        <w:t>诺书，管理过的项目业绩须附合同协议书和竣工验收备案登记表复印件(若</w:t>
      </w:r>
      <w:r>
        <w:rPr>
          <w:rFonts w:hint="eastAsia" w:ascii="仿宋" w:hAnsi="仿宋" w:eastAsia="仿宋" w:cs="仿宋"/>
          <w:color w:val="FF0000"/>
          <w:spacing w:val="24"/>
          <w:sz w:val="24"/>
          <w:szCs w:val="24"/>
        </w:rPr>
        <w:t>有)。类似项目限于以项目负责人身份参与的项目。</w:t>
      </w:r>
    </w:p>
    <w:tbl>
      <w:tblPr>
        <w:tblStyle w:val="26"/>
        <w:tblW w:w="832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9"/>
        <w:gridCol w:w="1084"/>
        <w:gridCol w:w="249"/>
        <w:gridCol w:w="938"/>
        <w:gridCol w:w="1268"/>
        <w:gridCol w:w="2006"/>
        <w:gridCol w:w="1299"/>
      </w:tblGrid>
      <w:tr w14:paraId="61FB4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79" w:type="dxa"/>
            <w:vAlign w:val="top"/>
          </w:tcPr>
          <w:p w14:paraId="5D3B06E7">
            <w:pPr>
              <w:pStyle w:val="27"/>
              <w:pageBreakBefore w:val="0"/>
              <w:kinsoku w:val="0"/>
              <w:overflowPunct/>
              <w:topLinePunct w:val="0"/>
              <w:autoSpaceDE w:val="0"/>
              <w:autoSpaceDN w:val="0"/>
              <w:bidi w:val="0"/>
              <w:adjustRightInd w:val="0"/>
              <w:snapToGrid w:val="0"/>
              <w:spacing w:before="145" w:line="188" w:lineRule="auto"/>
              <w:ind w:left="361" w:right="0"/>
              <w:textAlignment w:val="baseline"/>
              <w:rPr>
                <w:rFonts w:hint="eastAsia" w:ascii="仿宋" w:hAnsi="仿宋" w:eastAsia="仿宋" w:cs="仿宋"/>
                <w:sz w:val="24"/>
                <w:szCs w:val="24"/>
              </w:rPr>
            </w:pPr>
            <w:r>
              <w:rPr>
                <w:rFonts w:hint="eastAsia" w:ascii="仿宋" w:hAnsi="仿宋" w:eastAsia="仿宋" w:cs="仿宋"/>
                <w:sz w:val="24"/>
                <w:szCs w:val="24"/>
              </w:rPr>
              <w:t>姓名</w:t>
            </w:r>
          </w:p>
        </w:tc>
        <w:tc>
          <w:tcPr>
            <w:tcW w:w="1084" w:type="dxa"/>
            <w:vAlign w:val="top"/>
          </w:tcPr>
          <w:p w14:paraId="08FC297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187" w:type="dxa"/>
            <w:gridSpan w:val="2"/>
            <w:vAlign w:val="top"/>
          </w:tcPr>
          <w:p w14:paraId="2769F6DD">
            <w:pPr>
              <w:pStyle w:val="27"/>
              <w:pageBreakBefore w:val="0"/>
              <w:kinsoku w:val="0"/>
              <w:overflowPunct/>
              <w:topLinePunct w:val="0"/>
              <w:autoSpaceDE w:val="0"/>
              <w:autoSpaceDN w:val="0"/>
              <w:bidi w:val="0"/>
              <w:adjustRightInd w:val="0"/>
              <w:snapToGrid w:val="0"/>
              <w:spacing w:before="145" w:line="188" w:lineRule="auto"/>
              <w:ind w:right="0"/>
              <w:textAlignment w:val="baseline"/>
              <w:rPr>
                <w:rFonts w:hint="eastAsia" w:ascii="仿宋" w:hAnsi="仿宋" w:eastAsia="仿宋" w:cs="仿宋"/>
                <w:sz w:val="24"/>
                <w:szCs w:val="24"/>
              </w:rPr>
            </w:pPr>
            <w:r>
              <w:rPr>
                <w:rFonts w:hint="eastAsia" w:ascii="仿宋" w:hAnsi="仿宋" w:eastAsia="仿宋" w:cs="仿宋"/>
                <w:spacing w:val="1"/>
                <w:sz w:val="24"/>
                <w:szCs w:val="24"/>
              </w:rPr>
              <w:t>年龄</w:t>
            </w:r>
          </w:p>
        </w:tc>
        <w:tc>
          <w:tcPr>
            <w:tcW w:w="1268" w:type="dxa"/>
            <w:vAlign w:val="top"/>
          </w:tcPr>
          <w:p w14:paraId="4535FD4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2006" w:type="dxa"/>
            <w:vAlign w:val="top"/>
          </w:tcPr>
          <w:p w14:paraId="65920B44">
            <w:pPr>
              <w:pStyle w:val="27"/>
              <w:pageBreakBefore w:val="0"/>
              <w:kinsoku w:val="0"/>
              <w:overflowPunct/>
              <w:topLinePunct w:val="0"/>
              <w:autoSpaceDE w:val="0"/>
              <w:autoSpaceDN w:val="0"/>
              <w:bidi w:val="0"/>
              <w:adjustRightInd w:val="0"/>
              <w:snapToGrid w:val="0"/>
              <w:spacing w:before="145" w:line="188" w:lineRule="auto"/>
              <w:ind w:left="695" w:right="0"/>
              <w:textAlignment w:val="baseline"/>
              <w:rPr>
                <w:rFonts w:hint="eastAsia" w:ascii="仿宋" w:hAnsi="仿宋" w:eastAsia="仿宋" w:cs="仿宋"/>
                <w:sz w:val="24"/>
                <w:szCs w:val="24"/>
              </w:rPr>
            </w:pPr>
            <w:r>
              <w:rPr>
                <w:rFonts w:hint="eastAsia" w:ascii="仿宋" w:hAnsi="仿宋" w:eastAsia="仿宋" w:cs="仿宋"/>
                <w:spacing w:val="6"/>
                <w:sz w:val="24"/>
                <w:szCs w:val="24"/>
              </w:rPr>
              <w:t>学历</w:t>
            </w:r>
          </w:p>
        </w:tc>
        <w:tc>
          <w:tcPr>
            <w:tcW w:w="1299" w:type="dxa"/>
            <w:vAlign w:val="top"/>
          </w:tcPr>
          <w:p w14:paraId="6599F76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76ABC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79" w:type="dxa"/>
            <w:vAlign w:val="top"/>
          </w:tcPr>
          <w:p w14:paraId="68622AD3">
            <w:pPr>
              <w:pStyle w:val="27"/>
              <w:pageBreakBefore w:val="0"/>
              <w:kinsoku w:val="0"/>
              <w:overflowPunct/>
              <w:topLinePunct w:val="0"/>
              <w:autoSpaceDE w:val="0"/>
              <w:autoSpaceDN w:val="0"/>
              <w:bidi w:val="0"/>
              <w:adjustRightInd w:val="0"/>
              <w:snapToGrid w:val="0"/>
              <w:spacing w:before="141" w:line="187" w:lineRule="auto"/>
              <w:ind w:left="364" w:right="0"/>
              <w:textAlignment w:val="baseline"/>
              <w:rPr>
                <w:rFonts w:hint="eastAsia" w:ascii="仿宋" w:hAnsi="仿宋" w:eastAsia="仿宋" w:cs="仿宋"/>
                <w:sz w:val="24"/>
                <w:szCs w:val="24"/>
              </w:rPr>
            </w:pPr>
            <w:r>
              <w:rPr>
                <w:rFonts w:hint="eastAsia" w:ascii="仿宋" w:hAnsi="仿宋" w:eastAsia="仿宋" w:cs="仿宋"/>
                <w:sz w:val="24"/>
                <w:szCs w:val="24"/>
              </w:rPr>
              <w:t>职称</w:t>
            </w:r>
          </w:p>
        </w:tc>
        <w:tc>
          <w:tcPr>
            <w:tcW w:w="1084" w:type="dxa"/>
            <w:vAlign w:val="top"/>
          </w:tcPr>
          <w:p w14:paraId="37E2F94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187" w:type="dxa"/>
            <w:gridSpan w:val="2"/>
            <w:vAlign w:val="top"/>
          </w:tcPr>
          <w:p w14:paraId="0EF14B11">
            <w:pPr>
              <w:pStyle w:val="27"/>
              <w:pageBreakBefore w:val="0"/>
              <w:kinsoku w:val="0"/>
              <w:overflowPunct/>
              <w:topLinePunct w:val="0"/>
              <w:autoSpaceDE w:val="0"/>
              <w:autoSpaceDN w:val="0"/>
              <w:bidi w:val="0"/>
              <w:adjustRightInd w:val="0"/>
              <w:snapToGrid w:val="0"/>
              <w:spacing w:before="141" w:line="187" w:lineRule="auto"/>
              <w:ind w:right="0"/>
              <w:textAlignment w:val="baseline"/>
              <w:rPr>
                <w:rFonts w:hint="eastAsia" w:ascii="仿宋" w:hAnsi="仿宋" w:eastAsia="仿宋" w:cs="仿宋"/>
                <w:sz w:val="24"/>
                <w:szCs w:val="24"/>
              </w:rPr>
            </w:pPr>
            <w:r>
              <w:rPr>
                <w:rFonts w:hint="eastAsia" w:ascii="仿宋" w:hAnsi="仿宋" w:eastAsia="仿宋" w:cs="仿宋"/>
                <w:spacing w:val="-1"/>
                <w:sz w:val="24"/>
                <w:szCs w:val="24"/>
              </w:rPr>
              <w:t>职务</w:t>
            </w:r>
          </w:p>
        </w:tc>
        <w:tc>
          <w:tcPr>
            <w:tcW w:w="1268" w:type="dxa"/>
            <w:vAlign w:val="top"/>
          </w:tcPr>
          <w:p w14:paraId="73E4638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2006" w:type="dxa"/>
            <w:vAlign w:val="top"/>
          </w:tcPr>
          <w:p w14:paraId="53C856B6">
            <w:pPr>
              <w:pStyle w:val="27"/>
              <w:pageBreakBefore w:val="0"/>
              <w:kinsoku w:val="0"/>
              <w:overflowPunct/>
              <w:topLinePunct w:val="0"/>
              <w:autoSpaceDE w:val="0"/>
              <w:autoSpaceDN w:val="0"/>
              <w:bidi w:val="0"/>
              <w:adjustRightInd w:val="0"/>
              <w:snapToGrid w:val="0"/>
              <w:spacing w:before="141" w:line="187" w:lineRule="auto"/>
              <w:ind w:left="35" w:right="0"/>
              <w:textAlignment w:val="baseline"/>
              <w:rPr>
                <w:rFonts w:hint="eastAsia" w:ascii="仿宋" w:hAnsi="仿宋" w:eastAsia="仿宋" w:cs="仿宋"/>
                <w:sz w:val="24"/>
                <w:szCs w:val="24"/>
              </w:rPr>
            </w:pPr>
            <w:r>
              <w:rPr>
                <w:rFonts w:hint="eastAsia" w:ascii="仿宋" w:hAnsi="仿宋" w:eastAsia="仿宋" w:cs="仿宋"/>
                <w:spacing w:val="18"/>
                <w:sz w:val="24"/>
                <w:szCs w:val="24"/>
              </w:rPr>
              <w:t>拟在本工程任职</w:t>
            </w:r>
          </w:p>
        </w:tc>
        <w:tc>
          <w:tcPr>
            <w:tcW w:w="1299" w:type="dxa"/>
            <w:vAlign w:val="top"/>
          </w:tcPr>
          <w:p w14:paraId="5204F458">
            <w:pPr>
              <w:pStyle w:val="27"/>
              <w:pageBreakBefore w:val="0"/>
              <w:kinsoku w:val="0"/>
              <w:overflowPunct/>
              <w:topLinePunct w:val="0"/>
              <w:autoSpaceDE w:val="0"/>
              <w:autoSpaceDN w:val="0"/>
              <w:bidi w:val="0"/>
              <w:adjustRightInd w:val="0"/>
              <w:snapToGrid w:val="0"/>
              <w:spacing w:before="141" w:line="187" w:lineRule="auto"/>
              <w:ind w:left="443" w:right="0"/>
              <w:textAlignment w:val="baseline"/>
              <w:rPr>
                <w:rFonts w:hint="eastAsia" w:ascii="仿宋" w:hAnsi="仿宋" w:eastAsia="仿宋" w:cs="仿宋"/>
                <w:sz w:val="24"/>
                <w:szCs w:val="24"/>
              </w:rPr>
            </w:pPr>
            <w:r>
              <w:rPr>
                <w:rFonts w:hint="eastAsia" w:ascii="仿宋" w:hAnsi="仿宋" w:eastAsia="仿宋" w:cs="仿宋"/>
                <w:spacing w:val="18"/>
                <w:sz w:val="24"/>
                <w:szCs w:val="24"/>
              </w:rPr>
              <w:t>项目负责人</w:t>
            </w:r>
          </w:p>
        </w:tc>
      </w:tr>
      <w:tr w14:paraId="42089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79" w:type="dxa"/>
            <w:vAlign w:val="top"/>
          </w:tcPr>
          <w:p w14:paraId="31CCB2F5">
            <w:pPr>
              <w:pStyle w:val="27"/>
              <w:pageBreakBefore w:val="0"/>
              <w:kinsoku w:val="0"/>
              <w:overflowPunct/>
              <w:topLinePunct w:val="0"/>
              <w:autoSpaceDE w:val="0"/>
              <w:autoSpaceDN w:val="0"/>
              <w:bidi w:val="0"/>
              <w:adjustRightInd w:val="0"/>
              <w:snapToGrid w:val="0"/>
              <w:spacing w:before="141" w:line="187" w:lineRule="auto"/>
              <w:ind w:left="243" w:right="0"/>
              <w:textAlignment w:val="baseline"/>
              <w:rPr>
                <w:rFonts w:hint="eastAsia" w:ascii="仿宋" w:hAnsi="仿宋" w:eastAsia="仿宋" w:cs="仿宋"/>
                <w:sz w:val="24"/>
                <w:szCs w:val="24"/>
              </w:rPr>
            </w:pPr>
            <w:r>
              <w:rPr>
                <w:rFonts w:hint="eastAsia" w:ascii="仿宋" w:hAnsi="仿宋" w:eastAsia="仿宋" w:cs="仿宋"/>
                <w:spacing w:val="16"/>
                <w:sz w:val="24"/>
                <w:szCs w:val="24"/>
              </w:rPr>
              <w:t>毕业学校</w:t>
            </w:r>
          </w:p>
        </w:tc>
        <w:tc>
          <w:tcPr>
            <w:tcW w:w="6844" w:type="dxa"/>
            <w:gridSpan w:val="6"/>
            <w:vAlign w:val="top"/>
          </w:tcPr>
          <w:p w14:paraId="6F8904BE">
            <w:pPr>
              <w:pStyle w:val="27"/>
              <w:pageBreakBefore w:val="0"/>
              <w:kinsoku w:val="0"/>
              <w:overflowPunct/>
              <w:topLinePunct w:val="0"/>
              <w:autoSpaceDE w:val="0"/>
              <w:autoSpaceDN w:val="0"/>
              <w:bidi w:val="0"/>
              <w:adjustRightInd w:val="0"/>
              <w:snapToGrid w:val="0"/>
              <w:spacing w:before="141" w:line="187" w:lineRule="auto"/>
              <w:ind w:left="635" w:right="0"/>
              <w:textAlignment w:val="baseline"/>
              <w:rPr>
                <w:rFonts w:hint="eastAsia" w:ascii="仿宋" w:hAnsi="仿宋" w:eastAsia="仿宋" w:cs="仿宋"/>
                <w:sz w:val="24"/>
                <w:szCs w:val="24"/>
              </w:rPr>
            </w:pPr>
            <w:r>
              <w:rPr>
                <w:rFonts w:hint="eastAsia" w:ascii="仿宋" w:hAnsi="仿宋" w:eastAsia="仿宋" w:cs="仿宋"/>
                <w:spacing w:val="5"/>
                <w:sz w:val="24"/>
                <w:szCs w:val="24"/>
              </w:rPr>
              <w:t>年毕业于学校专业</w:t>
            </w:r>
          </w:p>
        </w:tc>
      </w:tr>
      <w:tr w14:paraId="02DB8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323" w:type="dxa"/>
            <w:gridSpan w:val="7"/>
            <w:vAlign w:val="top"/>
          </w:tcPr>
          <w:p w14:paraId="20AC09FC">
            <w:pPr>
              <w:pStyle w:val="27"/>
              <w:pageBreakBefore w:val="0"/>
              <w:kinsoku w:val="0"/>
              <w:overflowPunct/>
              <w:topLinePunct w:val="0"/>
              <w:autoSpaceDE w:val="0"/>
              <w:autoSpaceDN w:val="0"/>
              <w:bidi w:val="0"/>
              <w:adjustRightInd w:val="0"/>
              <w:snapToGrid w:val="0"/>
              <w:spacing w:before="139" w:line="188" w:lineRule="auto"/>
              <w:ind w:left="3747" w:right="0"/>
              <w:textAlignment w:val="baseline"/>
              <w:rPr>
                <w:rFonts w:hint="eastAsia" w:ascii="仿宋" w:hAnsi="仿宋" w:eastAsia="仿宋" w:cs="仿宋"/>
                <w:sz w:val="24"/>
                <w:szCs w:val="24"/>
              </w:rPr>
            </w:pPr>
            <w:r>
              <w:rPr>
                <w:rFonts w:hint="eastAsia" w:ascii="仿宋" w:hAnsi="仿宋" w:eastAsia="仿宋" w:cs="仿宋"/>
                <w:spacing w:val="21"/>
                <w:sz w:val="24"/>
                <w:szCs w:val="24"/>
              </w:rPr>
              <w:t>主要工作经历</w:t>
            </w:r>
          </w:p>
        </w:tc>
      </w:tr>
      <w:tr w14:paraId="743F5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79" w:type="dxa"/>
            <w:vAlign w:val="top"/>
          </w:tcPr>
          <w:p w14:paraId="3A7CBC0C">
            <w:pPr>
              <w:pStyle w:val="27"/>
              <w:pageBreakBefore w:val="0"/>
              <w:kinsoku w:val="0"/>
              <w:overflowPunct/>
              <w:topLinePunct w:val="0"/>
              <w:autoSpaceDE w:val="0"/>
              <w:autoSpaceDN w:val="0"/>
              <w:bidi w:val="0"/>
              <w:adjustRightInd w:val="0"/>
              <w:snapToGrid w:val="0"/>
              <w:spacing w:before="141" w:line="187" w:lineRule="auto"/>
              <w:ind w:left="370" w:right="0"/>
              <w:textAlignment w:val="baseline"/>
              <w:rPr>
                <w:rFonts w:hint="eastAsia" w:ascii="仿宋" w:hAnsi="仿宋" w:eastAsia="仿宋" w:cs="仿宋"/>
                <w:sz w:val="24"/>
                <w:szCs w:val="24"/>
              </w:rPr>
            </w:pPr>
            <w:r>
              <w:rPr>
                <w:rFonts w:hint="eastAsia" w:ascii="仿宋" w:hAnsi="仿宋" w:eastAsia="仿宋" w:cs="仿宋"/>
                <w:spacing w:val="-6"/>
                <w:sz w:val="24"/>
                <w:szCs w:val="24"/>
              </w:rPr>
              <w:t>时间</w:t>
            </w:r>
          </w:p>
        </w:tc>
        <w:tc>
          <w:tcPr>
            <w:tcW w:w="3539" w:type="dxa"/>
            <w:gridSpan w:val="4"/>
            <w:vAlign w:val="top"/>
          </w:tcPr>
          <w:p w14:paraId="40EFA0FC">
            <w:pPr>
              <w:pStyle w:val="27"/>
              <w:pageBreakBefore w:val="0"/>
              <w:kinsoku w:val="0"/>
              <w:overflowPunct/>
              <w:topLinePunct w:val="0"/>
              <w:autoSpaceDE w:val="0"/>
              <w:autoSpaceDN w:val="0"/>
              <w:bidi w:val="0"/>
              <w:adjustRightInd w:val="0"/>
              <w:snapToGrid w:val="0"/>
              <w:spacing w:before="141" w:line="187" w:lineRule="auto"/>
              <w:ind w:left="490" w:right="0"/>
              <w:textAlignment w:val="baseline"/>
              <w:rPr>
                <w:rFonts w:hint="eastAsia" w:ascii="仿宋" w:hAnsi="仿宋" w:eastAsia="仿宋" w:cs="仿宋"/>
                <w:sz w:val="24"/>
                <w:szCs w:val="24"/>
              </w:rPr>
            </w:pPr>
            <w:r>
              <w:rPr>
                <w:rFonts w:hint="eastAsia" w:ascii="仿宋" w:hAnsi="仿宋" w:eastAsia="仿宋" w:cs="仿宋"/>
                <w:spacing w:val="20"/>
                <w:sz w:val="24"/>
                <w:szCs w:val="24"/>
              </w:rPr>
              <w:t>参加过的类似项目名称</w:t>
            </w:r>
          </w:p>
        </w:tc>
        <w:tc>
          <w:tcPr>
            <w:tcW w:w="2006" w:type="dxa"/>
            <w:vAlign w:val="top"/>
          </w:tcPr>
          <w:p w14:paraId="1FF8A785">
            <w:pPr>
              <w:pStyle w:val="27"/>
              <w:pageBreakBefore w:val="0"/>
              <w:kinsoku w:val="0"/>
              <w:overflowPunct/>
              <w:topLinePunct w:val="0"/>
              <w:autoSpaceDE w:val="0"/>
              <w:autoSpaceDN w:val="0"/>
              <w:bidi w:val="0"/>
              <w:adjustRightInd w:val="0"/>
              <w:snapToGrid w:val="0"/>
              <w:spacing w:before="141" w:line="187" w:lineRule="auto"/>
              <w:ind w:left="172" w:right="0"/>
              <w:textAlignment w:val="baseline"/>
              <w:rPr>
                <w:rFonts w:hint="eastAsia" w:ascii="仿宋" w:hAnsi="仿宋" w:eastAsia="仿宋" w:cs="仿宋"/>
                <w:sz w:val="24"/>
                <w:szCs w:val="24"/>
              </w:rPr>
            </w:pPr>
            <w:r>
              <w:rPr>
                <w:rFonts w:hint="eastAsia" w:ascii="仿宋" w:hAnsi="仿宋" w:eastAsia="仿宋" w:cs="仿宋"/>
                <w:spacing w:val="21"/>
                <w:sz w:val="24"/>
                <w:szCs w:val="24"/>
              </w:rPr>
              <w:t>工程概况说明</w:t>
            </w:r>
          </w:p>
        </w:tc>
        <w:tc>
          <w:tcPr>
            <w:tcW w:w="1299" w:type="dxa"/>
            <w:vAlign w:val="top"/>
          </w:tcPr>
          <w:p w14:paraId="08A926F3">
            <w:pPr>
              <w:pStyle w:val="27"/>
              <w:pageBreakBefore w:val="0"/>
              <w:kinsoku w:val="0"/>
              <w:overflowPunct/>
              <w:topLinePunct w:val="0"/>
              <w:autoSpaceDE w:val="0"/>
              <w:autoSpaceDN w:val="0"/>
              <w:bidi w:val="0"/>
              <w:adjustRightInd w:val="0"/>
              <w:snapToGrid w:val="0"/>
              <w:spacing w:before="141" w:line="187" w:lineRule="auto"/>
              <w:ind w:left="54" w:right="0"/>
              <w:textAlignment w:val="baseline"/>
              <w:rPr>
                <w:rFonts w:hint="eastAsia" w:ascii="仿宋" w:hAnsi="仿宋" w:eastAsia="仿宋" w:cs="仿宋"/>
                <w:sz w:val="24"/>
                <w:szCs w:val="24"/>
              </w:rPr>
            </w:pPr>
            <w:r>
              <w:rPr>
                <w:rFonts w:hint="eastAsia" w:ascii="仿宋" w:hAnsi="仿宋" w:eastAsia="仿宋" w:cs="仿宋"/>
                <w:spacing w:val="22"/>
                <w:sz w:val="24"/>
                <w:szCs w:val="24"/>
              </w:rPr>
              <w:t>发包人及联系电话</w:t>
            </w:r>
          </w:p>
        </w:tc>
      </w:tr>
      <w:tr w14:paraId="3012F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79" w:type="dxa"/>
            <w:vAlign w:val="top"/>
          </w:tcPr>
          <w:p w14:paraId="382CE7F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333" w:type="dxa"/>
            <w:gridSpan w:val="2"/>
            <w:vAlign w:val="top"/>
          </w:tcPr>
          <w:p w14:paraId="300ED26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938" w:type="dxa"/>
            <w:vAlign w:val="top"/>
          </w:tcPr>
          <w:p w14:paraId="64218D8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68" w:type="dxa"/>
            <w:vAlign w:val="top"/>
          </w:tcPr>
          <w:p w14:paraId="7B235DC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2006" w:type="dxa"/>
            <w:vAlign w:val="top"/>
          </w:tcPr>
          <w:p w14:paraId="70995AD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99" w:type="dxa"/>
            <w:vAlign w:val="top"/>
          </w:tcPr>
          <w:p w14:paraId="4821164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6F891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79" w:type="dxa"/>
            <w:vAlign w:val="top"/>
          </w:tcPr>
          <w:p w14:paraId="4D1D18EF">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333" w:type="dxa"/>
            <w:gridSpan w:val="2"/>
            <w:vAlign w:val="top"/>
          </w:tcPr>
          <w:p w14:paraId="489EA23F">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938" w:type="dxa"/>
            <w:vAlign w:val="top"/>
          </w:tcPr>
          <w:p w14:paraId="2F1D410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68" w:type="dxa"/>
            <w:vAlign w:val="top"/>
          </w:tcPr>
          <w:p w14:paraId="296B96B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2006" w:type="dxa"/>
            <w:vAlign w:val="top"/>
          </w:tcPr>
          <w:p w14:paraId="06880BD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99" w:type="dxa"/>
            <w:vAlign w:val="top"/>
          </w:tcPr>
          <w:p w14:paraId="4CF361A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778C6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79" w:type="dxa"/>
            <w:vAlign w:val="top"/>
          </w:tcPr>
          <w:p w14:paraId="0BA434F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333" w:type="dxa"/>
            <w:gridSpan w:val="2"/>
            <w:vAlign w:val="top"/>
          </w:tcPr>
          <w:p w14:paraId="7ED30B3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938" w:type="dxa"/>
            <w:vAlign w:val="top"/>
          </w:tcPr>
          <w:p w14:paraId="126257FF">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68" w:type="dxa"/>
            <w:vAlign w:val="top"/>
          </w:tcPr>
          <w:p w14:paraId="452F878D">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2006" w:type="dxa"/>
            <w:vAlign w:val="top"/>
          </w:tcPr>
          <w:p w14:paraId="42EB544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99" w:type="dxa"/>
            <w:vAlign w:val="top"/>
          </w:tcPr>
          <w:p w14:paraId="4BC53E8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1E2F3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79" w:type="dxa"/>
            <w:vAlign w:val="top"/>
          </w:tcPr>
          <w:p w14:paraId="460AB09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333" w:type="dxa"/>
            <w:gridSpan w:val="2"/>
            <w:vAlign w:val="top"/>
          </w:tcPr>
          <w:p w14:paraId="215CBBE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938" w:type="dxa"/>
            <w:vAlign w:val="top"/>
          </w:tcPr>
          <w:p w14:paraId="5E9BEC0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68" w:type="dxa"/>
            <w:vAlign w:val="top"/>
          </w:tcPr>
          <w:p w14:paraId="5705F3C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2006" w:type="dxa"/>
            <w:vAlign w:val="top"/>
          </w:tcPr>
          <w:p w14:paraId="2E8C970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99" w:type="dxa"/>
            <w:vAlign w:val="top"/>
          </w:tcPr>
          <w:p w14:paraId="66031E1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0410D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479" w:type="dxa"/>
            <w:vAlign w:val="top"/>
          </w:tcPr>
          <w:p w14:paraId="120DCF6C">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333" w:type="dxa"/>
            <w:gridSpan w:val="2"/>
            <w:vAlign w:val="top"/>
          </w:tcPr>
          <w:p w14:paraId="3545F97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938" w:type="dxa"/>
            <w:vAlign w:val="top"/>
          </w:tcPr>
          <w:p w14:paraId="2D2802A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68" w:type="dxa"/>
            <w:vAlign w:val="top"/>
          </w:tcPr>
          <w:p w14:paraId="28B9655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2006" w:type="dxa"/>
            <w:vAlign w:val="top"/>
          </w:tcPr>
          <w:p w14:paraId="46AE4FAC">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99" w:type="dxa"/>
            <w:vAlign w:val="top"/>
          </w:tcPr>
          <w:p w14:paraId="4BA6F04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7B69D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479" w:type="dxa"/>
            <w:vAlign w:val="top"/>
          </w:tcPr>
          <w:p w14:paraId="4E6ABEF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333" w:type="dxa"/>
            <w:gridSpan w:val="2"/>
            <w:vAlign w:val="top"/>
          </w:tcPr>
          <w:p w14:paraId="421EE4B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938" w:type="dxa"/>
            <w:vAlign w:val="top"/>
          </w:tcPr>
          <w:p w14:paraId="4306CA4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68" w:type="dxa"/>
            <w:vAlign w:val="top"/>
          </w:tcPr>
          <w:p w14:paraId="50FF7C7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2006" w:type="dxa"/>
            <w:vAlign w:val="top"/>
          </w:tcPr>
          <w:p w14:paraId="3E6DDE5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99" w:type="dxa"/>
            <w:vAlign w:val="top"/>
          </w:tcPr>
          <w:p w14:paraId="262D5C9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32F5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479" w:type="dxa"/>
            <w:vAlign w:val="top"/>
          </w:tcPr>
          <w:p w14:paraId="506DFB0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333" w:type="dxa"/>
            <w:gridSpan w:val="2"/>
            <w:vAlign w:val="top"/>
          </w:tcPr>
          <w:p w14:paraId="46894D6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938" w:type="dxa"/>
            <w:vAlign w:val="top"/>
          </w:tcPr>
          <w:p w14:paraId="001CC3BC">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68" w:type="dxa"/>
            <w:vAlign w:val="top"/>
          </w:tcPr>
          <w:p w14:paraId="1CA8F38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2006" w:type="dxa"/>
            <w:vAlign w:val="top"/>
          </w:tcPr>
          <w:p w14:paraId="468A64FC">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299" w:type="dxa"/>
            <w:vAlign w:val="top"/>
          </w:tcPr>
          <w:p w14:paraId="3E68989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bl>
    <w:p w14:paraId="2EF063EE">
      <w:pPr>
        <w:pStyle w:val="5"/>
        <w:pageBreakBefore w:val="0"/>
        <w:kinsoku w:val="0"/>
        <w:overflowPunct/>
        <w:topLinePunct w:val="0"/>
        <w:autoSpaceDE w:val="0"/>
        <w:autoSpaceDN w:val="0"/>
        <w:bidi w:val="0"/>
        <w:adjustRightInd w:val="0"/>
        <w:snapToGrid w:val="0"/>
        <w:spacing w:before="113" w:line="400" w:lineRule="exact"/>
        <w:ind w:right="0"/>
        <w:textAlignment w:val="baseline"/>
        <w:rPr>
          <w:rFonts w:hint="eastAsia" w:ascii="仿宋" w:hAnsi="仿宋" w:eastAsia="仿宋" w:cs="仿宋"/>
          <w:spacing w:val="-4"/>
          <w:position w:val="12"/>
          <w:sz w:val="24"/>
          <w:szCs w:val="24"/>
        </w:rPr>
      </w:pPr>
      <w:r>
        <w:rPr>
          <w:rFonts w:hint="eastAsia" w:ascii="仿宋" w:hAnsi="仿宋" w:eastAsia="仿宋" w:cs="仿宋"/>
          <w:spacing w:val="-4"/>
          <w:position w:val="12"/>
          <w:sz w:val="24"/>
          <w:szCs w:val="24"/>
        </w:rPr>
        <w:t>注：本工程一旦我单位中标，将配备上述项目管理人员。上述填报内容真实，如不真实，将按照有关规定接受处理。</w:t>
      </w:r>
    </w:p>
    <w:p w14:paraId="5A952D53">
      <w:pPr>
        <w:pStyle w:val="5"/>
        <w:pageBreakBefore w:val="0"/>
        <w:kinsoku w:val="0"/>
        <w:overflowPunct/>
        <w:topLinePunct w:val="0"/>
        <w:autoSpaceDE w:val="0"/>
        <w:autoSpaceDN w:val="0"/>
        <w:bidi w:val="0"/>
        <w:adjustRightInd w:val="0"/>
        <w:snapToGrid w:val="0"/>
        <w:spacing w:before="113" w:line="400" w:lineRule="exact"/>
        <w:ind w:right="0"/>
        <w:textAlignment w:val="baseline"/>
        <w:rPr>
          <w:rFonts w:hint="eastAsia" w:ascii="仿宋" w:hAnsi="仿宋" w:eastAsia="仿宋" w:cs="仿宋"/>
          <w:spacing w:val="-4"/>
          <w:position w:val="12"/>
          <w:sz w:val="24"/>
          <w:szCs w:val="24"/>
        </w:rPr>
        <w:sectPr>
          <w:footerReference r:id="rId34" w:type="default"/>
          <w:pgSz w:w="11905" w:h="16838"/>
          <w:pgMar w:top="1440" w:right="1803" w:bottom="1440" w:left="1803" w:header="0" w:footer="567" w:gutter="0"/>
          <w:pgNumType w:fmt="decimal"/>
          <w:cols w:space="0" w:num="1"/>
          <w:rtlGutter w:val="0"/>
          <w:docGrid w:linePitch="0" w:charSpace="0"/>
        </w:sectPr>
      </w:pPr>
    </w:p>
    <w:p w14:paraId="6AA463D7">
      <w:pPr>
        <w:pStyle w:val="5"/>
        <w:pageBreakBefore w:val="0"/>
        <w:kinsoku w:val="0"/>
        <w:overflowPunct/>
        <w:topLinePunct w:val="0"/>
        <w:autoSpaceDE w:val="0"/>
        <w:autoSpaceDN w:val="0"/>
        <w:bidi w:val="0"/>
        <w:adjustRightInd w:val="0"/>
        <w:snapToGrid w:val="0"/>
        <w:spacing w:before="48" w:line="191" w:lineRule="auto"/>
        <w:ind w:left="7" w:right="0"/>
        <w:jc w:val="center"/>
        <w:textAlignment w:val="baseline"/>
        <w:rPr>
          <w:rFonts w:hint="eastAsia" w:ascii="仿宋" w:hAnsi="仿宋" w:eastAsia="仿宋" w:cs="仿宋"/>
          <w:sz w:val="28"/>
          <w:szCs w:val="28"/>
        </w:rPr>
      </w:pPr>
      <w:r>
        <w:rPr>
          <w:rFonts w:hint="eastAsia" w:ascii="仿宋" w:hAnsi="仿宋" w:eastAsia="仿宋" w:cs="仿宋"/>
          <w:spacing w:val="3"/>
          <w:sz w:val="28"/>
          <w:szCs w:val="28"/>
        </w:rPr>
        <w:t>7、投标廉政承诺书</w:t>
      </w:r>
    </w:p>
    <w:p w14:paraId="0C2EB682">
      <w:pPr>
        <w:pStyle w:val="5"/>
        <w:pageBreakBefore w:val="0"/>
        <w:kinsoku w:val="0"/>
        <w:overflowPunct/>
        <w:topLinePunct w:val="0"/>
        <w:autoSpaceDE w:val="0"/>
        <w:autoSpaceDN w:val="0"/>
        <w:bidi w:val="0"/>
        <w:adjustRightInd w:val="0"/>
        <w:snapToGrid w:val="0"/>
        <w:spacing w:before="99" w:line="360" w:lineRule="auto"/>
        <w:ind w:left="2" w:right="0"/>
        <w:textAlignment w:val="baseline"/>
        <w:rPr>
          <w:rFonts w:hint="eastAsia" w:ascii="仿宋" w:hAnsi="仿宋" w:eastAsia="仿宋" w:cs="仿宋"/>
          <w:sz w:val="24"/>
          <w:szCs w:val="24"/>
          <w:lang w:eastAsia="zh-CN"/>
        </w:rPr>
      </w:pPr>
      <w:r>
        <w:rPr>
          <w:rFonts w:hint="eastAsia" w:ascii="仿宋" w:hAnsi="仿宋" w:eastAsia="仿宋" w:cs="仿宋"/>
          <w:sz w:val="24"/>
          <w:szCs w:val="24"/>
          <w:u w:val="single" w:color="auto"/>
          <w:lang w:val="en-US" w:eastAsia="zh-CN"/>
        </w:rPr>
        <w:t>新疆玖一建设项目管理咨询有限公司</w:t>
      </w:r>
      <w:r>
        <w:rPr>
          <w:rFonts w:hint="eastAsia" w:ascii="仿宋" w:hAnsi="仿宋" w:eastAsia="仿宋" w:cs="仿宋"/>
          <w:spacing w:val="-6"/>
          <w:sz w:val="24"/>
          <w:szCs w:val="24"/>
          <w:u w:val="single" w:color="auto"/>
        </w:rPr>
        <w:t>：</w:t>
      </w:r>
    </w:p>
    <w:p w14:paraId="1A10CB26">
      <w:pPr>
        <w:pStyle w:val="5"/>
        <w:pageBreakBefore w:val="0"/>
        <w:kinsoku w:val="0"/>
        <w:overflowPunct/>
        <w:topLinePunct w:val="0"/>
        <w:autoSpaceDE w:val="0"/>
        <w:autoSpaceDN w:val="0"/>
        <w:bidi w:val="0"/>
        <w:adjustRightInd w:val="0"/>
        <w:snapToGrid w:val="0"/>
        <w:spacing w:before="87" w:line="360" w:lineRule="auto"/>
        <w:ind w:right="0" w:firstLine="516"/>
        <w:jc w:val="both"/>
        <w:textAlignment w:val="baseline"/>
        <w:rPr>
          <w:rFonts w:hint="eastAsia" w:ascii="仿宋" w:hAnsi="仿宋" w:eastAsia="仿宋" w:cs="仿宋"/>
          <w:sz w:val="24"/>
          <w:szCs w:val="24"/>
        </w:rPr>
      </w:pPr>
      <w:r>
        <w:rPr>
          <w:rFonts w:hint="eastAsia" w:ascii="仿宋" w:hAnsi="仿宋" w:eastAsia="仿宋" w:cs="仿宋"/>
          <w:spacing w:val="17"/>
          <w:sz w:val="24"/>
          <w:szCs w:val="24"/>
        </w:rPr>
        <w:t>我单位办理了项目政府采购申请。为确保工程质量，促</w:t>
      </w:r>
      <w:r>
        <w:rPr>
          <w:rFonts w:hint="eastAsia" w:ascii="仿宋" w:hAnsi="仿宋" w:eastAsia="仿宋" w:cs="仿宋"/>
          <w:spacing w:val="16"/>
          <w:sz w:val="24"/>
          <w:szCs w:val="24"/>
        </w:rPr>
        <w:t>进政府</w:t>
      </w:r>
      <w:r>
        <w:rPr>
          <w:rFonts w:hint="eastAsia" w:ascii="仿宋" w:hAnsi="仿宋" w:eastAsia="仿宋" w:cs="仿宋"/>
          <w:spacing w:val="12"/>
          <w:sz w:val="24"/>
          <w:szCs w:val="24"/>
        </w:rPr>
        <w:t>采购工作的规范运行和公平竞争，有效制止政府采</w:t>
      </w:r>
      <w:r>
        <w:rPr>
          <w:rFonts w:hint="eastAsia" w:ascii="仿宋" w:hAnsi="仿宋" w:eastAsia="仿宋" w:cs="仿宋"/>
          <w:spacing w:val="11"/>
          <w:sz w:val="24"/>
          <w:szCs w:val="24"/>
        </w:rPr>
        <w:t>购活动中的不正之风和腐败现</w:t>
      </w:r>
      <w:r>
        <w:rPr>
          <w:rFonts w:hint="eastAsia" w:ascii="仿宋" w:hAnsi="仿宋" w:eastAsia="仿宋" w:cs="仿宋"/>
          <w:spacing w:val="24"/>
          <w:sz w:val="24"/>
          <w:szCs w:val="24"/>
        </w:rPr>
        <w:t>象，预防和遏制政府采购中的行贿受贿等违法犯罪活动，我单位特作以</w:t>
      </w:r>
      <w:r>
        <w:rPr>
          <w:rFonts w:hint="eastAsia" w:ascii="仿宋" w:hAnsi="仿宋" w:eastAsia="仿宋" w:cs="仿宋"/>
          <w:spacing w:val="23"/>
          <w:sz w:val="24"/>
          <w:szCs w:val="24"/>
        </w:rPr>
        <w:t>下承诺：</w:t>
      </w:r>
    </w:p>
    <w:p w14:paraId="43701421">
      <w:pPr>
        <w:pStyle w:val="5"/>
        <w:pageBreakBefore w:val="0"/>
        <w:kinsoku w:val="0"/>
        <w:overflowPunct/>
        <w:topLinePunct w:val="0"/>
        <w:autoSpaceDE w:val="0"/>
        <w:autoSpaceDN w:val="0"/>
        <w:bidi w:val="0"/>
        <w:adjustRightInd w:val="0"/>
        <w:snapToGrid w:val="0"/>
        <w:spacing w:before="86" w:line="360" w:lineRule="auto"/>
        <w:ind w:left="797" w:right="0"/>
        <w:textAlignment w:val="baseline"/>
        <w:rPr>
          <w:rFonts w:hint="eastAsia" w:ascii="仿宋" w:hAnsi="仿宋" w:eastAsia="仿宋" w:cs="仿宋"/>
          <w:sz w:val="24"/>
          <w:szCs w:val="24"/>
        </w:rPr>
      </w:pPr>
      <w:r>
        <w:rPr>
          <w:rFonts w:hint="eastAsia" w:ascii="仿宋" w:hAnsi="仿宋" w:eastAsia="仿宋" w:cs="仿宋"/>
          <w:spacing w:val="25"/>
          <w:sz w:val="24"/>
          <w:szCs w:val="24"/>
        </w:rPr>
        <w:t>在本次政府采购活动中，我们将自觉遵守《政府采</w:t>
      </w:r>
      <w:r>
        <w:rPr>
          <w:rFonts w:hint="eastAsia" w:ascii="仿宋" w:hAnsi="仿宋" w:eastAsia="仿宋" w:cs="仿宋"/>
          <w:spacing w:val="24"/>
          <w:sz w:val="24"/>
          <w:szCs w:val="24"/>
        </w:rPr>
        <w:t>购法》及其相关规</w:t>
      </w:r>
    </w:p>
    <w:p w14:paraId="654D92A5">
      <w:pPr>
        <w:pStyle w:val="5"/>
        <w:pageBreakBefore w:val="0"/>
        <w:kinsoku w:val="0"/>
        <w:overflowPunct/>
        <w:topLinePunct w:val="0"/>
        <w:autoSpaceDE w:val="0"/>
        <w:autoSpaceDN w:val="0"/>
        <w:bidi w:val="0"/>
        <w:adjustRightInd w:val="0"/>
        <w:snapToGrid w:val="0"/>
        <w:spacing w:before="83" w:line="360" w:lineRule="auto"/>
        <w:ind w:right="0" w:firstLine="7"/>
        <w:textAlignment w:val="baseline"/>
        <w:rPr>
          <w:rFonts w:hint="eastAsia" w:ascii="仿宋" w:hAnsi="仿宋" w:eastAsia="仿宋" w:cs="仿宋"/>
          <w:sz w:val="24"/>
          <w:szCs w:val="24"/>
        </w:rPr>
      </w:pPr>
      <w:r>
        <w:rPr>
          <w:rFonts w:hint="eastAsia" w:ascii="仿宋" w:hAnsi="仿宋" w:eastAsia="仿宋" w:cs="仿宋"/>
          <w:spacing w:val="-2"/>
          <w:sz w:val="24"/>
          <w:szCs w:val="24"/>
        </w:rPr>
        <w:t>定。本单位不以任何形式向采购方任何人员赠送各种礼品、礼金(礼券)；不</w:t>
      </w:r>
      <w:r>
        <w:rPr>
          <w:rFonts w:hint="eastAsia" w:ascii="仿宋" w:hAnsi="仿宋" w:eastAsia="仿宋" w:cs="仿宋"/>
          <w:spacing w:val="28"/>
          <w:sz w:val="24"/>
          <w:szCs w:val="24"/>
        </w:rPr>
        <w:t>邀请采购方人员参与高档娱乐活动；不串通报名参与谈判，弄虚作假，不拉</w:t>
      </w:r>
      <w:r>
        <w:rPr>
          <w:rFonts w:hint="eastAsia" w:ascii="仿宋" w:hAnsi="仿宋" w:eastAsia="仿宋" w:cs="仿宋"/>
          <w:spacing w:val="24"/>
          <w:sz w:val="24"/>
          <w:szCs w:val="24"/>
        </w:rPr>
        <w:t>拢评标小组成员影响评审工作的公正性。</w:t>
      </w:r>
    </w:p>
    <w:p w14:paraId="55A58504">
      <w:pPr>
        <w:pStyle w:val="5"/>
        <w:pageBreakBefore w:val="0"/>
        <w:kinsoku w:val="0"/>
        <w:overflowPunct/>
        <w:topLinePunct w:val="0"/>
        <w:autoSpaceDE w:val="0"/>
        <w:autoSpaceDN w:val="0"/>
        <w:bidi w:val="0"/>
        <w:adjustRightInd w:val="0"/>
        <w:snapToGrid w:val="0"/>
        <w:spacing w:before="84" w:line="360" w:lineRule="auto"/>
        <w:ind w:right="0"/>
        <w:jc w:val="right"/>
        <w:textAlignment w:val="baseline"/>
        <w:rPr>
          <w:rFonts w:hint="eastAsia" w:ascii="仿宋" w:hAnsi="仿宋" w:eastAsia="仿宋" w:cs="仿宋"/>
          <w:sz w:val="24"/>
          <w:szCs w:val="24"/>
        </w:rPr>
      </w:pPr>
      <w:r>
        <w:rPr>
          <w:rFonts w:hint="eastAsia" w:ascii="仿宋" w:hAnsi="仿宋" w:eastAsia="仿宋" w:cs="仿宋"/>
          <w:spacing w:val="29"/>
          <w:position w:val="12"/>
          <w:sz w:val="24"/>
          <w:szCs w:val="24"/>
        </w:rPr>
        <w:t>我们将认真履行以上承诺，并接受财政部门</w:t>
      </w:r>
      <w:r>
        <w:rPr>
          <w:rFonts w:hint="eastAsia" w:ascii="仿宋" w:hAnsi="仿宋" w:eastAsia="仿宋" w:cs="仿宋"/>
          <w:spacing w:val="28"/>
          <w:position w:val="12"/>
          <w:sz w:val="24"/>
          <w:szCs w:val="24"/>
        </w:rPr>
        <w:t>和监察部门的监督检查，若有</w:t>
      </w:r>
    </w:p>
    <w:p w14:paraId="07205EF7">
      <w:pPr>
        <w:pStyle w:val="5"/>
        <w:pageBreakBefore w:val="0"/>
        <w:kinsoku w:val="0"/>
        <w:overflowPunct/>
        <w:topLinePunct w:val="0"/>
        <w:autoSpaceDE w:val="0"/>
        <w:autoSpaceDN w:val="0"/>
        <w:bidi w:val="0"/>
        <w:adjustRightInd w:val="0"/>
        <w:snapToGrid w:val="0"/>
        <w:spacing w:before="1" w:line="360" w:lineRule="auto"/>
        <w:ind w:left="1" w:right="0"/>
        <w:textAlignment w:val="baseline"/>
        <w:rPr>
          <w:rFonts w:hint="eastAsia" w:ascii="仿宋" w:hAnsi="仿宋" w:eastAsia="仿宋" w:cs="仿宋"/>
          <w:sz w:val="24"/>
          <w:szCs w:val="24"/>
        </w:rPr>
      </w:pPr>
      <w:r>
        <w:rPr>
          <w:rFonts w:hint="eastAsia" w:ascii="仿宋" w:hAnsi="仿宋" w:eastAsia="仿宋" w:cs="仿宋"/>
          <w:spacing w:val="24"/>
          <w:sz w:val="24"/>
          <w:szCs w:val="24"/>
        </w:rPr>
        <w:t>违反，将承担相应的行政责任和刑事责任。</w:t>
      </w:r>
    </w:p>
    <w:p w14:paraId="4CC4499D">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44FFFA98">
      <w:pPr>
        <w:pStyle w:val="5"/>
        <w:pageBreakBefore w:val="0"/>
        <w:kinsoku w:val="0"/>
        <w:overflowPunct/>
        <w:topLinePunct w:val="0"/>
        <w:autoSpaceDE w:val="0"/>
        <w:autoSpaceDN w:val="0"/>
        <w:bidi w:val="0"/>
        <w:adjustRightInd w:val="0"/>
        <w:snapToGrid w:val="0"/>
        <w:spacing w:before="99" w:line="360" w:lineRule="auto"/>
        <w:ind w:left="1" w:right="0"/>
        <w:textAlignment w:val="baseline"/>
        <w:rPr>
          <w:rFonts w:hint="eastAsia" w:ascii="仿宋" w:hAnsi="仿宋" w:eastAsia="仿宋" w:cs="仿宋"/>
          <w:sz w:val="24"/>
          <w:szCs w:val="24"/>
        </w:rPr>
      </w:pPr>
      <w:r>
        <w:rPr>
          <w:rFonts w:hint="eastAsia" w:ascii="仿宋" w:hAnsi="仿宋" w:eastAsia="仿宋" w:cs="仿宋"/>
          <w:spacing w:val="9"/>
          <w:position w:val="12"/>
          <w:sz w:val="24"/>
          <w:szCs w:val="24"/>
        </w:rPr>
        <w:t>承诺单位法定代表人(签字)：</w:t>
      </w:r>
    </w:p>
    <w:p w14:paraId="77E1994F">
      <w:pPr>
        <w:pStyle w:val="5"/>
        <w:pageBreakBefore w:val="0"/>
        <w:kinsoku w:val="0"/>
        <w:overflowPunct/>
        <w:topLinePunct w:val="0"/>
        <w:autoSpaceDE w:val="0"/>
        <w:autoSpaceDN w:val="0"/>
        <w:bidi w:val="0"/>
        <w:adjustRightInd w:val="0"/>
        <w:snapToGrid w:val="0"/>
        <w:spacing w:before="1" w:line="360" w:lineRule="auto"/>
        <w:ind w:left="1" w:right="0"/>
        <w:textAlignment w:val="baseline"/>
        <w:rPr>
          <w:rFonts w:hint="eastAsia" w:ascii="仿宋" w:hAnsi="仿宋" w:eastAsia="仿宋" w:cs="仿宋"/>
          <w:sz w:val="24"/>
          <w:szCs w:val="24"/>
        </w:rPr>
      </w:pPr>
      <w:r>
        <w:rPr>
          <w:rFonts w:hint="eastAsia" w:ascii="仿宋" w:hAnsi="仿宋" w:eastAsia="仿宋" w:cs="仿宋"/>
          <w:spacing w:val="14"/>
          <w:sz w:val="24"/>
          <w:szCs w:val="24"/>
        </w:rPr>
        <w:t>承诺单位(盖章)：</w:t>
      </w:r>
    </w:p>
    <w:p w14:paraId="535FC1A1">
      <w:pPr>
        <w:pStyle w:val="5"/>
        <w:pageBreakBefore w:val="0"/>
        <w:kinsoku w:val="0"/>
        <w:overflowPunct/>
        <w:topLinePunct w:val="0"/>
        <w:autoSpaceDE w:val="0"/>
        <w:autoSpaceDN w:val="0"/>
        <w:bidi w:val="0"/>
        <w:adjustRightInd w:val="0"/>
        <w:snapToGrid w:val="0"/>
        <w:spacing w:before="94" w:line="360" w:lineRule="auto"/>
        <w:ind w:right="0" w:firstLine="4248" w:firstLineChars="1800"/>
        <w:textAlignment w:val="baseline"/>
        <w:rPr>
          <w:rFonts w:hint="eastAsia" w:ascii="仿宋" w:hAnsi="仿宋" w:eastAsia="仿宋" w:cs="仿宋"/>
          <w:sz w:val="24"/>
          <w:szCs w:val="24"/>
        </w:rPr>
      </w:pPr>
      <w:r>
        <w:rPr>
          <w:rFonts w:hint="eastAsia" w:ascii="仿宋" w:hAnsi="仿宋" w:eastAsia="仿宋" w:cs="仿宋"/>
          <w:spacing w:val="-2"/>
          <w:sz w:val="24"/>
          <w:szCs w:val="24"/>
        </w:rPr>
        <w:t>日期：年月日</w:t>
      </w:r>
    </w:p>
    <w:p w14:paraId="184EF091">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sectPr>
          <w:footerReference r:id="rId35" w:type="default"/>
          <w:pgSz w:w="11905" w:h="16838"/>
          <w:pgMar w:top="1440" w:right="1803" w:bottom="1440" w:left="1803" w:header="0" w:footer="567" w:gutter="0"/>
          <w:pgNumType w:fmt="decimal"/>
          <w:cols w:space="0" w:num="1"/>
          <w:rtlGutter w:val="0"/>
          <w:docGrid w:linePitch="0" w:charSpace="0"/>
        </w:sectPr>
      </w:pPr>
    </w:p>
    <w:p w14:paraId="08333739">
      <w:pPr>
        <w:pStyle w:val="5"/>
        <w:pageBreakBefore w:val="0"/>
        <w:kinsoku w:val="0"/>
        <w:overflowPunct/>
        <w:topLinePunct w:val="0"/>
        <w:autoSpaceDE w:val="0"/>
        <w:autoSpaceDN w:val="0"/>
        <w:bidi w:val="0"/>
        <w:adjustRightInd w:val="0"/>
        <w:snapToGrid w:val="0"/>
        <w:spacing w:before="47" w:line="187" w:lineRule="auto"/>
        <w:ind w:right="0"/>
        <w:textAlignment w:val="baseline"/>
        <w:rPr>
          <w:rFonts w:hint="eastAsia" w:ascii="仿宋" w:hAnsi="仿宋" w:eastAsia="仿宋" w:cs="仿宋"/>
          <w:sz w:val="24"/>
          <w:szCs w:val="24"/>
        </w:rPr>
      </w:pPr>
      <w:r>
        <w:rPr>
          <w:rFonts w:hint="eastAsia" w:ascii="仿宋" w:hAnsi="仿宋" w:eastAsia="仿宋" w:cs="仿宋"/>
          <w:spacing w:val="13"/>
          <w:sz w:val="24"/>
          <w:szCs w:val="24"/>
        </w:rPr>
        <w:t>8、施工组织设计（格式自拟）</w:t>
      </w:r>
    </w:p>
    <w:p w14:paraId="45EAAF0A">
      <w:pPr>
        <w:pageBreakBefore w:val="0"/>
        <w:kinsoku w:val="0"/>
        <w:overflowPunct/>
        <w:topLinePunct w:val="0"/>
        <w:autoSpaceDE w:val="0"/>
        <w:autoSpaceDN w:val="0"/>
        <w:bidi w:val="0"/>
        <w:adjustRightInd w:val="0"/>
        <w:snapToGrid w:val="0"/>
        <w:spacing w:line="393" w:lineRule="auto"/>
        <w:ind w:right="0"/>
        <w:textAlignment w:val="baseline"/>
        <w:rPr>
          <w:rFonts w:hint="eastAsia" w:ascii="仿宋" w:hAnsi="仿宋" w:eastAsia="仿宋" w:cs="仿宋"/>
          <w:sz w:val="24"/>
          <w:szCs w:val="24"/>
        </w:rPr>
      </w:pPr>
    </w:p>
    <w:p w14:paraId="42DF9353">
      <w:pPr>
        <w:pStyle w:val="5"/>
        <w:pageBreakBefore w:val="0"/>
        <w:kinsoku w:val="0"/>
        <w:overflowPunct/>
        <w:topLinePunct w:val="0"/>
        <w:autoSpaceDE w:val="0"/>
        <w:autoSpaceDN w:val="0"/>
        <w:bidi w:val="0"/>
        <w:adjustRightInd w:val="0"/>
        <w:snapToGrid w:val="0"/>
        <w:spacing w:before="98" w:line="187" w:lineRule="auto"/>
        <w:ind w:right="0"/>
        <w:textAlignment w:val="baseline"/>
        <w:rPr>
          <w:rFonts w:hint="eastAsia" w:ascii="仿宋" w:hAnsi="仿宋" w:eastAsia="仿宋" w:cs="仿宋"/>
          <w:sz w:val="24"/>
          <w:szCs w:val="24"/>
        </w:rPr>
      </w:pPr>
      <w:r>
        <w:rPr>
          <w:rFonts w:hint="eastAsia" w:ascii="仿宋" w:hAnsi="仿宋" w:eastAsia="仿宋" w:cs="仿宋"/>
          <w:spacing w:val="11"/>
          <w:sz w:val="24"/>
          <w:szCs w:val="24"/>
        </w:rPr>
        <w:t>9、组织服务方案（格式自拟）</w:t>
      </w:r>
    </w:p>
    <w:p w14:paraId="021FCBC1">
      <w:pPr>
        <w:pageBreakBefore w:val="0"/>
        <w:kinsoku w:val="0"/>
        <w:overflowPunct/>
        <w:topLinePunct w:val="0"/>
        <w:autoSpaceDE w:val="0"/>
        <w:autoSpaceDN w:val="0"/>
        <w:bidi w:val="0"/>
        <w:adjustRightInd w:val="0"/>
        <w:snapToGrid w:val="0"/>
        <w:spacing w:line="390" w:lineRule="auto"/>
        <w:ind w:right="0"/>
        <w:textAlignment w:val="baseline"/>
        <w:rPr>
          <w:rFonts w:hint="eastAsia" w:ascii="仿宋" w:hAnsi="仿宋" w:eastAsia="仿宋" w:cs="仿宋"/>
          <w:sz w:val="24"/>
          <w:szCs w:val="24"/>
        </w:rPr>
      </w:pPr>
    </w:p>
    <w:p w14:paraId="12E31784">
      <w:pPr>
        <w:pStyle w:val="5"/>
        <w:pageBreakBefore w:val="0"/>
        <w:kinsoku w:val="0"/>
        <w:overflowPunct/>
        <w:topLinePunct w:val="0"/>
        <w:autoSpaceDE w:val="0"/>
        <w:autoSpaceDN w:val="0"/>
        <w:bidi w:val="0"/>
        <w:adjustRightInd w:val="0"/>
        <w:snapToGrid w:val="0"/>
        <w:spacing w:before="99" w:line="187" w:lineRule="auto"/>
        <w:ind w:left="16" w:right="0"/>
        <w:textAlignment w:val="baseline"/>
        <w:rPr>
          <w:rFonts w:hint="eastAsia" w:ascii="仿宋" w:hAnsi="仿宋" w:eastAsia="仿宋" w:cs="仿宋"/>
          <w:sz w:val="24"/>
          <w:szCs w:val="24"/>
        </w:rPr>
      </w:pPr>
      <w:r>
        <w:rPr>
          <w:rFonts w:hint="eastAsia" w:ascii="仿宋" w:hAnsi="仿宋" w:eastAsia="仿宋" w:cs="仿宋"/>
          <w:spacing w:val="11"/>
          <w:sz w:val="24"/>
          <w:szCs w:val="24"/>
        </w:rPr>
        <w:t>10、各分部分项的主要施工方法（格式自拟）</w:t>
      </w:r>
    </w:p>
    <w:p w14:paraId="6B89D77D">
      <w:pPr>
        <w:pageBreakBefore w:val="0"/>
        <w:kinsoku w:val="0"/>
        <w:overflowPunct/>
        <w:topLinePunct w:val="0"/>
        <w:autoSpaceDE w:val="0"/>
        <w:autoSpaceDN w:val="0"/>
        <w:bidi w:val="0"/>
        <w:adjustRightInd w:val="0"/>
        <w:snapToGrid w:val="0"/>
        <w:spacing w:line="390" w:lineRule="auto"/>
        <w:ind w:right="0"/>
        <w:textAlignment w:val="baseline"/>
        <w:rPr>
          <w:rFonts w:hint="eastAsia" w:ascii="仿宋" w:hAnsi="仿宋" w:eastAsia="仿宋" w:cs="仿宋"/>
          <w:sz w:val="24"/>
          <w:szCs w:val="24"/>
        </w:rPr>
      </w:pPr>
    </w:p>
    <w:p w14:paraId="78DBD759">
      <w:pPr>
        <w:pStyle w:val="5"/>
        <w:pageBreakBefore w:val="0"/>
        <w:kinsoku w:val="0"/>
        <w:overflowPunct/>
        <w:topLinePunct w:val="0"/>
        <w:autoSpaceDE w:val="0"/>
        <w:autoSpaceDN w:val="0"/>
        <w:bidi w:val="0"/>
        <w:adjustRightInd w:val="0"/>
        <w:snapToGrid w:val="0"/>
        <w:spacing w:before="99" w:line="187" w:lineRule="auto"/>
        <w:ind w:left="16" w:right="0"/>
        <w:textAlignment w:val="baseline"/>
        <w:rPr>
          <w:rFonts w:hint="eastAsia" w:ascii="仿宋" w:hAnsi="仿宋" w:eastAsia="仿宋" w:cs="仿宋"/>
          <w:sz w:val="24"/>
          <w:szCs w:val="24"/>
        </w:rPr>
      </w:pPr>
      <w:r>
        <w:rPr>
          <w:rFonts w:hint="eastAsia" w:ascii="仿宋" w:hAnsi="仿宋" w:eastAsia="仿宋" w:cs="仿宋"/>
          <w:spacing w:val="12"/>
          <w:sz w:val="24"/>
          <w:szCs w:val="24"/>
        </w:rPr>
        <w:t>11、主要机械设备投入情况及进场计化（格式自</w:t>
      </w:r>
      <w:r>
        <w:rPr>
          <w:rFonts w:hint="eastAsia" w:ascii="仿宋" w:hAnsi="仿宋" w:eastAsia="仿宋" w:cs="仿宋"/>
          <w:spacing w:val="11"/>
          <w:sz w:val="24"/>
          <w:szCs w:val="24"/>
        </w:rPr>
        <w:t>拟）</w:t>
      </w:r>
    </w:p>
    <w:p w14:paraId="0798E126">
      <w:pPr>
        <w:pageBreakBefore w:val="0"/>
        <w:kinsoku w:val="0"/>
        <w:overflowPunct/>
        <w:topLinePunct w:val="0"/>
        <w:autoSpaceDE w:val="0"/>
        <w:autoSpaceDN w:val="0"/>
        <w:bidi w:val="0"/>
        <w:adjustRightInd w:val="0"/>
        <w:snapToGrid w:val="0"/>
        <w:spacing w:line="393" w:lineRule="auto"/>
        <w:ind w:right="0"/>
        <w:textAlignment w:val="baseline"/>
        <w:rPr>
          <w:rFonts w:hint="eastAsia" w:ascii="仿宋" w:hAnsi="仿宋" w:eastAsia="仿宋" w:cs="仿宋"/>
          <w:sz w:val="24"/>
          <w:szCs w:val="24"/>
        </w:rPr>
      </w:pPr>
    </w:p>
    <w:p w14:paraId="7657998A">
      <w:pPr>
        <w:pStyle w:val="5"/>
        <w:pageBreakBefore w:val="0"/>
        <w:kinsoku w:val="0"/>
        <w:overflowPunct/>
        <w:topLinePunct w:val="0"/>
        <w:autoSpaceDE w:val="0"/>
        <w:autoSpaceDN w:val="0"/>
        <w:bidi w:val="0"/>
        <w:adjustRightInd w:val="0"/>
        <w:snapToGrid w:val="0"/>
        <w:spacing w:before="98" w:line="183" w:lineRule="auto"/>
        <w:ind w:left="16" w:right="0"/>
        <w:textAlignment w:val="baseline"/>
        <w:rPr>
          <w:rFonts w:hint="eastAsia" w:ascii="仿宋" w:hAnsi="仿宋" w:eastAsia="仿宋" w:cs="仿宋"/>
          <w:sz w:val="24"/>
          <w:szCs w:val="24"/>
        </w:rPr>
      </w:pPr>
      <w:r>
        <w:rPr>
          <w:rFonts w:hint="eastAsia" w:ascii="仿宋" w:hAnsi="仿宋" w:eastAsia="仿宋" w:cs="仿宋"/>
          <w:spacing w:val="9"/>
          <w:position w:val="-2"/>
          <w:sz w:val="24"/>
          <w:szCs w:val="24"/>
        </w:rPr>
        <w:t>12、</w:t>
      </w:r>
      <w:r>
        <w:rPr>
          <w:rFonts w:hint="eastAsia" w:ascii="仿宋" w:hAnsi="仿宋" w:eastAsia="仿宋" w:cs="仿宋"/>
          <w:spacing w:val="9"/>
          <w:sz w:val="24"/>
          <w:szCs w:val="24"/>
        </w:rPr>
        <w:t>工程质量保证措施（格式自拟）</w:t>
      </w:r>
    </w:p>
    <w:p w14:paraId="23EE0E23">
      <w:pPr>
        <w:pageBreakBefore w:val="0"/>
        <w:kinsoku w:val="0"/>
        <w:overflowPunct/>
        <w:topLinePunct w:val="0"/>
        <w:autoSpaceDE w:val="0"/>
        <w:autoSpaceDN w:val="0"/>
        <w:bidi w:val="0"/>
        <w:adjustRightInd w:val="0"/>
        <w:snapToGrid w:val="0"/>
        <w:spacing w:line="377" w:lineRule="auto"/>
        <w:ind w:right="0"/>
        <w:textAlignment w:val="baseline"/>
        <w:rPr>
          <w:rFonts w:hint="eastAsia" w:ascii="仿宋" w:hAnsi="仿宋" w:eastAsia="仿宋" w:cs="仿宋"/>
          <w:sz w:val="24"/>
          <w:szCs w:val="24"/>
        </w:rPr>
      </w:pPr>
    </w:p>
    <w:p w14:paraId="2B51B106">
      <w:pPr>
        <w:pStyle w:val="5"/>
        <w:pageBreakBefore w:val="0"/>
        <w:kinsoku w:val="0"/>
        <w:overflowPunct/>
        <w:topLinePunct w:val="0"/>
        <w:autoSpaceDE w:val="0"/>
        <w:autoSpaceDN w:val="0"/>
        <w:bidi w:val="0"/>
        <w:adjustRightInd w:val="0"/>
        <w:snapToGrid w:val="0"/>
        <w:spacing w:before="99" w:line="187" w:lineRule="auto"/>
        <w:ind w:left="16" w:right="0"/>
        <w:textAlignment w:val="baseline"/>
        <w:rPr>
          <w:rFonts w:hint="eastAsia" w:ascii="仿宋" w:hAnsi="仿宋" w:eastAsia="仿宋" w:cs="仿宋"/>
          <w:sz w:val="24"/>
          <w:szCs w:val="24"/>
        </w:rPr>
      </w:pPr>
      <w:r>
        <w:rPr>
          <w:rFonts w:hint="eastAsia" w:ascii="仿宋" w:hAnsi="仿宋" w:eastAsia="仿宋" w:cs="仿宋"/>
          <w:spacing w:val="7"/>
          <w:sz w:val="24"/>
          <w:szCs w:val="24"/>
        </w:rPr>
        <w:t>13、安全生产措施（格式自拟）</w:t>
      </w:r>
    </w:p>
    <w:p w14:paraId="5B3A928D">
      <w:pPr>
        <w:pageBreakBefore w:val="0"/>
        <w:kinsoku w:val="0"/>
        <w:overflowPunct/>
        <w:topLinePunct w:val="0"/>
        <w:autoSpaceDE w:val="0"/>
        <w:autoSpaceDN w:val="0"/>
        <w:bidi w:val="0"/>
        <w:adjustRightInd w:val="0"/>
        <w:snapToGrid w:val="0"/>
        <w:spacing w:line="391" w:lineRule="auto"/>
        <w:ind w:right="0"/>
        <w:textAlignment w:val="baseline"/>
        <w:rPr>
          <w:rFonts w:hint="eastAsia" w:ascii="仿宋" w:hAnsi="仿宋" w:eastAsia="仿宋" w:cs="仿宋"/>
          <w:sz w:val="24"/>
          <w:szCs w:val="24"/>
        </w:rPr>
      </w:pPr>
    </w:p>
    <w:p w14:paraId="0E0404A9">
      <w:pPr>
        <w:pStyle w:val="5"/>
        <w:pageBreakBefore w:val="0"/>
        <w:kinsoku w:val="0"/>
        <w:overflowPunct/>
        <w:topLinePunct w:val="0"/>
        <w:autoSpaceDE w:val="0"/>
        <w:autoSpaceDN w:val="0"/>
        <w:bidi w:val="0"/>
        <w:adjustRightInd w:val="0"/>
        <w:snapToGrid w:val="0"/>
        <w:spacing w:before="99" w:line="191" w:lineRule="auto"/>
        <w:ind w:left="16" w:right="0"/>
        <w:textAlignment w:val="baseline"/>
        <w:rPr>
          <w:rFonts w:hint="eastAsia" w:ascii="仿宋" w:hAnsi="仿宋" w:eastAsia="仿宋" w:cs="仿宋"/>
          <w:sz w:val="24"/>
          <w:szCs w:val="24"/>
        </w:rPr>
      </w:pPr>
      <w:r>
        <w:rPr>
          <w:rFonts w:hint="eastAsia" w:ascii="仿宋" w:hAnsi="仿宋" w:eastAsia="仿宋" w:cs="仿宋"/>
          <w:spacing w:val="17"/>
          <w:sz w:val="24"/>
          <w:szCs w:val="24"/>
        </w:rPr>
        <w:t>14、除磋商文件规定必须提供以外，供应商认为需要提供的其他证明材料</w:t>
      </w:r>
    </w:p>
    <w:p w14:paraId="5DC5C2AC">
      <w:pPr>
        <w:pageBreakBefore w:val="0"/>
        <w:kinsoku w:val="0"/>
        <w:overflowPunct/>
        <w:topLinePunct w:val="0"/>
        <w:autoSpaceDE w:val="0"/>
        <w:autoSpaceDN w:val="0"/>
        <w:bidi w:val="0"/>
        <w:adjustRightInd w:val="0"/>
        <w:snapToGrid w:val="0"/>
        <w:spacing w:line="191" w:lineRule="auto"/>
        <w:ind w:right="0"/>
        <w:textAlignment w:val="baseline"/>
        <w:rPr>
          <w:rFonts w:hint="eastAsia" w:ascii="仿宋" w:hAnsi="仿宋" w:eastAsia="仿宋" w:cs="仿宋"/>
          <w:sz w:val="24"/>
          <w:szCs w:val="24"/>
        </w:rPr>
        <w:sectPr>
          <w:footerReference r:id="rId36" w:type="default"/>
          <w:pgSz w:w="11905" w:h="16838"/>
          <w:pgMar w:top="1440" w:right="1803" w:bottom="1440" w:left="1803" w:header="0" w:footer="567" w:gutter="0"/>
          <w:pgNumType w:fmt="decimal"/>
          <w:cols w:space="0" w:num="1"/>
          <w:rtlGutter w:val="0"/>
          <w:docGrid w:linePitch="0" w:charSpace="0"/>
        </w:sectPr>
      </w:pPr>
    </w:p>
    <w:p w14:paraId="40706AB3">
      <w:pPr>
        <w:pStyle w:val="5"/>
        <w:pageBreakBefore w:val="0"/>
        <w:kinsoku w:val="0"/>
        <w:overflowPunct/>
        <w:topLinePunct w:val="0"/>
        <w:autoSpaceDE w:val="0"/>
        <w:autoSpaceDN w:val="0"/>
        <w:bidi w:val="0"/>
        <w:adjustRightInd w:val="0"/>
        <w:snapToGrid w:val="0"/>
        <w:spacing w:before="48" w:line="191" w:lineRule="auto"/>
        <w:ind w:left="9" w:right="0"/>
        <w:textAlignment w:val="baseline"/>
        <w:outlineLvl w:val="1"/>
        <w:rPr>
          <w:rFonts w:hint="eastAsia" w:ascii="仿宋" w:hAnsi="仿宋" w:eastAsia="仿宋" w:cs="仿宋"/>
          <w:sz w:val="23"/>
          <w:szCs w:val="23"/>
        </w:rPr>
      </w:pPr>
      <w:r>
        <w:rPr>
          <w:rFonts w:hint="eastAsia" w:ascii="仿宋" w:hAnsi="仿宋" w:eastAsia="仿宋" w:cs="仿宋"/>
          <w:spacing w:val="7"/>
          <w:sz w:val="23"/>
          <w:szCs w:val="23"/>
          <w14:textOutline w14:w="4388" w14:cap="flat" w14:cmpd="sng">
            <w14:solidFill>
              <w14:srgbClr w14:val="000000"/>
            </w14:solidFill>
            <w14:prstDash w14:val="solid"/>
            <w14:miter w14:val="0"/>
          </w14:textOutline>
        </w:rPr>
        <w:t>第四节：报价文件格式</w:t>
      </w:r>
    </w:p>
    <w:p w14:paraId="3F027E8B">
      <w:pPr>
        <w:pageBreakBefore w:val="0"/>
        <w:kinsoku w:val="0"/>
        <w:overflowPunct/>
        <w:topLinePunct w:val="0"/>
        <w:autoSpaceDE w:val="0"/>
        <w:autoSpaceDN w:val="0"/>
        <w:bidi w:val="0"/>
        <w:adjustRightInd w:val="0"/>
        <w:snapToGrid w:val="0"/>
        <w:spacing w:line="367" w:lineRule="auto"/>
        <w:ind w:right="0"/>
        <w:textAlignment w:val="baseline"/>
        <w:rPr>
          <w:rFonts w:hint="eastAsia" w:ascii="仿宋" w:hAnsi="仿宋" w:eastAsia="仿宋" w:cs="仿宋"/>
          <w:sz w:val="21"/>
        </w:rPr>
      </w:pPr>
    </w:p>
    <w:p w14:paraId="0BAF94D2">
      <w:pPr>
        <w:pStyle w:val="5"/>
        <w:pageBreakBefore w:val="0"/>
        <w:kinsoku w:val="0"/>
        <w:overflowPunct/>
        <w:topLinePunct w:val="0"/>
        <w:autoSpaceDE w:val="0"/>
        <w:autoSpaceDN w:val="0"/>
        <w:bidi w:val="0"/>
        <w:adjustRightInd w:val="0"/>
        <w:snapToGrid w:val="0"/>
        <w:spacing w:before="98" w:line="401" w:lineRule="exact"/>
        <w:ind w:left="27" w:right="0"/>
        <w:textAlignment w:val="baseline"/>
        <w:rPr>
          <w:rFonts w:hint="eastAsia" w:ascii="仿宋" w:hAnsi="仿宋" w:eastAsia="仿宋" w:cs="仿宋"/>
          <w:sz w:val="23"/>
          <w:szCs w:val="23"/>
        </w:rPr>
      </w:pPr>
      <w:r>
        <w:rPr>
          <w:rFonts w:hint="eastAsia" w:ascii="仿宋" w:hAnsi="仿宋" w:eastAsia="仿宋" w:cs="仿宋"/>
          <w:spacing w:val="-6"/>
          <w:position w:val="12"/>
          <w:sz w:val="23"/>
          <w:szCs w:val="23"/>
        </w:rPr>
        <w:t>1、投标函</w:t>
      </w:r>
    </w:p>
    <w:p w14:paraId="64A74203">
      <w:pPr>
        <w:pStyle w:val="5"/>
        <w:pageBreakBefore w:val="0"/>
        <w:kinsoku w:val="0"/>
        <w:overflowPunct/>
        <w:topLinePunct w:val="0"/>
        <w:autoSpaceDE w:val="0"/>
        <w:autoSpaceDN w:val="0"/>
        <w:bidi w:val="0"/>
        <w:adjustRightInd w:val="0"/>
        <w:snapToGrid w:val="0"/>
        <w:spacing w:before="1" w:line="191" w:lineRule="auto"/>
        <w:ind w:left="12" w:right="0"/>
        <w:textAlignment w:val="baseline"/>
        <w:rPr>
          <w:rFonts w:hint="eastAsia" w:ascii="仿宋" w:hAnsi="仿宋" w:eastAsia="仿宋" w:cs="仿宋"/>
          <w:sz w:val="23"/>
          <w:szCs w:val="23"/>
        </w:rPr>
      </w:pPr>
      <w:r>
        <w:rPr>
          <w:rFonts w:hint="eastAsia" w:ascii="仿宋" w:hAnsi="仿宋" w:eastAsia="仿宋" w:cs="仿宋"/>
          <w:spacing w:val="7"/>
          <w:sz w:val="23"/>
          <w:szCs w:val="23"/>
        </w:rPr>
        <w:t>投标函格式</w:t>
      </w:r>
    </w:p>
    <w:p w14:paraId="396B31DF">
      <w:pPr>
        <w:pStyle w:val="5"/>
        <w:pageBreakBefore w:val="0"/>
        <w:kinsoku w:val="0"/>
        <w:overflowPunct/>
        <w:topLinePunct w:val="0"/>
        <w:autoSpaceDE w:val="0"/>
        <w:autoSpaceDN w:val="0"/>
        <w:bidi w:val="0"/>
        <w:adjustRightInd w:val="0"/>
        <w:snapToGrid w:val="0"/>
        <w:spacing w:before="99" w:line="187" w:lineRule="auto"/>
        <w:ind w:left="3740" w:right="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4388" w14:cap="flat" w14:cmpd="sng">
            <w14:solidFill>
              <w14:srgbClr w14:val="000000"/>
            </w14:solidFill>
            <w14:prstDash w14:val="solid"/>
            <w14:miter w14:val="0"/>
          </w14:textOutline>
        </w:rPr>
        <w:t>(一)投标函</w:t>
      </w:r>
    </w:p>
    <w:p w14:paraId="631FDF10">
      <w:pPr>
        <w:pageBreakBefore w:val="0"/>
        <w:kinsoku w:val="0"/>
        <w:overflowPunct/>
        <w:topLinePunct w:val="0"/>
        <w:autoSpaceDE w:val="0"/>
        <w:autoSpaceDN w:val="0"/>
        <w:bidi w:val="0"/>
        <w:adjustRightInd w:val="0"/>
        <w:snapToGrid w:val="0"/>
        <w:spacing w:line="352" w:lineRule="auto"/>
        <w:ind w:right="0"/>
        <w:textAlignment w:val="baseline"/>
        <w:rPr>
          <w:rFonts w:hint="eastAsia" w:ascii="仿宋" w:hAnsi="仿宋" w:eastAsia="仿宋" w:cs="仿宋"/>
          <w:sz w:val="21"/>
        </w:rPr>
      </w:pPr>
    </w:p>
    <w:p w14:paraId="104C734F">
      <w:pPr>
        <w:pStyle w:val="5"/>
        <w:pageBreakBefore w:val="0"/>
        <w:tabs>
          <w:tab w:val="left" w:pos="3015"/>
        </w:tabs>
        <w:kinsoku w:val="0"/>
        <w:overflowPunct/>
        <w:topLinePunct w:val="0"/>
        <w:autoSpaceDE w:val="0"/>
        <w:autoSpaceDN w:val="0"/>
        <w:bidi w:val="0"/>
        <w:adjustRightInd w:val="0"/>
        <w:snapToGrid w:val="0"/>
        <w:spacing w:before="99" w:line="240" w:lineRule="auto"/>
        <w:ind w:right="0"/>
        <w:textAlignment w:val="baseline"/>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10"/>
          <w:sz w:val="24"/>
          <w:szCs w:val="24"/>
        </w:rPr>
        <w:t>(招标人名称)：</w:t>
      </w:r>
    </w:p>
    <w:p w14:paraId="2B3E63B0">
      <w:pPr>
        <w:pStyle w:val="5"/>
        <w:pageBreakBefore w:val="0"/>
        <w:kinsoku w:val="0"/>
        <w:overflowPunct/>
        <w:topLinePunct w:val="0"/>
        <w:autoSpaceDE w:val="0"/>
        <w:autoSpaceDN w:val="0"/>
        <w:bidi w:val="0"/>
        <w:adjustRightInd w:val="0"/>
        <w:snapToGrid w:val="0"/>
        <w:spacing w:before="95" w:line="240" w:lineRule="auto"/>
        <w:ind w:left="12" w:right="0" w:firstLine="494"/>
        <w:textAlignment w:val="baseline"/>
        <w:rPr>
          <w:rFonts w:hint="eastAsia" w:ascii="仿宋" w:hAnsi="仿宋" w:eastAsia="仿宋" w:cs="仿宋"/>
          <w:sz w:val="24"/>
          <w:szCs w:val="24"/>
        </w:rPr>
      </w:pPr>
      <w:r>
        <w:rPr>
          <w:rFonts w:hint="eastAsia" w:ascii="仿宋" w:hAnsi="仿宋" w:eastAsia="仿宋" w:cs="仿宋"/>
          <w:spacing w:val="11"/>
          <w:sz w:val="24"/>
          <w:szCs w:val="24"/>
        </w:rPr>
        <w:t>1．我方已仔细研究了(项目名称)磋</w:t>
      </w:r>
      <w:r>
        <w:rPr>
          <w:rFonts w:hint="eastAsia" w:ascii="仿宋" w:hAnsi="仿宋" w:eastAsia="仿宋" w:cs="仿宋"/>
          <w:spacing w:val="10"/>
          <w:sz w:val="24"/>
          <w:szCs w:val="24"/>
        </w:rPr>
        <w:t>商文件的全部内容，愿意</w:t>
      </w:r>
      <w:r>
        <w:rPr>
          <w:rFonts w:hint="eastAsia" w:ascii="仿宋" w:hAnsi="仿宋" w:eastAsia="仿宋" w:cs="仿宋"/>
          <w:spacing w:val="2"/>
          <w:sz w:val="24"/>
          <w:szCs w:val="24"/>
        </w:rPr>
        <w:t>以人民币(大写)元(¥)的投标总报价，工</w:t>
      </w:r>
      <w:r>
        <w:rPr>
          <w:rFonts w:hint="eastAsia" w:ascii="仿宋" w:hAnsi="仿宋" w:eastAsia="仿宋" w:cs="仿宋"/>
          <w:spacing w:val="1"/>
          <w:sz w:val="24"/>
          <w:szCs w:val="24"/>
        </w:rPr>
        <w:t>期日</w:t>
      </w:r>
      <w:r>
        <w:rPr>
          <w:rFonts w:hint="eastAsia" w:ascii="仿宋" w:hAnsi="仿宋" w:eastAsia="仿宋" w:cs="仿宋"/>
          <w:spacing w:val="8"/>
          <w:sz w:val="24"/>
          <w:szCs w:val="24"/>
        </w:rPr>
        <w:t>历天，按合同约定实施和完成承包工</w:t>
      </w:r>
      <w:r>
        <w:rPr>
          <w:rFonts w:hint="eastAsia" w:ascii="仿宋" w:hAnsi="仿宋" w:eastAsia="仿宋" w:cs="仿宋"/>
          <w:spacing w:val="7"/>
          <w:sz w:val="24"/>
          <w:szCs w:val="24"/>
        </w:rPr>
        <w:t>程，修补工程中的任何缺陷，工程质量达</w:t>
      </w:r>
    </w:p>
    <w:p w14:paraId="7482E535">
      <w:pPr>
        <w:pStyle w:val="5"/>
        <w:pageBreakBefore w:val="0"/>
        <w:kinsoku w:val="0"/>
        <w:overflowPunct/>
        <w:topLinePunct w:val="0"/>
        <w:autoSpaceDE w:val="0"/>
        <w:autoSpaceDN w:val="0"/>
        <w:bidi w:val="0"/>
        <w:adjustRightInd w:val="0"/>
        <w:snapToGrid w:val="0"/>
        <w:spacing w:line="240" w:lineRule="auto"/>
        <w:ind w:left="15" w:right="0"/>
        <w:textAlignment w:val="baseline"/>
        <w:rPr>
          <w:rFonts w:hint="eastAsia" w:ascii="仿宋" w:hAnsi="仿宋" w:eastAsia="仿宋" w:cs="仿宋"/>
          <w:sz w:val="24"/>
          <w:szCs w:val="24"/>
        </w:rPr>
      </w:pPr>
      <w:r>
        <w:rPr>
          <w:rFonts w:hint="eastAsia" w:ascii="仿宋" w:hAnsi="仿宋" w:eastAsia="仿宋" w:cs="仿宋"/>
          <w:spacing w:val="-1"/>
          <w:sz w:val="24"/>
          <w:szCs w:val="24"/>
        </w:rPr>
        <w:t>到。</w:t>
      </w:r>
    </w:p>
    <w:p w14:paraId="48851193">
      <w:pPr>
        <w:pStyle w:val="5"/>
        <w:pageBreakBefore w:val="0"/>
        <w:kinsoku w:val="0"/>
        <w:overflowPunct/>
        <w:topLinePunct w:val="0"/>
        <w:autoSpaceDE w:val="0"/>
        <w:autoSpaceDN w:val="0"/>
        <w:bidi w:val="0"/>
        <w:adjustRightInd w:val="0"/>
        <w:snapToGrid w:val="0"/>
        <w:spacing w:before="81" w:line="240" w:lineRule="auto"/>
        <w:ind w:left="492" w:right="0"/>
        <w:textAlignment w:val="baseline"/>
        <w:rPr>
          <w:rFonts w:hint="eastAsia" w:ascii="仿宋" w:hAnsi="仿宋" w:eastAsia="仿宋" w:cs="仿宋"/>
          <w:sz w:val="24"/>
          <w:szCs w:val="24"/>
        </w:rPr>
      </w:pPr>
      <w:r>
        <w:rPr>
          <w:rFonts w:hint="eastAsia" w:ascii="仿宋" w:hAnsi="仿宋" w:eastAsia="仿宋" w:cs="仿宋"/>
          <w:spacing w:val="5"/>
          <w:sz w:val="24"/>
          <w:szCs w:val="24"/>
        </w:rPr>
        <w:t>2．我方承诺在投标有效期内不修改、撤销投标文件。</w:t>
      </w:r>
    </w:p>
    <w:p w14:paraId="1BFFED6B">
      <w:pPr>
        <w:pStyle w:val="5"/>
        <w:pageBreakBefore w:val="0"/>
        <w:kinsoku w:val="0"/>
        <w:overflowPunct/>
        <w:topLinePunct w:val="0"/>
        <w:autoSpaceDE w:val="0"/>
        <w:autoSpaceDN w:val="0"/>
        <w:bidi w:val="0"/>
        <w:adjustRightInd w:val="0"/>
        <w:snapToGrid w:val="0"/>
        <w:spacing w:before="84" w:line="240" w:lineRule="auto"/>
        <w:ind w:right="0" w:firstLine="556" w:firstLineChars="200"/>
        <w:jc w:val="both"/>
        <w:textAlignment w:val="baseline"/>
        <w:rPr>
          <w:rFonts w:hint="eastAsia" w:ascii="仿宋" w:hAnsi="仿宋" w:eastAsia="仿宋" w:cs="仿宋"/>
          <w:sz w:val="24"/>
          <w:szCs w:val="24"/>
        </w:rPr>
      </w:pPr>
      <w:r>
        <w:rPr>
          <w:rFonts w:hint="eastAsia" w:ascii="仿宋" w:hAnsi="仿宋" w:eastAsia="仿宋" w:cs="仿宋"/>
          <w:spacing w:val="19"/>
          <w:sz w:val="24"/>
          <w:szCs w:val="24"/>
        </w:rPr>
        <w:t>3．随本投标函提交投保证金一份金额为人民币(大写)元</w:t>
      </w:r>
      <w:r>
        <w:rPr>
          <w:rFonts w:hint="eastAsia" w:ascii="仿宋" w:hAnsi="仿宋" w:eastAsia="仿宋" w:cs="仿宋"/>
          <w:spacing w:val="2"/>
          <w:sz w:val="24"/>
          <w:szCs w:val="24"/>
        </w:rPr>
        <w:t>(¥)。</w:t>
      </w:r>
    </w:p>
    <w:p w14:paraId="32D96D42">
      <w:pPr>
        <w:pStyle w:val="5"/>
        <w:pageBreakBefore w:val="0"/>
        <w:kinsoku w:val="0"/>
        <w:overflowPunct/>
        <w:topLinePunct w:val="0"/>
        <w:autoSpaceDE w:val="0"/>
        <w:autoSpaceDN w:val="0"/>
        <w:bidi w:val="0"/>
        <w:adjustRightInd w:val="0"/>
        <w:snapToGrid w:val="0"/>
        <w:spacing w:before="93" w:line="240" w:lineRule="auto"/>
        <w:ind w:left="488" w:right="0"/>
        <w:textAlignment w:val="baseline"/>
        <w:rPr>
          <w:rFonts w:hint="eastAsia" w:ascii="仿宋" w:hAnsi="仿宋" w:eastAsia="仿宋" w:cs="仿宋"/>
          <w:sz w:val="24"/>
          <w:szCs w:val="24"/>
        </w:rPr>
      </w:pPr>
      <w:r>
        <w:rPr>
          <w:rFonts w:hint="eastAsia" w:ascii="仿宋" w:hAnsi="仿宋" w:eastAsia="仿宋" w:cs="仿宋"/>
          <w:spacing w:val="-6"/>
          <w:sz w:val="24"/>
          <w:szCs w:val="24"/>
        </w:rPr>
        <w:t>4．如我方中标：</w:t>
      </w:r>
    </w:p>
    <w:p w14:paraId="6471F722">
      <w:pPr>
        <w:pStyle w:val="5"/>
        <w:pageBreakBefore w:val="0"/>
        <w:kinsoku w:val="0"/>
        <w:overflowPunct/>
        <w:topLinePunct w:val="0"/>
        <w:autoSpaceDE w:val="0"/>
        <w:autoSpaceDN w:val="0"/>
        <w:bidi w:val="0"/>
        <w:adjustRightInd w:val="0"/>
        <w:snapToGrid w:val="0"/>
        <w:spacing w:before="83" w:line="240" w:lineRule="auto"/>
        <w:ind w:right="0"/>
        <w:jc w:val="left"/>
        <w:textAlignment w:val="baseline"/>
        <w:rPr>
          <w:rFonts w:hint="eastAsia" w:ascii="仿宋" w:hAnsi="仿宋" w:eastAsia="仿宋" w:cs="仿宋"/>
          <w:spacing w:val="19"/>
          <w:position w:val="12"/>
          <w:sz w:val="24"/>
          <w:szCs w:val="24"/>
        </w:rPr>
      </w:pPr>
      <w:r>
        <w:rPr>
          <w:rFonts w:hint="eastAsia" w:ascii="仿宋" w:hAnsi="仿宋" w:eastAsia="仿宋" w:cs="仿宋"/>
          <w:spacing w:val="19"/>
          <w:position w:val="12"/>
          <w:sz w:val="24"/>
          <w:szCs w:val="24"/>
        </w:rPr>
        <w:t>(1)我方承诺在收到中标通知书后，在中标通知书规定的期限内与你方签订合同。</w:t>
      </w:r>
    </w:p>
    <w:p w14:paraId="4FF5770F">
      <w:pPr>
        <w:pStyle w:val="5"/>
        <w:pageBreakBefore w:val="0"/>
        <w:kinsoku w:val="0"/>
        <w:overflowPunct/>
        <w:topLinePunct w:val="0"/>
        <w:autoSpaceDE w:val="0"/>
        <w:autoSpaceDN w:val="0"/>
        <w:bidi w:val="0"/>
        <w:adjustRightInd w:val="0"/>
        <w:snapToGrid w:val="0"/>
        <w:spacing w:before="81" w:line="240" w:lineRule="auto"/>
        <w:ind w:left="531" w:right="0"/>
        <w:textAlignment w:val="baseline"/>
        <w:rPr>
          <w:rFonts w:hint="eastAsia" w:ascii="仿宋" w:hAnsi="仿宋" w:eastAsia="仿宋" w:cs="仿宋"/>
          <w:sz w:val="24"/>
          <w:szCs w:val="24"/>
        </w:rPr>
      </w:pPr>
      <w:r>
        <w:rPr>
          <w:rFonts w:hint="eastAsia" w:ascii="仿宋" w:hAnsi="仿宋" w:eastAsia="仿宋" w:cs="仿宋"/>
          <w:spacing w:val="7"/>
          <w:sz w:val="24"/>
          <w:szCs w:val="24"/>
        </w:rPr>
        <w:t>(2)随同本投标函递交的投标函附录属于合同文件的组成部分。</w:t>
      </w:r>
    </w:p>
    <w:p w14:paraId="61813566">
      <w:pPr>
        <w:pStyle w:val="5"/>
        <w:pageBreakBefore w:val="0"/>
        <w:kinsoku w:val="0"/>
        <w:overflowPunct/>
        <w:topLinePunct w:val="0"/>
        <w:autoSpaceDE w:val="0"/>
        <w:autoSpaceDN w:val="0"/>
        <w:bidi w:val="0"/>
        <w:adjustRightInd w:val="0"/>
        <w:snapToGrid w:val="0"/>
        <w:spacing w:before="91" w:line="240" w:lineRule="auto"/>
        <w:ind w:left="531" w:right="0"/>
        <w:textAlignment w:val="baseline"/>
        <w:rPr>
          <w:rFonts w:hint="eastAsia" w:ascii="仿宋" w:hAnsi="仿宋" w:eastAsia="仿宋" w:cs="仿宋"/>
          <w:sz w:val="24"/>
          <w:szCs w:val="24"/>
        </w:rPr>
      </w:pPr>
      <w:r>
        <w:rPr>
          <w:rFonts w:hint="eastAsia" w:ascii="仿宋" w:hAnsi="仿宋" w:eastAsia="仿宋" w:cs="仿宋"/>
          <w:spacing w:val="7"/>
          <w:sz w:val="24"/>
          <w:szCs w:val="24"/>
        </w:rPr>
        <w:t>(3)我方承诺按照招标文件规定向你方递交履约担保。</w:t>
      </w:r>
    </w:p>
    <w:p w14:paraId="212477B7">
      <w:pPr>
        <w:pStyle w:val="5"/>
        <w:pageBreakBefore w:val="0"/>
        <w:kinsoku w:val="0"/>
        <w:overflowPunct/>
        <w:topLinePunct w:val="0"/>
        <w:autoSpaceDE w:val="0"/>
        <w:autoSpaceDN w:val="0"/>
        <w:bidi w:val="0"/>
        <w:adjustRightInd w:val="0"/>
        <w:snapToGrid w:val="0"/>
        <w:spacing w:before="93" w:line="240" w:lineRule="auto"/>
        <w:ind w:left="531" w:right="0"/>
        <w:textAlignment w:val="baseline"/>
        <w:rPr>
          <w:rFonts w:hint="eastAsia" w:ascii="仿宋" w:hAnsi="仿宋" w:eastAsia="仿宋" w:cs="仿宋"/>
          <w:sz w:val="24"/>
          <w:szCs w:val="24"/>
        </w:rPr>
      </w:pPr>
      <w:r>
        <w:rPr>
          <w:rFonts w:hint="eastAsia" w:ascii="仿宋" w:hAnsi="仿宋" w:eastAsia="仿宋" w:cs="仿宋"/>
          <w:spacing w:val="8"/>
          <w:sz w:val="24"/>
          <w:szCs w:val="24"/>
        </w:rPr>
        <w:t>(4)我方承诺在合同约定的期限内完成并移</w:t>
      </w:r>
      <w:r>
        <w:rPr>
          <w:rFonts w:hint="eastAsia" w:ascii="仿宋" w:hAnsi="仿宋" w:eastAsia="仿宋" w:cs="仿宋"/>
          <w:spacing w:val="7"/>
          <w:sz w:val="24"/>
          <w:szCs w:val="24"/>
        </w:rPr>
        <w:t>交全部合同工程。</w:t>
      </w:r>
    </w:p>
    <w:p w14:paraId="680A7876">
      <w:pPr>
        <w:pStyle w:val="5"/>
        <w:pageBreakBefore w:val="0"/>
        <w:kinsoku w:val="0"/>
        <w:overflowPunct/>
        <w:topLinePunct w:val="0"/>
        <w:autoSpaceDE w:val="0"/>
        <w:autoSpaceDN w:val="0"/>
        <w:bidi w:val="0"/>
        <w:adjustRightInd w:val="0"/>
        <w:snapToGrid w:val="0"/>
        <w:spacing w:before="96" w:line="240" w:lineRule="auto"/>
        <w:ind w:left="8" w:right="0" w:firstLine="485"/>
        <w:textAlignment w:val="baseline"/>
        <w:rPr>
          <w:rFonts w:hint="eastAsia" w:ascii="仿宋" w:hAnsi="仿宋" w:eastAsia="仿宋" w:cs="仿宋"/>
          <w:sz w:val="24"/>
          <w:szCs w:val="24"/>
        </w:rPr>
      </w:pPr>
      <w:r>
        <w:rPr>
          <w:rFonts w:hint="eastAsia" w:ascii="仿宋" w:hAnsi="仿宋" w:eastAsia="仿宋" w:cs="仿宋"/>
          <w:spacing w:val="4"/>
          <w:sz w:val="24"/>
          <w:szCs w:val="24"/>
        </w:rPr>
        <w:t>5．我方在此声明，所递交的投标文件及有关资料内容完整、真实和准确，且不存</w:t>
      </w:r>
      <w:r>
        <w:rPr>
          <w:rFonts w:hint="eastAsia" w:ascii="仿宋" w:hAnsi="仿宋" w:eastAsia="仿宋" w:cs="仿宋"/>
          <w:spacing w:val="6"/>
          <w:sz w:val="24"/>
          <w:szCs w:val="24"/>
        </w:rPr>
        <w:t>在第二章“投标人须知”第6.5项规定的任何一种情形。</w:t>
      </w:r>
    </w:p>
    <w:p w14:paraId="3F9846FB">
      <w:pPr>
        <w:pStyle w:val="5"/>
        <w:pageBreakBefore w:val="0"/>
        <w:kinsoku w:val="0"/>
        <w:overflowPunct/>
        <w:topLinePunct w:val="0"/>
        <w:autoSpaceDE w:val="0"/>
        <w:autoSpaceDN w:val="0"/>
        <w:bidi w:val="0"/>
        <w:adjustRightInd w:val="0"/>
        <w:snapToGrid w:val="0"/>
        <w:spacing w:before="86" w:line="240" w:lineRule="auto"/>
        <w:ind w:left="491" w:right="0"/>
        <w:textAlignment w:val="baseline"/>
        <w:rPr>
          <w:rFonts w:hint="eastAsia" w:ascii="仿宋" w:hAnsi="仿宋" w:eastAsia="仿宋" w:cs="仿宋"/>
          <w:sz w:val="24"/>
          <w:szCs w:val="24"/>
        </w:rPr>
      </w:pPr>
      <w:r>
        <w:rPr>
          <w:rFonts w:hint="eastAsia" w:ascii="仿宋" w:hAnsi="仿宋" w:eastAsia="仿宋" w:cs="仿宋"/>
          <w:spacing w:val="2"/>
          <w:sz w:val="24"/>
          <w:szCs w:val="24"/>
        </w:rPr>
        <w:t>6．(其他补充说明)</w:t>
      </w:r>
      <w:r>
        <w:rPr>
          <w:rFonts w:hint="eastAsia" w:ascii="仿宋" w:hAnsi="仿宋" w:eastAsia="仿宋" w:cs="仿宋"/>
          <w:spacing w:val="1"/>
          <w:sz w:val="24"/>
          <w:szCs w:val="24"/>
        </w:rPr>
        <w:t>。</w:t>
      </w:r>
    </w:p>
    <w:p w14:paraId="6ABA61EA">
      <w:pPr>
        <w:pageBreakBefore w:val="0"/>
        <w:kinsoku w:val="0"/>
        <w:overflowPunct/>
        <w:topLinePunct w:val="0"/>
        <w:autoSpaceDE w:val="0"/>
        <w:autoSpaceDN w:val="0"/>
        <w:bidi w:val="0"/>
        <w:adjustRightInd w:val="0"/>
        <w:snapToGrid w:val="0"/>
        <w:spacing w:line="240" w:lineRule="auto"/>
        <w:ind w:right="0"/>
        <w:textAlignment w:val="baseline"/>
        <w:rPr>
          <w:rFonts w:hint="eastAsia" w:ascii="仿宋" w:hAnsi="仿宋" w:eastAsia="仿宋" w:cs="仿宋"/>
          <w:sz w:val="24"/>
          <w:szCs w:val="24"/>
        </w:rPr>
      </w:pPr>
    </w:p>
    <w:p w14:paraId="46058123">
      <w:pPr>
        <w:pageBreakBefore w:val="0"/>
        <w:kinsoku w:val="0"/>
        <w:overflowPunct/>
        <w:topLinePunct w:val="0"/>
        <w:autoSpaceDE w:val="0"/>
        <w:autoSpaceDN w:val="0"/>
        <w:bidi w:val="0"/>
        <w:adjustRightInd w:val="0"/>
        <w:snapToGrid w:val="0"/>
        <w:spacing w:line="240" w:lineRule="auto"/>
        <w:ind w:right="0"/>
        <w:textAlignment w:val="baseline"/>
        <w:rPr>
          <w:rFonts w:hint="eastAsia" w:ascii="仿宋" w:hAnsi="仿宋" w:eastAsia="仿宋" w:cs="仿宋"/>
          <w:sz w:val="24"/>
          <w:szCs w:val="24"/>
        </w:rPr>
      </w:pPr>
    </w:p>
    <w:p w14:paraId="42443897">
      <w:pPr>
        <w:pageBreakBefore w:val="0"/>
        <w:kinsoku w:val="0"/>
        <w:overflowPunct/>
        <w:topLinePunct w:val="0"/>
        <w:autoSpaceDE w:val="0"/>
        <w:autoSpaceDN w:val="0"/>
        <w:bidi w:val="0"/>
        <w:adjustRightInd w:val="0"/>
        <w:snapToGrid w:val="0"/>
        <w:spacing w:line="240" w:lineRule="auto"/>
        <w:ind w:right="0"/>
        <w:textAlignment w:val="baseline"/>
        <w:rPr>
          <w:rFonts w:hint="eastAsia" w:ascii="仿宋" w:hAnsi="仿宋" w:eastAsia="仿宋" w:cs="仿宋"/>
          <w:sz w:val="24"/>
          <w:szCs w:val="24"/>
        </w:rPr>
      </w:pPr>
    </w:p>
    <w:p w14:paraId="18F9B036">
      <w:pPr>
        <w:pStyle w:val="5"/>
        <w:pageBreakBefore w:val="0"/>
        <w:kinsoku w:val="0"/>
        <w:overflowPunct/>
        <w:topLinePunct w:val="0"/>
        <w:autoSpaceDE w:val="0"/>
        <w:autoSpaceDN w:val="0"/>
        <w:bidi w:val="0"/>
        <w:adjustRightInd w:val="0"/>
        <w:snapToGrid w:val="0"/>
        <w:spacing w:before="99" w:line="240" w:lineRule="auto"/>
        <w:ind w:left="1929" w:right="0"/>
        <w:textAlignment w:val="baseline"/>
        <w:rPr>
          <w:rFonts w:hint="eastAsia" w:ascii="仿宋" w:hAnsi="仿宋" w:eastAsia="仿宋" w:cs="仿宋"/>
          <w:sz w:val="24"/>
          <w:szCs w:val="24"/>
        </w:rPr>
      </w:pPr>
      <w:r>
        <w:rPr>
          <w:rFonts w:hint="eastAsia" w:ascii="仿宋" w:hAnsi="仿宋" w:eastAsia="仿宋" w:cs="仿宋"/>
          <w:spacing w:val="-1"/>
          <w:sz w:val="24"/>
          <w:szCs w:val="24"/>
        </w:rPr>
        <w:t>供应商：(电子签章)</w:t>
      </w:r>
    </w:p>
    <w:p w14:paraId="5BB29E9B">
      <w:pPr>
        <w:pStyle w:val="5"/>
        <w:pageBreakBefore w:val="0"/>
        <w:kinsoku w:val="0"/>
        <w:overflowPunct/>
        <w:topLinePunct w:val="0"/>
        <w:autoSpaceDE w:val="0"/>
        <w:autoSpaceDN w:val="0"/>
        <w:bidi w:val="0"/>
        <w:adjustRightInd w:val="0"/>
        <w:snapToGrid w:val="0"/>
        <w:spacing w:before="1" w:line="240" w:lineRule="auto"/>
        <w:ind w:left="1930" w:right="0"/>
        <w:textAlignment w:val="baseline"/>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法定代表人或其委托代理人：(签字)</w:t>
      </w:r>
    </w:p>
    <w:p w14:paraId="1143DFC3">
      <w:pPr>
        <w:pStyle w:val="5"/>
        <w:pageBreakBefore w:val="0"/>
        <w:kinsoku w:val="0"/>
        <w:overflowPunct/>
        <w:topLinePunct w:val="0"/>
        <w:autoSpaceDE w:val="0"/>
        <w:autoSpaceDN w:val="0"/>
        <w:bidi w:val="0"/>
        <w:adjustRightInd w:val="0"/>
        <w:snapToGrid w:val="0"/>
        <w:spacing w:before="92" w:line="240" w:lineRule="auto"/>
        <w:ind w:left="1929" w:right="0"/>
        <w:textAlignment w:val="baseline"/>
        <w:rPr>
          <w:rFonts w:hint="eastAsia" w:ascii="仿宋" w:hAnsi="仿宋" w:eastAsia="仿宋" w:cs="仿宋"/>
          <w:sz w:val="24"/>
          <w:szCs w:val="24"/>
        </w:rPr>
      </w:pPr>
      <w:r>
        <w:rPr>
          <w:rFonts w:hint="eastAsia" w:ascii="仿宋" w:hAnsi="仿宋" w:eastAsia="仿宋" w:cs="仿宋"/>
          <w:spacing w:val="-9"/>
          <w:sz w:val="24"/>
          <w:szCs w:val="24"/>
        </w:rPr>
        <w:t>地址：</w:t>
      </w:r>
    </w:p>
    <w:p w14:paraId="75D0D85C">
      <w:pPr>
        <w:pStyle w:val="5"/>
        <w:pageBreakBefore w:val="0"/>
        <w:kinsoku w:val="0"/>
        <w:overflowPunct/>
        <w:topLinePunct w:val="0"/>
        <w:autoSpaceDE w:val="0"/>
        <w:autoSpaceDN w:val="0"/>
        <w:bidi w:val="0"/>
        <w:adjustRightInd w:val="0"/>
        <w:snapToGrid w:val="0"/>
        <w:spacing w:before="77" w:line="240" w:lineRule="auto"/>
        <w:ind w:left="1948" w:right="0"/>
        <w:textAlignment w:val="baseline"/>
        <w:rPr>
          <w:rFonts w:hint="eastAsia" w:ascii="仿宋" w:hAnsi="仿宋" w:eastAsia="仿宋" w:cs="仿宋"/>
          <w:sz w:val="24"/>
          <w:szCs w:val="24"/>
        </w:rPr>
      </w:pPr>
      <w:r>
        <w:rPr>
          <w:rFonts w:hint="eastAsia" w:ascii="仿宋" w:hAnsi="仿宋" w:eastAsia="仿宋" w:cs="仿宋"/>
          <w:spacing w:val="-13"/>
          <w:position w:val="12"/>
          <w:sz w:val="24"/>
          <w:szCs w:val="24"/>
        </w:rPr>
        <w:t>网址：</w:t>
      </w:r>
    </w:p>
    <w:p w14:paraId="3E2B50CA">
      <w:pPr>
        <w:pStyle w:val="5"/>
        <w:pageBreakBefore w:val="0"/>
        <w:kinsoku w:val="0"/>
        <w:overflowPunct/>
        <w:topLinePunct w:val="0"/>
        <w:autoSpaceDE w:val="0"/>
        <w:autoSpaceDN w:val="0"/>
        <w:bidi w:val="0"/>
        <w:adjustRightInd w:val="0"/>
        <w:snapToGrid w:val="0"/>
        <w:spacing w:before="1" w:line="240" w:lineRule="auto"/>
        <w:ind w:left="1957" w:right="0"/>
        <w:textAlignment w:val="baseline"/>
        <w:rPr>
          <w:rFonts w:hint="eastAsia" w:ascii="仿宋" w:hAnsi="仿宋" w:eastAsia="仿宋" w:cs="仿宋"/>
          <w:sz w:val="24"/>
          <w:szCs w:val="24"/>
        </w:rPr>
      </w:pPr>
      <w:r>
        <w:rPr>
          <w:rFonts w:hint="eastAsia" w:ascii="仿宋" w:hAnsi="仿宋" w:eastAsia="仿宋" w:cs="仿宋"/>
          <w:spacing w:val="-16"/>
          <w:sz w:val="24"/>
          <w:szCs w:val="24"/>
        </w:rPr>
        <w:t>电话：</w:t>
      </w:r>
    </w:p>
    <w:p w14:paraId="1989D5EC">
      <w:pPr>
        <w:pStyle w:val="5"/>
        <w:pageBreakBefore w:val="0"/>
        <w:kinsoku w:val="0"/>
        <w:overflowPunct/>
        <w:topLinePunct w:val="0"/>
        <w:autoSpaceDE w:val="0"/>
        <w:autoSpaceDN w:val="0"/>
        <w:bidi w:val="0"/>
        <w:adjustRightInd w:val="0"/>
        <w:snapToGrid w:val="0"/>
        <w:spacing w:before="83" w:line="240" w:lineRule="auto"/>
        <w:ind w:left="1927" w:right="0"/>
        <w:textAlignment w:val="baseline"/>
        <w:rPr>
          <w:rFonts w:hint="eastAsia" w:ascii="仿宋" w:hAnsi="仿宋" w:eastAsia="仿宋" w:cs="仿宋"/>
          <w:sz w:val="24"/>
          <w:szCs w:val="24"/>
        </w:rPr>
      </w:pPr>
      <w:r>
        <w:rPr>
          <w:rFonts w:hint="eastAsia" w:ascii="仿宋" w:hAnsi="仿宋" w:eastAsia="仿宋" w:cs="仿宋"/>
          <w:spacing w:val="-9"/>
          <w:sz w:val="24"/>
          <w:szCs w:val="24"/>
        </w:rPr>
        <w:t>传真：</w:t>
      </w:r>
    </w:p>
    <w:p w14:paraId="079AA91D">
      <w:pPr>
        <w:pStyle w:val="5"/>
        <w:pageBreakBefore w:val="0"/>
        <w:kinsoku w:val="0"/>
        <w:overflowPunct/>
        <w:topLinePunct w:val="0"/>
        <w:autoSpaceDE w:val="0"/>
        <w:autoSpaceDN w:val="0"/>
        <w:bidi w:val="0"/>
        <w:adjustRightInd w:val="0"/>
        <w:snapToGrid w:val="0"/>
        <w:spacing w:before="85" w:line="240" w:lineRule="auto"/>
        <w:ind w:left="1947" w:right="0"/>
        <w:textAlignment w:val="baseline"/>
        <w:rPr>
          <w:rFonts w:hint="eastAsia" w:ascii="仿宋" w:hAnsi="仿宋" w:eastAsia="仿宋" w:cs="仿宋"/>
          <w:sz w:val="24"/>
          <w:szCs w:val="24"/>
        </w:rPr>
      </w:pPr>
      <w:r>
        <w:rPr>
          <w:rFonts w:hint="eastAsia" w:ascii="仿宋" w:hAnsi="仿宋" w:eastAsia="仿宋" w:cs="仿宋"/>
          <w:spacing w:val="-6"/>
          <w:sz w:val="24"/>
          <w:szCs w:val="24"/>
        </w:rPr>
        <w:t>邮政编码：</w:t>
      </w:r>
    </w:p>
    <w:p w14:paraId="3C3B0FDD">
      <w:pPr>
        <w:pStyle w:val="5"/>
        <w:pageBreakBefore w:val="0"/>
        <w:kinsoku w:val="0"/>
        <w:overflowPunct/>
        <w:topLinePunct w:val="0"/>
        <w:autoSpaceDE w:val="0"/>
        <w:autoSpaceDN w:val="0"/>
        <w:bidi w:val="0"/>
        <w:adjustRightInd w:val="0"/>
        <w:snapToGrid w:val="0"/>
        <w:spacing w:before="86" w:line="240" w:lineRule="auto"/>
        <w:ind w:left="5530" w:right="0"/>
        <w:textAlignment w:val="baseline"/>
        <w:rPr>
          <w:rFonts w:hint="eastAsia" w:ascii="仿宋" w:hAnsi="仿宋" w:eastAsia="仿宋" w:cs="仿宋"/>
          <w:sz w:val="24"/>
          <w:szCs w:val="24"/>
        </w:rPr>
      </w:pPr>
      <w:r>
        <w:rPr>
          <w:rFonts w:hint="eastAsia" w:ascii="仿宋" w:hAnsi="仿宋" w:eastAsia="仿宋" w:cs="仿宋"/>
          <w:spacing w:val="-2"/>
          <w:sz w:val="24"/>
          <w:szCs w:val="24"/>
        </w:rPr>
        <w:t>年月日</w:t>
      </w:r>
    </w:p>
    <w:p w14:paraId="4D70EFB3">
      <w:pPr>
        <w:pageBreakBefore w:val="0"/>
        <w:kinsoku w:val="0"/>
        <w:overflowPunct/>
        <w:topLinePunct w:val="0"/>
        <w:autoSpaceDE w:val="0"/>
        <w:autoSpaceDN w:val="0"/>
        <w:bidi w:val="0"/>
        <w:adjustRightInd w:val="0"/>
        <w:snapToGrid w:val="0"/>
        <w:spacing w:line="240" w:lineRule="auto"/>
        <w:ind w:right="0"/>
        <w:textAlignment w:val="baseline"/>
        <w:rPr>
          <w:rFonts w:hint="eastAsia" w:ascii="仿宋" w:hAnsi="仿宋" w:eastAsia="仿宋" w:cs="仿宋"/>
          <w:sz w:val="24"/>
          <w:szCs w:val="24"/>
        </w:rPr>
        <w:sectPr>
          <w:footerReference r:id="rId37" w:type="default"/>
          <w:pgSz w:w="11905" w:h="16838"/>
          <w:pgMar w:top="1440" w:right="1803" w:bottom="1440" w:left="1803" w:header="0" w:footer="567" w:gutter="0"/>
          <w:pgNumType w:fmt="decimal"/>
          <w:cols w:space="0" w:num="1"/>
          <w:rtlGutter w:val="0"/>
          <w:docGrid w:linePitch="0" w:charSpace="0"/>
        </w:sectPr>
      </w:pPr>
    </w:p>
    <w:p w14:paraId="6FD7AABD">
      <w:pPr>
        <w:pStyle w:val="5"/>
        <w:pageBreakBefore w:val="0"/>
        <w:kinsoku w:val="0"/>
        <w:overflowPunct/>
        <w:topLinePunct w:val="0"/>
        <w:autoSpaceDE w:val="0"/>
        <w:autoSpaceDN w:val="0"/>
        <w:bidi w:val="0"/>
        <w:adjustRightInd w:val="0"/>
        <w:snapToGrid w:val="0"/>
        <w:spacing w:before="47" w:line="187" w:lineRule="auto"/>
        <w:ind w:left="51" w:right="0"/>
        <w:jc w:val="center"/>
        <w:textAlignment w:val="baseline"/>
        <w:rPr>
          <w:rFonts w:hint="eastAsia" w:ascii="仿宋" w:hAnsi="仿宋" w:eastAsia="仿宋" w:cs="仿宋"/>
          <w:b/>
          <w:bCs/>
          <w:sz w:val="28"/>
          <w:szCs w:val="28"/>
        </w:rPr>
      </w:pPr>
      <w:r>
        <w:rPr>
          <w:rFonts w:hint="eastAsia" w:ascii="仿宋" w:hAnsi="仿宋" w:eastAsia="仿宋" w:cs="仿宋"/>
          <w:b/>
          <w:bCs/>
          <w:spacing w:val="9"/>
          <w:sz w:val="28"/>
          <w:szCs w:val="28"/>
        </w:rPr>
        <w:t>(二)响应函附录</w:t>
      </w:r>
    </w:p>
    <w:p w14:paraId="7DB316AB">
      <w:pPr>
        <w:pageBreakBefore w:val="0"/>
        <w:kinsoku w:val="0"/>
        <w:overflowPunct/>
        <w:topLinePunct w:val="0"/>
        <w:autoSpaceDE w:val="0"/>
        <w:autoSpaceDN w:val="0"/>
        <w:bidi w:val="0"/>
        <w:adjustRightInd w:val="0"/>
        <w:snapToGrid w:val="0"/>
        <w:spacing w:before="137" w:line="360" w:lineRule="auto"/>
        <w:ind w:right="0"/>
        <w:textAlignment w:val="baseline"/>
        <w:rPr>
          <w:rFonts w:hint="eastAsia" w:ascii="仿宋" w:hAnsi="仿宋" w:eastAsia="仿宋" w:cs="仿宋"/>
          <w:sz w:val="24"/>
          <w:szCs w:val="24"/>
        </w:rPr>
      </w:pPr>
    </w:p>
    <w:tbl>
      <w:tblPr>
        <w:tblStyle w:val="26"/>
        <w:tblW w:w="8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2334"/>
        <w:gridCol w:w="2159"/>
        <w:gridCol w:w="2698"/>
        <w:gridCol w:w="724"/>
      </w:tblGrid>
      <w:tr w14:paraId="4A99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56" w:type="dxa"/>
            <w:vAlign w:val="top"/>
          </w:tcPr>
          <w:p w14:paraId="2E0CC559">
            <w:pPr>
              <w:pStyle w:val="27"/>
              <w:pageBreakBefore w:val="0"/>
              <w:kinsoku w:val="0"/>
              <w:overflowPunct/>
              <w:topLinePunct w:val="0"/>
              <w:autoSpaceDE w:val="0"/>
              <w:autoSpaceDN w:val="0"/>
              <w:bidi w:val="0"/>
              <w:adjustRightInd w:val="0"/>
              <w:snapToGrid w:val="0"/>
              <w:spacing w:before="112" w:line="360" w:lineRule="auto"/>
              <w:ind w:left="91" w:right="0"/>
              <w:textAlignment w:val="baseline"/>
              <w:rPr>
                <w:rFonts w:hint="eastAsia" w:ascii="仿宋" w:hAnsi="仿宋" w:eastAsia="仿宋" w:cs="仿宋"/>
                <w:sz w:val="24"/>
                <w:szCs w:val="24"/>
              </w:rPr>
            </w:pPr>
            <w:r>
              <w:rPr>
                <w:rFonts w:hint="eastAsia" w:ascii="仿宋" w:hAnsi="仿宋" w:eastAsia="仿宋" w:cs="仿宋"/>
                <w:spacing w:val="5"/>
                <w:sz w:val="24"/>
                <w:szCs w:val="24"/>
              </w:rPr>
              <w:t>序号</w:t>
            </w:r>
          </w:p>
        </w:tc>
        <w:tc>
          <w:tcPr>
            <w:tcW w:w="2334" w:type="dxa"/>
            <w:vAlign w:val="top"/>
          </w:tcPr>
          <w:p w14:paraId="316402D6">
            <w:pPr>
              <w:pStyle w:val="27"/>
              <w:pageBreakBefore w:val="0"/>
              <w:kinsoku w:val="0"/>
              <w:overflowPunct/>
              <w:topLinePunct w:val="0"/>
              <w:autoSpaceDE w:val="0"/>
              <w:autoSpaceDN w:val="0"/>
              <w:bidi w:val="0"/>
              <w:adjustRightInd w:val="0"/>
              <w:snapToGrid w:val="0"/>
              <w:spacing w:before="136" w:line="360" w:lineRule="auto"/>
              <w:ind w:left="693" w:right="0"/>
              <w:textAlignment w:val="baseline"/>
              <w:rPr>
                <w:rFonts w:hint="eastAsia" w:ascii="仿宋" w:hAnsi="仿宋" w:eastAsia="仿宋" w:cs="仿宋"/>
                <w:sz w:val="24"/>
                <w:szCs w:val="24"/>
              </w:rPr>
            </w:pPr>
            <w:r>
              <w:rPr>
                <w:rFonts w:hint="eastAsia" w:ascii="仿宋" w:hAnsi="仿宋" w:eastAsia="仿宋" w:cs="仿宋"/>
                <w:spacing w:val="7"/>
                <w:sz w:val="24"/>
                <w:szCs w:val="24"/>
              </w:rPr>
              <w:t>条款名称</w:t>
            </w:r>
          </w:p>
        </w:tc>
        <w:tc>
          <w:tcPr>
            <w:tcW w:w="2159" w:type="dxa"/>
            <w:vAlign w:val="top"/>
          </w:tcPr>
          <w:p w14:paraId="0FD5038F">
            <w:pPr>
              <w:pStyle w:val="27"/>
              <w:pageBreakBefore w:val="0"/>
              <w:kinsoku w:val="0"/>
              <w:overflowPunct/>
              <w:topLinePunct w:val="0"/>
              <w:autoSpaceDE w:val="0"/>
              <w:autoSpaceDN w:val="0"/>
              <w:bidi w:val="0"/>
              <w:adjustRightInd w:val="0"/>
              <w:snapToGrid w:val="0"/>
              <w:spacing w:before="136" w:line="360" w:lineRule="auto"/>
              <w:ind w:left="487" w:right="0"/>
              <w:textAlignment w:val="baseline"/>
              <w:rPr>
                <w:rFonts w:hint="eastAsia" w:ascii="仿宋" w:hAnsi="仿宋" w:eastAsia="仿宋" w:cs="仿宋"/>
                <w:sz w:val="24"/>
                <w:szCs w:val="24"/>
              </w:rPr>
            </w:pPr>
            <w:r>
              <w:rPr>
                <w:rFonts w:hint="eastAsia" w:ascii="仿宋" w:hAnsi="仿宋" w:eastAsia="仿宋" w:cs="仿宋"/>
                <w:spacing w:val="7"/>
                <w:sz w:val="24"/>
                <w:szCs w:val="24"/>
              </w:rPr>
              <w:t>合同条款号</w:t>
            </w:r>
          </w:p>
        </w:tc>
        <w:tc>
          <w:tcPr>
            <w:tcW w:w="2698" w:type="dxa"/>
            <w:vAlign w:val="top"/>
          </w:tcPr>
          <w:p w14:paraId="29781C43">
            <w:pPr>
              <w:pStyle w:val="27"/>
              <w:pageBreakBefore w:val="0"/>
              <w:kinsoku w:val="0"/>
              <w:overflowPunct/>
              <w:topLinePunct w:val="0"/>
              <w:autoSpaceDE w:val="0"/>
              <w:autoSpaceDN w:val="0"/>
              <w:bidi w:val="0"/>
              <w:adjustRightInd w:val="0"/>
              <w:snapToGrid w:val="0"/>
              <w:spacing w:before="136" w:line="360" w:lineRule="auto"/>
              <w:ind w:left="884" w:right="0"/>
              <w:textAlignment w:val="baseline"/>
              <w:rPr>
                <w:rFonts w:hint="eastAsia" w:ascii="仿宋" w:hAnsi="仿宋" w:eastAsia="仿宋" w:cs="仿宋"/>
                <w:sz w:val="24"/>
                <w:szCs w:val="24"/>
              </w:rPr>
            </w:pPr>
            <w:r>
              <w:rPr>
                <w:rFonts w:hint="eastAsia" w:ascii="仿宋" w:hAnsi="仿宋" w:eastAsia="仿宋" w:cs="仿宋"/>
                <w:spacing w:val="6"/>
                <w:sz w:val="24"/>
                <w:szCs w:val="24"/>
              </w:rPr>
              <w:t>约定内容</w:t>
            </w:r>
          </w:p>
        </w:tc>
        <w:tc>
          <w:tcPr>
            <w:tcW w:w="724" w:type="dxa"/>
            <w:vAlign w:val="top"/>
          </w:tcPr>
          <w:p w14:paraId="3784AA4E">
            <w:pPr>
              <w:pStyle w:val="27"/>
              <w:pageBreakBefore w:val="0"/>
              <w:kinsoku w:val="0"/>
              <w:overflowPunct/>
              <w:topLinePunct w:val="0"/>
              <w:autoSpaceDE w:val="0"/>
              <w:autoSpaceDN w:val="0"/>
              <w:bidi w:val="0"/>
              <w:adjustRightInd w:val="0"/>
              <w:snapToGrid w:val="0"/>
              <w:spacing w:before="136" w:line="360" w:lineRule="auto"/>
              <w:ind w:left="132" w:right="0"/>
              <w:textAlignment w:val="baseline"/>
              <w:rPr>
                <w:rFonts w:hint="eastAsia" w:ascii="仿宋" w:hAnsi="仿宋" w:eastAsia="仿宋" w:cs="仿宋"/>
                <w:sz w:val="24"/>
                <w:szCs w:val="24"/>
              </w:rPr>
            </w:pPr>
            <w:r>
              <w:rPr>
                <w:rFonts w:hint="eastAsia" w:ascii="仿宋" w:hAnsi="仿宋" w:eastAsia="仿宋" w:cs="仿宋"/>
                <w:spacing w:val="3"/>
                <w:sz w:val="24"/>
                <w:szCs w:val="24"/>
              </w:rPr>
              <w:t>备注</w:t>
            </w:r>
          </w:p>
        </w:tc>
      </w:tr>
      <w:tr w14:paraId="47A57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6" w:type="dxa"/>
            <w:vAlign w:val="top"/>
          </w:tcPr>
          <w:p w14:paraId="7BEBCB40">
            <w:pPr>
              <w:pStyle w:val="27"/>
              <w:pageBreakBefore w:val="0"/>
              <w:kinsoku w:val="0"/>
              <w:overflowPunct/>
              <w:topLinePunct w:val="0"/>
              <w:autoSpaceDE w:val="0"/>
              <w:autoSpaceDN w:val="0"/>
              <w:bidi w:val="0"/>
              <w:adjustRightInd w:val="0"/>
              <w:snapToGrid w:val="0"/>
              <w:spacing w:before="147" w:line="360" w:lineRule="auto"/>
              <w:ind w:left="290" w:right="0"/>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2334" w:type="dxa"/>
            <w:vAlign w:val="top"/>
          </w:tcPr>
          <w:p w14:paraId="378A96C7">
            <w:pPr>
              <w:pStyle w:val="27"/>
              <w:pageBreakBefore w:val="0"/>
              <w:kinsoku w:val="0"/>
              <w:overflowPunct/>
              <w:topLinePunct w:val="0"/>
              <w:autoSpaceDE w:val="0"/>
              <w:autoSpaceDN w:val="0"/>
              <w:bidi w:val="0"/>
              <w:adjustRightInd w:val="0"/>
              <w:snapToGrid w:val="0"/>
              <w:spacing w:before="135" w:line="360" w:lineRule="auto"/>
              <w:ind w:left="575" w:right="0"/>
              <w:textAlignment w:val="baseline"/>
              <w:rPr>
                <w:rFonts w:hint="default" w:ascii="仿宋" w:hAnsi="仿宋" w:eastAsia="仿宋" w:cs="仿宋"/>
                <w:sz w:val="24"/>
                <w:szCs w:val="24"/>
                <w:lang w:val="en-US" w:eastAsia="zh-CN"/>
              </w:rPr>
            </w:pPr>
            <w:r>
              <w:rPr>
                <w:rFonts w:hint="eastAsia" w:ascii="仿宋" w:hAnsi="仿宋" w:eastAsia="仿宋" w:cs="仿宋"/>
                <w:spacing w:val="7"/>
                <w:sz w:val="24"/>
                <w:szCs w:val="24"/>
              </w:rPr>
              <w:t>项目负责人</w:t>
            </w:r>
            <w:r>
              <w:rPr>
                <w:rFonts w:hint="eastAsia" w:ascii="仿宋" w:hAnsi="仿宋" w:eastAsia="仿宋" w:cs="仿宋"/>
                <w:spacing w:val="7"/>
                <w:sz w:val="24"/>
                <w:szCs w:val="24"/>
                <w:lang w:eastAsia="zh-CN"/>
              </w:rPr>
              <w:t>及</w:t>
            </w:r>
            <w:r>
              <w:rPr>
                <w:rFonts w:hint="eastAsia" w:ascii="仿宋" w:hAnsi="仿宋" w:eastAsia="仿宋" w:cs="仿宋"/>
                <w:spacing w:val="7"/>
                <w:sz w:val="24"/>
                <w:szCs w:val="24"/>
                <w:lang w:val="en-US" w:eastAsia="zh-CN"/>
              </w:rPr>
              <w:t>证书编号</w:t>
            </w:r>
          </w:p>
        </w:tc>
        <w:tc>
          <w:tcPr>
            <w:tcW w:w="2159" w:type="dxa"/>
            <w:vAlign w:val="top"/>
          </w:tcPr>
          <w:p w14:paraId="6CF03257">
            <w:pPr>
              <w:pStyle w:val="27"/>
              <w:pageBreakBefore w:val="0"/>
              <w:kinsoku w:val="0"/>
              <w:overflowPunct/>
              <w:topLinePunct w:val="0"/>
              <w:autoSpaceDE w:val="0"/>
              <w:autoSpaceDN w:val="0"/>
              <w:bidi w:val="0"/>
              <w:adjustRightInd w:val="0"/>
              <w:snapToGrid w:val="0"/>
              <w:spacing w:before="171" w:line="360" w:lineRule="auto"/>
              <w:ind w:left="684" w:right="0"/>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"1.1.2.4" </w:instrText>
            </w:r>
            <w:r>
              <w:rPr>
                <w:rFonts w:hint="eastAsia" w:ascii="仿宋" w:hAnsi="仿宋" w:eastAsia="仿宋" w:cs="仿宋"/>
                <w:sz w:val="24"/>
                <w:szCs w:val="24"/>
              </w:rPr>
              <w:fldChar w:fldCharType="separate"/>
            </w:r>
            <w:r>
              <w:rPr>
                <w:rFonts w:hint="eastAsia" w:ascii="仿宋" w:hAnsi="仿宋" w:eastAsia="仿宋" w:cs="仿宋"/>
                <w:spacing w:val="14"/>
                <w:sz w:val="24"/>
                <w:szCs w:val="24"/>
              </w:rPr>
              <w:t>1.1.2.4</w:t>
            </w:r>
            <w:r>
              <w:rPr>
                <w:rFonts w:hint="eastAsia" w:ascii="仿宋" w:hAnsi="仿宋" w:eastAsia="仿宋" w:cs="仿宋"/>
                <w:spacing w:val="14"/>
                <w:sz w:val="24"/>
                <w:szCs w:val="24"/>
              </w:rPr>
              <w:fldChar w:fldCharType="end"/>
            </w:r>
          </w:p>
        </w:tc>
        <w:tc>
          <w:tcPr>
            <w:tcW w:w="2698" w:type="dxa"/>
            <w:vAlign w:val="top"/>
          </w:tcPr>
          <w:p w14:paraId="775135D8">
            <w:pPr>
              <w:pStyle w:val="27"/>
              <w:pageBreakBefore w:val="0"/>
              <w:kinsoku w:val="0"/>
              <w:overflowPunct/>
              <w:topLinePunct w:val="0"/>
              <w:autoSpaceDE w:val="0"/>
              <w:autoSpaceDN w:val="0"/>
              <w:bidi w:val="0"/>
              <w:adjustRightInd w:val="0"/>
              <w:snapToGrid w:val="0"/>
              <w:spacing w:before="135" w:line="360" w:lineRule="auto"/>
              <w:ind w:left="9" w:right="0"/>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姓名：</w:t>
            </w:r>
          </w:p>
          <w:p w14:paraId="6DBDA7AC">
            <w:pPr>
              <w:pStyle w:val="27"/>
              <w:pageBreakBefore w:val="0"/>
              <w:kinsoku w:val="0"/>
              <w:overflowPunct/>
              <w:topLinePunct w:val="0"/>
              <w:autoSpaceDE w:val="0"/>
              <w:autoSpaceDN w:val="0"/>
              <w:bidi w:val="0"/>
              <w:adjustRightInd w:val="0"/>
              <w:snapToGrid w:val="0"/>
              <w:spacing w:before="135" w:line="360" w:lineRule="auto"/>
              <w:ind w:left="9" w:right="0"/>
              <w:textAlignment w:val="baseline"/>
              <w:rPr>
                <w:rFonts w:hint="eastAsia" w:ascii="仿宋" w:hAnsi="仿宋" w:eastAsia="仿宋" w:cs="仿宋"/>
                <w:spacing w:val="-9"/>
                <w:sz w:val="24"/>
                <w:szCs w:val="24"/>
              </w:rPr>
            </w:pPr>
            <w:r>
              <w:rPr>
                <w:rFonts w:hint="eastAsia" w:ascii="仿宋" w:hAnsi="仿宋" w:eastAsia="仿宋" w:cs="仿宋"/>
                <w:spacing w:val="7"/>
                <w:sz w:val="24"/>
                <w:szCs w:val="24"/>
                <w:lang w:val="en-US" w:eastAsia="zh-CN"/>
              </w:rPr>
              <w:t>证书编号：</w:t>
            </w:r>
          </w:p>
        </w:tc>
        <w:tc>
          <w:tcPr>
            <w:tcW w:w="724" w:type="dxa"/>
            <w:vAlign w:val="top"/>
          </w:tcPr>
          <w:p w14:paraId="09B07B8B">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tc>
      </w:tr>
      <w:tr w14:paraId="28C66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6" w:type="dxa"/>
            <w:vAlign w:val="top"/>
          </w:tcPr>
          <w:p w14:paraId="76D77181">
            <w:pPr>
              <w:pStyle w:val="27"/>
              <w:pageBreakBefore w:val="0"/>
              <w:kinsoku w:val="0"/>
              <w:overflowPunct/>
              <w:topLinePunct w:val="0"/>
              <w:autoSpaceDE w:val="0"/>
              <w:autoSpaceDN w:val="0"/>
              <w:bidi w:val="0"/>
              <w:adjustRightInd w:val="0"/>
              <w:snapToGrid w:val="0"/>
              <w:spacing w:before="150" w:line="360" w:lineRule="auto"/>
              <w:ind w:left="275" w:right="0"/>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2334" w:type="dxa"/>
            <w:vAlign w:val="top"/>
          </w:tcPr>
          <w:p w14:paraId="6C6282E4">
            <w:pPr>
              <w:pStyle w:val="27"/>
              <w:pageBreakBefore w:val="0"/>
              <w:kinsoku w:val="0"/>
              <w:overflowPunct/>
              <w:topLinePunct w:val="0"/>
              <w:autoSpaceDE w:val="0"/>
              <w:autoSpaceDN w:val="0"/>
              <w:bidi w:val="0"/>
              <w:adjustRightInd w:val="0"/>
              <w:snapToGrid w:val="0"/>
              <w:spacing w:before="136" w:line="360" w:lineRule="auto"/>
              <w:ind w:left="452" w:right="0"/>
              <w:textAlignment w:val="baseline"/>
              <w:rPr>
                <w:rFonts w:hint="eastAsia" w:ascii="仿宋" w:hAnsi="仿宋" w:eastAsia="仿宋" w:cs="仿宋"/>
                <w:sz w:val="24"/>
                <w:szCs w:val="24"/>
              </w:rPr>
            </w:pPr>
            <w:r>
              <w:rPr>
                <w:rFonts w:hint="eastAsia" w:ascii="仿宋" w:hAnsi="仿宋" w:eastAsia="仿宋" w:cs="仿宋"/>
                <w:spacing w:val="8"/>
                <w:sz w:val="24"/>
                <w:szCs w:val="24"/>
              </w:rPr>
              <w:t>合同履行期限</w:t>
            </w:r>
          </w:p>
        </w:tc>
        <w:tc>
          <w:tcPr>
            <w:tcW w:w="2159" w:type="dxa"/>
            <w:vAlign w:val="top"/>
          </w:tcPr>
          <w:p w14:paraId="447480FC">
            <w:pPr>
              <w:pStyle w:val="27"/>
              <w:pageBreakBefore w:val="0"/>
              <w:kinsoku w:val="0"/>
              <w:overflowPunct/>
              <w:topLinePunct w:val="0"/>
              <w:autoSpaceDE w:val="0"/>
              <w:autoSpaceDN w:val="0"/>
              <w:bidi w:val="0"/>
              <w:adjustRightInd w:val="0"/>
              <w:snapToGrid w:val="0"/>
              <w:spacing w:before="172" w:line="360" w:lineRule="auto"/>
              <w:ind w:left="684" w:right="0"/>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"1.1.4.3" </w:instrText>
            </w:r>
            <w:r>
              <w:rPr>
                <w:rFonts w:hint="eastAsia" w:ascii="仿宋" w:hAnsi="仿宋" w:eastAsia="仿宋" w:cs="仿宋"/>
                <w:sz w:val="24"/>
                <w:szCs w:val="24"/>
              </w:rPr>
              <w:fldChar w:fldCharType="separate"/>
            </w:r>
            <w:r>
              <w:rPr>
                <w:rFonts w:hint="eastAsia" w:ascii="仿宋" w:hAnsi="仿宋" w:eastAsia="仿宋" w:cs="仿宋"/>
                <w:spacing w:val="14"/>
                <w:sz w:val="24"/>
                <w:szCs w:val="24"/>
              </w:rPr>
              <w:t>1.1.4.3</w:t>
            </w:r>
            <w:r>
              <w:rPr>
                <w:rFonts w:hint="eastAsia" w:ascii="仿宋" w:hAnsi="仿宋" w:eastAsia="仿宋" w:cs="仿宋"/>
                <w:spacing w:val="14"/>
                <w:sz w:val="24"/>
                <w:szCs w:val="24"/>
              </w:rPr>
              <w:fldChar w:fldCharType="end"/>
            </w:r>
          </w:p>
        </w:tc>
        <w:tc>
          <w:tcPr>
            <w:tcW w:w="2698" w:type="dxa"/>
            <w:vAlign w:val="top"/>
          </w:tcPr>
          <w:p w14:paraId="085D8248">
            <w:pPr>
              <w:pStyle w:val="27"/>
              <w:pageBreakBefore w:val="0"/>
              <w:kinsoku w:val="0"/>
              <w:overflowPunct/>
              <w:topLinePunct w:val="0"/>
              <w:autoSpaceDE w:val="0"/>
              <w:autoSpaceDN w:val="0"/>
              <w:bidi w:val="0"/>
              <w:adjustRightInd w:val="0"/>
              <w:snapToGrid w:val="0"/>
              <w:spacing w:before="136" w:line="360" w:lineRule="auto"/>
              <w:ind w:left="43" w:right="0"/>
              <w:textAlignment w:val="baseline"/>
              <w:rPr>
                <w:rFonts w:hint="eastAsia" w:ascii="仿宋" w:hAnsi="仿宋" w:eastAsia="仿宋" w:cs="仿宋"/>
                <w:sz w:val="24"/>
                <w:szCs w:val="24"/>
              </w:rPr>
            </w:pPr>
            <w:r>
              <w:rPr>
                <w:rFonts w:hint="eastAsia" w:ascii="仿宋" w:hAnsi="仿宋" w:eastAsia="仿宋" w:cs="仿宋"/>
                <w:spacing w:val="-22"/>
                <w:sz w:val="24"/>
                <w:szCs w:val="24"/>
              </w:rPr>
              <w:t>天</w:t>
            </w:r>
            <w:r>
              <w:rPr>
                <w:rFonts w:hint="eastAsia" w:ascii="仿宋" w:hAnsi="仿宋" w:eastAsia="仿宋" w:cs="仿宋"/>
                <w:spacing w:val="-21"/>
                <w:sz w:val="24"/>
                <w:szCs w:val="24"/>
              </w:rPr>
              <w:t>数：日历</w:t>
            </w:r>
            <w:r>
              <w:rPr>
                <w:rFonts w:hint="eastAsia" w:ascii="仿宋" w:hAnsi="仿宋" w:eastAsia="仿宋" w:cs="仿宋"/>
                <w:spacing w:val="-20"/>
                <w:sz w:val="24"/>
                <w:szCs w:val="24"/>
              </w:rPr>
              <w:t>天</w:t>
            </w:r>
          </w:p>
        </w:tc>
        <w:tc>
          <w:tcPr>
            <w:tcW w:w="724" w:type="dxa"/>
            <w:vAlign w:val="top"/>
          </w:tcPr>
          <w:p w14:paraId="58D03157">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tc>
      </w:tr>
      <w:tr w14:paraId="6CE62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6" w:type="dxa"/>
            <w:vAlign w:val="top"/>
          </w:tcPr>
          <w:p w14:paraId="1359DFE1">
            <w:pPr>
              <w:pStyle w:val="27"/>
              <w:pageBreakBefore w:val="0"/>
              <w:kinsoku w:val="0"/>
              <w:overflowPunct/>
              <w:topLinePunct w:val="0"/>
              <w:autoSpaceDE w:val="0"/>
              <w:autoSpaceDN w:val="0"/>
              <w:bidi w:val="0"/>
              <w:adjustRightInd w:val="0"/>
              <w:snapToGrid w:val="0"/>
              <w:spacing w:before="151" w:line="360" w:lineRule="auto"/>
              <w:ind w:left="277" w:right="0"/>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2334" w:type="dxa"/>
            <w:vAlign w:val="top"/>
          </w:tcPr>
          <w:p w14:paraId="5A24EFCB">
            <w:pPr>
              <w:pStyle w:val="27"/>
              <w:pageBreakBefore w:val="0"/>
              <w:kinsoku w:val="0"/>
              <w:overflowPunct/>
              <w:topLinePunct w:val="0"/>
              <w:autoSpaceDE w:val="0"/>
              <w:autoSpaceDN w:val="0"/>
              <w:bidi w:val="0"/>
              <w:adjustRightInd w:val="0"/>
              <w:snapToGrid w:val="0"/>
              <w:spacing w:before="135" w:line="360" w:lineRule="auto"/>
              <w:ind w:left="571" w:right="0"/>
              <w:textAlignment w:val="baseline"/>
              <w:rPr>
                <w:rFonts w:hint="eastAsia" w:ascii="仿宋" w:hAnsi="仿宋" w:eastAsia="仿宋" w:cs="仿宋"/>
                <w:sz w:val="24"/>
                <w:szCs w:val="24"/>
              </w:rPr>
            </w:pPr>
            <w:r>
              <w:rPr>
                <w:rFonts w:hint="eastAsia" w:ascii="仿宋" w:hAnsi="仿宋" w:eastAsia="仿宋" w:cs="仿宋"/>
                <w:spacing w:val="8"/>
                <w:sz w:val="24"/>
                <w:szCs w:val="24"/>
              </w:rPr>
              <w:t>缺陷责任期</w:t>
            </w:r>
          </w:p>
        </w:tc>
        <w:tc>
          <w:tcPr>
            <w:tcW w:w="2159" w:type="dxa"/>
            <w:vAlign w:val="top"/>
          </w:tcPr>
          <w:p w14:paraId="62035644">
            <w:pPr>
              <w:pStyle w:val="27"/>
              <w:pageBreakBefore w:val="0"/>
              <w:kinsoku w:val="0"/>
              <w:overflowPunct/>
              <w:topLinePunct w:val="0"/>
              <w:autoSpaceDE w:val="0"/>
              <w:autoSpaceDN w:val="0"/>
              <w:bidi w:val="0"/>
              <w:adjustRightInd w:val="0"/>
              <w:snapToGrid w:val="0"/>
              <w:spacing w:before="171" w:line="360" w:lineRule="auto"/>
              <w:ind w:left="684" w:right="0"/>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"1.1.4.5" </w:instrText>
            </w:r>
            <w:r>
              <w:rPr>
                <w:rFonts w:hint="eastAsia" w:ascii="仿宋" w:hAnsi="仿宋" w:eastAsia="仿宋" w:cs="仿宋"/>
                <w:sz w:val="24"/>
                <w:szCs w:val="24"/>
              </w:rPr>
              <w:fldChar w:fldCharType="separate"/>
            </w:r>
            <w:r>
              <w:rPr>
                <w:rFonts w:hint="eastAsia" w:ascii="仿宋" w:hAnsi="仿宋" w:eastAsia="仿宋" w:cs="仿宋"/>
                <w:spacing w:val="14"/>
                <w:sz w:val="24"/>
                <w:szCs w:val="24"/>
              </w:rPr>
              <w:t>1.1.4.5</w:t>
            </w:r>
            <w:r>
              <w:rPr>
                <w:rFonts w:hint="eastAsia" w:ascii="仿宋" w:hAnsi="仿宋" w:eastAsia="仿宋" w:cs="仿宋"/>
                <w:spacing w:val="14"/>
                <w:sz w:val="24"/>
                <w:szCs w:val="24"/>
              </w:rPr>
              <w:fldChar w:fldCharType="end"/>
            </w:r>
          </w:p>
        </w:tc>
        <w:tc>
          <w:tcPr>
            <w:tcW w:w="2698" w:type="dxa"/>
            <w:vAlign w:val="top"/>
          </w:tcPr>
          <w:p w14:paraId="0A1AA374">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tc>
        <w:tc>
          <w:tcPr>
            <w:tcW w:w="724" w:type="dxa"/>
            <w:vAlign w:val="top"/>
          </w:tcPr>
          <w:p w14:paraId="52E45137">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tc>
      </w:tr>
      <w:tr w14:paraId="78063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6" w:type="dxa"/>
            <w:vAlign w:val="top"/>
          </w:tcPr>
          <w:p w14:paraId="042DECFB">
            <w:pPr>
              <w:pStyle w:val="27"/>
              <w:pageBreakBefore w:val="0"/>
              <w:kinsoku w:val="0"/>
              <w:overflowPunct/>
              <w:topLinePunct w:val="0"/>
              <w:autoSpaceDE w:val="0"/>
              <w:autoSpaceDN w:val="0"/>
              <w:bidi w:val="0"/>
              <w:adjustRightInd w:val="0"/>
              <w:snapToGrid w:val="0"/>
              <w:spacing w:before="115" w:line="360" w:lineRule="auto"/>
              <w:ind w:left="107"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334" w:type="dxa"/>
            <w:vAlign w:val="top"/>
          </w:tcPr>
          <w:p w14:paraId="0B4B55CE">
            <w:pPr>
              <w:pStyle w:val="27"/>
              <w:pageBreakBefore w:val="0"/>
              <w:kinsoku w:val="0"/>
              <w:overflowPunct/>
              <w:topLinePunct w:val="0"/>
              <w:autoSpaceDE w:val="0"/>
              <w:autoSpaceDN w:val="0"/>
              <w:bidi w:val="0"/>
              <w:adjustRightInd w:val="0"/>
              <w:snapToGrid w:val="0"/>
              <w:spacing w:before="136" w:line="360" w:lineRule="auto"/>
              <w:ind w:left="946"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159" w:type="dxa"/>
            <w:vAlign w:val="top"/>
          </w:tcPr>
          <w:p w14:paraId="5056D951">
            <w:pPr>
              <w:pStyle w:val="27"/>
              <w:pageBreakBefore w:val="0"/>
              <w:kinsoku w:val="0"/>
              <w:overflowPunct/>
              <w:topLinePunct w:val="0"/>
              <w:autoSpaceDE w:val="0"/>
              <w:autoSpaceDN w:val="0"/>
              <w:bidi w:val="0"/>
              <w:adjustRightInd w:val="0"/>
              <w:snapToGrid w:val="0"/>
              <w:spacing w:before="136" w:line="360" w:lineRule="auto"/>
              <w:ind w:left="861"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698" w:type="dxa"/>
            <w:vAlign w:val="top"/>
          </w:tcPr>
          <w:p w14:paraId="4BEA1F4E">
            <w:pPr>
              <w:pStyle w:val="27"/>
              <w:pageBreakBefore w:val="0"/>
              <w:kinsoku w:val="0"/>
              <w:overflowPunct/>
              <w:topLinePunct w:val="0"/>
              <w:autoSpaceDE w:val="0"/>
              <w:autoSpaceDN w:val="0"/>
              <w:bidi w:val="0"/>
              <w:adjustRightInd w:val="0"/>
              <w:snapToGrid w:val="0"/>
              <w:spacing w:before="136" w:line="360" w:lineRule="auto"/>
              <w:ind w:left="1133"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724" w:type="dxa"/>
            <w:vAlign w:val="top"/>
          </w:tcPr>
          <w:p w14:paraId="0C096A8B">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tc>
      </w:tr>
      <w:tr w14:paraId="62493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6" w:type="dxa"/>
            <w:vAlign w:val="top"/>
          </w:tcPr>
          <w:p w14:paraId="31EE327B">
            <w:pPr>
              <w:pStyle w:val="27"/>
              <w:pageBreakBefore w:val="0"/>
              <w:kinsoku w:val="0"/>
              <w:overflowPunct/>
              <w:topLinePunct w:val="0"/>
              <w:autoSpaceDE w:val="0"/>
              <w:autoSpaceDN w:val="0"/>
              <w:bidi w:val="0"/>
              <w:adjustRightInd w:val="0"/>
              <w:snapToGrid w:val="0"/>
              <w:spacing w:before="115" w:line="360" w:lineRule="auto"/>
              <w:ind w:left="107"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334" w:type="dxa"/>
            <w:vAlign w:val="top"/>
          </w:tcPr>
          <w:p w14:paraId="0A12706B">
            <w:pPr>
              <w:pStyle w:val="27"/>
              <w:pageBreakBefore w:val="0"/>
              <w:kinsoku w:val="0"/>
              <w:overflowPunct/>
              <w:topLinePunct w:val="0"/>
              <w:autoSpaceDE w:val="0"/>
              <w:autoSpaceDN w:val="0"/>
              <w:bidi w:val="0"/>
              <w:adjustRightInd w:val="0"/>
              <w:snapToGrid w:val="0"/>
              <w:spacing w:before="136" w:line="360" w:lineRule="auto"/>
              <w:ind w:left="946"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159" w:type="dxa"/>
            <w:vAlign w:val="top"/>
          </w:tcPr>
          <w:p w14:paraId="7CD25A60">
            <w:pPr>
              <w:pStyle w:val="27"/>
              <w:pageBreakBefore w:val="0"/>
              <w:kinsoku w:val="0"/>
              <w:overflowPunct/>
              <w:topLinePunct w:val="0"/>
              <w:autoSpaceDE w:val="0"/>
              <w:autoSpaceDN w:val="0"/>
              <w:bidi w:val="0"/>
              <w:adjustRightInd w:val="0"/>
              <w:snapToGrid w:val="0"/>
              <w:spacing w:before="136" w:line="360" w:lineRule="auto"/>
              <w:ind w:left="861"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698" w:type="dxa"/>
            <w:vAlign w:val="top"/>
          </w:tcPr>
          <w:p w14:paraId="3C537DD8">
            <w:pPr>
              <w:pStyle w:val="27"/>
              <w:pageBreakBefore w:val="0"/>
              <w:kinsoku w:val="0"/>
              <w:overflowPunct/>
              <w:topLinePunct w:val="0"/>
              <w:autoSpaceDE w:val="0"/>
              <w:autoSpaceDN w:val="0"/>
              <w:bidi w:val="0"/>
              <w:adjustRightInd w:val="0"/>
              <w:snapToGrid w:val="0"/>
              <w:spacing w:before="136" w:line="360" w:lineRule="auto"/>
              <w:ind w:left="1133"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724" w:type="dxa"/>
            <w:vAlign w:val="top"/>
          </w:tcPr>
          <w:p w14:paraId="7E5AC7B2">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tc>
      </w:tr>
      <w:tr w14:paraId="1DCB9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6" w:type="dxa"/>
            <w:vAlign w:val="top"/>
          </w:tcPr>
          <w:p w14:paraId="31521891">
            <w:pPr>
              <w:pStyle w:val="27"/>
              <w:pageBreakBefore w:val="0"/>
              <w:kinsoku w:val="0"/>
              <w:overflowPunct/>
              <w:topLinePunct w:val="0"/>
              <w:autoSpaceDE w:val="0"/>
              <w:autoSpaceDN w:val="0"/>
              <w:bidi w:val="0"/>
              <w:adjustRightInd w:val="0"/>
              <w:snapToGrid w:val="0"/>
              <w:spacing w:before="113" w:line="360" w:lineRule="auto"/>
              <w:ind w:left="107"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334" w:type="dxa"/>
            <w:vAlign w:val="top"/>
          </w:tcPr>
          <w:p w14:paraId="41DF5FEA">
            <w:pPr>
              <w:pStyle w:val="27"/>
              <w:pageBreakBefore w:val="0"/>
              <w:kinsoku w:val="0"/>
              <w:overflowPunct/>
              <w:topLinePunct w:val="0"/>
              <w:autoSpaceDE w:val="0"/>
              <w:autoSpaceDN w:val="0"/>
              <w:bidi w:val="0"/>
              <w:adjustRightInd w:val="0"/>
              <w:snapToGrid w:val="0"/>
              <w:spacing w:before="136" w:line="360" w:lineRule="auto"/>
              <w:ind w:left="946"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159" w:type="dxa"/>
            <w:vAlign w:val="top"/>
          </w:tcPr>
          <w:p w14:paraId="384D8082">
            <w:pPr>
              <w:pStyle w:val="27"/>
              <w:pageBreakBefore w:val="0"/>
              <w:kinsoku w:val="0"/>
              <w:overflowPunct/>
              <w:topLinePunct w:val="0"/>
              <w:autoSpaceDE w:val="0"/>
              <w:autoSpaceDN w:val="0"/>
              <w:bidi w:val="0"/>
              <w:adjustRightInd w:val="0"/>
              <w:snapToGrid w:val="0"/>
              <w:spacing w:before="136" w:line="360" w:lineRule="auto"/>
              <w:ind w:left="861"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698" w:type="dxa"/>
            <w:vAlign w:val="top"/>
          </w:tcPr>
          <w:p w14:paraId="763D8C07">
            <w:pPr>
              <w:pStyle w:val="27"/>
              <w:pageBreakBefore w:val="0"/>
              <w:kinsoku w:val="0"/>
              <w:overflowPunct/>
              <w:topLinePunct w:val="0"/>
              <w:autoSpaceDE w:val="0"/>
              <w:autoSpaceDN w:val="0"/>
              <w:bidi w:val="0"/>
              <w:adjustRightInd w:val="0"/>
              <w:snapToGrid w:val="0"/>
              <w:spacing w:before="136" w:line="360" w:lineRule="auto"/>
              <w:ind w:left="1133"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724" w:type="dxa"/>
            <w:vAlign w:val="top"/>
          </w:tcPr>
          <w:p w14:paraId="6B047135">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tc>
      </w:tr>
      <w:tr w14:paraId="68E35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6" w:type="dxa"/>
            <w:vAlign w:val="top"/>
          </w:tcPr>
          <w:p w14:paraId="5E360AA8">
            <w:pPr>
              <w:pStyle w:val="27"/>
              <w:pageBreakBefore w:val="0"/>
              <w:kinsoku w:val="0"/>
              <w:overflowPunct/>
              <w:topLinePunct w:val="0"/>
              <w:autoSpaceDE w:val="0"/>
              <w:autoSpaceDN w:val="0"/>
              <w:bidi w:val="0"/>
              <w:adjustRightInd w:val="0"/>
              <w:snapToGrid w:val="0"/>
              <w:spacing w:before="116" w:line="360" w:lineRule="auto"/>
              <w:ind w:left="107"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334" w:type="dxa"/>
            <w:vAlign w:val="top"/>
          </w:tcPr>
          <w:p w14:paraId="41776D65">
            <w:pPr>
              <w:pStyle w:val="27"/>
              <w:pageBreakBefore w:val="0"/>
              <w:kinsoku w:val="0"/>
              <w:overflowPunct/>
              <w:topLinePunct w:val="0"/>
              <w:autoSpaceDE w:val="0"/>
              <w:autoSpaceDN w:val="0"/>
              <w:bidi w:val="0"/>
              <w:adjustRightInd w:val="0"/>
              <w:snapToGrid w:val="0"/>
              <w:spacing w:before="138" w:line="360" w:lineRule="auto"/>
              <w:ind w:left="946"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159" w:type="dxa"/>
            <w:vAlign w:val="top"/>
          </w:tcPr>
          <w:p w14:paraId="2C55A6ED">
            <w:pPr>
              <w:pStyle w:val="27"/>
              <w:pageBreakBefore w:val="0"/>
              <w:kinsoku w:val="0"/>
              <w:overflowPunct/>
              <w:topLinePunct w:val="0"/>
              <w:autoSpaceDE w:val="0"/>
              <w:autoSpaceDN w:val="0"/>
              <w:bidi w:val="0"/>
              <w:adjustRightInd w:val="0"/>
              <w:snapToGrid w:val="0"/>
              <w:spacing w:before="138" w:line="360" w:lineRule="auto"/>
              <w:ind w:left="861"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698" w:type="dxa"/>
            <w:vAlign w:val="top"/>
          </w:tcPr>
          <w:p w14:paraId="166AA7F8">
            <w:pPr>
              <w:pStyle w:val="27"/>
              <w:pageBreakBefore w:val="0"/>
              <w:kinsoku w:val="0"/>
              <w:overflowPunct/>
              <w:topLinePunct w:val="0"/>
              <w:autoSpaceDE w:val="0"/>
              <w:autoSpaceDN w:val="0"/>
              <w:bidi w:val="0"/>
              <w:adjustRightInd w:val="0"/>
              <w:snapToGrid w:val="0"/>
              <w:spacing w:before="138" w:line="360" w:lineRule="auto"/>
              <w:ind w:left="1133"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724" w:type="dxa"/>
            <w:vAlign w:val="top"/>
          </w:tcPr>
          <w:p w14:paraId="62049A61">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tc>
      </w:tr>
      <w:tr w14:paraId="58F7E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56" w:type="dxa"/>
            <w:vAlign w:val="top"/>
          </w:tcPr>
          <w:p w14:paraId="181A9C4F">
            <w:pPr>
              <w:pStyle w:val="27"/>
              <w:pageBreakBefore w:val="0"/>
              <w:kinsoku w:val="0"/>
              <w:overflowPunct/>
              <w:topLinePunct w:val="0"/>
              <w:autoSpaceDE w:val="0"/>
              <w:autoSpaceDN w:val="0"/>
              <w:bidi w:val="0"/>
              <w:adjustRightInd w:val="0"/>
              <w:snapToGrid w:val="0"/>
              <w:spacing w:before="115" w:line="360" w:lineRule="auto"/>
              <w:ind w:left="107"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334" w:type="dxa"/>
            <w:vAlign w:val="top"/>
          </w:tcPr>
          <w:p w14:paraId="09AEAD1B">
            <w:pPr>
              <w:pStyle w:val="27"/>
              <w:pageBreakBefore w:val="0"/>
              <w:kinsoku w:val="0"/>
              <w:overflowPunct/>
              <w:topLinePunct w:val="0"/>
              <w:autoSpaceDE w:val="0"/>
              <w:autoSpaceDN w:val="0"/>
              <w:bidi w:val="0"/>
              <w:adjustRightInd w:val="0"/>
              <w:snapToGrid w:val="0"/>
              <w:spacing w:before="140" w:line="360" w:lineRule="auto"/>
              <w:ind w:left="946"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159" w:type="dxa"/>
            <w:vAlign w:val="top"/>
          </w:tcPr>
          <w:p w14:paraId="74C36527">
            <w:pPr>
              <w:pStyle w:val="27"/>
              <w:pageBreakBefore w:val="0"/>
              <w:kinsoku w:val="0"/>
              <w:overflowPunct/>
              <w:topLinePunct w:val="0"/>
              <w:autoSpaceDE w:val="0"/>
              <w:autoSpaceDN w:val="0"/>
              <w:bidi w:val="0"/>
              <w:adjustRightInd w:val="0"/>
              <w:snapToGrid w:val="0"/>
              <w:spacing w:before="140" w:line="360" w:lineRule="auto"/>
              <w:ind w:left="861"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2698" w:type="dxa"/>
            <w:vAlign w:val="top"/>
          </w:tcPr>
          <w:p w14:paraId="433E2ACA">
            <w:pPr>
              <w:pStyle w:val="27"/>
              <w:pageBreakBefore w:val="0"/>
              <w:kinsoku w:val="0"/>
              <w:overflowPunct/>
              <w:topLinePunct w:val="0"/>
              <w:autoSpaceDE w:val="0"/>
              <w:autoSpaceDN w:val="0"/>
              <w:bidi w:val="0"/>
              <w:adjustRightInd w:val="0"/>
              <w:snapToGrid w:val="0"/>
              <w:spacing w:before="140" w:line="360" w:lineRule="auto"/>
              <w:ind w:left="1133" w:right="0"/>
              <w:textAlignment w:val="baseline"/>
              <w:rPr>
                <w:rFonts w:hint="eastAsia" w:ascii="仿宋" w:hAnsi="仿宋" w:eastAsia="仿宋" w:cs="仿宋"/>
                <w:sz w:val="24"/>
                <w:szCs w:val="24"/>
              </w:rPr>
            </w:pPr>
            <w:r>
              <w:rPr>
                <w:rFonts w:hint="eastAsia" w:ascii="仿宋" w:hAnsi="仿宋" w:eastAsia="仿宋" w:cs="仿宋"/>
                <w:spacing w:val="40"/>
                <w:sz w:val="24"/>
                <w:szCs w:val="24"/>
              </w:rPr>
              <w:t>……</w:t>
            </w:r>
          </w:p>
        </w:tc>
        <w:tc>
          <w:tcPr>
            <w:tcW w:w="724" w:type="dxa"/>
            <w:vAlign w:val="top"/>
          </w:tcPr>
          <w:p w14:paraId="1ECF88CF">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tc>
      </w:tr>
    </w:tbl>
    <w:p w14:paraId="0B8AEE03">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2DA87A47">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7E8F8F04">
      <w:pPr>
        <w:pStyle w:val="5"/>
        <w:pageBreakBefore w:val="0"/>
        <w:kinsoku w:val="0"/>
        <w:overflowPunct/>
        <w:topLinePunct w:val="0"/>
        <w:autoSpaceDE w:val="0"/>
        <w:autoSpaceDN w:val="0"/>
        <w:bidi w:val="0"/>
        <w:adjustRightInd w:val="0"/>
        <w:snapToGrid w:val="0"/>
        <w:spacing w:before="99" w:line="360" w:lineRule="auto"/>
        <w:ind w:right="0"/>
        <w:jc w:val="right"/>
        <w:textAlignment w:val="baseline"/>
        <w:rPr>
          <w:rFonts w:hint="eastAsia" w:ascii="仿宋" w:hAnsi="仿宋" w:eastAsia="仿宋" w:cs="仿宋"/>
          <w:sz w:val="24"/>
          <w:szCs w:val="24"/>
        </w:rPr>
      </w:pPr>
      <w:r>
        <w:rPr>
          <w:rFonts w:hint="eastAsia" w:ascii="仿宋" w:hAnsi="仿宋" w:eastAsia="仿宋" w:cs="仿宋"/>
          <w:spacing w:val="5"/>
          <w:position w:val="12"/>
          <w:sz w:val="24"/>
          <w:szCs w:val="24"/>
        </w:rPr>
        <w:t>供应商名称(电子签章)：</w:t>
      </w:r>
    </w:p>
    <w:p w14:paraId="578E63ED">
      <w:pPr>
        <w:pStyle w:val="5"/>
        <w:pageBreakBefore w:val="0"/>
        <w:kinsoku w:val="0"/>
        <w:overflowPunct/>
        <w:topLinePunct w:val="0"/>
        <w:autoSpaceDE w:val="0"/>
        <w:autoSpaceDN w:val="0"/>
        <w:bidi w:val="0"/>
        <w:adjustRightInd w:val="0"/>
        <w:snapToGrid w:val="0"/>
        <w:spacing w:line="360" w:lineRule="auto"/>
        <w:ind w:right="0"/>
        <w:jc w:val="right"/>
        <w:textAlignment w:val="baseline"/>
        <w:rPr>
          <w:rFonts w:hint="eastAsia" w:ascii="仿宋" w:hAnsi="仿宋" w:eastAsia="仿宋" w:cs="仿宋"/>
          <w:sz w:val="24"/>
          <w:szCs w:val="24"/>
        </w:rPr>
      </w:pPr>
      <w:r>
        <w:rPr>
          <w:rFonts w:hint="eastAsia" w:ascii="仿宋" w:hAnsi="仿宋" w:eastAsia="仿宋" w:cs="仿宋"/>
          <w:spacing w:val="-16"/>
          <w:sz w:val="24"/>
          <w:szCs w:val="24"/>
        </w:rPr>
        <w:t>年月日</w:t>
      </w:r>
    </w:p>
    <w:p w14:paraId="6DC3BAC9">
      <w:pPr>
        <w:pageBreakBefore w:val="0"/>
        <w:kinsoku w:val="0"/>
        <w:overflowPunct/>
        <w:topLinePunct w:val="0"/>
        <w:autoSpaceDE w:val="0"/>
        <w:autoSpaceDN w:val="0"/>
        <w:bidi w:val="0"/>
        <w:adjustRightInd w:val="0"/>
        <w:snapToGrid w:val="0"/>
        <w:spacing w:line="191" w:lineRule="auto"/>
        <w:ind w:right="0"/>
        <w:textAlignment w:val="baseline"/>
        <w:rPr>
          <w:rFonts w:hint="eastAsia" w:ascii="仿宋" w:hAnsi="仿宋" w:eastAsia="仿宋" w:cs="仿宋"/>
          <w:sz w:val="23"/>
          <w:szCs w:val="23"/>
        </w:rPr>
        <w:sectPr>
          <w:footerReference r:id="rId38" w:type="default"/>
          <w:pgSz w:w="11905" w:h="16838"/>
          <w:pgMar w:top="1440" w:right="1803" w:bottom="1440" w:left="1803" w:header="0" w:footer="567" w:gutter="0"/>
          <w:pgNumType w:fmt="decimal"/>
          <w:cols w:space="0" w:num="1"/>
          <w:rtlGutter w:val="0"/>
          <w:docGrid w:linePitch="0" w:charSpace="0"/>
        </w:sectPr>
      </w:pPr>
    </w:p>
    <w:p w14:paraId="4F9C7533">
      <w:pPr>
        <w:pStyle w:val="5"/>
        <w:pageBreakBefore w:val="0"/>
        <w:kinsoku w:val="0"/>
        <w:overflowPunct/>
        <w:topLinePunct w:val="0"/>
        <w:autoSpaceDE w:val="0"/>
        <w:autoSpaceDN w:val="0"/>
        <w:bidi w:val="0"/>
        <w:adjustRightInd w:val="0"/>
        <w:snapToGrid w:val="0"/>
        <w:spacing w:before="48" w:line="191" w:lineRule="auto"/>
        <w:ind w:left="15" w:right="0"/>
        <w:jc w:val="center"/>
        <w:textAlignment w:val="baseline"/>
        <w:rPr>
          <w:rFonts w:hint="eastAsia" w:ascii="仿宋" w:hAnsi="仿宋" w:eastAsia="仿宋" w:cs="仿宋"/>
          <w:b/>
          <w:bCs/>
          <w:sz w:val="28"/>
          <w:szCs w:val="28"/>
        </w:rPr>
      </w:pPr>
      <w:r>
        <w:rPr>
          <w:rFonts w:hint="eastAsia" w:ascii="仿宋" w:hAnsi="仿宋" w:eastAsia="仿宋" w:cs="仿宋"/>
          <w:b/>
          <w:bCs/>
          <w:spacing w:val="3"/>
          <w:sz w:val="28"/>
          <w:szCs w:val="28"/>
        </w:rPr>
        <w:t>2、投标报价表</w:t>
      </w:r>
    </w:p>
    <w:p w14:paraId="79503767">
      <w:pPr>
        <w:pageBreakBefore w:val="0"/>
        <w:kinsoku w:val="0"/>
        <w:overflowPunct/>
        <w:topLinePunct w:val="0"/>
        <w:autoSpaceDE w:val="0"/>
        <w:autoSpaceDN w:val="0"/>
        <w:bidi w:val="0"/>
        <w:adjustRightInd w:val="0"/>
        <w:snapToGrid w:val="0"/>
        <w:spacing w:before="16"/>
        <w:ind w:right="0"/>
        <w:textAlignment w:val="baseline"/>
        <w:rPr>
          <w:rFonts w:hint="eastAsia" w:ascii="仿宋" w:hAnsi="仿宋" w:eastAsia="仿宋" w:cs="仿宋"/>
        </w:rPr>
      </w:pPr>
    </w:p>
    <w:p w14:paraId="410A9AC0">
      <w:pPr>
        <w:pageBreakBefore w:val="0"/>
        <w:kinsoku w:val="0"/>
        <w:overflowPunct/>
        <w:topLinePunct w:val="0"/>
        <w:autoSpaceDE w:val="0"/>
        <w:autoSpaceDN w:val="0"/>
        <w:bidi w:val="0"/>
        <w:adjustRightInd w:val="0"/>
        <w:snapToGrid w:val="0"/>
        <w:spacing w:before="15"/>
        <w:ind w:right="0"/>
        <w:textAlignment w:val="baseline"/>
        <w:rPr>
          <w:rFonts w:hint="eastAsia" w:ascii="仿宋" w:hAnsi="仿宋" w:eastAsia="仿宋" w:cs="仿宋"/>
          <w:sz w:val="24"/>
          <w:szCs w:val="24"/>
        </w:rPr>
      </w:pPr>
    </w:p>
    <w:p w14:paraId="0E907AB9">
      <w:pPr>
        <w:pageBreakBefore w:val="0"/>
        <w:kinsoku w:val="0"/>
        <w:overflowPunct/>
        <w:topLinePunct w:val="0"/>
        <w:autoSpaceDE w:val="0"/>
        <w:autoSpaceDN w:val="0"/>
        <w:bidi w:val="0"/>
        <w:adjustRightInd w:val="0"/>
        <w:snapToGrid w:val="0"/>
        <w:spacing w:before="15"/>
        <w:ind w:right="0"/>
        <w:textAlignment w:val="baseline"/>
        <w:rPr>
          <w:rFonts w:hint="eastAsia" w:ascii="仿宋" w:hAnsi="仿宋" w:eastAsia="仿宋" w:cs="仿宋"/>
          <w:sz w:val="24"/>
          <w:szCs w:val="24"/>
        </w:rPr>
      </w:pPr>
    </w:p>
    <w:tbl>
      <w:tblPr>
        <w:tblStyle w:val="26"/>
        <w:tblW w:w="94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891"/>
        <w:gridCol w:w="1476"/>
        <w:gridCol w:w="1764"/>
        <w:gridCol w:w="1161"/>
        <w:gridCol w:w="1050"/>
        <w:gridCol w:w="1410"/>
      </w:tblGrid>
      <w:tr w14:paraId="613F0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683" w:type="dxa"/>
            <w:vAlign w:val="top"/>
          </w:tcPr>
          <w:p w14:paraId="7610C049">
            <w:pPr>
              <w:pageBreakBefore w:val="0"/>
              <w:kinsoku w:val="0"/>
              <w:overflowPunct/>
              <w:topLinePunct w:val="0"/>
              <w:autoSpaceDE w:val="0"/>
              <w:autoSpaceDN w:val="0"/>
              <w:bidi w:val="0"/>
              <w:adjustRightInd w:val="0"/>
              <w:snapToGrid w:val="0"/>
              <w:spacing w:before="45" w:line="698" w:lineRule="exact"/>
              <w:ind w:right="0" w:firstLine="189"/>
              <w:textAlignment w:val="baseline"/>
              <w:rPr>
                <w:rFonts w:hint="eastAsia" w:ascii="仿宋" w:hAnsi="仿宋" w:eastAsia="仿宋" w:cs="仿宋"/>
                <w:sz w:val="24"/>
                <w:szCs w:val="24"/>
              </w:rPr>
            </w:pPr>
            <w:r>
              <w:rPr>
                <w:rFonts w:hint="eastAsia" w:ascii="仿宋" w:hAnsi="仿宋" w:eastAsia="仿宋" w:cs="仿宋"/>
                <w:position w:val="-13"/>
                <w:sz w:val="24"/>
                <w:szCs w:val="24"/>
              </w:rPr>
              <w:drawing>
                <wp:inline distT="0" distB="0" distL="0" distR="0">
                  <wp:extent cx="137795" cy="4432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5"/>
                          <a:stretch>
                            <a:fillRect/>
                          </a:stretch>
                        </pic:blipFill>
                        <pic:spPr>
                          <a:xfrm>
                            <a:off x="0" y="0"/>
                            <a:ext cx="138111" cy="443500"/>
                          </a:xfrm>
                          <a:prstGeom prst="rect">
                            <a:avLst/>
                          </a:prstGeom>
                        </pic:spPr>
                      </pic:pic>
                    </a:graphicData>
                  </a:graphic>
                </wp:inline>
              </w:drawing>
            </w:r>
          </w:p>
        </w:tc>
        <w:tc>
          <w:tcPr>
            <w:tcW w:w="1891" w:type="dxa"/>
            <w:vAlign w:val="top"/>
          </w:tcPr>
          <w:p w14:paraId="69631534">
            <w:pPr>
              <w:pStyle w:val="27"/>
              <w:pageBreakBefore w:val="0"/>
              <w:kinsoku w:val="0"/>
              <w:overflowPunct/>
              <w:topLinePunct w:val="0"/>
              <w:autoSpaceDE w:val="0"/>
              <w:autoSpaceDN w:val="0"/>
              <w:bidi w:val="0"/>
              <w:adjustRightInd w:val="0"/>
              <w:snapToGrid w:val="0"/>
              <w:spacing w:before="312" w:line="191" w:lineRule="auto"/>
              <w:ind w:left="473" w:right="0"/>
              <w:textAlignment w:val="baseline"/>
              <w:rPr>
                <w:rFonts w:hint="eastAsia" w:ascii="仿宋" w:hAnsi="仿宋" w:eastAsia="仿宋" w:cs="仿宋"/>
                <w:sz w:val="24"/>
                <w:szCs w:val="24"/>
              </w:rPr>
            </w:pPr>
            <w:r>
              <w:rPr>
                <w:rFonts w:hint="eastAsia" w:ascii="仿宋" w:hAnsi="仿宋" w:eastAsia="仿宋" w:cs="仿宋"/>
                <w:spacing w:val="6"/>
                <w:sz w:val="24"/>
                <w:szCs w:val="24"/>
              </w:rPr>
              <w:t>项目名称</w:t>
            </w:r>
          </w:p>
        </w:tc>
        <w:tc>
          <w:tcPr>
            <w:tcW w:w="1476" w:type="dxa"/>
            <w:vAlign w:val="top"/>
          </w:tcPr>
          <w:p w14:paraId="4C86205C">
            <w:pPr>
              <w:pStyle w:val="27"/>
              <w:pageBreakBefore w:val="0"/>
              <w:kinsoku w:val="0"/>
              <w:overflowPunct/>
              <w:topLinePunct w:val="0"/>
              <w:autoSpaceDE w:val="0"/>
              <w:autoSpaceDN w:val="0"/>
              <w:bidi w:val="0"/>
              <w:adjustRightInd w:val="0"/>
              <w:snapToGrid w:val="0"/>
              <w:spacing w:before="114" w:line="192" w:lineRule="auto"/>
              <w:ind w:left="266" w:right="0"/>
              <w:textAlignment w:val="baseline"/>
              <w:rPr>
                <w:rFonts w:hint="eastAsia" w:ascii="仿宋" w:hAnsi="仿宋" w:eastAsia="仿宋" w:cs="仿宋"/>
                <w:sz w:val="24"/>
                <w:szCs w:val="24"/>
              </w:rPr>
            </w:pPr>
            <w:r>
              <w:rPr>
                <w:rFonts w:hint="eastAsia" w:ascii="仿宋" w:hAnsi="仿宋" w:eastAsia="仿宋" w:cs="仿宋"/>
                <w:spacing w:val="6"/>
                <w:sz w:val="24"/>
                <w:szCs w:val="24"/>
              </w:rPr>
              <w:t>建筑面积</w:t>
            </w:r>
          </w:p>
          <w:p w14:paraId="32B1D07F">
            <w:pPr>
              <w:pStyle w:val="27"/>
              <w:pageBreakBefore w:val="0"/>
              <w:kinsoku w:val="0"/>
              <w:overflowPunct/>
              <w:topLinePunct w:val="0"/>
              <w:autoSpaceDE w:val="0"/>
              <w:autoSpaceDN w:val="0"/>
              <w:bidi w:val="0"/>
              <w:adjustRightInd w:val="0"/>
              <w:snapToGrid w:val="0"/>
              <w:spacing w:before="84" w:line="169" w:lineRule="auto"/>
              <w:ind w:left="545" w:right="0"/>
              <w:textAlignment w:val="baseline"/>
              <w:rPr>
                <w:rFonts w:hint="eastAsia" w:ascii="仿宋" w:hAnsi="仿宋" w:eastAsia="仿宋" w:cs="仿宋"/>
                <w:sz w:val="24"/>
                <w:szCs w:val="24"/>
              </w:rPr>
            </w:pPr>
            <w:r>
              <w:rPr>
                <w:rFonts w:hint="eastAsia" w:ascii="仿宋" w:hAnsi="仿宋" w:eastAsia="仿宋" w:cs="仿宋"/>
                <w:spacing w:val="14"/>
                <w:sz w:val="24"/>
                <w:szCs w:val="24"/>
              </w:rPr>
              <w:t>(㎡)</w:t>
            </w:r>
          </w:p>
        </w:tc>
        <w:tc>
          <w:tcPr>
            <w:tcW w:w="1764" w:type="dxa"/>
            <w:vAlign w:val="top"/>
          </w:tcPr>
          <w:p w14:paraId="690E4171">
            <w:pPr>
              <w:pStyle w:val="27"/>
              <w:pageBreakBefore w:val="0"/>
              <w:kinsoku w:val="0"/>
              <w:overflowPunct/>
              <w:topLinePunct w:val="0"/>
              <w:autoSpaceDE w:val="0"/>
              <w:autoSpaceDN w:val="0"/>
              <w:bidi w:val="0"/>
              <w:adjustRightInd w:val="0"/>
              <w:snapToGrid w:val="0"/>
              <w:spacing w:before="312" w:line="187" w:lineRule="auto"/>
              <w:ind w:left="112" w:right="0"/>
              <w:textAlignment w:val="baseline"/>
              <w:rPr>
                <w:rFonts w:hint="eastAsia" w:ascii="仿宋" w:hAnsi="仿宋" w:eastAsia="仿宋" w:cs="仿宋"/>
                <w:sz w:val="24"/>
                <w:szCs w:val="24"/>
              </w:rPr>
            </w:pPr>
            <w:r>
              <w:rPr>
                <w:rFonts w:hint="eastAsia" w:ascii="仿宋" w:hAnsi="仿宋" w:eastAsia="仿宋" w:cs="仿宋"/>
                <w:spacing w:val="10"/>
                <w:sz w:val="24"/>
                <w:szCs w:val="24"/>
              </w:rPr>
              <w:t>投标总价(元)</w:t>
            </w:r>
          </w:p>
        </w:tc>
        <w:tc>
          <w:tcPr>
            <w:tcW w:w="1161" w:type="dxa"/>
            <w:vAlign w:val="top"/>
          </w:tcPr>
          <w:p w14:paraId="3C3B7718">
            <w:pPr>
              <w:pStyle w:val="27"/>
              <w:pageBreakBefore w:val="0"/>
              <w:kinsoku w:val="0"/>
              <w:overflowPunct/>
              <w:topLinePunct w:val="0"/>
              <w:autoSpaceDE w:val="0"/>
              <w:autoSpaceDN w:val="0"/>
              <w:bidi w:val="0"/>
              <w:adjustRightInd w:val="0"/>
              <w:snapToGrid w:val="0"/>
              <w:spacing w:before="313" w:line="191" w:lineRule="auto"/>
              <w:ind w:left="11" w:right="0"/>
              <w:textAlignment w:val="baseline"/>
              <w:rPr>
                <w:rFonts w:hint="eastAsia" w:ascii="仿宋" w:hAnsi="仿宋" w:eastAsia="仿宋" w:cs="仿宋"/>
                <w:sz w:val="24"/>
                <w:szCs w:val="24"/>
              </w:rPr>
            </w:pPr>
            <w:r>
              <w:rPr>
                <w:rFonts w:hint="eastAsia" w:ascii="仿宋" w:hAnsi="仿宋" w:eastAsia="仿宋" w:cs="仿宋"/>
                <w:spacing w:val="6"/>
                <w:sz w:val="24"/>
                <w:szCs w:val="24"/>
              </w:rPr>
              <w:t>工程质量</w:t>
            </w:r>
          </w:p>
        </w:tc>
        <w:tc>
          <w:tcPr>
            <w:tcW w:w="1050" w:type="dxa"/>
            <w:vAlign w:val="top"/>
          </w:tcPr>
          <w:p w14:paraId="04F86DE0">
            <w:pPr>
              <w:pStyle w:val="27"/>
              <w:pageBreakBefore w:val="0"/>
              <w:kinsoku w:val="0"/>
              <w:overflowPunct/>
              <w:topLinePunct w:val="0"/>
              <w:autoSpaceDE w:val="0"/>
              <w:autoSpaceDN w:val="0"/>
              <w:bidi w:val="0"/>
              <w:adjustRightInd w:val="0"/>
              <w:snapToGrid w:val="0"/>
              <w:spacing w:before="313" w:line="191" w:lineRule="auto"/>
              <w:ind w:left="11" w:right="0"/>
              <w:textAlignment w:val="baseline"/>
              <w:rPr>
                <w:rFonts w:hint="eastAsia" w:ascii="仿宋" w:hAnsi="仿宋" w:eastAsia="仿宋" w:cs="仿宋"/>
                <w:sz w:val="24"/>
                <w:szCs w:val="24"/>
              </w:rPr>
            </w:pPr>
            <w:r>
              <w:rPr>
                <w:rFonts w:hint="eastAsia" w:ascii="仿宋" w:hAnsi="仿宋" w:eastAsia="仿宋" w:cs="仿宋"/>
                <w:spacing w:val="7"/>
                <w:sz w:val="24"/>
                <w:szCs w:val="24"/>
              </w:rPr>
              <w:t>开工日期</w:t>
            </w:r>
          </w:p>
        </w:tc>
        <w:tc>
          <w:tcPr>
            <w:tcW w:w="1410" w:type="dxa"/>
            <w:vAlign w:val="top"/>
          </w:tcPr>
          <w:p w14:paraId="165FB804">
            <w:pPr>
              <w:pStyle w:val="27"/>
              <w:pageBreakBefore w:val="0"/>
              <w:kinsoku w:val="0"/>
              <w:overflowPunct/>
              <w:topLinePunct w:val="0"/>
              <w:autoSpaceDE w:val="0"/>
              <w:autoSpaceDN w:val="0"/>
              <w:bidi w:val="0"/>
              <w:adjustRightInd w:val="0"/>
              <w:snapToGrid w:val="0"/>
              <w:spacing w:before="313" w:line="191" w:lineRule="auto"/>
              <w:ind w:left="129" w:right="0"/>
              <w:textAlignment w:val="baseline"/>
              <w:rPr>
                <w:rFonts w:hint="eastAsia" w:ascii="仿宋" w:hAnsi="仿宋" w:eastAsia="仿宋" w:cs="仿宋"/>
                <w:sz w:val="24"/>
                <w:szCs w:val="24"/>
              </w:rPr>
            </w:pPr>
            <w:r>
              <w:rPr>
                <w:rFonts w:hint="eastAsia" w:ascii="仿宋" w:hAnsi="仿宋" w:eastAsia="仿宋" w:cs="仿宋"/>
                <w:spacing w:val="7"/>
                <w:sz w:val="24"/>
                <w:szCs w:val="24"/>
              </w:rPr>
              <w:t>竣工日期</w:t>
            </w:r>
          </w:p>
        </w:tc>
      </w:tr>
      <w:tr w14:paraId="31729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83" w:type="dxa"/>
            <w:vAlign w:val="top"/>
          </w:tcPr>
          <w:p w14:paraId="21B17E1C">
            <w:pPr>
              <w:pStyle w:val="27"/>
              <w:pageBreakBefore w:val="0"/>
              <w:kinsoku w:val="0"/>
              <w:overflowPunct/>
              <w:topLinePunct w:val="0"/>
              <w:autoSpaceDE w:val="0"/>
              <w:autoSpaceDN w:val="0"/>
              <w:bidi w:val="0"/>
              <w:adjustRightInd w:val="0"/>
              <w:snapToGrid w:val="0"/>
              <w:spacing w:before="147" w:line="165" w:lineRule="auto"/>
              <w:ind w:left="303" w:right="0"/>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891" w:type="dxa"/>
            <w:vAlign w:val="top"/>
          </w:tcPr>
          <w:p w14:paraId="4B7F84C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476" w:type="dxa"/>
            <w:vAlign w:val="top"/>
          </w:tcPr>
          <w:p w14:paraId="0CBDB0B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764" w:type="dxa"/>
            <w:vAlign w:val="top"/>
          </w:tcPr>
          <w:p w14:paraId="03BD838D">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161" w:type="dxa"/>
            <w:vMerge w:val="restart"/>
            <w:tcBorders>
              <w:bottom w:val="nil"/>
            </w:tcBorders>
            <w:vAlign w:val="top"/>
          </w:tcPr>
          <w:p w14:paraId="13FCB8E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050" w:type="dxa"/>
            <w:vMerge w:val="restart"/>
            <w:tcBorders>
              <w:bottom w:val="nil"/>
            </w:tcBorders>
            <w:vAlign w:val="top"/>
          </w:tcPr>
          <w:p w14:paraId="21E9DF7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410" w:type="dxa"/>
            <w:vMerge w:val="restart"/>
            <w:tcBorders>
              <w:bottom w:val="nil"/>
            </w:tcBorders>
            <w:vAlign w:val="top"/>
          </w:tcPr>
          <w:p w14:paraId="7BC31C8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11D16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83" w:type="dxa"/>
            <w:vAlign w:val="top"/>
          </w:tcPr>
          <w:p w14:paraId="2F19863C">
            <w:pPr>
              <w:pStyle w:val="27"/>
              <w:pageBreakBefore w:val="0"/>
              <w:kinsoku w:val="0"/>
              <w:overflowPunct/>
              <w:topLinePunct w:val="0"/>
              <w:autoSpaceDE w:val="0"/>
              <w:autoSpaceDN w:val="0"/>
              <w:bidi w:val="0"/>
              <w:adjustRightInd w:val="0"/>
              <w:snapToGrid w:val="0"/>
              <w:spacing w:before="151" w:line="164" w:lineRule="auto"/>
              <w:ind w:left="289" w:right="0"/>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891" w:type="dxa"/>
            <w:vAlign w:val="top"/>
          </w:tcPr>
          <w:p w14:paraId="6A6EABCC">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476" w:type="dxa"/>
            <w:vAlign w:val="top"/>
          </w:tcPr>
          <w:p w14:paraId="4A46D28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764" w:type="dxa"/>
            <w:vAlign w:val="top"/>
          </w:tcPr>
          <w:p w14:paraId="50F3565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161" w:type="dxa"/>
            <w:vMerge w:val="continue"/>
            <w:tcBorders>
              <w:top w:val="nil"/>
              <w:bottom w:val="nil"/>
            </w:tcBorders>
            <w:vAlign w:val="top"/>
          </w:tcPr>
          <w:p w14:paraId="25A45C5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050" w:type="dxa"/>
            <w:vMerge w:val="continue"/>
            <w:tcBorders>
              <w:top w:val="nil"/>
              <w:bottom w:val="nil"/>
            </w:tcBorders>
            <w:vAlign w:val="top"/>
          </w:tcPr>
          <w:p w14:paraId="312923C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410" w:type="dxa"/>
            <w:vMerge w:val="continue"/>
            <w:tcBorders>
              <w:top w:val="nil"/>
              <w:bottom w:val="nil"/>
            </w:tcBorders>
            <w:vAlign w:val="top"/>
          </w:tcPr>
          <w:p w14:paraId="447E753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789AB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83" w:type="dxa"/>
            <w:vAlign w:val="top"/>
          </w:tcPr>
          <w:p w14:paraId="11F00DC3">
            <w:pPr>
              <w:pStyle w:val="27"/>
              <w:pageBreakBefore w:val="0"/>
              <w:kinsoku w:val="0"/>
              <w:overflowPunct/>
              <w:topLinePunct w:val="0"/>
              <w:autoSpaceDE w:val="0"/>
              <w:autoSpaceDN w:val="0"/>
              <w:bidi w:val="0"/>
              <w:adjustRightInd w:val="0"/>
              <w:snapToGrid w:val="0"/>
              <w:spacing w:before="152" w:line="164" w:lineRule="auto"/>
              <w:ind w:left="290" w:right="0"/>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891" w:type="dxa"/>
            <w:vAlign w:val="top"/>
          </w:tcPr>
          <w:p w14:paraId="776ED4A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476" w:type="dxa"/>
            <w:vAlign w:val="top"/>
          </w:tcPr>
          <w:p w14:paraId="4A21756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764" w:type="dxa"/>
            <w:vAlign w:val="top"/>
          </w:tcPr>
          <w:p w14:paraId="40A4E8A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161" w:type="dxa"/>
            <w:vMerge w:val="continue"/>
            <w:tcBorders>
              <w:top w:val="nil"/>
              <w:bottom w:val="nil"/>
            </w:tcBorders>
            <w:vAlign w:val="top"/>
          </w:tcPr>
          <w:p w14:paraId="5861FDE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050" w:type="dxa"/>
            <w:vMerge w:val="continue"/>
            <w:tcBorders>
              <w:top w:val="nil"/>
              <w:bottom w:val="nil"/>
            </w:tcBorders>
            <w:vAlign w:val="top"/>
          </w:tcPr>
          <w:p w14:paraId="353A273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410" w:type="dxa"/>
            <w:vMerge w:val="continue"/>
            <w:tcBorders>
              <w:top w:val="nil"/>
              <w:bottom w:val="nil"/>
            </w:tcBorders>
            <w:vAlign w:val="top"/>
          </w:tcPr>
          <w:p w14:paraId="3776CBC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1641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83" w:type="dxa"/>
            <w:vAlign w:val="top"/>
          </w:tcPr>
          <w:p w14:paraId="02E2E300">
            <w:pPr>
              <w:pStyle w:val="27"/>
              <w:pageBreakBefore w:val="0"/>
              <w:kinsoku w:val="0"/>
              <w:overflowPunct/>
              <w:topLinePunct w:val="0"/>
              <w:autoSpaceDE w:val="0"/>
              <w:autoSpaceDN w:val="0"/>
              <w:bidi w:val="0"/>
              <w:adjustRightInd w:val="0"/>
              <w:snapToGrid w:val="0"/>
              <w:spacing w:before="153" w:line="164" w:lineRule="auto"/>
              <w:ind w:left="285" w:right="0"/>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891" w:type="dxa"/>
            <w:vAlign w:val="top"/>
          </w:tcPr>
          <w:p w14:paraId="552EA3B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476" w:type="dxa"/>
            <w:vAlign w:val="top"/>
          </w:tcPr>
          <w:p w14:paraId="32BBD4A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764" w:type="dxa"/>
            <w:vAlign w:val="top"/>
          </w:tcPr>
          <w:p w14:paraId="2DD1224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161" w:type="dxa"/>
            <w:vMerge w:val="continue"/>
            <w:tcBorders>
              <w:top w:val="nil"/>
              <w:bottom w:val="nil"/>
            </w:tcBorders>
            <w:vAlign w:val="top"/>
          </w:tcPr>
          <w:p w14:paraId="688FB62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050" w:type="dxa"/>
            <w:vMerge w:val="continue"/>
            <w:tcBorders>
              <w:top w:val="nil"/>
              <w:bottom w:val="nil"/>
            </w:tcBorders>
            <w:vAlign w:val="top"/>
          </w:tcPr>
          <w:p w14:paraId="38CC34B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410" w:type="dxa"/>
            <w:vMerge w:val="continue"/>
            <w:tcBorders>
              <w:top w:val="nil"/>
              <w:bottom w:val="nil"/>
            </w:tcBorders>
            <w:vAlign w:val="top"/>
          </w:tcPr>
          <w:p w14:paraId="4EEF20C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14730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574" w:type="dxa"/>
            <w:gridSpan w:val="2"/>
            <w:vAlign w:val="top"/>
          </w:tcPr>
          <w:p w14:paraId="60CB3A8B">
            <w:pPr>
              <w:pStyle w:val="27"/>
              <w:pageBreakBefore w:val="0"/>
              <w:kinsoku w:val="0"/>
              <w:overflowPunct/>
              <w:topLinePunct w:val="0"/>
              <w:autoSpaceDE w:val="0"/>
              <w:autoSpaceDN w:val="0"/>
              <w:bidi w:val="0"/>
              <w:adjustRightInd w:val="0"/>
              <w:snapToGrid w:val="0"/>
              <w:spacing w:before="113" w:line="192" w:lineRule="auto"/>
              <w:ind w:left="8" w:right="0"/>
              <w:textAlignment w:val="baseline"/>
              <w:rPr>
                <w:rFonts w:hint="eastAsia" w:ascii="仿宋" w:hAnsi="仿宋" w:eastAsia="仿宋" w:cs="仿宋"/>
                <w:sz w:val="24"/>
                <w:szCs w:val="24"/>
              </w:rPr>
            </w:pPr>
            <w:r>
              <w:rPr>
                <w:rFonts w:hint="eastAsia" w:ascii="仿宋" w:hAnsi="仿宋" w:eastAsia="仿宋" w:cs="仿宋"/>
                <w:spacing w:val="4"/>
                <w:sz w:val="24"/>
                <w:szCs w:val="24"/>
              </w:rPr>
              <w:t>合计</w:t>
            </w:r>
          </w:p>
        </w:tc>
        <w:tc>
          <w:tcPr>
            <w:tcW w:w="1476" w:type="dxa"/>
            <w:vAlign w:val="top"/>
          </w:tcPr>
          <w:p w14:paraId="333E873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764" w:type="dxa"/>
            <w:vAlign w:val="top"/>
          </w:tcPr>
          <w:p w14:paraId="4E9F237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161" w:type="dxa"/>
            <w:vMerge w:val="continue"/>
            <w:tcBorders>
              <w:top w:val="nil"/>
            </w:tcBorders>
            <w:vAlign w:val="top"/>
          </w:tcPr>
          <w:p w14:paraId="77C893BF">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050" w:type="dxa"/>
            <w:vMerge w:val="continue"/>
            <w:tcBorders>
              <w:top w:val="nil"/>
            </w:tcBorders>
            <w:vAlign w:val="top"/>
          </w:tcPr>
          <w:p w14:paraId="553D2B3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c>
          <w:tcPr>
            <w:tcW w:w="1410" w:type="dxa"/>
            <w:vMerge w:val="continue"/>
            <w:tcBorders>
              <w:top w:val="nil"/>
            </w:tcBorders>
            <w:vAlign w:val="top"/>
          </w:tcPr>
          <w:p w14:paraId="2BCF361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4"/>
                <w:szCs w:val="24"/>
              </w:rPr>
            </w:pPr>
          </w:p>
        </w:tc>
      </w:tr>
      <w:tr w14:paraId="7D3CE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435" w:type="dxa"/>
            <w:gridSpan w:val="7"/>
            <w:vAlign w:val="top"/>
          </w:tcPr>
          <w:p w14:paraId="6082B219">
            <w:pPr>
              <w:pStyle w:val="27"/>
              <w:pageBreakBefore w:val="0"/>
              <w:kinsoku w:val="0"/>
              <w:overflowPunct/>
              <w:topLinePunct w:val="0"/>
              <w:autoSpaceDE w:val="0"/>
              <w:autoSpaceDN w:val="0"/>
              <w:bidi w:val="0"/>
              <w:adjustRightInd w:val="0"/>
              <w:snapToGrid w:val="0"/>
              <w:spacing w:before="116" w:line="187" w:lineRule="auto"/>
              <w:ind w:left="10" w:right="0"/>
              <w:textAlignment w:val="baseline"/>
              <w:rPr>
                <w:rFonts w:hint="eastAsia" w:ascii="仿宋" w:hAnsi="仿宋" w:eastAsia="仿宋" w:cs="仿宋"/>
                <w:sz w:val="24"/>
                <w:szCs w:val="24"/>
              </w:rPr>
            </w:pPr>
            <w:r>
              <w:rPr>
                <w:rFonts w:hint="eastAsia" w:ascii="仿宋" w:hAnsi="仿宋" w:eastAsia="仿宋" w:cs="仿宋"/>
                <w:spacing w:val="9"/>
                <w:sz w:val="24"/>
                <w:szCs w:val="24"/>
              </w:rPr>
              <w:t>投标总价大写(人民币)：</w:t>
            </w:r>
          </w:p>
        </w:tc>
      </w:tr>
    </w:tbl>
    <w:p w14:paraId="149CF50C">
      <w:pPr>
        <w:pStyle w:val="5"/>
        <w:pageBreakBefore w:val="0"/>
        <w:kinsoku w:val="0"/>
        <w:overflowPunct/>
        <w:topLinePunct w:val="0"/>
        <w:autoSpaceDE w:val="0"/>
        <w:autoSpaceDN w:val="0"/>
        <w:bidi w:val="0"/>
        <w:adjustRightInd w:val="0"/>
        <w:snapToGrid w:val="0"/>
        <w:spacing w:before="113" w:line="191" w:lineRule="auto"/>
        <w:ind w:left="12" w:right="0"/>
        <w:textAlignment w:val="baseline"/>
        <w:rPr>
          <w:rFonts w:hint="eastAsia" w:ascii="仿宋" w:hAnsi="仿宋" w:eastAsia="仿宋" w:cs="仿宋"/>
          <w:sz w:val="24"/>
          <w:szCs w:val="24"/>
        </w:rPr>
      </w:pPr>
      <w:r>
        <w:rPr>
          <w:rFonts w:hint="eastAsia" w:ascii="仿宋" w:hAnsi="仿宋" w:eastAsia="仿宋" w:cs="仿宋"/>
          <w:spacing w:val="4"/>
          <w:sz w:val="24"/>
          <w:szCs w:val="24"/>
        </w:rPr>
        <w:t>注：投标总价应与已标价工程清单中“投标总报价”的</w:t>
      </w:r>
      <w:r>
        <w:rPr>
          <w:rFonts w:hint="eastAsia" w:ascii="仿宋" w:hAnsi="仿宋" w:eastAsia="仿宋" w:cs="仿宋"/>
          <w:spacing w:val="3"/>
          <w:sz w:val="24"/>
          <w:szCs w:val="24"/>
        </w:rPr>
        <w:t>金额一致。</w:t>
      </w:r>
    </w:p>
    <w:p w14:paraId="008AA6D1">
      <w:pPr>
        <w:pageBreakBefore w:val="0"/>
        <w:kinsoku w:val="0"/>
        <w:overflowPunct/>
        <w:topLinePunct w:val="0"/>
        <w:autoSpaceDE w:val="0"/>
        <w:autoSpaceDN w:val="0"/>
        <w:bidi w:val="0"/>
        <w:adjustRightInd w:val="0"/>
        <w:snapToGrid w:val="0"/>
        <w:spacing w:line="251" w:lineRule="auto"/>
        <w:ind w:right="0"/>
        <w:textAlignment w:val="baseline"/>
        <w:rPr>
          <w:rFonts w:hint="eastAsia" w:ascii="仿宋" w:hAnsi="仿宋" w:eastAsia="仿宋" w:cs="仿宋"/>
          <w:sz w:val="24"/>
          <w:szCs w:val="24"/>
        </w:rPr>
      </w:pPr>
    </w:p>
    <w:p w14:paraId="4F1734A2">
      <w:pPr>
        <w:pageBreakBefore w:val="0"/>
        <w:kinsoku w:val="0"/>
        <w:overflowPunct/>
        <w:topLinePunct w:val="0"/>
        <w:autoSpaceDE w:val="0"/>
        <w:autoSpaceDN w:val="0"/>
        <w:bidi w:val="0"/>
        <w:adjustRightInd w:val="0"/>
        <w:snapToGrid w:val="0"/>
        <w:spacing w:line="251" w:lineRule="auto"/>
        <w:ind w:right="0"/>
        <w:textAlignment w:val="baseline"/>
        <w:rPr>
          <w:rFonts w:hint="eastAsia" w:ascii="仿宋" w:hAnsi="仿宋" w:eastAsia="仿宋" w:cs="仿宋"/>
          <w:sz w:val="21"/>
        </w:rPr>
      </w:pPr>
    </w:p>
    <w:p w14:paraId="43FAD28F">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sz w:val="21"/>
        </w:rPr>
      </w:pPr>
    </w:p>
    <w:p w14:paraId="6FE50846">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sz w:val="21"/>
        </w:rPr>
      </w:pPr>
    </w:p>
    <w:p w14:paraId="3C35E273">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sz w:val="21"/>
        </w:rPr>
      </w:pPr>
    </w:p>
    <w:p w14:paraId="3268F4D1">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sz w:val="21"/>
        </w:rPr>
      </w:pPr>
    </w:p>
    <w:p w14:paraId="4C71F9C2">
      <w:pPr>
        <w:pStyle w:val="5"/>
        <w:pageBreakBefore w:val="0"/>
        <w:kinsoku w:val="0"/>
        <w:overflowPunct/>
        <w:topLinePunct w:val="0"/>
        <w:autoSpaceDE w:val="0"/>
        <w:autoSpaceDN w:val="0"/>
        <w:bidi w:val="0"/>
        <w:adjustRightInd w:val="0"/>
        <w:snapToGrid w:val="0"/>
        <w:spacing w:before="99" w:line="360" w:lineRule="auto"/>
        <w:ind w:left="1692" w:right="0"/>
        <w:textAlignment w:val="baseline"/>
        <w:rPr>
          <w:rFonts w:hint="eastAsia" w:ascii="仿宋" w:hAnsi="仿宋" w:eastAsia="仿宋" w:cs="仿宋"/>
          <w:sz w:val="23"/>
          <w:szCs w:val="23"/>
        </w:rPr>
      </w:pPr>
      <w:r>
        <w:rPr>
          <w:rFonts w:hint="eastAsia" w:ascii="仿宋" w:hAnsi="仿宋" w:eastAsia="仿宋" w:cs="仿宋"/>
          <w:spacing w:val="-1"/>
          <w:sz w:val="23"/>
          <w:szCs w:val="23"/>
        </w:rPr>
        <w:t>供应商：(电子签章)</w:t>
      </w:r>
    </w:p>
    <w:p w14:paraId="7E3AAB9C">
      <w:pPr>
        <w:pStyle w:val="5"/>
        <w:pageBreakBefore w:val="0"/>
        <w:kinsoku w:val="0"/>
        <w:overflowPunct/>
        <w:topLinePunct w:val="0"/>
        <w:autoSpaceDE w:val="0"/>
        <w:autoSpaceDN w:val="0"/>
        <w:bidi w:val="0"/>
        <w:adjustRightInd w:val="0"/>
        <w:snapToGrid w:val="0"/>
        <w:spacing w:before="94" w:line="360" w:lineRule="auto"/>
        <w:ind w:left="1710" w:right="0" w:hanging="17"/>
        <w:textAlignment w:val="baseline"/>
        <w:rPr>
          <w:rFonts w:hint="eastAsia" w:ascii="仿宋" w:hAnsi="仿宋" w:eastAsia="仿宋" w:cs="仿宋"/>
          <w:spacing w:val="-3"/>
          <w:sz w:val="23"/>
          <w:szCs w:val="23"/>
        </w:rPr>
      </w:pPr>
      <w:r>
        <w:rPr>
          <w:rFonts w:hint="eastAsia" w:ascii="仿宋" w:hAnsi="仿宋" w:eastAsia="仿宋" w:cs="仿宋"/>
          <w:spacing w:val="-3"/>
          <w:sz w:val="23"/>
          <w:szCs w:val="23"/>
        </w:rPr>
        <w:t>法定代表人或其委托代理人：(签字)地址：</w:t>
      </w:r>
    </w:p>
    <w:p w14:paraId="67F8D307">
      <w:pPr>
        <w:pStyle w:val="5"/>
        <w:pageBreakBefore w:val="0"/>
        <w:kinsoku w:val="0"/>
        <w:overflowPunct/>
        <w:topLinePunct w:val="0"/>
        <w:autoSpaceDE w:val="0"/>
        <w:autoSpaceDN w:val="0"/>
        <w:bidi w:val="0"/>
        <w:adjustRightInd w:val="0"/>
        <w:snapToGrid w:val="0"/>
        <w:spacing w:before="94" w:line="360" w:lineRule="auto"/>
        <w:ind w:left="1710" w:right="0" w:hanging="17"/>
        <w:textAlignment w:val="baseline"/>
        <w:rPr>
          <w:rFonts w:hint="eastAsia" w:ascii="仿宋" w:hAnsi="仿宋" w:eastAsia="仿宋" w:cs="仿宋"/>
          <w:sz w:val="23"/>
          <w:szCs w:val="23"/>
        </w:rPr>
      </w:pPr>
      <w:r>
        <w:rPr>
          <w:rFonts w:hint="eastAsia" w:ascii="仿宋" w:hAnsi="仿宋" w:eastAsia="仿宋" w:cs="仿宋"/>
          <w:spacing w:val="-13"/>
          <w:sz w:val="23"/>
          <w:szCs w:val="23"/>
        </w:rPr>
        <w:t>网址：</w:t>
      </w:r>
    </w:p>
    <w:p w14:paraId="4FE5BD11">
      <w:pPr>
        <w:pStyle w:val="5"/>
        <w:pageBreakBefore w:val="0"/>
        <w:kinsoku w:val="0"/>
        <w:overflowPunct/>
        <w:topLinePunct w:val="0"/>
        <w:autoSpaceDE w:val="0"/>
        <w:autoSpaceDN w:val="0"/>
        <w:bidi w:val="0"/>
        <w:adjustRightInd w:val="0"/>
        <w:snapToGrid w:val="0"/>
        <w:spacing w:before="82" w:line="360" w:lineRule="auto"/>
        <w:ind w:left="1720" w:right="0"/>
        <w:textAlignment w:val="baseline"/>
        <w:rPr>
          <w:rFonts w:hint="eastAsia" w:ascii="仿宋" w:hAnsi="仿宋" w:eastAsia="仿宋" w:cs="仿宋"/>
          <w:sz w:val="23"/>
          <w:szCs w:val="23"/>
        </w:rPr>
      </w:pPr>
      <w:r>
        <w:rPr>
          <w:rFonts w:hint="eastAsia" w:ascii="仿宋" w:hAnsi="仿宋" w:eastAsia="仿宋" w:cs="仿宋"/>
          <w:spacing w:val="-16"/>
          <w:position w:val="12"/>
          <w:sz w:val="23"/>
          <w:szCs w:val="23"/>
        </w:rPr>
        <w:t>电话：</w:t>
      </w:r>
    </w:p>
    <w:p w14:paraId="5D1318CE">
      <w:pPr>
        <w:pStyle w:val="5"/>
        <w:pageBreakBefore w:val="0"/>
        <w:kinsoku w:val="0"/>
        <w:overflowPunct/>
        <w:topLinePunct w:val="0"/>
        <w:autoSpaceDE w:val="0"/>
        <w:autoSpaceDN w:val="0"/>
        <w:bidi w:val="0"/>
        <w:adjustRightInd w:val="0"/>
        <w:snapToGrid w:val="0"/>
        <w:spacing w:line="360" w:lineRule="auto"/>
        <w:ind w:left="1690" w:right="0"/>
        <w:textAlignment w:val="baseline"/>
        <w:rPr>
          <w:rFonts w:hint="eastAsia" w:ascii="仿宋" w:hAnsi="仿宋" w:eastAsia="仿宋" w:cs="仿宋"/>
          <w:sz w:val="23"/>
          <w:szCs w:val="23"/>
        </w:rPr>
      </w:pPr>
      <w:r>
        <w:rPr>
          <w:rFonts w:hint="eastAsia" w:ascii="仿宋" w:hAnsi="仿宋" w:eastAsia="仿宋" w:cs="仿宋"/>
          <w:spacing w:val="-9"/>
          <w:sz w:val="23"/>
          <w:szCs w:val="23"/>
        </w:rPr>
        <w:t>传真：</w:t>
      </w:r>
    </w:p>
    <w:p w14:paraId="656C807A">
      <w:pPr>
        <w:pStyle w:val="5"/>
        <w:pageBreakBefore w:val="0"/>
        <w:kinsoku w:val="0"/>
        <w:overflowPunct/>
        <w:topLinePunct w:val="0"/>
        <w:autoSpaceDE w:val="0"/>
        <w:autoSpaceDN w:val="0"/>
        <w:bidi w:val="0"/>
        <w:adjustRightInd w:val="0"/>
        <w:snapToGrid w:val="0"/>
        <w:spacing w:before="83" w:line="360" w:lineRule="auto"/>
        <w:ind w:left="1710" w:right="0"/>
        <w:textAlignment w:val="baseline"/>
        <w:rPr>
          <w:rFonts w:hint="eastAsia" w:ascii="仿宋" w:hAnsi="仿宋" w:eastAsia="仿宋" w:cs="仿宋"/>
          <w:sz w:val="23"/>
          <w:szCs w:val="23"/>
        </w:rPr>
      </w:pPr>
      <w:r>
        <w:rPr>
          <w:rFonts w:hint="eastAsia" w:ascii="仿宋" w:hAnsi="仿宋" w:eastAsia="仿宋" w:cs="仿宋"/>
          <w:spacing w:val="-6"/>
          <w:sz w:val="23"/>
          <w:szCs w:val="23"/>
        </w:rPr>
        <w:t>邮政编码：</w:t>
      </w:r>
    </w:p>
    <w:p w14:paraId="1F3F6AF3">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1"/>
        </w:rPr>
      </w:pPr>
    </w:p>
    <w:p w14:paraId="50EA292A">
      <w:pPr>
        <w:pStyle w:val="5"/>
        <w:pageBreakBefore w:val="0"/>
        <w:kinsoku w:val="0"/>
        <w:overflowPunct/>
        <w:topLinePunct w:val="0"/>
        <w:autoSpaceDE w:val="0"/>
        <w:autoSpaceDN w:val="0"/>
        <w:bidi w:val="0"/>
        <w:adjustRightInd w:val="0"/>
        <w:snapToGrid w:val="0"/>
        <w:spacing w:before="100" w:line="360" w:lineRule="auto"/>
        <w:ind w:left="5293" w:right="0"/>
        <w:textAlignment w:val="baseline"/>
        <w:rPr>
          <w:rFonts w:hint="eastAsia" w:ascii="仿宋" w:hAnsi="仿宋" w:eastAsia="仿宋" w:cs="仿宋"/>
          <w:sz w:val="23"/>
          <w:szCs w:val="23"/>
        </w:rPr>
      </w:pPr>
      <w:r>
        <w:rPr>
          <w:rFonts w:hint="eastAsia" w:ascii="仿宋" w:hAnsi="仿宋" w:eastAsia="仿宋" w:cs="仿宋"/>
          <w:spacing w:val="-2"/>
          <w:sz w:val="23"/>
          <w:szCs w:val="23"/>
        </w:rPr>
        <w:t>年月日</w:t>
      </w:r>
    </w:p>
    <w:p w14:paraId="0AC9765D">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3"/>
          <w:szCs w:val="23"/>
        </w:rPr>
        <w:sectPr>
          <w:footerReference r:id="rId39" w:type="default"/>
          <w:pgSz w:w="11905" w:h="16838"/>
          <w:pgMar w:top="1440" w:right="1803" w:bottom="1440" w:left="1803" w:header="0" w:footer="567" w:gutter="0"/>
          <w:pgNumType w:fmt="decimal"/>
          <w:cols w:space="0" w:num="1"/>
          <w:rtlGutter w:val="0"/>
          <w:docGrid w:linePitch="0" w:charSpace="0"/>
        </w:sectPr>
      </w:pPr>
    </w:p>
    <w:p w14:paraId="7AD96C24">
      <w:pPr>
        <w:pStyle w:val="5"/>
        <w:pageBreakBefore w:val="0"/>
        <w:kinsoku w:val="0"/>
        <w:overflowPunct/>
        <w:topLinePunct w:val="0"/>
        <w:autoSpaceDE w:val="0"/>
        <w:autoSpaceDN w:val="0"/>
        <w:bidi w:val="0"/>
        <w:adjustRightInd w:val="0"/>
        <w:snapToGrid w:val="0"/>
        <w:spacing w:before="47" w:line="187" w:lineRule="auto"/>
        <w:ind w:right="0"/>
        <w:jc w:val="center"/>
        <w:textAlignment w:val="baseline"/>
        <w:rPr>
          <w:rFonts w:hint="eastAsia" w:ascii="仿宋" w:hAnsi="仿宋" w:eastAsia="仿宋" w:cs="仿宋"/>
          <w:b/>
          <w:bCs/>
          <w:sz w:val="28"/>
          <w:szCs w:val="28"/>
        </w:rPr>
      </w:pPr>
      <w:r>
        <w:rPr>
          <w:rFonts w:hint="eastAsia" w:ascii="仿宋" w:hAnsi="仿宋" w:eastAsia="仿宋" w:cs="仿宋"/>
          <w:b/>
          <w:bCs/>
          <w:spacing w:val="9"/>
          <w:sz w:val="28"/>
          <w:szCs w:val="28"/>
        </w:rPr>
        <w:t>3、工程预算书(已标价工程量清单)</w:t>
      </w:r>
    </w:p>
    <w:p w14:paraId="45569248">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b/>
          <w:bCs/>
          <w:sz w:val="21"/>
        </w:rPr>
      </w:pPr>
    </w:p>
    <w:p w14:paraId="193252D8">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b/>
          <w:bCs/>
          <w:sz w:val="21"/>
        </w:rPr>
      </w:pPr>
    </w:p>
    <w:p w14:paraId="2786E917">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sz w:val="21"/>
        </w:rPr>
      </w:pPr>
    </w:p>
    <w:p w14:paraId="7F80BA7E">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sz w:val="21"/>
        </w:rPr>
      </w:pPr>
    </w:p>
    <w:p w14:paraId="487B4644">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sz w:val="21"/>
        </w:rPr>
      </w:pPr>
    </w:p>
    <w:p w14:paraId="0D177E17">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sz w:val="21"/>
        </w:rPr>
      </w:pPr>
    </w:p>
    <w:p w14:paraId="2B661003">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sz w:val="21"/>
        </w:rPr>
      </w:pPr>
    </w:p>
    <w:p w14:paraId="7808A7C4">
      <w:pPr>
        <w:pageBreakBefore w:val="0"/>
        <w:kinsoku w:val="0"/>
        <w:overflowPunct/>
        <w:topLinePunct w:val="0"/>
        <w:autoSpaceDE w:val="0"/>
        <w:autoSpaceDN w:val="0"/>
        <w:bidi w:val="0"/>
        <w:adjustRightInd w:val="0"/>
        <w:snapToGrid w:val="0"/>
        <w:spacing w:line="252" w:lineRule="auto"/>
        <w:ind w:right="0"/>
        <w:textAlignment w:val="baseline"/>
        <w:rPr>
          <w:rFonts w:hint="eastAsia" w:ascii="仿宋" w:hAnsi="仿宋" w:eastAsia="仿宋" w:cs="仿宋"/>
          <w:sz w:val="21"/>
        </w:rPr>
      </w:pPr>
    </w:p>
    <w:p w14:paraId="173CCD31">
      <w:pPr>
        <w:pageBreakBefore w:val="0"/>
        <w:kinsoku w:val="0"/>
        <w:overflowPunct/>
        <w:topLinePunct w:val="0"/>
        <w:autoSpaceDE w:val="0"/>
        <w:autoSpaceDN w:val="0"/>
        <w:bidi w:val="0"/>
        <w:adjustRightInd w:val="0"/>
        <w:snapToGrid w:val="0"/>
        <w:spacing w:line="253" w:lineRule="auto"/>
        <w:ind w:right="0"/>
        <w:textAlignment w:val="baseline"/>
        <w:rPr>
          <w:rFonts w:hint="eastAsia" w:ascii="仿宋" w:hAnsi="仿宋" w:eastAsia="仿宋" w:cs="仿宋"/>
          <w:sz w:val="21"/>
        </w:rPr>
      </w:pPr>
    </w:p>
    <w:p w14:paraId="09016BF7">
      <w:pPr>
        <w:pageBreakBefore w:val="0"/>
        <w:kinsoku w:val="0"/>
        <w:overflowPunct/>
        <w:topLinePunct w:val="0"/>
        <w:autoSpaceDE w:val="0"/>
        <w:autoSpaceDN w:val="0"/>
        <w:bidi w:val="0"/>
        <w:adjustRightInd w:val="0"/>
        <w:snapToGrid w:val="0"/>
        <w:spacing w:line="253" w:lineRule="auto"/>
        <w:ind w:right="0"/>
        <w:textAlignment w:val="baseline"/>
        <w:rPr>
          <w:rFonts w:hint="eastAsia" w:ascii="仿宋" w:hAnsi="仿宋" w:eastAsia="仿宋" w:cs="仿宋"/>
          <w:sz w:val="21"/>
        </w:rPr>
      </w:pPr>
    </w:p>
    <w:p w14:paraId="0B63215F">
      <w:pPr>
        <w:pageBreakBefore w:val="0"/>
        <w:kinsoku w:val="0"/>
        <w:overflowPunct/>
        <w:topLinePunct w:val="0"/>
        <w:autoSpaceDE w:val="0"/>
        <w:autoSpaceDN w:val="0"/>
        <w:bidi w:val="0"/>
        <w:adjustRightInd w:val="0"/>
        <w:snapToGrid w:val="0"/>
        <w:spacing w:line="253" w:lineRule="auto"/>
        <w:ind w:right="0"/>
        <w:textAlignment w:val="baseline"/>
        <w:rPr>
          <w:rFonts w:hint="eastAsia" w:ascii="仿宋" w:hAnsi="仿宋" w:eastAsia="仿宋" w:cs="仿宋"/>
          <w:sz w:val="21"/>
        </w:rPr>
      </w:pPr>
    </w:p>
    <w:p w14:paraId="6EC4F8BE">
      <w:pPr>
        <w:pStyle w:val="5"/>
        <w:pageBreakBefore w:val="0"/>
        <w:kinsoku w:val="0"/>
        <w:overflowPunct/>
        <w:topLinePunct w:val="0"/>
        <w:autoSpaceDE w:val="0"/>
        <w:autoSpaceDN w:val="0"/>
        <w:bidi w:val="0"/>
        <w:adjustRightInd w:val="0"/>
        <w:snapToGrid w:val="0"/>
        <w:spacing w:before="99" w:line="360" w:lineRule="auto"/>
        <w:ind w:right="0"/>
        <w:jc w:val="center"/>
        <w:textAlignment w:val="baseline"/>
        <w:rPr>
          <w:rFonts w:hint="eastAsia" w:ascii="仿宋" w:hAnsi="仿宋" w:eastAsia="仿宋" w:cs="仿宋"/>
          <w:sz w:val="21"/>
        </w:rPr>
      </w:pPr>
      <w:r>
        <w:rPr>
          <w:rFonts w:hint="eastAsia" w:ascii="仿宋" w:hAnsi="仿宋" w:eastAsia="仿宋" w:cs="仿宋"/>
          <w:spacing w:val="5"/>
          <w:sz w:val="23"/>
          <w:szCs w:val="23"/>
        </w:rPr>
        <w:t>供应商名称(电子签章)：</w:t>
      </w:r>
    </w:p>
    <w:p w14:paraId="5236018D">
      <w:pPr>
        <w:pStyle w:val="5"/>
        <w:pageBreakBefore w:val="0"/>
        <w:kinsoku w:val="0"/>
        <w:overflowPunct/>
        <w:topLinePunct w:val="0"/>
        <w:autoSpaceDE w:val="0"/>
        <w:autoSpaceDN w:val="0"/>
        <w:bidi w:val="0"/>
        <w:adjustRightInd w:val="0"/>
        <w:snapToGrid w:val="0"/>
        <w:spacing w:before="100" w:line="360" w:lineRule="auto"/>
        <w:ind w:left="5293" w:right="0"/>
        <w:textAlignment w:val="baseline"/>
        <w:rPr>
          <w:rFonts w:hint="eastAsia" w:ascii="仿宋" w:hAnsi="仿宋" w:eastAsia="仿宋" w:cs="仿宋"/>
          <w:sz w:val="23"/>
          <w:szCs w:val="23"/>
        </w:rPr>
      </w:pPr>
      <w:r>
        <w:rPr>
          <w:rFonts w:hint="eastAsia" w:ascii="仿宋" w:hAnsi="仿宋" w:eastAsia="仿宋" w:cs="仿宋"/>
          <w:spacing w:val="-2"/>
          <w:sz w:val="23"/>
          <w:szCs w:val="23"/>
        </w:rPr>
        <w:t>年月日</w:t>
      </w:r>
    </w:p>
    <w:p w14:paraId="73CEB939">
      <w:pPr>
        <w:pStyle w:val="25"/>
        <w:pageBreakBefore w:val="0"/>
        <w:kinsoku w:val="0"/>
        <w:overflowPunct/>
        <w:topLinePunct w:val="0"/>
        <w:autoSpaceDE w:val="0"/>
        <w:autoSpaceDN w:val="0"/>
        <w:bidi w:val="0"/>
        <w:adjustRightInd w:val="0"/>
        <w:snapToGrid w:val="0"/>
        <w:ind w:right="0"/>
        <w:textAlignment w:val="baseline"/>
        <w:rPr>
          <w:rFonts w:hint="eastAsia"/>
        </w:rPr>
        <w:sectPr>
          <w:footerReference r:id="rId40" w:type="default"/>
          <w:pgSz w:w="11905" w:h="16838"/>
          <w:pgMar w:top="1440" w:right="1803" w:bottom="1440" w:left="1803" w:header="0" w:footer="567" w:gutter="0"/>
          <w:pgNumType w:fmt="decimal"/>
          <w:cols w:space="0" w:num="1"/>
          <w:rtlGutter w:val="0"/>
          <w:docGrid w:linePitch="0" w:charSpace="0"/>
        </w:sectPr>
      </w:pPr>
    </w:p>
    <w:p w14:paraId="36D9461A">
      <w:pPr>
        <w:pStyle w:val="5"/>
        <w:pageBreakBefore w:val="0"/>
        <w:kinsoku w:val="0"/>
        <w:overflowPunct/>
        <w:topLinePunct w:val="0"/>
        <w:autoSpaceDE w:val="0"/>
        <w:autoSpaceDN w:val="0"/>
        <w:bidi w:val="0"/>
        <w:adjustRightInd w:val="0"/>
        <w:snapToGrid w:val="0"/>
        <w:spacing w:before="47" w:line="192" w:lineRule="auto"/>
        <w:ind w:left="18" w:right="0"/>
        <w:jc w:val="center"/>
        <w:textAlignment w:val="baseline"/>
        <w:rPr>
          <w:rFonts w:hint="eastAsia" w:ascii="仿宋" w:hAnsi="仿宋" w:eastAsia="仿宋" w:cs="仿宋"/>
          <w:b/>
          <w:bCs/>
          <w:sz w:val="28"/>
          <w:szCs w:val="28"/>
        </w:rPr>
      </w:pPr>
      <w:r>
        <w:rPr>
          <w:rFonts w:hint="eastAsia" w:ascii="仿宋" w:hAnsi="仿宋" w:eastAsia="仿宋" w:cs="仿宋"/>
          <w:b/>
          <w:bCs/>
          <w:spacing w:val="5"/>
          <w:sz w:val="28"/>
          <w:szCs w:val="28"/>
        </w:rPr>
        <w:t>4、主要材料明细表</w:t>
      </w:r>
    </w:p>
    <w:p w14:paraId="46CD833B">
      <w:pPr>
        <w:pageBreakBefore w:val="0"/>
        <w:kinsoku w:val="0"/>
        <w:overflowPunct/>
        <w:topLinePunct w:val="0"/>
        <w:autoSpaceDE w:val="0"/>
        <w:autoSpaceDN w:val="0"/>
        <w:bidi w:val="0"/>
        <w:adjustRightInd w:val="0"/>
        <w:snapToGrid w:val="0"/>
        <w:spacing w:before="16"/>
        <w:ind w:right="0"/>
        <w:textAlignment w:val="baseline"/>
        <w:rPr>
          <w:rFonts w:hint="eastAsia" w:ascii="仿宋" w:hAnsi="仿宋" w:eastAsia="仿宋" w:cs="仿宋"/>
        </w:rPr>
      </w:pPr>
    </w:p>
    <w:p w14:paraId="1BBA127D">
      <w:pPr>
        <w:pageBreakBefore w:val="0"/>
        <w:kinsoku w:val="0"/>
        <w:overflowPunct/>
        <w:topLinePunct w:val="0"/>
        <w:autoSpaceDE w:val="0"/>
        <w:autoSpaceDN w:val="0"/>
        <w:bidi w:val="0"/>
        <w:adjustRightInd w:val="0"/>
        <w:snapToGrid w:val="0"/>
        <w:spacing w:before="15"/>
        <w:ind w:right="0"/>
        <w:textAlignment w:val="baseline"/>
        <w:rPr>
          <w:rFonts w:hint="eastAsia" w:ascii="仿宋" w:hAnsi="仿宋" w:eastAsia="仿宋" w:cs="仿宋"/>
        </w:rPr>
      </w:pPr>
    </w:p>
    <w:p w14:paraId="6919BDEC">
      <w:pPr>
        <w:pageBreakBefore w:val="0"/>
        <w:kinsoku w:val="0"/>
        <w:overflowPunct/>
        <w:topLinePunct w:val="0"/>
        <w:autoSpaceDE w:val="0"/>
        <w:autoSpaceDN w:val="0"/>
        <w:bidi w:val="0"/>
        <w:adjustRightInd w:val="0"/>
        <w:snapToGrid w:val="0"/>
        <w:spacing w:before="15"/>
        <w:ind w:right="0"/>
        <w:textAlignment w:val="baseline"/>
        <w:rPr>
          <w:rFonts w:hint="eastAsia" w:ascii="仿宋" w:hAnsi="仿宋" w:eastAsia="仿宋" w:cs="仿宋"/>
        </w:rPr>
      </w:pPr>
    </w:p>
    <w:tbl>
      <w:tblPr>
        <w:tblStyle w:val="26"/>
        <w:tblW w:w="9212"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485"/>
        <w:gridCol w:w="1125"/>
        <w:gridCol w:w="1515"/>
        <w:gridCol w:w="930"/>
        <w:gridCol w:w="825"/>
        <w:gridCol w:w="840"/>
        <w:gridCol w:w="923"/>
        <w:gridCol w:w="589"/>
      </w:tblGrid>
      <w:tr w14:paraId="19E11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980" w:type="dxa"/>
            <w:tcBorders>
              <w:left w:val="single" w:color="000000" w:sz="8" w:space="0"/>
            </w:tcBorders>
            <w:vAlign w:val="top"/>
          </w:tcPr>
          <w:p w14:paraId="659BFBE1">
            <w:pPr>
              <w:pStyle w:val="27"/>
              <w:pageBreakBefore w:val="0"/>
              <w:kinsoku w:val="0"/>
              <w:overflowPunct/>
              <w:topLinePunct w:val="0"/>
              <w:autoSpaceDE w:val="0"/>
              <w:autoSpaceDN w:val="0"/>
              <w:bidi w:val="0"/>
              <w:adjustRightInd w:val="0"/>
              <w:snapToGrid w:val="0"/>
              <w:spacing w:before="339" w:line="192" w:lineRule="auto"/>
              <w:ind w:left="387" w:right="0"/>
              <w:textAlignment w:val="baseline"/>
              <w:rPr>
                <w:rFonts w:hint="eastAsia" w:ascii="仿宋" w:hAnsi="仿宋" w:eastAsia="仿宋" w:cs="仿宋"/>
              </w:rPr>
            </w:pPr>
            <w:r>
              <w:rPr>
                <w:rFonts w:hint="eastAsia" w:ascii="仿宋" w:hAnsi="仿宋" w:eastAsia="仿宋" w:cs="仿宋"/>
              </w:rPr>
              <w:t>序号</w:t>
            </w:r>
          </w:p>
        </w:tc>
        <w:tc>
          <w:tcPr>
            <w:tcW w:w="1485" w:type="dxa"/>
            <w:vAlign w:val="top"/>
          </w:tcPr>
          <w:p w14:paraId="53868D11">
            <w:pPr>
              <w:pStyle w:val="27"/>
              <w:pageBreakBefore w:val="0"/>
              <w:kinsoku w:val="0"/>
              <w:overflowPunct/>
              <w:topLinePunct w:val="0"/>
              <w:autoSpaceDE w:val="0"/>
              <w:autoSpaceDN w:val="0"/>
              <w:bidi w:val="0"/>
              <w:adjustRightInd w:val="0"/>
              <w:snapToGrid w:val="0"/>
              <w:spacing w:before="339" w:line="192" w:lineRule="auto"/>
              <w:ind w:left="351" w:right="0"/>
              <w:textAlignment w:val="baseline"/>
              <w:rPr>
                <w:rFonts w:hint="eastAsia" w:ascii="仿宋" w:hAnsi="仿宋" w:eastAsia="仿宋" w:cs="仿宋"/>
              </w:rPr>
            </w:pPr>
            <w:r>
              <w:rPr>
                <w:rFonts w:hint="eastAsia" w:ascii="仿宋" w:hAnsi="仿宋" w:eastAsia="仿宋" w:cs="仿宋"/>
                <w:spacing w:val="7"/>
              </w:rPr>
              <w:t>材料名称</w:t>
            </w:r>
          </w:p>
        </w:tc>
        <w:tc>
          <w:tcPr>
            <w:tcW w:w="1125" w:type="dxa"/>
            <w:vAlign w:val="top"/>
          </w:tcPr>
          <w:p w14:paraId="3CA91E69">
            <w:pPr>
              <w:pStyle w:val="27"/>
              <w:pageBreakBefore w:val="0"/>
              <w:kinsoku w:val="0"/>
              <w:overflowPunct/>
              <w:topLinePunct w:val="0"/>
              <w:autoSpaceDE w:val="0"/>
              <w:autoSpaceDN w:val="0"/>
              <w:bidi w:val="0"/>
              <w:adjustRightInd w:val="0"/>
              <w:snapToGrid w:val="0"/>
              <w:spacing w:before="339" w:line="192" w:lineRule="auto"/>
              <w:ind w:left="362" w:right="0"/>
              <w:textAlignment w:val="baseline"/>
              <w:rPr>
                <w:rFonts w:hint="eastAsia" w:ascii="仿宋" w:hAnsi="仿宋" w:eastAsia="仿宋" w:cs="仿宋"/>
              </w:rPr>
            </w:pPr>
            <w:r>
              <w:rPr>
                <w:rFonts w:hint="eastAsia" w:ascii="仿宋" w:hAnsi="仿宋" w:eastAsia="仿宋" w:cs="仿宋"/>
                <w:spacing w:val="5"/>
              </w:rPr>
              <w:t>产地</w:t>
            </w:r>
          </w:p>
        </w:tc>
        <w:tc>
          <w:tcPr>
            <w:tcW w:w="1515" w:type="dxa"/>
            <w:vAlign w:val="top"/>
          </w:tcPr>
          <w:p w14:paraId="7619566E">
            <w:pPr>
              <w:pStyle w:val="27"/>
              <w:pageBreakBefore w:val="0"/>
              <w:kinsoku w:val="0"/>
              <w:overflowPunct/>
              <w:topLinePunct w:val="0"/>
              <w:autoSpaceDE w:val="0"/>
              <w:autoSpaceDN w:val="0"/>
              <w:bidi w:val="0"/>
              <w:adjustRightInd w:val="0"/>
              <w:snapToGrid w:val="0"/>
              <w:spacing w:before="139" w:line="214" w:lineRule="auto"/>
              <w:ind w:left="296" w:right="0" w:hanging="173"/>
              <w:textAlignment w:val="baseline"/>
              <w:rPr>
                <w:rFonts w:hint="eastAsia" w:ascii="仿宋" w:hAnsi="仿宋" w:eastAsia="仿宋" w:cs="仿宋"/>
              </w:rPr>
            </w:pPr>
            <w:r>
              <w:rPr>
                <w:rFonts w:hint="eastAsia" w:ascii="仿宋" w:hAnsi="仿宋" w:eastAsia="仿宋" w:cs="仿宋"/>
              </w:rPr>
              <w:t>型号/</w:t>
            </w:r>
            <w:r>
              <w:rPr>
                <w:rFonts w:hint="eastAsia" w:ascii="仿宋" w:hAnsi="仿宋" w:eastAsia="仿宋" w:cs="仿宋"/>
                <w:spacing w:val="4"/>
              </w:rPr>
              <w:t>规格</w:t>
            </w:r>
          </w:p>
        </w:tc>
        <w:tc>
          <w:tcPr>
            <w:tcW w:w="930" w:type="dxa"/>
            <w:vAlign w:val="top"/>
          </w:tcPr>
          <w:p w14:paraId="0E299B33">
            <w:pPr>
              <w:pStyle w:val="27"/>
              <w:pageBreakBefore w:val="0"/>
              <w:kinsoku w:val="0"/>
              <w:overflowPunct/>
              <w:topLinePunct w:val="0"/>
              <w:autoSpaceDE w:val="0"/>
              <w:autoSpaceDN w:val="0"/>
              <w:bidi w:val="0"/>
              <w:adjustRightInd w:val="0"/>
              <w:snapToGrid w:val="0"/>
              <w:spacing w:before="339" w:line="192" w:lineRule="auto"/>
              <w:ind w:left="220" w:right="0"/>
              <w:textAlignment w:val="baseline"/>
              <w:rPr>
                <w:rFonts w:hint="eastAsia" w:ascii="仿宋" w:hAnsi="仿宋" w:eastAsia="仿宋" w:cs="仿宋"/>
              </w:rPr>
            </w:pPr>
            <w:r>
              <w:rPr>
                <w:rFonts w:hint="eastAsia" w:ascii="仿宋" w:hAnsi="仿宋" w:eastAsia="仿宋" w:cs="仿宋"/>
                <w:spacing w:val="4"/>
              </w:rPr>
              <w:t>单位</w:t>
            </w:r>
          </w:p>
        </w:tc>
        <w:tc>
          <w:tcPr>
            <w:tcW w:w="825" w:type="dxa"/>
            <w:vAlign w:val="top"/>
          </w:tcPr>
          <w:p w14:paraId="06D8F02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p w14:paraId="3822A192">
            <w:pPr>
              <w:pStyle w:val="27"/>
              <w:pageBreakBefore w:val="0"/>
              <w:kinsoku w:val="0"/>
              <w:overflowPunct/>
              <w:topLinePunct w:val="0"/>
              <w:autoSpaceDE w:val="0"/>
              <w:autoSpaceDN w:val="0"/>
              <w:bidi w:val="0"/>
              <w:adjustRightInd w:val="0"/>
              <w:snapToGrid w:val="0"/>
              <w:spacing w:before="98" w:line="190" w:lineRule="auto"/>
              <w:ind w:left="193" w:right="0"/>
              <w:textAlignment w:val="baseline"/>
              <w:rPr>
                <w:rFonts w:hint="eastAsia" w:ascii="仿宋" w:hAnsi="仿宋" w:eastAsia="仿宋" w:cs="仿宋"/>
              </w:rPr>
            </w:pPr>
            <w:r>
              <w:rPr>
                <w:rFonts w:hint="eastAsia" w:ascii="仿宋" w:hAnsi="仿宋" w:eastAsia="仿宋" w:cs="仿宋"/>
                <w:spacing w:val="4"/>
              </w:rPr>
              <w:t>数量</w:t>
            </w:r>
          </w:p>
        </w:tc>
        <w:tc>
          <w:tcPr>
            <w:tcW w:w="840" w:type="dxa"/>
            <w:vAlign w:val="top"/>
          </w:tcPr>
          <w:p w14:paraId="2B5759B0">
            <w:pPr>
              <w:pStyle w:val="27"/>
              <w:pageBreakBefore w:val="0"/>
              <w:kinsoku w:val="0"/>
              <w:overflowPunct/>
              <w:topLinePunct w:val="0"/>
              <w:autoSpaceDE w:val="0"/>
              <w:autoSpaceDN w:val="0"/>
              <w:bidi w:val="0"/>
              <w:adjustRightInd w:val="0"/>
              <w:snapToGrid w:val="0"/>
              <w:spacing w:before="140" w:line="242" w:lineRule="auto"/>
              <w:ind w:left="200" w:right="0"/>
              <w:textAlignment w:val="baseline"/>
              <w:rPr>
                <w:rFonts w:hint="eastAsia" w:ascii="仿宋" w:hAnsi="仿宋" w:eastAsia="仿宋" w:cs="仿宋"/>
              </w:rPr>
            </w:pPr>
            <w:r>
              <w:rPr>
                <w:rFonts w:hint="eastAsia" w:ascii="仿宋" w:hAnsi="仿宋" w:eastAsia="仿宋" w:cs="仿宋"/>
                <w:spacing w:val="4"/>
              </w:rPr>
              <w:t>单价</w:t>
            </w:r>
          </w:p>
          <w:p w14:paraId="2D145CB1">
            <w:pPr>
              <w:pStyle w:val="27"/>
              <w:pageBreakBefore w:val="0"/>
              <w:kinsoku w:val="0"/>
              <w:overflowPunct/>
              <w:topLinePunct w:val="0"/>
              <w:autoSpaceDE w:val="0"/>
              <w:autoSpaceDN w:val="0"/>
              <w:bidi w:val="0"/>
              <w:adjustRightInd w:val="0"/>
              <w:snapToGrid w:val="0"/>
              <w:spacing w:before="1" w:line="184" w:lineRule="auto"/>
              <w:ind w:left="235" w:right="0"/>
              <w:textAlignment w:val="baseline"/>
              <w:rPr>
                <w:rFonts w:hint="eastAsia" w:ascii="仿宋" w:hAnsi="仿宋" w:eastAsia="仿宋" w:cs="仿宋"/>
              </w:rPr>
            </w:pPr>
            <w:r>
              <w:rPr>
                <w:rFonts w:hint="eastAsia" w:ascii="仿宋" w:hAnsi="仿宋" w:eastAsia="仿宋" w:cs="仿宋"/>
                <w:spacing w:val="16"/>
              </w:rPr>
              <w:t>[元]</w:t>
            </w:r>
          </w:p>
        </w:tc>
        <w:tc>
          <w:tcPr>
            <w:tcW w:w="923" w:type="dxa"/>
            <w:vAlign w:val="top"/>
          </w:tcPr>
          <w:p w14:paraId="207C2257">
            <w:pPr>
              <w:pStyle w:val="27"/>
              <w:pageBreakBefore w:val="0"/>
              <w:kinsoku w:val="0"/>
              <w:overflowPunct/>
              <w:topLinePunct w:val="0"/>
              <w:autoSpaceDE w:val="0"/>
              <w:autoSpaceDN w:val="0"/>
              <w:bidi w:val="0"/>
              <w:adjustRightInd w:val="0"/>
              <w:snapToGrid w:val="0"/>
              <w:spacing w:before="139" w:line="214" w:lineRule="auto"/>
              <w:ind w:left="180" w:right="0" w:hanging="36"/>
              <w:textAlignment w:val="baseline"/>
              <w:rPr>
                <w:rFonts w:hint="eastAsia" w:ascii="仿宋" w:hAnsi="仿宋" w:eastAsia="仿宋" w:cs="仿宋"/>
              </w:rPr>
            </w:pPr>
            <w:r>
              <w:rPr>
                <w:rFonts w:hint="eastAsia" w:ascii="仿宋" w:hAnsi="仿宋" w:eastAsia="仿宋" w:cs="仿宋"/>
                <w:spacing w:val="4"/>
              </w:rPr>
              <w:t>合价</w:t>
            </w:r>
            <w:r>
              <w:rPr>
                <w:rFonts w:hint="eastAsia" w:ascii="仿宋" w:hAnsi="仿宋" w:eastAsia="仿宋" w:cs="仿宋"/>
                <w:spacing w:val="16"/>
              </w:rPr>
              <w:t>[元]</w:t>
            </w:r>
          </w:p>
        </w:tc>
        <w:tc>
          <w:tcPr>
            <w:tcW w:w="589" w:type="dxa"/>
            <w:tcBorders>
              <w:right w:val="single" w:color="000000" w:sz="8" w:space="0"/>
            </w:tcBorders>
            <w:textDirection w:val="tbRlV"/>
            <w:vAlign w:val="top"/>
          </w:tcPr>
          <w:p w14:paraId="437AAF30">
            <w:pPr>
              <w:pStyle w:val="27"/>
              <w:pageBreakBefore w:val="0"/>
              <w:kinsoku w:val="0"/>
              <w:overflowPunct/>
              <w:topLinePunct w:val="0"/>
              <w:autoSpaceDE w:val="0"/>
              <w:autoSpaceDN w:val="0"/>
              <w:bidi w:val="0"/>
              <w:adjustRightInd w:val="0"/>
              <w:snapToGrid w:val="0"/>
              <w:spacing w:before="164" w:line="183" w:lineRule="auto"/>
              <w:ind w:left="140" w:right="0"/>
              <w:textAlignment w:val="baseline"/>
              <w:rPr>
                <w:rFonts w:hint="eastAsia" w:ascii="仿宋" w:hAnsi="仿宋" w:eastAsia="仿宋" w:cs="仿宋"/>
              </w:rPr>
            </w:pPr>
            <w:r>
              <w:rPr>
                <w:rFonts w:hint="eastAsia" w:ascii="仿宋" w:hAnsi="仿宋" w:eastAsia="仿宋" w:cs="仿宋"/>
                <w:spacing w:val="10"/>
              </w:rPr>
              <w:t>备注</w:t>
            </w:r>
          </w:p>
        </w:tc>
      </w:tr>
      <w:tr w14:paraId="6AB17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80" w:type="dxa"/>
            <w:vMerge w:val="restart"/>
            <w:tcBorders>
              <w:left w:val="single" w:color="000000" w:sz="8" w:space="0"/>
              <w:bottom w:val="nil"/>
            </w:tcBorders>
            <w:vAlign w:val="top"/>
          </w:tcPr>
          <w:p w14:paraId="63215D8E">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85" w:type="dxa"/>
            <w:vMerge w:val="restart"/>
            <w:tcBorders>
              <w:bottom w:val="nil"/>
            </w:tcBorders>
            <w:vAlign w:val="top"/>
          </w:tcPr>
          <w:p w14:paraId="40835C7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125" w:type="dxa"/>
            <w:vAlign w:val="top"/>
          </w:tcPr>
          <w:p w14:paraId="7DE5AC4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515" w:type="dxa"/>
            <w:vAlign w:val="top"/>
          </w:tcPr>
          <w:p w14:paraId="7CA2E6B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30" w:type="dxa"/>
            <w:vAlign w:val="top"/>
          </w:tcPr>
          <w:p w14:paraId="7B3AE50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25" w:type="dxa"/>
            <w:vAlign w:val="top"/>
          </w:tcPr>
          <w:p w14:paraId="7E452A2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40" w:type="dxa"/>
            <w:vAlign w:val="top"/>
          </w:tcPr>
          <w:p w14:paraId="75CEE49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23" w:type="dxa"/>
            <w:vAlign w:val="top"/>
          </w:tcPr>
          <w:p w14:paraId="5E448EBC">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589" w:type="dxa"/>
            <w:vMerge w:val="restart"/>
            <w:tcBorders>
              <w:bottom w:val="nil"/>
              <w:right w:val="single" w:color="000000" w:sz="8" w:space="0"/>
            </w:tcBorders>
            <w:vAlign w:val="top"/>
          </w:tcPr>
          <w:p w14:paraId="5835A04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79A92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80" w:type="dxa"/>
            <w:vMerge w:val="continue"/>
            <w:tcBorders>
              <w:top w:val="nil"/>
              <w:left w:val="single" w:color="000000" w:sz="8" w:space="0"/>
              <w:bottom w:val="nil"/>
            </w:tcBorders>
            <w:vAlign w:val="top"/>
          </w:tcPr>
          <w:p w14:paraId="3E3D3E9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85" w:type="dxa"/>
            <w:vMerge w:val="continue"/>
            <w:tcBorders>
              <w:top w:val="nil"/>
              <w:bottom w:val="nil"/>
            </w:tcBorders>
            <w:vAlign w:val="top"/>
          </w:tcPr>
          <w:p w14:paraId="65F7042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125" w:type="dxa"/>
            <w:vAlign w:val="top"/>
          </w:tcPr>
          <w:p w14:paraId="56F5497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515" w:type="dxa"/>
            <w:vAlign w:val="top"/>
          </w:tcPr>
          <w:p w14:paraId="487BE41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30" w:type="dxa"/>
            <w:vAlign w:val="top"/>
          </w:tcPr>
          <w:p w14:paraId="77FD775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25" w:type="dxa"/>
            <w:vAlign w:val="top"/>
          </w:tcPr>
          <w:p w14:paraId="3F0B027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40" w:type="dxa"/>
            <w:vAlign w:val="top"/>
          </w:tcPr>
          <w:p w14:paraId="4E58E57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23" w:type="dxa"/>
            <w:vAlign w:val="top"/>
          </w:tcPr>
          <w:p w14:paraId="0534AB8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589" w:type="dxa"/>
            <w:vMerge w:val="continue"/>
            <w:tcBorders>
              <w:top w:val="nil"/>
              <w:bottom w:val="nil"/>
              <w:right w:val="single" w:color="000000" w:sz="8" w:space="0"/>
            </w:tcBorders>
            <w:vAlign w:val="top"/>
          </w:tcPr>
          <w:p w14:paraId="3E8D394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592E2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80" w:type="dxa"/>
            <w:vMerge w:val="continue"/>
            <w:tcBorders>
              <w:top w:val="nil"/>
              <w:left w:val="single" w:color="000000" w:sz="8" w:space="0"/>
            </w:tcBorders>
            <w:vAlign w:val="top"/>
          </w:tcPr>
          <w:p w14:paraId="33DB1F6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85" w:type="dxa"/>
            <w:vMerge w:val="continue"/>
            <w:tcBorders>
              <w:top w:val="nil"/>
            </w:tcBorders>
            <w:vAlign w:val="top"/>
          </w:tcPr>
          <w:p w14:paraId="5300239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125" w:type="dxa"/>
            <w:vAlign w:val="top"/>
          </w:tcPr>
          <w:p w14:paraId="4E397E3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515" w:type="dxa"/>
            <w:vAlign w:val="top"/>
          </w:tcPr>
          <w:p w14:paraId="4398E21C">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30" w:type="dxa"/>
            <w:vAlign w:val="top"/>
          </w:tcPr>
          <w:p w14:paraId="431A1E6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25" w:type="dxa"/>
            <w:vAlign w:val="top"/>
          </w:tcPr>
          <w:p w14:paraId="28B4309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40" w:type="dxa"/>
            <w:vAlign w:val="top"/>
          </w:tcPr>
          <w:p w14:paraId="60AF71A7">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23" w:type="dxa"/>
            <w:vAlign w:val="top"/>
          </w:tcPr>
          <w:p w14:paraId="00C46328">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589" w:type="dxa"/>
            <w:vMerge w:val="continue"/>
            <w:tcBorders>
              <w:top w:val="nil"/>
              <w:right w:val="single" w:color="000000" w:sz="8" w:space="0"/>
            </w:tcBorders>
            <w:vAlign w:val="top"/>
          </w:tcPr>
          <w:p w14:paraId="39239225">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1EEEE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0" w:type="dxa"/>
            <w:vMerge w:val="restart"/>
            <w:tcBorders>
              <w:left w:val="single" w:color="000000" w:sz="8" w:space="0"/>
              <w:bottom w:val="nil"/>
            </w:tcBorders>
            <w:vAlign w:val="top"/>
          </w:tcPr>
          <w:p w14:paraId="04DB9A5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85" w:type="dxa"/>
            <w:vMerge w:val="restart"/>
            <w:tcBorders>
              <w:bottom w:val="nil"/>
            </w:tcBorders>
            <w:vAlign w:val="top"/>
          </w:tcPr>
          <w:p w14:paraId="15E45B7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125" w:type="dxa"/>
            <w:vAlign w:val="top"/>
          </w:tcPr>
          <w:p w14:paraId="55273F6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515" w:type="dxa"/>
            <w:vAlign w:val="top"/>
          </w:tcPr>
          <w:p w14:paraId="2BAD1B1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30" w:type="dxa"/>
            <w:vAlign w:val="top"/>
          </w:tcPr>
          <w:p w14:paraId="22B946D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25" w:type="dxa"/>
            <w:vAlign w:val="top"/>
          </w:tcPr>
          <w:p w14:paraId="5C138F6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40" w:type="dxa"/>
            <w:vAlign w:val="top"/>
          </w:tcPr>
          <w:p w14:paraId="53F302CF">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23" w:type="dxa"/>
            <w:vAlign w:val="top"/>
          </w:tcPr>
          <w:p w14:paraId="3DF8892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589" w:type="dxa"/>
            <w:vMerge w:val="restart"/>
            <w:tcBorders>
              <w:bottom w:val="nil"/>
              <w:right w:val="single" w:color="000000" w:sz="8" w:space="0"/>
            </w:tcBorders>
            <w:vAlign w:val="top"/>
          </w:tcPr>
          <w:p w14:paraId="085937A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21FC3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80" w:type="dxa"/>
            <w:vMerge w:val="continue"/>
            <w:tcBorders>
              <w:top w:val="nil"/>
              <w:left w:val="single" w:color="000000" w:sz="8" w:space="0"/>
              <w:bottom w:val="nil"/>
            </w:tcBorders>
            <w:vAlign w:val="top"/>
          </w:tcPr>
          <w:p w14:paraId="56BB3751">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85" w:type="dxa"/>
            <w:vMerge w:val="continue"/>
            <w:tcBorders>
              <w:top w:val="nil"/>
              <w:bottom w:val="nil"/>
            </w:tcBorders>
            <w:vAlign w:val="top"/>
          </w:tcPr>
          <w:p w14:paraId="3649A40C">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125" w:type="dxa"/>
            <w:vAlign w:val="top"/>
          </w:tcPr>
          <w:p w14:paraId="4216F606">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515" w:type="dxa"/>
            <w:vAlign w:val="top"/>
          </w:tcPr>
          <w:p w14:paraId="2D573D34">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30" w:type="dxa"/>
            <w:vAlign w:val="top"/>
          </w:tcPr>
          <w:p w14:paraId="488E5BF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25" w:type="dxa"/>
            <w:vAlign w:val="top"/>
          </w:tcPr>
          <w:p w14:paraId="6CD833F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40" w:type="dxa"/>
            <w:vAlign w:val="top"/>
          </w:tcPr>
          <w:p w14:paraId="0C5D04C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23" w:type="dxa"/>
            <w:vAlign w:val="top"/>
          </w:tcPr>
          <w:p w14:paraId="62DECB3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589" w:type="dxa"/>
            <w:vMerge w:val="continue"/>
            <w:tcBorders>
              <w:top w:val="nil"/>
              <w:bottom w:val="nil"/>
              <w:right w:val="single" w:color="000000" w:sz="8" w:space="0"/>
            </w:tcBorders>
            <w:vAlign w:val="top"/>
          </w:tcPr>
          <w:p w14:paraId="3175F782">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r w14:paraId="4831E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80" w:type="dxa"/>
            <w:vMerge w:val="continue"/>
            <w:tcBorders>
              <w:top w:val="nil"/>
              <w:left w:val="single" w:color="000000" w:sz="8" w:space="0"/>
            </w:tcBorders>
            <w:vAlign w:val="top"/>
          </w:tcPr>
          <w:p w14:paraId="572D447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485" w:type="dxa"/>
            <w:vMerge w:val="continue"/>
            <w:tcBorders>
              <w:top w:val="nil"/>
            </w:tcBorders>
            <w:vAlign w:val="top"/>
          </w:tcPr>
          <w:p w14:paraId="141589A3">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125" w:type="dxa"/>
            <w:vAlign w:val="top"/>
          </w:tcPr>
          <w:p w14:paraId="591D4D19">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1515" w:type="dxa"/>
            <w:vAlign w:val="top"/>
          </w:tcPr>
          <w:p w14:paraId="1B127E3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30" w:type="dxa"/>
            <w:vAlign w:val="top"/>
          </w:tcPr>
          <w:p w14:paraId="2B3B3900">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25" w:type="dxa"/>
            <w:vAlign w:val="top"/>
          </w:tcPr>
          <w:p w14:paraId="6D5F2C9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840" w:type="dxa"/>
            <w:vAlign w:val="top"/>
          </w:tcPr>
          <w:p w14:paraId="22EFD15A">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923" w:type="dxa"/>
            <w:vAlign w:val="top"/>
          </w:tcPr>
          <w:p w14:paraId="5A35064D">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c>
          <w:tcPr>
            <w:tcW w:w="589" w:type="dxa"/>
            <w:vMerge w:val="continue"/>
            <w:tcBorders>
              <w:top w:val="nil"/>
              <w:right w:val="single" w:color="000000" w:sz="8" w:space="0"/>
            </w:tcBorders>
            <w:vAlign w:val="top"/>
          </w:tcPr>
          <w:p w14:paraId="35857F9B">
            <w:pPr>
              <w:pageBreakBefore w:val="0"/>
              <w:kinsoku w:val="0"/>
              <w:overflowPunct/>
              <w:topLinePunct w:val="0"/>
              <w:autoSpaceDE w:val="0"/>
              <w:autoSpaceDN w:val="0"/>
              <w:bidi w:val="0"/>
              <w:adjustRightInd w:val="0"/>
              <w:snapToGrid w:val="0"/>
              <w:ind w:right="0"/>
              <w:textAlignment w:val="baseline"/>
              <w:rPr>
                <w:rFonts w:hint="eastAsia" w:ascii="仿宋" w:hAnsi="仿宋" w:eastAsia="仿宋" w:cs="仿宋"/>
                <w:sz w:val="21"/>
              </w:rPr>
            </w:pPr>
          </w:p>
        </w:tc>
      </w:tr>
    </w:tbl>
    <w:p w14:paraId="384527DE">
      <w:pPr>
        <w:pageBreakBefore w:val="0"/>
        <w:kinsoku w:val="0"/>
        <w:overflowPunct/>
        <w:topLinePunct w:val="0"/>
        <w:autoSpaceDE w:val="0"/>
        <w:autoSpaceDN w:val="0"/>
        <w:bidi w:val="0"/>
        <w:adjustRightInd w:val="0"/>
        <w:snapToGrid w:val="0"/>
        <w:spacing w:line="412" w:lineRule="auto"/>
        <w:ind w:right="0"/>
        <w:textAlignment w:val="baseline"/>
        <w:rPr>
          <w:rFonts w:hint="eastAsia" w:ascii="仿宋" w:hAnsi="仿宋" w:eastAsia="仿宋" w:cs="仿宋"/>
          <w:sz w:val="21"/>
        </w:rPr>
      </w:pPr>
    </w:p>
    <w:p w14:paraId="257992F4">
      <w:pPr>
        <w:pStyle w:val="5"/>
        <w:pageBreakBefore w:val="0"/>
        <w:kinsoku w:val="0"/>
        <w:overflowPunct/>
        <w:topLinePunct w:val="0"/>
        <w:autoSpaceDE w:val="0"/>
        <w:autoSpaceDN w:val="0"/>
        <w:bidi w:val="0"/>
        <w:adjustRightInd w:val="0"/>
        <w:snapToGrid w:val="0"/>
        <w:spacing w:before="98" w:line="360" w:lineRule="auto"/>
        <w:ind w:left="22" w:right="0"/>
        <w:textAlignment w:val="baseline"/>
        <w:rPr>
          <w:rFonts w:hint="eastAsia" w:ascii="仿宋" w:hAnsi="仿宋" w:eastAsia="仿宋" w:cs="仿宋"/>
          <w:spacing w:val="13"/>
          <w:position w:val="12"/>
          <w:sz w:val="24"/>
          <w:szCs w:val="24"/>
        </w:rPr>
      </w:pPr>
      <w:r>
        <w:rPr>
          <w:rFonts w:hint="eastAsia" w:ascii="仿宋" w:hAnsi="仿宋" w:eastAsia="仿宋" w:cs="仿宋"/>
          <w:spacing w:val="13"/>
          <w:position w:val="12"/>
          <w:sz w:val="24"/>
          <w:szCs w:val="24"/>
        </w:rPr>
        <w:t>说明：1.已明确供应商的材料应按其要求填报，未明确供应商的同种材料可提供若干供货商的各项指标。</w:t>
      </w:r>
    </w:p>
    <w:p w14:paraId="0FA72980">
      <w:pPr>
        <w:pStyle w:val="5"/>
        <w:pageBreakBefore w:val="0"/>
        <w:kinsoku w:val="0"/>
        <w:overflowPunct/>
        <w:topLinePunct w:val="0"/>
        <w:autoSpaceDE w:val="0"/>
        <w:autoSpaceDN w:val="0"/>
        <w:bidi w:val="0"/>
        <w:adjustRightInd w:val="0"/>
        <w:snapToGrid w:val="0"/>
        <w:spacing w:before="88" w:line="360" w:lineRule="auto"/>
        <w:ind w:left="22" w:right="0"/>
        <w:textAlignment w:val="baseline"/>
        <w:rPr>
          <w:rFonts w:hint="eastAsia" w:ascii="仿宋" w:hAnsi="仿宋" w:eastAsia="仿宋" w:cs="仿宋"/>
          <w:sz w:val="24"/>
          <w:szCs w:val="24"/>
        </w:rPr>
      </w:pPr>
      <w:r>
        <w:rPr>
          <w:rFonts w:hint="eastAsia" w:ascii="仿宋" w:hAnsi="仿宋" w:eastAsia="仿宋" w:cs="仿宋"/>
          <w:spacing w:val="7"/>
          <w:sz w:val="24"/>
          <w:szCs w:val="24"/>
        </w:rPr>
        <w:t>2.表格中“数量”一栏应填写本工程所用数量。</w:t>
      </w:r>
    </w:p>
    <w:p w14:paraId="4DBD019A">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08827F83">
      <w:pPr>
        <w:pStyle w:val="5"/>
        <w:pageBreakBefore w:val="0"/>
        <w:kinsoku w:val="0"/>
        <w:overflowPunct/>
        <w:topLinePunct w:val="0"/>
        <w:autoSpaceDE w:val="0"/>
        <w:autoSpaceDN w:val="0"/>
        <w:bidi w:val="0"/>
        <w:adjustRightInd w:val="0"/>
        <w:snapToGrid w:val="0"/>
        <w:spacing w:before="99" w:line="360" w:lineRule="auto"/>
        <w:ind w:left="5899" w:right="0"/>
        <w:textAlignment w:val="baseline"/>
        <w:rPr>
          <w:rFonts w:hint="eastAsia" w:ascii="仿宋" w:hAnsi="仿宋" w:eastAsia="仿宋" w:cs="仿宋"/>
          <w:sz w:val="24"/>
          <w:szCs w:val="24"/>
        </w:rPr>
      </w:pPr>
      <w:r>
        <w:rPr>
          <w:rFonts w:hint="eastAsia" w:ascii="仿宋" w:hAnsi="仿宋" w:eastAsia="仿宋" w:cs="仿宋"/>
          <w:spacing w:val="8"/>
          <w:sz w:val="24"/>
          <w:szCs w:val="24"/>
        </w:rPr>
        <w:t>供应商名称(电子签章)：</w:t>
      </w:r>
    </w:p>
    <w:p w14:paraId="0B7B045F">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sectPr>
          <w:footerReference r:id="rId41" w:type="default"/>
          <w:pgSz w:w="11905" w:h="16838"/>
          <w:pgMar w:top="1440" w:right="1803" w:bottom="1440" w:left="1803" w:header="0" w:footer="567" w:gutter="0"/>
          <w:pgNumType w:fmt="decimal"/>
          <w:cols w:space="0" w:num="1"/>
          <w:rtlGutter w:val="0"/>
          <w:docGrid w:linePitch="0" w:charSpace="0"/>
        </w:sectPr>
      </w:pPr>
    </w:p>
    <w:p w14:paraId="66D8EDE2">
      <w:pPr>
        <w:pStyle w:val="5"/>
        <w:pageBreakBefore w:val="0"/>
        <w:kinsoku w:val="0"/>
        <w:overflowPunct/>
        <w:topLinePunct w:val="0"/>
        <w:autoSpaceDE w:val="0"/>
        <w:autoSpaceDN w:val="0"/>
        <w:bidi w:val="0"/>
        <w:adjustRightInd w:val="0"/>
        <w:snapToGrid w:val="0"/>
        <w:spacing w:before="215" w:line="192" w:lineRule="auto"/>
        <w:ind w:right="0"/>
        <w:jc w:val="center"/>
        <w:textAlignment w:val="baseline"/>
        <w:outlineLvl w:val="1"/>
        <w:rPr>
          <w:rFonts w:hint="eastAsia" w:ascii="仿宋" w:hAnsi="仿宋" w:eastAsia="仿宋" w:cs="仿宋"/>
          <w:b/>
          <w:bCs/>
          <w:sz w:val="28"/>
          <w:szCs w:val="28"/>
        </w:rPr>
      </w:pPr>
      <w:r>
        <w:rPr>
          <w:rFonts w:hint="eastAsia" w:ascii="仿宋" w:hAnsi="仿宋" w:eastAsia="仿宋" w:cs="仿宋"/>
          <w:b/>
          <w:bCs/>
          <w:spacing w:val="9"/>
          <w:sz w:val="28"/>
          <w:szCs w:val="28"/>
          <w14:textOutline w14:w="4388" w14:cap="flat" w14:cmpd="sng">
            <w14:solidFill>
              <w14:srgbClr w14:val="000000"/>
            </w14:solidFill>
            <w14:prstDash w14:val="solid"/>
            <w14:miter w14:val="0"/>
          </w14:textOutline>
        </w:rPr>
        <w:t>第五节其他文书、文件格式</w:t>
      </w:r>
    </w:p>
    <w:p w14:paraId="4C24241D">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3D8462F1">
      <w:pPr>
        <w:pStyle w:val="5"/>
        <w:pageBreakBefore w:val="0"/>
        <w:kinsoku w:val="0"/>
        <w:overflowPunct/>
        <w:topLinePunct w:val="0"/>
        <w:autoSpaceDE w:val="0"/>
        <w:autoSpaceDN w:val="0"/>
        <w:bidi w:val="0"/>
        <w:adjustRightInd w:val="0"/>
        <w:snapToGrid w:val="0"/>
        <w:spacing w:before="99" w:line="360" w:lineRule="auto"/>
        <w:ind w:left="3459" w:right="0"/>
        <w:textAlignment w:val="baseline"/>
        <w:outlineLvl w:val="1"/>
        <w:rPr>
          <w:rFonts w:hint="eastAsia" w:ascii="仿宋" w:hAnsi="仿宋" w:eastAsia="仿宋" w:cs="仿宋"/>
          <w:sz w:val="24"/>
          <w:szCs w:val="24"/>
        </w:rPr>
      </w:pPr>
      <w:r>
        <w:rPr>
          <w:rFonts w:hint="eastAsia" w:ascii="仿宋" w:hAnsi="仿宋" w:eastAsia="仿宋" w:cs="仿宋"/>
          <w:spacing w:val="9"/>
          <w:sz w:val="24"/>
          <w:szCs w:val="24"/>
          <w14:textOutline w14:w="4388" w14:cap="flat" w14:cmpd="sng">
            <w14:solidFill>
              <w14:srgbClr w14:val="000000"/>
            </w14:solidFill>
            <w14:prstDash w14:val="solid"/>
            <w14:miter w14:val="0"/>
          </w14:textOutline>
        </w:rPr>
        <w:t>知识产权合规性声明</w:t>
      </w:r>
    </w:p>
    <w:p w14:paraId="73EBC59F">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6AFDF26E">
      <w:pPr>
        <w:pStyle w:val="5"/>
        <w:pageBreakBefore w:val="0"/>
        <w:kinsoku w:val="0"/>
        <w:overflowPunct/>
        <w:topLinePunct w:val="0"/>
        <w:autoSpaceDE w:val="0"/>
        <w:autoSpaceDN w:val="0"/>
        <w:bidi w:val="0"/>
        <w:adjustRightInd w:val="0"/>
        <w:snapToGrid w:val="0"/>
        <w:spacing w:before="98" w:line="360" w:lineRule="auto"/>
        <w:ind w:right="0" w:firstLine="611"/>
        <w:textAlignment w:val="baseline"/>
        <w:rPr>
          <w:rFonts w:hint="eastAsia" w:ascii="仿宋" w:hAnsi="仿宋" w:eastAsia="仿宋" w:cs="仿宋"/>
          <w:sz w:val="24"/>
          <w:szCs w:val="24"/>
        </w:rPr>
      </w:pPr>
      <w:r>
        <w:rPr>
          <w:rFonts w:hint="eastAsia" w:ascii="仿宋" w:hAnsi="仿宋" w:eastAsia="仿宋" w:cs="仿宋"/>
          <w:spacing w:val="11"/>
          <w:sz w:val="24"/>
          <w:szCs w:val="24"/>
        </w:rPr>
        <w:t>本企业(单位)自愿参与政府投资政府采购的</w:t>
      </w:r>
      <w:r>
        <w:rPr>
          <w:rFonts w:hint="eastAsia" w:ascii="仿宋" w:hAnsi="仿宋" w:eastAsia="仿宋" w:cs="仿宋"/>
          <w:spacing w:val="11"/>
          <w:sz w:val="24"/>
          <w:szCs w:val="24"/>
          <w:u w:val="single" w:color="auto"/>
        </w:rPr>
        <w:t>[项目采购-项目名称]</w:t>
      </w:r>
      <w:r>
        <w:rPr>
          <w:rFonts w:hint="eastAsia" w:ascii="仿宋" w:hAnsi="仿宋" w:eastAsia="仿宋" w:cs="仿宋"/>
          <w:spacing w:val="11"/>
          <w:sz w:val="24"/>
          <w:szCs w:val="24"/>
        </w:rPr>
        <w:t>项目，</w:t>
      </w:r>
      <w:r>
        <w:rPr>
          <w:rFonts w:hint="eastAsia" w:ascii="仿宋" w:hAnsi="仿宋" w:eastAsia="仿宋" w:cs="仿宋"/>
          <w:spacing w:val="14"/>
          <w:sz w:val="24"/>
          <w:szCs w:val="24"/>
        </w:rPr>
        <w:t>在此郑重承诺：遵守中国知识产权法律、法规、规章、规范性文件及在中国适用的与</w:t>
      </w:r>
      <w:r>
        <w:rPr>
          <w:rFonts w:hint="eastAsia" w:ascii="仿宋" w:hAnsi="仿宋" w:eastAsia="仿宋" w:cs="仿宋"/>
          <w:spacing w:val="12"/>
          <w:sz w:val="24"/>
          <w:szCs w:val="24"/>
        </w:rPr>
        <w:t>知识产权有关的国际公约，所参与项目的知识产权明晰无争议,归属或技术来源正当合</w:t>
      </w:r>
      <w:r>
        <w:rPr>
          <w:rFonts w:hint="eastAsia" w:ascii="仿宋" w:hAnsi="仿宋" w:eastAsia="仿宋" w:cs="仿宋"/>
          <w:spacing w:val="11"/>
          <w:sz w:val="24"/>
          <w:szCs w:val="24"/>
        </w:rPr>
        <w:t>法。近三年在知识产权领域不存在违反法律、法规、规</w:t>
      </w:r>
      <w:r>
        <w:rPr>
          <w:rFonts w:hint="eastAsia" w:ascii="仿宋" w:hAnsi="仿宋" w:eastAsia="仿宋" w:cs="仿宋"/>
          <w:spacing w:val="10"/>
          <w:sz w:val="24"/>
          <w:szCs w:val="24"/>
        </w:rPr>
        <w:t>章及其他规范性文件的失信行</w:t>
      </w:r>
      <w:r>
        <w:rPr>
          <w:rFonts w:hint="eastAsia" w:ascii="仿宋" w:hAnsi="仿宋" w:eastAsia="仿宋" w:cs="仿宋"/>
          <w:spacing w:val="11"/>
          <w:sz w:val="24"/>
          <w:szCs w:val="24"/>
        </w:rPr>
        <w:t>为。所参与的项目不对其他单位及个人的知识产权构成侵权。如经核查确有违反上述</w:t>
      </w:r>
      <w:r>
        <w:rPr>
          <w:rFonts w:hint="eastAsia" w:ascii="仿宋" w:hAnsi="仿宋" w:eastAsia="仿宋" w:cs="仿宋"/>
          <w:spacing w:val="4"/>
          <w:sz w:val="24"/>
          <w:szCs w:val="24"/>
        </w:rPr>
        <w:t>承诺应遵守的行为，本企业(单位)将承担由此产生的全部责任。</w:t>
      </w:r>
    </w:p>
    <w:p w14:paraId="792D6CBE">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1794A54B">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73147F4C">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0DD4D932">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103BEEDF">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12351E04">
      <w:pPr>
        <w:pageBreakBefore w:val="0"/>
        <w:kinsoku w:val="0"/>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z w:val="24"/>
          <w:szCs w:val="24"/>
        </w:rPr>
      </w:pPr>
    </w:p>
    <w:p w14:paraId="410AECC9">
      <w:pPr>
        <w:pStyle w:val="5"/>
        <w:pageBreakBefore w:val="0"/>
        <w:kinsoku w:val="0"/>
        <w:overflowPunct/>
        <w:topLinePunct w:val="0"/>
        <w:autoSpaceDE w:val="0"/>
        <w:autoSpaceDN w:val="0"/>
        <w:bidi w:val="0"/>
        <w:adjustRightInd w:val="0"/>
        <w:snapToGrid w:val="0"/>
        <w:spacing w:before="99"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3"/>
          <w:position w:val="12"/>
          <w:sz w:val="24"/>
          <w:szCs w:val="24"/>
        </w:rPr>
        <w:t>供应商名称(电子签章)：</w:t>
      </w:r>
    </w:p>
    <w:p w14:paraId="03DDC974">
      <w:pPr>
        <w:pStyle w:val="5"/>
        <w:pageBreakBefore w:val="0"/>
        <w:kinsoku w:val="0"/>
        <w:overflowPunct/>
        <w:topLinePunct w:val="0"/>
        <w:autoSpaceDE w:val="0"/>
        <w:autoSpaceDN w:val="0"/>
        <w:bidi w:val="0"/>
        <w:adjustRightInd w:val="0"/>
        <w:snapToGrid w:val="0"/>
        <w:spacing w:before="1" w:line="360" w:lineRule="auto"/>
        <w:ind w:right="0"/>
        <w:jc w:val="center"/>
        <w:textAlignment w:val="baseline"/>
        <w:rPr>
          <w:rFonts w:hint="eastAsia" w:ascii="仿宋" w:hAnsi="仿宋" w:eastAsia="仿宋" w:cs="仿宋"/>
          <w:sz w:val="24"/>
          <w:szCs w:val="24"/>
        </w:rPr>
      </w:pPr>
      <w:r>
        <w:rPr>
          <w:rFonts w:hint="eastAsia" w:ascii="仿宋" w:hAnsi="仿宋" w:eastAsia="仿宋" w:cs="仿宋"/>
          <w:spacing w:val="-14"/>
          <w:sz w:val="24"/>
          <w:szCs w:val="24"/>
        </w:rPr>
        <w:t>日期：年月</w:t>
      </w:r>
      <w:r>
        <w:rPr>
          <w:rFonts w:hint="eastAsia" w:ascii="仿宋" w:hAnsi="仿宋" w:eastAsia="仿宋" w:cs="仿宋"/>
          <w:spacing w:val="-15"/>
          <w:sz w:val="24"/>
          <w:szCs w:val="24"/>
        </w:rPr>
        <w:t>日</w:t>
      </w:r>
    </w:p>
    <w:sectPr>
      <w:footerReference r:id="rId42" w:type="default"/>
      <w:pgSz w:w="11905" w:h="16838"/>
      <w:pgMar w:top="1440" w:right="1803" w:bottom="1440" w:left="1803" w:header="0" w:footer="56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1B1B">
    <w:pPr>
      <w:pStyle w:val="11"/>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B1CEF">
    <w:pPr>
      <w:spacing w:line="184" w:lineRule="auto"/>
      <w:ind w:left="44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AFF68">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2CDAFF68">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70E36">
    <w:pPr>
      <w:spacing w:line="184" w:lineRule="auto"/>
      <w:ind w:left="44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6AF41">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406AF41">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FEAE">
    <w:pPr>
      <w:spacing w:line="184" w:lineRule="auto"/>
      <w:ind w:left="44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0C4CB">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7A20C4CB">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F5DB2">
    <w:pPr>
      <w:spacing w:line="184" w:lineRule="auto"/>
      <w:ind w:left="444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15EBD">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2815EBD">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7956D">
    <w:pPr>
      <w:spacing w:line="184" w:lineRule="auto"/>
      <w:ind w:left="444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6D0FD">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886D0FD">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1828">
    <w:pPr>
      <w:spacing w:line="184" w:lineRule="auto"/>
      <w:ind w:left="444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A52B8">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3EDA52B8">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B373">
    <w:pPr>
      <w:spacing w:line="184" w:lineRule="auto"/>
      <w:ind w:left="44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E80E4">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311E80E4">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E6B12">
    <w:pPr>
      <w:spacing w:line="184" w:lineRule="auto"/>
      <w:ind w:left="44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4DAED">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5084DAED">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8FD66">
    <w:pPr>
      <w:spacing w:line="184" w:lineRule="auto"/>
      <w:ind w:left="44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8AC8D">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6EC8AC8D">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4A7F">
    <w:pPr>
      <w:spacing w:line="184" w:lineRule="auto"/>
      <w:ind w:left="44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F1E0A">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472F1E0A">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44A0">
    <w:pPr>
      <w:spacing w:line="184" w:lineRule="auto"/>
      <w:ind w:left="44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1EB2D">
                          <w:pPr>
                            <w:pStyle w:val="1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4631EB2D">
                    <w:pPr>
                      <w:pStyle w:val="1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92822">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5A92822">
                    <w:pPr>
                      <w:pStyle w:val="11"/>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06BC">
    <w:pPr>
      <w:spacing w:line="184" w:lineRule="auto"/>
      <w:ind w:left="444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CB7F2">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3F8CB7F2">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3266">
    <w:pPr>
      <w:spacing w:line="181" w:lineRule="auto"/>
      <w:ind w:left="444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3C2AA">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1A83C2AA">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315C">
    <w:pPr>
      <w:spacing w:line="184" w:lineRule="auto"/>
      <w:ind w:left="44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DC3CF">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422DC3CF">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DCA90">
    <w:pPr>
      <w:spacing w:line="181" w:lineRule="auto"/>
      <w:ind w:left="44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C650D">
                          <w:pPr>
                            <w:pStyle w:val="1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B6C650D">
                    <w:pPr>
                      <w:pStyle w:val="1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5864">
    <w:pPr>
      <w:spacing w:line="184" w:lineRule="auto"/>
      <w:ind w:left="44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FF456">
                          <w:pPr>
                            <w:pStyle w:val="1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C3FF456">
                    <w:pPr>
                      <w:pStyle w:val="1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3AE7D">
    <w:pPr>
      <w:spacing w:line="184" w:lineRule="auto"/>
      <w:ind w:left="44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EE6AB">
                          <w:pPr>
                            <w:pStyle w:val="1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07AEE6AB">
                    <w:pPr>
                      <w:pStyle w:val="1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1467">
    <w:pPr>
      <w:spacing w:line="184" w:lineRule="auto"/>
      <w:ind w:left="44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BFF81">
                          <w:pPr>
                            <w:pStyle w:val="11"/>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008BFF81">
                    <w:pPr>
                      <w:pStyle w:val="11"/>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1DFC">
    <w:pPr>
      <w:spacing w:line="184" w:lineRule="auto"/>
      <w:ind w:left="444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656EF">
                          <w:pPr>
                            <w:pStyle w:val="1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112656EF">
                    <w:pPr>
                      <w:pStyle w:val="1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B064F">
    <w:pPr>
      <w:spacing w:line="184" w:lineRule="auto"/>
      <w:ind w:left="444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7A85B">
                          <w:pPr>
                            <w:pStyle w:val="1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5797A85B">
                    <w:pPr>
                      <w:pStyle w:val="1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0195">
    <w:pPr>
      <w:spacing w:line="184" w:lineRule="auto"/>
      <w:ind w:left="44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A38CB">
                          <w:pPr>
                            <w:pStyle w:val="1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5BDA38CB">
                    <w:pPr>
                      <w:pStyle w:val="1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03FC">
    <w:pPr>
      <w:spacing w:line="181" w:lineRule="auto"/>
      <w:ind w:left="45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E05EF">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86E05EF">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D128">
    <w:pPr>
      <w:spacing w:line="184" w:lineRule="auto"/>
      <w:ind w:left="44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09702">
                          <w:pPr>
                            <w:pStyle w:val="11"/>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76809702">
                    <w:pPr>
                      <w:pStyle w:val="11"/>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F3AC">
    <w:pPr>
      <w:spacing w:line="184" w:lineRule="auto"/>
      <w:ind w:left="44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32FF9">
                          <w:pPr>
                            <w:pStyle w:val="1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70532FF9">
                    <w:pPr>
                      <w:pStyle w:val="1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20F6">
    <w:pPr>
      <w:spacing w:line="184" w:lineRule="auto"/>
      <w:ind w:left="44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86965">
                          <w:pPr>
                            <w:pStyle w:val="1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08A86965">
                    <w:pPr>
                      <w:pStyle w:val="1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A654">
    <w:pPr>
      <w:spacing w:line="184" w:lineRule="auto"/>
      <w:ind w:left="44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B6F0C">
                          <w:pPr>
                            <w:pStyle w:val="1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72EB6F0C">
                    <w:pPr>
                      <w:pStyle w:val="1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848E1">
    <w:pPr>
      <w:spacing w:line="184" w:lineRule="auto"/>
      <w:ind w:left="444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DCBF5">
                          <w:pPr>
                            <w:pStyle w:val="1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06BDCBF5">
                    <w:pPr>
                      <w:pStyle w:val="11"/>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85C2">
    <w:pPr>
      <w:spacing w:line="184" w:lineRule="auto"/>
      <w:ind w:left="44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0779F">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00F0779F">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07A70">
    <w:pPr>
      <w:pStyle w:val="11"/>
      <w:rPr>
        <w:rFonts w:ascii="仿宋" w:hAnsi="仿宋" w:eastAsia="仿宋"/>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694492">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0694492">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2E40CFCB">
    <w:pPr>
      <w:pStyle w:val="11"/>
      <w:jc w:val="center"/>
      <w:rPr>
        <w:rFonts w:ascii="Times New Roman" w:hAnsi="Times New Roman" w:eastAsia="仿宋_GB2312"/>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D51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686C">
    <w:pPr>
      <w:pStyle w:val="11"/>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76972B">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676972B">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3C16">
    <w:pPr>
      <w:pStyle w:val="11"/>
      <w:rPr>
        <w:rFonts w:ascii="仿宋" w:hAnsi="仿宋" w:eastAsia="仿宋"/>
        <w:sz w:val="24"/>
        <w:szCs w:val="24"/>
      </w:rPr>
    </w:pPr>
    <w:r>
      <w:rPr>
        <w:sz w:val="24"/>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95848">
                          <w:pPr>
                            <w:pStyle w:val="1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28595848">
                    <w:pPr>
                      <w:pStyle w:val="11"/>
                    </w:pPr>
                    <w:r>
                      <w:fldChar w:fldCharType="begin"/>
                    </w:r>
                    <w:r>
                      <w:instrText xml:space="preserve"> PAGE  \* MERGEFORMAT </w:instrText>
                    </w:r>
                    <w:r>
                      <w:fldChar w:fldCharType="separate"/>
                    </w:r>
                    <w:r>
                      <w:t>2</w:t>
                    </w:r>
                    <w:r>
                      <w:fldChar w:fldCharType="end"/>
                    </w:r>
                  </w:p>
                </w:txbxContent>
              </v:textbox>
            </v:shape>
          </w:pict>
        </mc:Fallback>
      </mc:AlternateContent>
    </w:r>
  </w:p>
  <w:p w14:paraId="59F77729">
    <w:pPr>
      <w:pStyle w:val="11"/>
      <w:jc w:val="center"/>
      <w:rPr>
        <w:rFonts w:ascii="Times New Roman" w:hAnsi="Times New Roman" w:eastAsia="仿宋_GB2312"/>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E3A1">
    <w:pPr>
      <w:pStyle w:val="11"/>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365957">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1136595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D989">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298EC">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7FB7">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3E3F">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979A5"/>
    <w:multiLevelType w:val="singleLevel"/>
    <w:tmpl w:val="C1A979A5"/>
    <w:lvl w:ilvl="0" w:tentative="0">
      <w:start w:val="5"/>
      <w:numFmt w:val="chineseCounting"/>
      <w:suff w:val="nothing"/>
      <w:lvlText w:val="%1、"/>
      <w:lvlJc w:val="left"/>
      <w:rPr>
        <w:rFonts w:hint="eastAsia"/>
      </w:rPr>
    </w:lvl>
  </w:abstractNum>
  <w:abstractNum w:abstractNumId="1">
    <w:nsid w:val="00000002"/>
    <w:multiLevelType w:val="multilevel"/>
    <w:tmpl w:val="00000002"/>
    <w:lvl w:ilvl="0" w:tentative="0">
      <w:start w:val="16"/>
      <w:numFmt w:val="decimal"/>
      <w:lvlText w:val="%1"/>
      <w:lvlJc w:val="left"/>
      <w:pPr>
        <w:ind w:left="630" w:hanging="630"/>
      </w:pPr>
      <w:rPr>
        <w:rFonts w:hint="default"/>
      </w:rPr>
    </w:lvl>
    <w:lvl w:ilvl="1" w:tentative="0">
      <w:start w:val="1"/>
      <w:numFmt w:val="decimal"/>
      <w:lvlText w:val="%1.%2"/>
      <w:lvlJc w:val="left"/>
      <w:pPr>
        <w:ind w:left="840" w:hanging="630"/>
      </w:pPr>
      <w:rPr>
        <w:rFonts w:hint="default"/>
      </w:rPr>
    </w:lvl>
    <w:lvl w:ilvl="2" w:tentative="0">
      <w:start w:val="2"/>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abstractNum w:abstractNumId="2">
    <w:nsid w:val="00000008"/>
    <w:multiLevelType w:val="multilevel"/>
    <w:tmpl w:val="00000008"/>
    <w:lvl w:ilvl="0" w:tentative="0">
      <w:start w:val="12"/>
      <w:numFmt w:val="decimal"/>
      <w:lvlText w:val="%1"/>
      <w:lvlJc w:val="left"/>
      <w:pPr>
        <w:ind w:left="630" w:hanging="630"/>
      </w:pPr>
      <w:rPr>
        <w:rFonts w:hint="default"/>
      </w:rPr>
    </w:lvl>
    <w:lvl w:ilvl="1" w:tentative="0">
      <w:start w:val="4"/>
      <w:numFmt w:val="decimal"/>
      <w:lvlText w:val="%1.%2"/>
      <w:lvlJc w:val="left"/>
      <w:pPr>
        <w:ind w:left="840" w:hanging="630"/>
      </w:pPr>
      <w:rPr>
        <w:rFonts w:hint="default"/>
      </w:rPr>
    </w:lvl>
    <w:lvl w:ilvl="2" w:tentative="0">
      <w:start w:val="6"/>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abstractNum w:abstractNumId="3">
    <w:nsid w:val="0053208E"/>
    <w:multiLevelType w:val="singleLevel"/>
    <w:tmpl w:val="0053208E"/>
    <w:lvl w:ilvl="0" w:tentative="0">
      <w:start w:val="1"/>
      <w:numFmt w:val="decimal"/>
      <w:suff w:val="nothing"/>
      <w:lvlText w:val="%1、"/>
      <w:lvlJc w:val="left"/>
    </w:lvl>
  </w:abstractNum>
  <w:abstractNum w:abstractNumId="4">
    <w:nsid w:val="686E54EE"/>
    <w:multiLevelType w:val="singleLevel"/>
    <w:tmpl w:val="686E54EE"/>
    <w:lvl w:ilvl="0" w:tentative="0">
      <w:start w:val="2"/>
      <w:numFmt w:val="chineseCounting"/>
      <w:suff w:val="nothing"/>
      <w:lvlText w:val="%1、"/>
      <w:lvlJc w:val="left"/>
      <w:rPr>
        <w:rFonts w:hint="eastAsi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JlMGRlOGQ2ZjhjZTY2OGY2MDY4OWY3YWQxMjJkZjMifQ=="/>
  </w:docVars>
  <w:rsids>
    <w:rsidRoot w:val="00000000"/>
    <w:rsid w:val="003A3824"/>
    <w:rsid w:val="01C26E79"/>
    <w:rsid w:val="0221477F"/>
    <w:rsid w:val="02647ECA"/>
    <w:rsid w:val="029F3B0C"/>
    <w:rsid w:val="04D21F9A"/>
    <w:rsid w:val="0966479F"/>
    <w:rsid w:val="09F9539C"/>
    <w:rsid w:val="0ACB330F"/>
    <w:rsid w:val="0C5F7626"/>
    <w:rsid w:val="0D004C93"/>
    <w:rsid w:val="0EDD7453"/>
    <w:rsid w:val="0FC247F1"/>
    <w:rsid w:val="10082730"/>
    <w:rsid w:val="135B14B8"/>
    <w:rsid w:val="14755B17"/>
    <w:rsid w:val="16D0382A"/>
    <w:rsid w:val="17B364B7"/>
    <w:rsid w:val="19FA353E"/>
    <w:rsid w:val="1A7171D0"/>
    <w:rsid w:val="1E273CE9"/>
    <w:rsid w:val="22BE1ED8"/>
    <w:rsid w:val="23A979DB"/>
    <w:rsid w:val="246E6E44"/>
    <w:rsid w:val="25D57EBC"/>
    <w:rsid w:val="2734195F"/>
    <w:rsid w:val="28715F91"/>
    <w:rsid w:val="292F0780"/>
    <w:rsid w:val="29F93FAD"/>
    <w:rsid w:val="2B427374"/>
    <w:rsid w:val="2C54354D"/>
    <w:rsid w:val="2F034443"/>
    <w:rsid w:val="32D1051A"/>
    <w:rsid w:val="34F32864"/>
    <w:rsid w:val="36C74ED6"/>
    <w:rsid w:val="38900716"/>
    <w:rsid w:val="3A1840A9"/>
    <w:rsid w:val="3D795BD6"/>
    <w:rsid w:val="40EF4827"/>
    <w:rsid w:val="47332F94"/>
    <w:rsid w:val="48CA4CE9"/>
    <w:rsid w:val="4AD744B7"/>
    <w:rsid w:val="4D4128AF"/>
    <w:rsid w:val="4D9958AC"/>
    <w:rsid w:val="4DC61F9C"/>
    <w:rsid w:val="4EA26A64"/>
    <w:rsid w:val="4FF506DE"/>
    <w:rsid w:val="50494C47"/>
    <w:rsid w:val="52157B5B"/>
    <w:rsid w:val="52EA65F5"/>
    <w:rsid w:val="532224A2"/>
    <w:rsid w:val="54366917"/>
    <w:rsid w:val="545958F4"/>
    <w:rsid w:val="58AB6FC5"/>
    <w:rsid w:val="5BCE0DEF"/>
    <w:rsid w:val="5CC967B7"/>
    <w:rsid w:val="62DC158B"/>
    <w:rsid w:val="633863DC"/>
    <w:rsid w:val="656C412A"/>
    <w:rsid w:val="65C60CA4"/>
    <w:rsid w:val="65E66908"/>
    <w:rsid w:val="671240B6"/>
    <w:rsid w:val="68995944"/>
    <w:rsid w:val="6A17397B"/>
    <w:rsid w:val="6D396EA9"/>
    <w:rsid w:val="6D48513C"/>
    <w:rsid w:val="6D745F31"/>
    <w:rsid w:val="6D922098"/>
    <w:rsid w:val="70561703"/>
    <w:rsid w:val="71891BD9"/>
    <w:rsid w:val="72293973"/>
    <w:rsid w:val="73317260"/>
    <w:rsid w:val="733A28B9"/>
    <w:rsid w:val="795B0A91"/>
    <w:rsid w:val="7A5601BA"/>
    <w:rsid w:val="7C3945CD"/>
    <w:rsid w:val="7EF100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adjustRightInd w:val="0"/>
      <w:spacing w:before="340" w:after="330" w:line="578" w:lineRule="atLeast"/>
      <w:ind w:firstLine="288"/>
      <w:jc w:val="left"/>
      <w:textAlignment w:val="baseline"/>
      <w:outlineLvl w:val="0"/>
    </w:pPr>
    <w:rPr>
      <w:kern w:val="44"/>
      <w:sz w:val="44"/>
      <w:szCs w:val="44"/>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60" w:lineRule="atLeast"/>
      <w:ind w:firstLine="420"/>
      <w:textAlignment w:val="baseline"/>
    </w:pPr>
    <w:rPr>
      <w:szCs w:val="20"/>
    </w:rPr>
  </w:style>
  <w:style w:type="paragraph" w:styleId="4">
    <w:name w:val="annotation text"/>
    <w:basedOn w:val="1"/>
    <w:qFormat/>
    <w:uiPriority w:val="0"/>
    <w:pPr>
      <w:spacing w:line="240" w:lineRule="auto"/>
    </w:pPr>
    <w:rPr>
      <w:rFonts w:ascii="等线" w:hAnsi="等线" w:eastAsia="等线"/>
      <w:sz w:val="21"/>
      <w:szCs w:val="24"/>
    </w:rPr>
  </w:style>
  <w:style w:type="paragraph" w:styleId="5">
    <w:name w:val="Body Text"/>
    <w:basedOn w:val="1"/>
    <w:next w:val="6"/>
    <w:autoRedefine/>
    <w:semiHidden/>
    <w:qFormat/>
    <w:uiPriority w:val="0"/>
    <w:rPr>
      <w:rFonts w:ascii="微软雅黑" w:hAnsi="微软雅黑" w:eastAsia="微软雅黑" w:cs="微软雅黑"/>
      <w:sz w:val="31"/>
      <w:szCs w:val="31"/>
      <w:lang w:val="en-US" w:eastAsia="en-US" w:bidi="ar-SA"/>
    </w:rPr>
  </w:style>
  <w:style w:type="paragraph" w:styleId="6">
    <w:name w:val="Body Text First Indent"/>
    <w:basedOn w:val="5"/>
    <w:autoRedefine/>
    <w:qFormat/>
    <w:uiPriority w:val="0"/>
    <w:pPr>
      <w:spacing w:after="120" w:line="240" w:lineRule="auto"/>
      <w:ind w:firstLine="420"/>
    </w:pPr>
    <w:rPr>
      <w:rFonts w:eastAsia="宋体"/>
      <w:sz w:val="21"/>
    </w:rPr>
  </w:style>
  <w:style w:type="paragraph" w:styleId="7">
    <w:name w:val="Body Text Indent"/>
    <w:basedOn w:val="1"/>
    <w:next w:val="8"/>
    <w:qFormat/>
    <w:uiPriority w:val="99"/>
    <w:pPr>
      <w:ind w:left="420" w:leftChars="200"/>
    </w:pPr>
  </w:style>
  <w:style w:type="paragraph" w:styleId="8">
    <w:name w:val="envelope return"/>
    <w:basedOn w:val="1"/>
    <w:qFormat/>
    <w:uiPriority w:val="99"/>
    <w:pPr>
      <w:snapToGrid w:val="0"/>
    </w:pPr>
    <w:rPr>
      <w:rFonts w:ascii="Arial" w:hAnsi="Arial" w:cs="Arial"/>
    </w:rPr>
  </w:style>
  <w:style w:type="paragraph" w:styleId="9">
    <w:name w:val="toc 3"/>
    <w:basedOn w:val="1"/>
    <w:next w:val="1"/>
    <w:unhideWhenUsed/>
    <w:qFormat/>
    <w:uiPriority w:val="39"/>
    <w:pPr>
      <w:ind w:left="480"/>
    </w:pPr>
    <w:rPr>
      <w:rFonts w:ascii="等线" w:eastAsia="等线"/>
      <w:i/>
      <w:iCs/>
      <w:sz w:val="20"/>
      <w:szCs w:val="20"/>
    </w:rPr>
  </w:style>
  <w:style w:type="paragraph" w:styleId="10">
    <w:name w:val="Plain Text"/>
    <w:basedOn w:val="1"/>
    <w:next w:val="1"/>
    <w:qFormat/>
    <w:uiPriority w:val="99"/>
    <w:rPr>
      <w:rFonts w:ascii="宋体" w:hAnsi="Times New Roman" w:cs="宋体"/>
      <w:color w:val="000000"/>
      <w:u w:val="none" w:color="000000"/>
    </w:rPr>
  </w:style>
  <w:style w:type="paragraph" w:styleId="11">
    <w:name w:val="footer"/>
    <w:basedOn w:val="1"/>
    <w:autoRedefine/>
    <w:unhideWhenUsed/>
    <w:qFormat/>
    <w:uiPriority w:val="99"/>
    <w:pPr>
      <w:tabs>
        <w:tab w:val="center" w:pos="4153"/>
        <w:tab w:val="right" w:pos="8306"/>
      </w:tabs>
      <w:snapToGrid w:val="0"/>
      <w:jc w:val="left"/>
    </w:pPr>
    <w:rPr>
      <w:rFonts w:ascii="Calibri" w:hAnsi="Calibri"/>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6"/>
    <w:basedOn w:val="1"/>
    <w:next w:val="1"/>
    <w:autoRedefine/>
    <w:qFormat/>
    <w:uiPriority w:val="0"/>
    <w:pPr>
      <w:ind w:left="1400"/>
      <w:jc w:val="left"/>
    </w:pPr>
    <w:rPr>
      <w:sz w:val="18"/>
      <w:szCs w:val="20"/>
    </w:rPr>
  </w:style>
  <w:style w:type="paragraph" w:styleId="15">
    <w:name w:val="toc 2"/>
    <w:basedOn w:val="1"/>
    <w:next w:val="1"/>
    <w:qFormat/>
    <w:uiPriority w:val="0"/>
    <w:pPr>
      <w:ind w:left="420" w:leftChars="200"/>
    </w:pPr>
  </w:style>
  <w:style w:type="paragraph" w:styleId="16">
    <w:name w:val="Body Text 2"/>
    <w:basedOn w:val="1"/>
    <w:autoRedefine/>
    <w:unhideWhenUsed/>
    <w:qFormat/>
    <w:uiPriority w:val="0"/>
    <w:pPr>
      <w:spacing w:after="120" w:line="480" w:lineRule="auto"/>
    </w:p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autoRedefine/>
    <w:qFormat/>
    <w:uiPriority w:val="10"/>
    <w:pPr>
      <w:spacing w:before="60" w:after="60"/>
      <w:jc w:val="center"/>
      <w:outlineLvl w:val="0"/>
    </w:pPr>
    <w:rPr>
      <w:rFonts w:ascii="Cambria" w:hAnsi="Cambria" w:eastAsia="宋体" w:cs="Times New Roman"/>
      <w:b/>
      <w:bCs/>
      <w:sz w:val="24"/>
      <w:szCs w:val="32"/>
      <w:lang w:val="en-US" w:eastAsia="zh-CN" w:bidi="ar-SA"/>
    </w:rPr>
  </w:style>
  <w:style w:type="paragraph" w:styleId="19">
    <w:name w:val="Body Text First Indent 2"/>
    <w:basedOn w:val="7"/>
    <w:next w:val="1"/>
    <w:qFormat/>
    <w:uiPriority w:val="99"/>
    <w:pPr>
      <w:ind w:firstLine="420" w:firstLineChars="200"/>
    </w:pPr>
  </w:style>
  <w:style w:type="character" w:styleId="22">
    <w:name w:val="page number"/>
    <w:basedOn w:val="23"/>
    <w:autoRedefine/>
    <w:unhideWhenUsed/>
    <w:qFormat/>
    <w:uiPriority w:val="0"/>
    <w:rPr>
      <w:rFonts w:cs="Times New Roman"/>
    </w:rPr>
  </w:style>
  <w:style w:type="character" w:customStyle="1" w:styleId="23">
    <w:name w:val="默认段落字体1"/>
    <w:autoRedefine/>
    <w:qFormat/>
    <w:uiPriority w:val="0"/>
  </w:style>
  <w:style w:type="character" w:styleId="24">
    <w:name w:val="Hyperlink"/>
    <w:basedOn w:val="21"/>
    <w:unhideWhenUsed/>
    <w:qFormat/>
    <w:uiPriority w:val="99"/>
    <w:rPr>
      <w:color w:val="0563C1"/>
      <w:u w:val="single"/>
    </w:rPr>
  </w:style>
  <w:style w:type="paragraph" w:customStyle="1" w:styleId="25">
    <w:name w:val="列出段落1"/>
    <w:basedOn w:val="1"/>
    <w:autoRedefine/>
    <w:qFormat/>
    <w:uiPriority w:val="34"/>
    <w:pPr>
      <w:ind w:firstLine="420" w:firstLineChars="200"/>
    </w:p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微软雅黑" w:hAnsi="微软雅黑" w:eastAsia="微软雅黑" w:cs="微软雅黑"/>
      <w:sz w:val="23"/>
      <w:szCs w:val="23"/>
      <w:lang w:val="en-US" w:eastAsia="en-US" w:bidi="ar-SA"/>
    </w:rPr>
  </w:style>
  <w:style w:type="paragraph" w:customStyle="1" w:styleId="28">
    <w:name w:val="Default"/>
    <w:basedOn w:val="18"/>
    <w:next w:val="2"/>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9">
    <w:name w:val="BodyText1I2"/>
    <w:basedOn w:val="30"/>
    <w:autoRedefine/>
    <w:qFormat/>
    <w:uiPriority w:val="0"/>
    <w:pPr>
      <w:spacing w:after="0"/>
      <w:ind w:left="0" w:leftChars="0" w:firstLine="200" w:firstLineChars="200"/>
      <w:jc w:val="both"/>
      <w:textAlignment w:val="baseline"/>
    </w:pPr>
    <w:rPr>
      <w:sz w:val="28"/>
    </w:rPr>
  </w:style>
  <w:style w:type="paragraph" w:customStyle="1" w:styleId="30">
    <w:name w:val="BodyTextIndent"/>
    <w:basedOn w:val="1"/>
    <w:autoRedefine/>
    <w:qFormat/>
    <w:uiPriority w:val="0"/>
    <w:pPr>
      <w:spacing w:after="120"/>
      <w:ind w:left="420" w:leftChars="200"/>
      <w:jc w:val="both"/>
      <w:textAlignment w:val="baseline"/>
    </w:pPr>
  </w:style>
  <w:style w:type="character" w:customStyle="1" w:styleId="31">
    <w:name w:val="font21"/>
    <w:basedOn w:val="21"/>
    <w:qFormat/>
    <w:uiPriority w:val="0"/>
    <w:rPr>
      <w:rFonts w:hint="default" w:ascii="Calibri" w:hAnsi="Calibri" w:cs="Calibri"/>
      <w:color w:val="000000"/>
      <w:sz w:val="22"/>
      <w:szCs w:val="22"/>
      <w:u w:val="none"/>
    </w:rPr>
  </w:style>
  <w:style w:type="character" w:customStyle="1" w:styleId="32">
    <w:name w:val="font11"/>
    <w:basedOn w:val="21"/>
    <w:qFormat/>
    <w:uiPriority w:val="0"/>
    <w:rPr>
      <w:rFonts w:hint="eastAsia" w:ascii="仿宋" w:hAnsi="仿宋" w:eastAsia="仿宋" w:cs="仿宋"/>
      <w:color w:val="000000"/>
      <w:sz w:val="22"/>
      <w:szCs w:val="22"/>
      <w:u w:val="none"/>
    </w:rPr>
  </w:style>
  <w:style w:type="character" w:customStyle="1" w:styleId="33">
    <w:name w:val="font01"/>
    <w:basedOn w:val="21"/>
    <w:qFormat/>
    <w:uiPriority w:val="0"/>
    <w:rPr>
      <w:rFonts w:hint="eastAsia" w:ascii="宋体" w:hAnsi="宋体" w:eastAsia="宋体" w:cs="宋体"/>
      <w:color w:val="000000"/>
      <w:sz w:val="22"/>
      <w:szCs w:val="22"/>
      <w:u w:val="none"/>
    </w:rPr>
  </w:style>
  <w:style w:type="character" w:customStyle="1" w:styleId="34">
    <w:name w:val="font81"/>
    <w:basedOn w:val="21"/>
    <w:qFormat/>
    <w:uiPriority w:val="0"/>
    <w:rPr>
      <w:rFonts w:hint="eastAsia" w:ascii="宋体" w:hAnsi="宋体" w:eastAsia="宋体" w:cs="宋体"/>
      <w:color w:val="000000"/>
      <w:sz w:val="22"/>
      <w:szCs w:val="22"/>
      <w:u w:val="none"/>
    </w:rPr>
  </w:style>
  <w:style w:type="character" w:customStyle="1" w:styleId="35">
    <w:name w:val="font31"/>
    <w:basedOn w:val="21"/>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png"/><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125</Pages>
  <Words>21665</Words>
  <Characters>23023</Characters>
  <TotalTime>8</TotalTime>
  <ScaleCrop>false</ScaleCrop>
  <LinksUpToDate>false</LinksUpToDate>
  <CharactersWithSpaces>23052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2023-12-14T20:37:00Z</dcterms:created>
  <dc:creator>8615209095225</dc:creator>
  <cp:lastModifiedBy>╭ァ暢想ゝ那些未來ゞ</cp:lastModifiedBy>
  <cp:lastPrinted>2024-03-05T12:54:00Z</cp:lastPrinted>
  <dcterms:modified xsi:type="dcterms:W3CDTF">2025-06-30T08:40:05Z</dcterms:modified>
  <dc:title>新疆警官高等专科学校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2024-03-05T15:53:58Z</vt:filetime>
  </property>
  <property fmtid="{D5CDD505-2E9C-101B-9397-08002B2CF9AE}" pid="4" name="KSOProductBuildVer">
    <vt:lpwstr>2052-12.1.0.21915</vt:lpwstr>
  </property>
  <property fmtid="{D5CDD505-2E9C-101B-9397-08002B2CF9AE}" pid="5" name="ICV">
    <vt:lpwstr>4AB968FA40F046F58F52E805FC96D1A4_13</vt:lpwstr>
  </property>
  <property fmtid="{D5CDD505-2E9C-101B-9397-08002B2CF9AE}" pid="6" name="KSOTemplateDocerSaveRecord">
    <vt:lpwstr>eyJoZGlkIjoiYzUwYTY5MTRiN2YyY2FiNWE1M2RlMGI2NDQ2NTIxZDciLCJ1c2VySWQiOiI1OTcxODMwNTEifQ==</vt:lpwstr>
  </property>
</Properties>
</file>