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rFonts w:hint="eastAsia" w:ascii="宋体" w:hAnsi="宋体" w:eastAsia="宋体" w:cs="宋体"/>
        </w:rPr>
      </w:pPr>
    </w:p>
    <w:p>
      <w:pPr>
        <w:adjustRightInd w:val="0"/>
        <w:snapToGrid w:val="0"/>
        <w:jc w:val="left"/>
        <w:rPr>
          <w:rFonts w:hint="eastAsia" w:ascii="宋体" w:hAnsi="宋体" w:eastAsia="宋体" w:cs="宋体"/>
        </w:rPr>
      </w:pPr>
      <w:r>
        <w:rPr>
          <w:rFonts w:hint="eastAsia" w:ascii="宋体" w:hAnsi="宋体" w:eastAsia="宋体" w:cs="宋体"/>
          <w:b/>
          <w:sz w:val="28"/>
          <w:szCs w:val="28"/>
        </w:rPr>
        <w:drawing>
          <wp:inline distT="0" distB="0" distL="0" distR="0">
            <wp:extent cx="1501140" cy="1203960"/>
            <wp:effectExtent l="0" t="0" r="0" b="0"/>
            <wp:docPr id="2" name="图片 2" descr="图标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01140" cy="1203960"/>
                    </a:xfrm>
                    <a:prstGeom prst="rect">
                      <a:avLst/>
                    </a:prstGeom>
                    <a:noFill/>
                    <a:ln>
                      <a:noFill/>
                    </a:ln>
                  </pic:spPr>
                </pic:pic>
              </a:graphicData>
            </a:graphic>
          </wp:inline>
        </w:drawing>
      </w:r>
    </w:p>
    <w:p>
      <w:pPr>
        <w:adjustRightInd w:val="0"/>
        <w:snapToGrid w:val="0"/>
        <w:spacing w:line="480" w:lineRule="exact"/>
        <w:rPr>
          <w:rFonts w:hint="eastAsia" w:ascii="宋体" w:hAnsi="宋体" w:eastAsia="宋体" w:cs="宋体"/>
          <w:bCs/>
          <w:kern w:val="0"/>
          <w:sz w:val="24"/>
          <w:szCs w:val="24"/>
        </w:rPr>
      </w:pPr>
    </w:p>
    <w:p>
      <w:pPr>
        <w:adjustRightInd w:val="0"/>
        <w:snapToGrid w:val="0"/>
        <w:spacing w:line="480" w:lineRule="exact"/>
        <w:rPr>
          <w:rFonts w:hint="eastAsia" w:ascii="宋体" w:hAnsi="宋体" w:eastAsia="宋体" w:cs="宋体"/>
          <w:bCs/>
          <w:kern w:val="0"/>
          <w:sz w:val="24"/>
          <w:szCs w:val="24"/>
        </w:rPr>
      </w:pPr>
    </w:p>
    <w:p>
      <w:pPr>
        <w:adjustRightInd w:val="0"/>
        <w:snapToGrid w:val="0"/>
        <w:spacing w:line="480" w:lineRule="exact"/>
        <w:jc w:val="center"/>
        <w:rPr>
          <w:rFonts w:hint="eastAsia" w:ascii="宋体" w:hAnsi="宋体" w:eastAsia="宋体" w:cs="宋体"/>
          <w:b/>
          <w:sz w:val="48"/>
          <w:szCs w:val="48"/>
          <w:lang w:eastAsia="zh-CN"/>
        </w:rPr>
      </w:pPr>
      <w:r>
        <w:rPr>
          <w:rFonts w:hint="eastAsia" w:ascii="宋体" w:hAnsi="宋体" w:cs="宋体"/>
          <w:b/>
          <w:sz w:val="48"/>
          <w:szCs w:val="48"/>
          <w:lang w:eastAsia="zh-CN"/>
        </w:rPr>
        <w:t>塔城市第三次全国土壤普查项目（内业检测和成果汇总）</w:t>
      </w:r>
    </w:p>
    <w:p>
      <w:pPr>
        <w:adjustRightInd w:val="0"/>
        <w:snapToGrid w:val="0"/>
        <w:spacing w:line="480" w:lineRule="exact"/>
        <w:rPr>
          <w:rFonts w:hint="eastAsia" w:ascii="宋体" w:hAnsi="宋体" w:eastAsia="宋体" w:cs="宋体"/>
          <w:b/>
          <w:kern w:val="0"/>
          <w:sz w:val="24"/>
          <w:szCs w:val="24"/>
        </w:rPr>
      </w:pPr>
    </w:p>
    <w:p>
      <w:pPr>
        <w:adjustRightInd w:val="0"/>
        <w:snapToGrid w:val="0"/>
        <w:spacing w:line="480" w:lineRule="exact"/>
        <w:jc w:val="center"/>
        <w:rPr>
          <w:rFonts w:hint="eastAsia" w:ascii="宋体" w:hAnsi="宋体" w:eastAsia="宋体" w:cs="宋体"/>
          <w:b/>
          <w:sz w:val="48"/>
          <w:szCs w:val="48"/>
        </w:rPr>
      </w:pPr>
      <w:r>
        <w:rPr>
          <w:rFonts w:hint="eastAsia" w:ascii="宋体" w:hAnsi="宋体" w:eastAsia="宋体" w:cs="宋体"/>
          <w:b/>
          <w:sz w:val="48"/>
          <w:szCs w:val="48"/>
        </w:rPr>
        <w:t>公开招标文件</w:t>
      </w:r>
    </w:p>
    <w:p>
      <w:pPr>
        <w:adjustRightInd w:val="0"/>
        <w:snapToGrid w:val="0"/>
        <w:spacing w:line="276" w:lineRule="auto"/>
        <w:rPr>
          <w:rFonts w:hint="eastAsia" w:ascii="宋体" w:hAnsi="宋体" w:eastAsia="宋体" w:cs="宋体"/>
          <w:bCs/>
          <w:kern w:val="0"/>
          <w:sz w:val="24"/>
          <w:szCs w:val="24"/>
        </w:rPr>
      </w:pPr>
    </w:p>
    <w:p>
      <w:pPr>
        <w:adjustRightInd w:val="0"/>
        <w:snapToGrid w:val="0"/>
        <w:spacing w:line="480" w:lineRule="exact"/>
        <w:rPr>
          <w:rFonts w:hint="eastAsia" w:ascii="宋体" w:hAnsi="宋体" w:eastAsia="宋体" w:cs="宋体"/>
          <w:bCs/>
          <w:sz w:val="24"/>
          <w:szCs w:val="24"/>
        </w:rPr>
      </w:pPr>
    </w:p>
    <w:p>
      <w:pPr>
        <w:adjustRightInd w:val="0"/>
        <w:snapToGrid w:val="0"/>
        <w:spacing w:line="276" w:lineRule="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 xml:space="preserve">采购人(盖章)： </w:t>
      </w:r>
      <w:r>
        <w:rPr>
          <w:rFonts w:hint="eastAsia" w:ascii="宋体" w:hAnsi="宋体" w:cs="宋体"/>
          <w:b/>
          <w:kern w:val="0"/>
          <w:sz w:val="24"/>
          <w:szCs w:val="24"/>
          <w:lang w:eastAsia="zh-CN"/>
        </w:rPr>
        <w:t>塔城市农业农村局</w:t>
      </w:r>
    </w:p>
    <w:p>
      <w:pPr>
        <w:adjustRightInd w:val="0"/>
        <w:snapToGrid w:val="0"/>
        <w:spacing w:line="276" w:lineRule="auto"/>
        <w:jc w:val="center"/>
        <w:rPr>
          <w:rFonts w:hint="eastAsia" w:ascii="宋体" w:hAnsi="宋体" w:eastAsia="宋体" w:cs="宋体"/>
          <w:b/>
          <w:sz w:val="24"/>
          <w:szCs w:val="24"/>
        </w:rPr>
      </w:pPr>
    </w:p>
    <w:p>
      <w:pPr>
        <w:adjustRightInd w:val="0"/>
        <w:snapToGrid w:val="0"/>
        <w:spacing w:line="276" w:lineRule="auto"/>
        <w:rPr>
          <w:rFonts w:hint="eastAsia" w:ascii="宋体" w:hAnsi="宋体" w:eastAsia="宋体" w:cs="宋体"/>
          <w:b/>
          <w:sz w:val="24"/>
          <w:szCs w:val="24"/>
          <w:lang w:eastAsia="zh-CN"/>
        </w:rPr>
      </w:pPr>
      <w:r>
        <w:rPr>
          <w:rFonts w:hint="eastAsia" w:ascii="宋体" w:hAnsi="宋体" w:eastAsia="宋体" w:cs="宋体"/>
          <w:b/>
          <w:sz w:val="24"/>
          <w:szCs w:val="24"/>
        </w:rPr>
        <w:t>联系人：</w:t>
      </w:r>
      <w:r>
        <w:rPr>
          <w:rFonts w:hint="eastAsia" w:ascii="宋体" w:hAnsi="宋体" w:cs="宋体"/>
          <w:b/>
          <w:sz w:val="24"/>
          <w:szCs w:val="24"/>
          <w:lang w:eastAsia="zh-CN"/>
        </w:rPr>
        <w:t>马雪梅</w:t>
      </w:r>
    </w:p>
    <w:p>
      <w:pPr>
        <w:adjustRightInd w:val="0"/>
        <w:snapToGrid w:val="0"/>
        <w:spacing w:line="276" w:lineRule="auto"/>
        <w:rPr>
          <w:rFonts w:hint="eastAsia" w:ascii="宋体" w:hAnsi="宋体" w:eastAsia="宋体" w:cs="宋体"/>
          <w:b/>
          <w:sz w:val="24"/>
          <w:szCs w:val="24"/>
        </w:rPr>
      </w:pPr>
    </w:p>
    <w:p>
      <w:pPr>
        <w:adjustRightInd w:val="0"/>
        <w:snapToGrid w:val="0"/>
        <w:spacing w:line="276" w:lineRule="auto"/>
        <w:rPr>
          <w:rFonts w:hint="eastAsia" w:ascii="宋体" w:hAnsi="宋体" w:eastAsia="宋体" w:cs="宋体"/>
          <w:b/>
          <w:sz w:val="32"/>
          <w:szCs w:val="32"/>
          <w:lang w:eastAsia="zh-CN"/>
        </w:rPr>
      </w:pPr>
      <w:r>
        <w:rPr>
          <w:rFonts w:hint="eastAsia" w:ascii="宋体" w:hAnsi="宋体" w:eastAsia="宋体" w:cs="宋体"/>
          <w:b/>
          <w:sz w:val="24"/>
          <w:szCs w:val="24"/>
        </w:rPr>
        <w:t>电话：</w:t>
      </w:r>
      <w:r>
        <w:rPr>
          <w:rFonts w:hint="eastAsia" w:ascii="宋体" w:hAnsi="宋体" w:cs="宋体"/>
          <w:b/>
          <w:sz w:val="24"/>
          <w:szCs w:val="24"/>
          <w:lang w:eastAsia="zh-CN"/>
        </w:rPr>
        <w:t xml:space="preserve">13579791100 </w:t>
      </w:r>
    </w:p>
    <w:p>
      <w:pPr>
        <w:adjustRightInd w:val="0"/>
        <w:snapToGrid w:val="0"/>
        <w:spacing w:line="480" w:lineRule="exact"/>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kern w:val="0"/>
          <w:sz w:val="32"/>
          <w:szCs w:val="32"/>
        </w:rPr>
        <w:t>——————————————————</w:t>
      </w:r>
    </w:p>
    <w:p>
      <w:pPr>
        <w:adjustRightInd w:val="0"/>
        <w:snapToGrid w:val="0"/>
        <w:spacing w:line="276" w:lineRule="auto"/>
        <w:rPr>
          <w:rFonts w:hint="eastAsia" w:ascii="宋体" w:hAnsi="宋体" w:eastAsia="宋体" w:cs="宋体"/>
          <w:b/>
          <w:sz w:val="24"/>
          <w:szCs w:val="24"/>
        </w:rPr>
      </w:pPr>
      <w:r>
        <w:rPr>
          <w:rFonts w:hint="eastAsia" w:ascii="宋体" w:hAnsi="宋体" w:eastAsia="宋体" w:cs="宋体"/>
          <w:b/>
          <w:sz w:val="24"/>
          <w:szCs w:val="24"/>
        </w:rPr>
        <w:t>采购代理机构(盖章)：新疆守正项目管理咨询有限公司</w:t>
      </w:r>
    </w:p>
    <w:p>
      <w:pPr>
        <w:adjustRightInd w:val="0"/>
        <w:snapToGrid w:val="0"/>
        <w:spacing w:line="276" w:lineRule="auto"/>
        <w:jc w:val="center"/>
        <w:rPr>
          <w:rFonts w:hint="eastAsia" w:ascii="宋体" w:hAnsi="宋体" w:eastAsia="宋体" w:cs="宋体"/>
          <w:b/>
          <w:sz w:val="24"/>
          <w:szCs w:val="24"/>
        </w:rPr>
      </w:pPr>
    </w:p>
    <w:p>
      <w:pPr>
        <w:adjustRightInd w:val="0"/>
        <w:snapToGrid w:val="0"/>
        <w:spacing w:line="276" w:lineRule="auto"/>
        <w:rPr>
          <w:rFonts w:hint="eastAsia" w:ascii="宋体" w:hAnsi="宋体" w:eastAsia="宋体" w:cs="宋体"/>
          <w:b/>
          <w:sz w:val="24"/>
          <w:szCs w:val="24"/>
        </w:rPr>
      </w:pPr>
      <w:r>
        <w:rPr>
          <w:rFonts w:hint="eastAsia" w:ascii="宋体" w:hAnsi="宋体" w:eastAsia="宋体" w:cs="宋体"/>
          <w:b/>
          <w:sz w:val="24"/>
          <w:szCs w:val="24"/>
        </w:rPr>
        <w:t>法定代表人(盖章)：刘琳</w:t>
      </w:r>
    </w:p>
    <w:p>
      <w:pPr>
        <w:adjustRightInd w:val="0"/>
        <w:snapToGrid w:val="0"/>
        <w:spacing w:line="276" w:lineRule="auto"/>
        <w:jc w:val="center"/>
        <w:rPr>
          <w:rFonts w:hint="eastAsia" w:ascii="宋体" w:hAnsi="宋体" w:eastAsia="宋体" w:cs="宋体"/>
          <w:b/>
          <w:sz w:val="24"/>
          <w:szCs w:val="24"/>
        </w:rPr>
      </w:pPr>
    </w:p>
    <w:p>
      <w:pPr>
        <w:adjustRightInd w:val="0"/>
        <w:snapToGrid w:val="0"/>
        <w:spacing w:line="276" w:lineRule="auto"/>
        <w:rPr>
          <w:rFonts w:hint="eastAsia" w:ascii="宋体" w:hAnsi="宋体" w:eastAsia="宋体" w:cs="宋体"/>
          <w:b/>
          <w:sz w:val="24"/>
          <w:szCs w:val="24"/>
          <w:lang w:eastAsia="zh-CN"/>
        </w:rPr>
      </w:pPr>
      <w:r>
        <w:rPr>
          <w:rFonts w:hint="eastAsia" w:ascii="宋体" w:hAnsi="宋体" w:eastAsia="宋体" w:cs="宋体"/>
          <w:b/>
          <w:sz w:val="24"/>
          <w:szCs w:val="24"/>
        </w:rPr>
        <w:t>联系人：</w:t>
      </w:r>
      <w:r>
        <w:rPr>
          <w:rFonts w:hint="eastAsia" w:ascii="宋体" w:hAnsi="宋体" w:eastAsia="宋体" w:cs="宋体"/>
          <w:b/>
          <w:sz w:val="24"/>
          <w:szCs w:val="24"/>
          <w:lang w:eastAsia="zh-CN"/>
        </w:rPr>
        <w:t>郑步岳</w:t>
      </w:r>
    </w:p>
    <w:p>
      <w:pPr>
        <w:adjustRightInd w:val="0"/>
        <w:snapToGrid w:val="0"/>
        <w:spacing w:line="276" w:lineRule="auto"/>
        <w:rPr>
          <w:rFonts w:hint="eastAsia" w:ascii="宋体" w:hAnsi="宋体" w:eastAsia="宋体" w:cs="宋体"/>
          <w:b/>
          <w:sz w:val="24"/>
          <w:szCs w:val="24"/>
        </w:rPr>
      </w:pPr>
    </w:p>
    <w:p>
      <w:pPr>
        <w:adjustRightInd w:val="0"/>
        <w:snapToGrid w:val="0"/>
        <w:spacing w:line="276" w:lineRule="auto"/>
        <w:rPr>
          <w:rFonts w:hint="eastAsia" w:ascii="宋体" w:hAnsi="宋体" w:eastAsia="宋体" w:cs="宋体"/>
          <w:b/>
          <w:sz w:val="24"/>
          <w:szCs w:val="24"/>
          <w:lang w:eastAsia="zh-CN"/>
        </w:rPr>
      </w:pPr>
      <w:r>
        <w:rPr>
          <w:rFonts w:hint="eastAsia" w:ascii="宋体" w:hAnsi="宋体" w:eastAsia="宋体" w:cs="宋体"/>
          <w:b/>
          <w:sz w:val="24"/>
          <w:szCs w:val="24"/>
        </w:rPr>
        <w:t>电话：</w:t>
      </w:r>
      <w:r>
        <w:rPr>
          <w:rFonts w:hint="eastAsia" w:ascii="宋体" w:hAnsi="宋体" w:eastAsia="宋体" w:cs="宋体"/>
          <w:b/>
          <w:sz w:val="24"/>
          <w:szCs w:val="24"/>
          <w:lang w:eastAsia="zh-CN"/>
        </w:rPr>
        <w:t>18599104040</w:t>
      </w:r>
    </w:p>
    <w:p>
      <w:pPr>
        <w:adjustRightInd w:val="0"/>
        <w:snapToGrid w:val="0"/>
        <w:spacing w:line="276" w:lineRule="auto"/>
        <w:jc w:val="center"/>
        <w:rPr>
          <w:rFonts w:hint="eastAsia" w:ascii="宋体" w:hAnsi="宋体" w:eastAsia="宋体" w:cs="宋体"/>
          <w:b/>
          <w:sz w:val="24"/>
          <w:szCs w:val="24"/>
        </w:rPr>
      </w:pPr>
    </w:p>
    <w:p>
      <w:pPr>
        <w:adjustRightInd w:val="0"/>
        <w:snapToGrid w:val="0"/>
        <w:spacing w:line="276" w:lineRule="auto"/>
        <w:rPr>
          <w:rFonts w:hint="eastAsia" w:ascii="宋体" w:hAnsi="宋体" w:eastAsia="宋体" w:cs="宋体"/>
          <w:b/>
          <w:sz w:val="24"/>
          <w:szCs w:val="24"/>
        </w:rPr>
      </w:pPr>
      <w:r>
        <w:rPr>
          <w:rFonts w:hint="eastAsia" w:ascii="宋体" w:hAnsi="宋体" w:eastAsia="宋体" w:cs="宋体"/>
          <w:b/>
          <w:sz w:val="24"/>
          <w:szCs w:val="24"/>
        </w:rPr>
        <w:t>详细地址：新疆乌鲁木齐经济技术开发区新疆旅游大厦11楼1107室</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jc w:val="center"/>
        <w:rPr>
          <w:rFonts w:hint="eastAsia" w:ascii="宋体" w:hAnsi="宋体" w:eastAsia="宋体" w:cs="宋体"/>
          <w:bCs/>
          <w:sz w:val="32"/>
          <w:szCs w:val="32"/>
        </w:rPr>
      </w:pPr>
      <w:r>
        <w:rPr>
          <w:rFonts w:hint="eastAsia" w:ascii="宋体" w:hAnsi="宋体" w:eastAsia="宋体" w:cs="宋体"/>
          <w:b/>
          <w:bCs/>
          <w:sz w:val="24"/>
          <w:szCs w:val="24"/>
        </w:rPr>
        <w:t>目录</w:t>
      </w:r>
    </w:p>
    <w:p>
      <w:pPr>
        <w:rPr>
          <w:rFonts w:hint="eastAsia" w:ascii="宋体" w:hAnsi="宋体" w:eastAsia="宋体" w:cs="宋体"/>
          <w:b/>
          <w:bCs/>
          <w:sz w:val="24"/>
          <w:szCs w:val="24"/>
        </w:rPr>
      </w:pPr>
    </w:p>
    <w:p>
      <w:pPr>
        <w:pStyle w:val="23"/>
        <w:tabs>
          <w:tab w:val="right" w:leader="dot" w:pos="9354"/>
        </w:tabs>
        <w:rPr>
          <w:rFonts w:hint="eastAsia" w:ascii="宋体" w:hAnsi="宋体" w:eastAsia="宋体" w:cs="宋体"/>
          <w:sz w:val="28"/>
          <w:szCs w:val="36"/>
        </w:rPr>
      </w:pPr>
      <w:r>
        <w:rPr>
          <w:rFonts w:hint="eastAsia" w:ascii="宋体" w:hAnsi="宋体" w:eastAsia="宋体" w:cs="宋体"/>
          <w:bCs/>
          <w:sz w:val="36"/>
          <w:szCs w:val="36"/>
        </w:rPr>
        <w:fldChar w:fldCharType="begin"/>
      </w:r>
      <w:r>
        <w:rPr>
          <w:rFonts w:hint="eastAsia" w:ascii="宋体" w:hAnsi="宋体" w:eastAsia="宋体" w:cs="宋体"/>
          <w:bCs/>
          <w:sz w:val="36"/>
          <w:szCs w:val="36"/>
        </w:rPr>
        <w:instrText xml:space="preserve">TOC \o "1-3" \h \u </w:instrText>
      </w:r>
      <w:r>
        <w:rPr>
          <w:rFonts w:hint="eastAsia" w:ascii="宋体" w:hAnsi="宋体" w:eastAsia="宋体" w:cs="宋体"/>
          <w:bCs/>
          <w:sz w:val="36"/>
          <w:szCs w:val="36"/>
        </w:rPr>
        <w:fldChar w:fldCharType="separate"/>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"_Toc28978" </w:instrText>
      </w:r>
      <w:r>
        <w:rPr>
          <w:rFonts w:hint="eastAsia" w:ascii="宋体" w:hAnsi="宋体" w:eastAsia="宋体" w:cs="宋体"/>
          <w:sz w:val="28"/>
          <w:szCs w:val="36"/>
        </w:rPr>
        <w:fldChar w:fldCharType="separate"/>
      </w:r>
      <w:r>
        <w:rPr>
          <w:rFonts w:hint="eastAsia" w:ascii="宋体" w:hAnsi="宋体" w:eastAsia="宋体" w:cs="宋体"/>
          <w:sz w:val="28"/>
          <w:szCs w:val="44"/>
        </w:rPr>
        <w:t>公开招标公告</w:t>
      </w:r>
      <w:r>
        <w:rPr>
          <w:rFonts w:hint="eastAsia" w:ascii="宋体" w:hAnsi="宋体" w:eastAsia="宋体" w:cs="宋体"/>
          <w:sz w:val="28"/>
          <w:szCs w:val="36"/>
        </w:rPr>
        <w:fldChar w:fldCharType="end"/>
      </w:r>
    </w:p>
    <w:p>
      <w:pPr>
        <w:pStyle w:val="23"/>
        <w:tabs>
          <w:tab w:val="right" w:leader="dot" w:pos="935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"_Toc14060" </w:instrText>
      </w:r>
      <w:r>
        <w:rPr>
          <w:rFonts w:hint="eastAsia" w:ascii="宋体" w:hAnsi="宋体" w:eastAsia="宋体" w:cs="宋体"/>
          <w:sz w:val="28"/>
          <w:szCs w:val="36"/>
        </w:rPr>
        <w:fldChar w:fldCharType="separate"/>
      </w:r>
      <w:r>
        <w:rPr>
          <w:rFonts w:hint="eastAsia" w:ascii="宋体" w:hAnsi="宋体" w:eastAsia="宋体" w:cs="宋体"/>
          <w:sz w:val="28"/>
          <w:szCs w:val="36"/>
        </w:rPr>
        <w:t>投标人须知前附表</w:t>
      </w:r>
      <w:r>
        <w:rPr>
          <w:rFonts w:hint="eastAsia" w:ascii="宋体" w:hAnsi="宋体" w:eastAsia="宋体" w:cs="宋体"/>
          <w:sz w:val="28"/>
          <w:szCs w:val="36"/>
        </w:rPr>
        <w:fldChar w:fldCharType="end"/>
      </w:r>
    </w:p>
    <w:p>
      <w:pPr>
        <w:pStyle w:val="23"/>
        <w:tabs>
          <w:tab w:val="right" w:leader="dot" w:pos="935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"_Toc11160" </w:instrText>
      </w:r>
      <w:r>
        <w:rPr>
          <w:rFonts w:hint="eastAsia" w:ascii="宋体" w:hAnsi="宋体" w:eastAsia="宋体" w:cs="宋体"/>
          <w:sz w:val="28"/>
          <w:szCs w:val="36"/>
        </w:rPr>
        <w:fldChar w:fldCharType="separate"/>
      </w:r>
      <w:r>
        <w:rPr>
          <w:rFonts w:hint="eastAsia" w:ascii="宋体" w:hAnsi="宋体" w:eastAsia="宋体" w:cs="宋体"/>
          <w:sz w:val="28"/>
          <w:szCs w:val="36"/>
        </w:rPr>
        <w:t>第一章投标人须知</w:t>
      </w:r>
      <w:r>
        <w:rPr>
          <w:rFonts w:hint="eastAsia" w:ascii="宋体" w:hAnsi="宋体" w:eastAsia="宋体" w:cs="宋体"/>
          <w:sz w:val="28"/>
          <w:szCs w:val="36"/>
        </w:rPr>
        <w:fldChar w:fldCharType="end"/>
      </w:r>
    </w:p>
    <w:p>
      <w:pPr>
        <w:pStyle w:val="23"/>
        <w:tabs>
          <w:tab w:val="right" w:leader="dot" w:pos="935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"_Toc1035" </w:instrText>
      </w:r>
      <w:r>
        <w:rPr>
          <w:rFonts w:hint="eastAsia" w:ascii="宋体" w:hAnsi="宋体" w:eastAsia="宋体" w:cs="宋体"/>
          <w:sz w:val="28"/>
          <w:szCs w:val="36"/>
        </w:rPr>
        <w:fldChar w:fldCharType="separate"/>
      </w:r>
      <w:r>
        <w:rPr>
          <w:rFonts w:hint="eastAsia" w:ascii="宋体" w:hAnsi="宋体" w:eastAsia="宋体" w:cs="宋体"/>
          <w:sz w:val="28"/>
          <w:szCs w:val="36"/>
        </w:rPr>
        <w:t>第二章评标办法</w:t>
      </w:r>
      <w:r>
        <w:rPr>
          <w:rFonts w:hint="eastAsia" w:ascii="宋体" w:hAnsi="宋体" w:eastAsia="宋体" w:cs="宋体"/>
          <w:sz w:val="28"/>
          <w:szCs w:val="36"/>
        </w:rPr>
        <w:fldChar w:fldCharType="end"/>
      </w:r>
    </w:p>
    <w:p>
      <w:pPr>
        <w:pStyle w:val="23"/>
        <w:tabs>
          <w:tab w:val="right" w:leader="dot" w:pos="935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"_Toc8245" </w:instrText>
      </w:r>
      <w:r>
        <w:rPr>
          <w:rFonts w:hint="eastAsia" w:ascii="宋体" w:hAnsi="宋体" w:eastAsia="宋体" w:cs="宋体"/>
          <w:sz w:val="28"/>
          <w:szCs w:val="36"/>
        </w:rPr>
        <w:fldChar w:fldCharType="separate"/>
      </w:r>
      <w:r>
        <w:rPr>
          <w:rFonts w:hint="eastAsia" w:ascii="宋体" w:hAnsi="宋体" w:eastAsia="宋体" w:cs="宋体"/>
          <w:sz w:val="28"/>
          <w:szCs w:val="36"/>
        </w:rPr>
        <w:t>第三章合同条款及格式</w:t>
      </w:r>
      <w:r>
        <w:rPr>
          <w:rFonts w:hint="eastAsia" w:ascii="宋体" w:hAnsi="宋体" w:eastAsia="宋体" w:cs="宋体"/>
          <w:sz w:val="28"/>
          <w:szCs w:val="36"/>
        </w:rPr>
        <w:fldChar w:fldCharType="end"/>
      </w:r>
    </w:p>
    <w:p>
      <w:pPr>
        <w:pStyle w:val="23"/>
        <w:tabs>
          <w:tab w:val="right" w:leader="dot" w:pos="935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"_Toc20858" </w:instrText>
      </w:r>
      <w:r>
        <w:rPr>
          <w:rFonts w:hint="eastAsia" w:ascii="宋体" w:hAnsi="宋体" w:eastAsia="宋体" w:cs="宋体"/>
          <w:sz w:val="28"/>
          <w:szCs w:val="36"/>
        </w:rPr>
        <w:fldChar w:fldCharType="separate"/>
      </w:r>
      <w:r>
        <w:rPr>
          <w:rFonts w:hint="eastAsia" w:ascii="宋体" w:hAnsi="宋体" w:eastAsia="宋体" w:cs="宋体"/>
          <w:sz w:val="28"/>
          <w:szCs w:val="40"/>
        </w:rPr>
        <w:t>第四章服务标准和要求</w:t>
      </w:r>
      <w:r>
        <w:rPr>
          <w:rFonts w:hint="eastAsia" w:ascii="宋体" w:hAnsi="宋体" w:eastAsia="宋体" w:cs="宋体"/>
          <w:sz w:val="28"/>
          <w:szCs w:val="36"/>
        </w:rPr>
        <w:fldChar w:fldCharType="end"/>
      </w:r>
    </w:p>
    <w:p>
      <w:pPr>
        <w:pStyle w:val="23"/>
        <w:tabs>
          <w:tab w:val="right" w:leader="dot" w:pos="935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"_Toc1588" </w:instrText>
      </w:r>
      <w:r>
        <w:rPr>
          <w:rFonts w:hint="eastAsia" w:ascii="宋体" w:hAnsi="宋体" w:eastAsia="宋体" w:cs="宋体"/>
          <w:sz w:val="28"/>
          <w:szCs w:val="36"/>
        </w:rPr>
        <w:fldChar w:fldCharType="separate"/>
      </w:r>
      <w:r>
        <w:rPr>
          <w:rFonts w:hint="eastAsia" w:ascii="宋体" w:hAnsi="宋体" w:eastAsia="宋体" w:cs="宋体"/>
          <w:sz w:val="28"/>
          <w:szCs w:val="36"/>
        </w:rPr>
        <w:t>第五章投标文件格式</w:t>
      </w:r>
      <w:r>
        <w:rPr>
          <w:rFonts w:hint="eastAsia" w:ascii="宋体" w:hAnsi="宋体" w:eastAsia="宋体" w:cs="宋体"/>
          <w:sz w:val="28"/>
          <w:szCs w:val="36"/>
        </w:rPr>
        <w:fldChar w:fldCharType="end"/>
      </w:r>
    </w:p>
    <w:p>
      <w:pPr>
        <w:rPr>
          <w:rFonts w:hint="eastAsia" w:ascii="宋体" w:hAnsi="宋体" w:eastAsia="宋体" w:cs="宋体"/>
          <w:b/>
          <w:bCs/>
          <w:sz w:val="28"/>
          <w:szCs w:val="32"/>
        </w:rPr>
        <w:sectPr>
          <w:headerReference r:id="rId3" w:type="default"/>
          <w:footerReference r:id="rId4" w:type="default"/>
          <w:footerReference r:id="rId5" w:type="even"/>
          <w:pgSz w:w="11906" w:h="16838"/>
          <w:pgMar w:top="1361" w:right="1134" w:bottom="1276" w:left="1418" w:header="851" w:footer="992" w:gutter="0"/>
          <w:pgNumType w:start="1"/>
          <w:cols w:space="720" w:num="1"/>
          <w:docGrid w:type="lines" w:linePitch="312" w:charSpace="0"/>
        </w:sectPr>
      </w:pPr>
      <w:r>
        <w:rPr>
          <w:rFonts w:hint="eastAsia" w:ascii="宋体" w:hAnsi="宋体" w:eastAsia="宋体" w:cs="宋体"/>
          <w:bCs/>
          <w:sz w:val="28"/>
          <w:szCs w:val="32"/>
        </w:rPr>
        <w:fldChar w:fldCharType="end"/>
      </w:r>
    </w:p>
    <w:p>
      <w:pPr>
        <w:spacing w:line="360" w:lineRule="auto"/>
        <w:jc w:val="center"/>
        <w:rPr>
          <w:rFonts w:hint="eastAsia" w:ascii="宋体" w:hAnsi="宋体" w:eastAsia="宋体" w:cs="宋体"/>
          <w:b/>
          <w:sz w:val="32"/>
          <w:lang w:eastAsia="zh-CN"/>
        </w:rPr>
      </w:pPr>
      <w:r>
        <w:rPr>
          <w:rFonts w:hint="eastAsia" w:ascii="宋体" w:hAnsi="宋体" w:cs="宋体"/>
          <w:b/>
          <w:sz w:val="32"/>
          <w:lang w:eastAsia="zh-CN"/>
        </w:rPr>
        <w:t>塔城市第三次全国土壤普查项目（内业检测和成果汇总）</w:t>
      </w:r>
    </w:p>
    <w:p>
      <w:pPr>
        <w:spacing w:line="440" w:lineRule="exact"/>
        <w:jc w:val="center"/>
        <w:outlineLvl w:val="0"/>
        <w:rPr>
          <w:rFonts w:hint="eastAsia" w:ascii="宋体" w:hAnsi="宋体" w:eastAsia="宋体" w:cs="宋体"/>
          <w:b/>
          <w:sz w:val="32"/>
          <w:szCs w:val="32"/>
        </w:rPr>
      </w:pPr>
      <w:bookmarkStart w:id="0" w:name="_Toc28978"/>
      <w:r>
        <w:rPr>
          <w:rFonts w:hint="eastAsia" w:ascii="宋体" w:hAnsi="宋体" w:eastAsia="宋体" w:cs="宋体"/>
          <w:b/>
          <w:sz w:val="32"/>
          <w:szCs w:val="32"/>
        </w:rPr>
        <w:t>公开招标公告</w:t>
      </w:r>
      <w:bookmarkEnd w:id="0"/>
    </w:p>
    <w:p>
      <w:pPr>
        <w:spacing w:line="360" w:lineRule="auto"/>
        <w:ind w:firstLine="480" w:firstLineChars="200"/>
        <w:rPr>
          <w:rFonts w:hint="eastAsia" w:ascii="宋体" w:hAnsi="宋体" w:eastAsia="宋体" w:cs="宋体"/>
          <w:color w:val="auto"/>
          <w:sz w:val="24"/>
          <w:szCs w:val="24"/>
        </w:rPr>
      </w:pPr>
      <w:r>
        <w:rPr>
          <w:rFonts w:hint="eastAsia" w:ascii="宋体" w:hAnsi="宋体" w:cs="宋体"/>
          <w:sz w:val="24"/>
          <w:szCs w:val="24"/>
          <w:u w:val="single"/>
          <w:lang w:eastAsia="zh-CN"/>
        </w:rPr>
        <w:t>塔</w:t>
      </w:r>
      <w:r>
        <w:rPr>
          <w:rFonts w:hint="eastAsia" w:ascii="宋体" w:hAnsi="宋体" w:cs="宋体"/>
          <w:color w:val="auto"/>
          <w:sz w:val="24"/>
          <w:szCs w:val="24"/>
          <w:u w:val="single"/>
          <w:lang w:eastAsia="zh-CN"/>
        </w:rPr>
        <w:t>城市第三次全国土壤普查项目（内业检测和成果汇总）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项目的潜在投标人应在投标人登录政采云平台https://www.zcygov.cn/在线申请获取招标文件（进入“项目采购”应用，在获取招标文件菜单中选择项目，申请获取招标文件）并于</w:t>
      </w:r>
      <w:r>
        <w:rPr>
          <w:rFonts w:hint="eastAsia" w:ascii="宋体" w:hAnsi="宋体" w:eastAsia="宋体" w:cs="宋体"/>
          <w:color w:val="auto"/>
          <w:sz w:val="24"/>
          <w:szCs w:val="24"/>
          <w:u w:val="single"/>
        </w:rPr>
        <w:t xml:space="preserve"> 2023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11:00</w:t>
      </w:r>
      <w:r>
        <w:rPr>
          <w:rFonts w:hint="eastAsia" w:ascii="宋体" w:hAnsi="宋体" w:eastAsia="宋体" w:cs="宋体"/>
          <w:color w:val="auto"/>
          <w:sz w:val="24"/>
          <w:szCs w:val="24"/>
        </w:rPr>
        <w:t>（北京时间）前递交投标文件。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pPr>
        <w:spacing w:line="360" w:lineRule="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XJSZG2023-227</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u w:val="single"/>
          <w:lang w:eastAsia="zh-CN"/>
        </w:rPr>
        <w:t>塔城市第三次全国土壤普查项目（内业检测和成果汇总）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采购方式：</w:t>
      </w:r>
      <w:r>
        <w:rPr>
          <w:rFonts w:hint="eastAsia" w:ascii="宋体" w:hAnsi="宋体" w:eastAsia="宋体" w:cs="宋体"/>
          <w:color w:val="auto"/>
          <w:sz w:val="24"/>
          <w:szCs w:val="24"/>
          <w:u w:val="single"/>
        </w:rPr>
        <w:t>公开招标</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r>
        <w:rPr>
          <w:rFonts w:hint="eastAsia" w:ascii="宋体" w:hAnsi="宋体" w:cs="宋体"/>
          <w:color w:val="auto"/>
          <w:sz w:val="24"/>
          <w:szCs w:val="24"/>
          <w:lang w:eastAsia="zh-CN"/>
        </w:rPr>
        <w:t>6060000</w:t>
      </w:r>
      <w:r>
        <w:rPr>
          <w:rFonts w:hint="eastAsia" w:ascii="宋体" w:hAnsi="宋体" w:eastAsia="宋体" w:cs="宋体"/>
          <w:color w:val="auto"/>
          <w:sz w:val="24"/>
          <w:szCs w:val="24"/>
        </w:rPr>
        <w:t>元</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r>
        <w:rPr>
          <w:rFonts w:hint="eastAsia" w:ascii="宋体" w:hAnsi="宋体" w:cs="宋体"/>
          <w:color w:val="auto"/>
          <w:sz w:val="24"/>
          <w:szCs w:val="24"/>
          <w:lang w:eastAsia="zh-CN"/>
        </w:rPr>
        <w:t>6060000</w:t>
      </w:r>
      <w:r>
        <w:rPr>
          <w:rFonts w:hint="eastAsia" w:ascii="宋体" w:hAnsi="宋体" w:eastAsia="宋体" w:cs="宋体"/>
          <w:color w:val="auto"/>
          <w:sz w:val="24"/>
          <w:szCs w:val="24"/>
        </w:rPr>
        <w:t>元</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简要规格描述或项目基本概况介绍、用途：</w:t>
      </w:r>
      <w:r>
        <w:rPr>
          <w:rFonts w:hint="eastAsia" w:ascii="宋体" w:hAnsi="宋体" w:eastAsia="宋体" w:cs="宋体"/>
          <w:color w:val="auto"/>
          <w:sz w:val="24"/>
          <w:szCs w:val="24"/>
          <w:lang w:val="en-US" w:eastAsia="zh-CN"/>
        </w:rPr>
        <w:t>1、内业检测</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塔城市表层样品</w:t>
      </w:r>
      <w:r>
        <w:rPr>
          <w:rFonts w:hint="eastAsia" w:ascii="宋体" w:hAnsi="宋体" w:eastAsia="宋体" w:cs="宋体"/>
          <w:color w:val="auto"/>
          <w:sz w:val="24"/>
          <w:szCs w:val="24"/>
          <w:lang w:val="en-US" w:eastAsia="zh-CN"/>
        </w:rPr>
        <w:t>1932个，其中耕地样品1733个，草场133个，园地23个、林地43个。剖面样品45个，其中耕地样品26个，草场11个，林地8个。其中严格按照第三次全国土壤普查技术规范和</w:t>
      </w:r>
      <w:r>
        <w:rPr>
          <w:rFonts w:hint="eastAsia" w:ascii="宋体" w:hAnsi="宋体" w:eastAsia="宋体" w:cs="宋体"/>
          <w:color w:val="auto"/>
          <w:sz w:val="24"/>
          <w:szCs w:val="24"/>
          <w:lang w:val="zh-CN" w:eastAsia="zh-CN"/>
        </w:rPr>
        <w:t>土壤样品制备与检测技术规范执行，检测项目包括耕地园地土壤样品检测指标和林地草地土壤样品检测指标。</w:t>
      </w:r>
      <w:r>
        <w:rPr>
          <w:rFonts w:hint="eastAsia" w:ascii="宋体" w:hAnsi="宋体" w:eastAsia="宋体" w:cs="宋体"/>
          <w:color w:val="auto"/>
          <w:sz w:val="24"/>
          <w:szCs w:val="24"/>
          <w:lang w:val="en-US" w:eastAsia="zh-CN"/>
        </w:rPr>
        <w:t>根据全国土壤普查办工作要求，第三次全国土壤普查工作全面铺开后的耕地园地剖面样和表层样需要加测全硒；林地草地剖面样和表层样需要加测水溶性盐总量和电导率，若水溶性盐总量大于等于1.0g／kg时，需要加测8大离子（水溶性钠离子、钾离子、钙离子、镁离子、碳酸根、碳酸氢根、硫酸根、氯根）。</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2、成果汇总</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土壤“三普”调查检测数据的审核、土壤普查数据库构建（三普基础数据库和专题数据库）、土壤制图（土壤类型图和土壤属性专题图等）、总</w:t>
      </w:r>
      <w:r>
        <w:rPr>
          <w:rFonts w:hint="eastAsia" w:ascii="宋体" w:hAnsi="宋体" w:eastAsia="宋体" w:cs="宋体"/>
          <w:color w:val="auto"/>
          <w:sz w:val="24"/>
          <w:szCs w:val="24"/>
          <w:highlight w:val="none"/>
          <w:lang w:val="en-US" w:eastAsia="zh-CN"/>
        </w:rPr>
        <w:t>结报告（工作、技术和专题报告）及验收等工作。</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合同履约期限：</w:t>
      </w:r>
      <w:r>
        <w:rPr>
          <w:rFonts w:hint="eastAsia" w:ascii="宋体" w:hAnsi="宋体" w:eastAsia="宋体" w:cs="Times New Roman"/>
          <w:sz w:val="24"/>
          <w:highlight w:val="none"/>
        </w:rPr>
        <w:t>签订合同后按照甲方</w:t>
      </w:r>
      <w:r>
        <w:rPr>
          <w:rFonts w:hint="eastAsia" w:ascii="宋体" w:hAnsi="宋体" w:cs="Times New Roman"/>
          <w:sz w:val="24"/>
          <w:highlight w:val="none"/>
          <w:lang w:val="en-US" w:eastAsia="zh-CN"/>
        </w:rPr>
        <w:t>及自治区</w:t>
      </w:r>
      <w:r>
        <w:rPr>
          <w:rFonts w:hint="eastAsia" w:ascii="宋体" w:hAnsi="宋体" w:eastAsia="宋体" w:cs="Times New Roman"/>
          <w:sz w:val="24"/>
          <w:highlight w:val="none"/>
        </w:rPr>
        <w:t>进度要求分批次</w:t>
      </w:r>
      <w:r>
        <w:rPr>
          <w:rFonts w:hint="eastAsia" w:ascii="宋体" w:hAnsi="宋体" w:eastAsia="宋体" w:cs="Times New Roman"/>
          <w:sz w:val="24"/>
          <w:highlight w:val="none"/>
          <w:lang w:eastAsia="zh-CN"/>
        </w:rPr>
        <w:t>完成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r>
        <w:rPr>
          <w:rFonts w:hint="eastAsia" w:ascii="宋体" w:hAnsi="宋体" w:cs="宋体"/>
          <w:color w:val="auto"/>
          <w:sz w:val="24"/>
          <w:szCs w:val="24"/>
          <w:lang w:eastAsia="zh-CN"/>
        </w:rPr>
        <w:t>无</w:t>
      </w:r>
      <w:r>
        <w:rPr>
          <w:rFonts w:hint="eastAsia" w:ascii="宋体" w:hAnsi="宋体" w:eastAsia="宋体" w:cs="宋体"/>
          <w:color w:val="auto"/>
          <w:sz w:val="24"/>
          <w:szCs w:val="24"/>
        </w:rPr>
        <w:t>。</w:t>
      </w:r>
    </w:p>
    <w:p>
      <w:pPr>
        <w:pStyle w:val="11"/>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投标人须是在“信用中国”（www.creditchina.gov.cn）和中国政府采购网（www.ccgp.gov.cn）网站上未被列入失信被执行人、重大税收违法案件当事人名单以及政府采购严重违法失信行为记录名单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1、具备检验检测机构资质认定证书 (CMA)；</w:t>
      </w:r>
      <w:r>
        <w:rPr>
          <w:rFonts w:hint="eastAsia" w:ascii="宋体" w:hAnsi="宋体" w:cs="宋体"/>
          <w:color w:val="auto"/>
          <w:sz w:val="24"/>
          <w:szCs w:val="24"/>
          <w:highlight w:val="none"/>
          <w:lang w:eastAsia="zh-CN"/>
        </w:rPr>
        <w:t>（以联合体形式参与投标的，联合体一方须具备</w:t>
      </w:r>
      <w:r>
        <w:rPr>
          <w:rFonts w:hint="eastAsia" w:ascii="宋体" w:hAnsi="宋体" w:eastAsia="宋体" w:cs="宋体"/>
          <w:color w:val="auto"/>
          <w:sz w:val="24"/>
          <w:szCs w:val="24"/>
          <w:highlight w:val="none"/>
        </w:rPr>
        <w:t>检验检测机构资质认定证书 (CMA)</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供应商需在国务院第三次全国土壤普查领导小组办公室公布的“第三次全国土壤普查检测实验室"名录内或“新疆维吾尔自治区第三全国土壤普查领导小组办公室”审核通过的实验室名录之内</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eastAsia="zh-CN"/>
        </w:rPr>
        <w:t>（以联合体形式参与投标的，联合体一方须在名录内）</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3.供应商具有乙级及以上测绘资质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（以联合体形式参与投标的，联合体一方须具备</w:t>
      </w:r>
      <w:r>
        <w:rPr>
          <w:rFonts w:hint="eastAsia" w:ascii="宋体" w:hAnsi="宋体" w:eastAsia="宋体" w:cs="宋体"/>
          <w:color w:val="auto"/>
          <w:sz w:val="24"/>
          <w:szCs w:val="24"/>
          <w:highlight w:val="none"/>
          <w:lang w:val="en-US" w:eastAsia="zh-CN"/>
        </w:rPr>
        <w:t>乙级及以上测绘资质</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4.本项目接受联合体投标.</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三、获取招标文件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2023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29</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2023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06</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sz w:val="24"/>
          <w:szCs w:val="24"/>
        </w:rPr>
        <w:t>，（每日00：00-12：00，12：00-23：59（北京时间，法定节假日除外）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地点：登陆政采云https://www.zcygov.cn/平台后进入“项目采购“应用，在获取文件菜单中选择项目，申请获取采购文件。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方式：投标人须办理CA数字证书，通过CA数字证书登陆政采云平台https://www.zcygov.cn/，进行下载采购文件。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售价（元）：</w:t>
      </w:r>
      <w:r>
        <w:rPr>
          <w:rFonts w:hint="eastAsia" w:ascii="宋体" w:hAnsi="宋体" w:eastAsia="宋体" w:cs="宋体"/>
          <w:sz w:val="24"/>
          <w:szCs w:val="24"/>
          <w:u w:val="single"/>
        </w:rPr>
        <w:t>0</w:t>
      </w:r>
    </w:p>
    <w:p>
      <w:pPr>
        <w:spacing w:line="360" w:lineRule="auto"/>
        <w:rPr>
          <w:rFonts w:hint="eastAsia" w:ascii="宋体" w:hAnsi="宋体" w:eastAsia="宋体" w:cs="宋体"/>
          <w:sz w:val="24"/>
          <w:szCs w:val="24"/>
        </w:rPr>
      </w:pPr>
      <w:r>
        <w:rPr>
          <w:rFonts w:hint="eastAsia" w:ascii="宋体" w:hAnsi="宋体" w:eastAsia="宋体" w:cs="宋体"/>
          <w:sz w:val="24"/>
          <w:szCs w:val="24"/>
        </w:rPr>
        <w:t>四、提交投标文件截止时间和地点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提交投标文件截止时间：</w:t>
      </w:r>
      <w:r>
        <w:rPr>
          <w:rFonts w:hint="eastAsia" w:ascii="宋体" w:hAnsi="宋体" w:cs="宋体"/>
          <w:color w:val="FF0000"/>
          <w:sz w:val="24"/>
          <w:szCs w:val="24"/>
          <w:u w:val="single"/>
          <w:lang w:eastAsia="zh-CN"/>
        </w:rPr>
        <w:t xml:space="preserve">2023 年 12 月 </w:t>
      </w:r>
      <w:r>
        <w:rPr>
          <w:rFonts w:hint="eastAsia" w:ascii="宋体" w:hAnsi="宋体" w:cs="宋体"/>
          <w:color w:val="FF0000"/>
          <w:sz w:val="24"/>
          <w:szCs w:val="24"/>
          <w:u w:val="single"/>
          <w:lang w:val="en-US" w:eastAsia="zh-CN"/>
        </w:rPr>
        <w:t>20</w:t>
      </w:r>
      <w:r>
        <w:rPr>
          <w:rFonts w:hint="eastAsia" w:ascii="宋体" w:hAnsi="宋体" w:cs="宋体"/>
          <w:color w:val="FF0000"/>
          <w:sz w:val="24"/>
          <w:szCs w:val="24"/>
          <w:u w:val="single"/>
          <w:lang w:eastAsia="zh-CN"/>
        </w:rPr>
        <w:t xml:space="preserve"> 日</w:t>
      </w:r>
      <w:r>
        <w:rPr>
          <w:rFonts w:hint="eastAsia" w:ascii="宋体" w:hAnsi="宋体" w:eastAsia="宋体" w:cs="宋体"/>
          <w:color w:val="FF0000"/>
          <w:sz w:val="24"/>
          <w:szCs w:val="24"/>
        </w:rPr>
        <w:t>11:00</w:t>
      </w:r>
      <w:r>
        <w:rPr>
          <w:rFonts w:hint="eastAsia" w:ascii="宋体" w:hAnsi="宋体" w:eastAsia="宋体" w:cs="宋体"/>
          <w:sz w:val="24"/>
          <w:szCs w:val="24"/>
        </w:rPr>
        <w:t>（北京时间）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提交地点：将投标文件上传至政采云平台https://www.zcygov.cn/对应位置（逾期未上传的或不符合规定的投标文件将被拒绝接收）。</w:t>
      </w:r>
    </w:p>
    <w:p>
      <w:pPr>
        <w:spacing w:line="360" w:lineRule="auto"/>
        <w:rPr>
          <w:rFonts w:hint="eastAsia" w:ascii="宋体" w:hAnsi="宋体" w:eastAsia="宋体" w:cs="宋体"/>
          <w:sz w:val="24"/>
          <w:szCs w:val="24"/>
        </w:rPr>
      </w:pPr>
      <w:r>
        <w:rPr>
          <w:rFonts w:hint="eastAsia" w:ascii="宋体" w:hAnsi="宋体" w:eastAsia="宋体" w:cs="宋体"/>
          <w:sz w:val="24"/>
          <w:szCs w:val="24"/>
        </w:rPr>
        <w:t>五、投标文件开启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cs="宋体"/>
          <w:color w:val="FF0000"/>
          <w:sz w:val="24"/>
          <w:szCs w:val="24"/>
          <w:u w:val="single"/>
          <w:lang w:eastAsia="zh-CN"/>
        </w:rPr>
        <w:t xml:space="preserve">2023 年 12 月 </w:t>
      </w:r>
      <w:r>
        <w:rPr>
          <w:rFonts w:hint="eastAsia" w:ascii="宋体" w:hAnsi="宋体" w:cs="宋体"/>
          <w:color w:val="FF0000"/>
          <w:sz w:val="24"/>
          <w:szCs w:val="24"/>
          <w:u w:val="single"/>
          <w:lang w:val="en-US" w:eastAsia="zh-CN"/>
        </w:rPr>
        <w:t>20</w:t>
      </w:r>
      <w:r>
        <w:rPr>
          <w:rFonts w:hint="eastAsia" w:ascii="宋体" w:hAnsi="宋体" w:cs="宋体"/>
          <w:color w:val="FF0000"/>
          <w:sz w:val="24"/>
          <w:szCs w:val="24"/>
          <w:u w:val="single"/>
          <w:lang w:eastAsia="zh-CN"/>
        </w:rPr>
        <w:t xml:space="preserve"> 日</w:t>
      </w:r>
      <w:r>
        <w:rPr>
          <w:rFonts w:hint="eastAsia" w:ascii="宋体" w:hAnsi="宋体" w:eastAsia="宋体" w:cs="宋体"/>
          <w:color w:val="FF0000"/>
          <w:sz w:val="24"/>
          <w:szCs w:val="24"/>
        </w:rPr>
        <w:t>11:00</w:t>
      </w:r>
      <w:r>
        <w:rPr>
          <w:rFonts w:hint="eastAsia" w:ascii="宋体" w:hAnsi="宋体" w:eastAsia="宋体" w:cs="宋体"/>
          <w:sz w:val="24"/>
          <w:szCs w:val="24"/>
        </w:rPr>
        <w:t>（北京时间）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开标地点：政采云网上不见面开标系统。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spacing w:line="360" w:lineRule="auto"/>
        <w:rPr>
          <w:rFonts w:hint="eastAsia" w:ascii="宋体" w:hAnsi="宋体" w:eastAsia="宋体" w:cs="宋体"/>
          <w:sz w:val="24"/>
          <w:szCs w:val="24"/>
        </w:rPr>
      </w:pPr>
      <w:r>
        <w:rPr>
          <w:rFonts w:hint="eastAsia" w:ascii="宋体" w:hAnsi="宋体" w:eastAsia="宋体" w:cs="宋体"/>
          <w:sz w:val="24"/>
          <w:szCs w:val="24"/>
        </w:rPr>
        <w:t>七、其他补充事宜</w:t>
      </w:r>
    </w:p>
    <w:p>
      <w:pPr>
        <w:pStyle w:val="33"/>
        <w:spacing w:before="20" w:beforeAutospacing="0" w:after="20" w:afterAutospacing="0" w:line="360" w:lineRule="auto"/>
        <w:rPr>
          <w:rFonts w:hint="eastAsia" w:ascii="宋体" w:hAnsi="宋体" w:eastAsia="宋体" w:cs="宋体"/>
          <w:kern w:val="2"/>
        </w:rPr>
      </w:pPr>
      <w:r>
        <w:rPr>
          <w:rFonts w:hint="eastAsia" w:ascii="宋体" w:hAnsi="宋体" w:eastAsia="宋体" w:cs="宋体"/>
          <w:kern w:val="2"/>
        </w:rPr>
        <w:t>（1）本项目采用全流程不见面电子开评标，</w:t>
      </w:r>
      <w:r>
        <w:rPr>
          <w:rFonts w:hint="eastAsia" w:ascii="宋体" w:hAnsi="宋体" w:eastAsia="宋体" w:cs="宋体"/>
        </w:rPr>
        <w:t>投标人</w:t>
      </w:r>
      <w:r>
        <w:rPr>
          <w:rFonts w:hint="eastAsia" w:ascii="宋体" w:hAnsi="宋体" w:eastAsia="宋体" w:cs="宋体"/>
          <w:kern w:val="2"/>
        </w:rPr>
        <w:t>需要使用CA加密设备，</w:t>
      </w:r>
      <w:r>
        <w:rPr>
          <w:rFonts w:hint="eastAsia" w:ascii="宋体" w:hAnsi="宋体" w:eastAsia="宋体" w:cs="宋体"/>
        </w:rPr>
        <w:t>投标人</w:t>
      </w:r>
      <w:r>
        <w:rPr>
          <w:rFonts w:hint="eastAsia" w:ascii="宋体" w:hAnsi="宋体" w:eastAsia="宋体" w:cs="宋体"/>
          <w:kern w:val="2"/>
        </w:rPr>
        <w:t>可通过新疆数字证书认证中心官网（https://www.xjca.com.cn/）或下载“新疆政务通”APP自行进行申领。</w:t>
      </w:r>
    </w:p>
    <w:p>
      <w:pPr>
        <w:pStyle w:val="33"/>
        <w:spacing w:before="20" w:beforeAutospacing="0" w:after="20" w:afterAutospacing="0" w:line="360" w:lineRule="auto"/>
        <w:rPr>
          <w:rFonts w:hint="eastAsia" w:ascii="宋体" w:hAnsi="宋体" w:eastAsia="宋体" w:cs="宋体"/>
          <w:kern w:val="2"/>
        </w:rPr>
      </w:pPr>
      <w:r>
        <w:rPr>
          <w:rFonts w:hint="eastAsia" w:ascii="宋体" w:hAnsi="宋体" w:eastAsia="宋体" w:cs="宋体"/>
          <w:kern w:val="2"/>
        </w:rPr>
        <w:t>（2）本项目实行网上投标，采用加密电子投标文件(</w:t>
      </w:r>
      <w:r>
        <w:rPr>
          <w:rFonts w:hint="eastAsia" w:ascii="宋体" w:hAnsi="宋体" w:eastAsia="宋体" w:cs="宋体"/>
        </w:rPr>
        <w:t>投标人</w:t>
      </w:r>
      <w:r>
        <w:rPr>
          <w:rFonts w:hint="eastAsia" w:ascii="宋体" w:hAnsi="宋体" w:eastAsia="宋体" w:cs="宋体"/>
          <w:kern w:val="2"/>
        </w:rPr>
        <w:t>须使用CA加密设备通过政采云电子投标客户端制作投标文件)。若</w:t>
      </w:r>
      <w:r>
        <w:rPr>
          <w:rFonts w:hint="eastAsia" w:ascii="宋体" w:hAnsi="宋体" w:eastAsia="宋体" w:cs="宋体"/>
        </w:rPr>
        <w:t>投标人</w:t>
      </w:r>
      <w:r>
        <w:rPr>
          <w:rFonts w:hint="eastAsia" w:ascii="宋体" w:hAnsi="宋体" w:eastAsia="宋体" w:cs="宋体"/>
          <w:kern w:val="2"/>
        </w:rPr>
        <w:t>参与投标，自行承担投标一切费用。</w:t>
      </w:r>
    </w:p>
    <w:p>
      <w:pPr>
        <w:pStyle w:val="33"/>
        <w:spacing w:before="20" w:beforeAutospacing="0" w:after="20" w:afterAutospacing="0" w:line="360" w:lineRule="auto"/>
        <w:rPr>
          <w:rFonts w:hint="eastAsia" w:ascii="宋体" w:hAnsi="宋体" w:eastAsia="宋体" w:cs="宋体"/>
          <w:kern w:val="2"/>
        </w:rPr>
      </w:pPr>
      <w:r>
        <w:rPr>
          <w:rFonts w:hint="eastAsia" w:ascii="宋体" w:hAnsi="宋体" w:eastAsia="宋体" w:cs="宋体"/>
          <w:kern w:val="2"/>
        </w:rPr>
        <w:t>（3）各投标人在开标前应确保成为新疆政府采购网正式注册入库供应商，并完成CA数字证书申领。因未注册入库、未办理CA数字证书等原因造成无法投标或投标失败等后果由</w:t>
      </w:r>
      <w:r>
        <w:rPr>
          <w:rFonts w:hint="eastAsia" w:ascii="宋体" w:hAnsi="宋体" w:eastAsia="宋体" w:cs="宋体"/>
        </w:rPr>
        <w:t>投标人</w:t>
      </w:r>
      <w:r>
        <w:rPr>
          <w:rFonts w:hint="eastAsia" w:ascii="宋体" w:hAnsi="宋体" w:eastAsia="宋体" w:cs="宋体"/>
          <w:kern w:val="2"/>
        </w:rPr>
        <w:t>自行承担。</w:t>
      </w:r>
    </w:p>
    <w:p>
      <w:pPr>
        <w:pStyle w:val="33"/>
        <w:spacing w:before="20" w:beforeAutospacing="0" w:after="20" w:afterAutospacing="0" w:line="360" w:lineRule="auto"/>
        <w:rPr>
          <w:rFonts w:hint="eastAsia" w:ascii="宋体" w:hAnsi="宋体" w:eastAsia="宋体" w:cs="宋体"/>
          <w:kern w:val="2"/>
        </w:rPr>
      </w:pPr>
      <w:r>
        <w:rPr>
          <w:rFonts w:hint="eastAsia" w:ascii="宋体" w:hAnsi="宋体" w:eastAsia="宋体" w:cs="宋体"/>
          <w:kern w:val="2"/>
        </w:rPr>
        <w:t>（4）投标人将政采云电子交易客户端下载、安装完成后，可通过账号密码或CA登录客户端进行投标文件制作。在使用政采云投标客户端时，建议使用WIN7及以上操作系统。客户端请至政采云平台（https://login.zcygov.cn/user-login/#/login）下载专区查看，如有问题可拨打政采云客户服务热线95763进行咨询。</w:t>
      </w:r>
    </w:p>
    <w:p>
      <w:pPr>
        <w:pStyle w:val="33"/>
        <w:spacing w:before="20" w:beforeAutospacing="0" w:after="20" w:afterAutospacing="0" w:line="360" w:lineRule="auto"/>
        <w:rPr>
          <w:rFonts w:hint="eastAsia" w:ascii="宋体" w:hAnsi="宋体" w:eastAsia="宋体" w:cs="宋体"/>
          <w:kern w:val="2"/>
        </w:rPr>
      </w:pPr>
      <w:r>
        <w:rPr>
          <w:rFonts w:hint="eastAsia" w:ascii="宋体" w:hAnsi="宋体" w:eastAsia="宋体" w:cs="宋体"/>
          <w:kern w:val="2"/>
        </w:rPr>
        <w:t>（5）投标人在开标时须使用制作加密电子投标文件所使用的CA锁及电脑，电脑须提前配置好浏览器，以便开标时解锁。如因</w:t>
      </w:r>
      <w:r>
        <w:rPr>
          <w:rFonts w:hint="eastAsia" w:ascii="宋体" w:hAnsi="宋体" w:eastAsia="宋体" w:cs="宋体"/>
        </w:rPr>
        <w:t>投标人</w:t>
      </w:r>
      <w:r>
        <w:rPr>
          <w:rFonts w:hint="eastAsia" w:ascii="宋体" w:hAnsi="宋体" w:eastAsia="宋体" w:cs="宋体"/>
          <w:kern w:val="2"/>
        </w:rPr>
        <w:t>自身原因导致在规定时间内无法正常解密的（如：浏览器故障、未安装相关驱动、网络故障、加密CA与解密CA不一致等），采购代理机构不予异常处理，视为</w:t>
      </w:r>
      <w:r>
        <w:rPr>
          <w:rFonts w:hint="eastAsia" w:ascii="宋体" w:hAnsi="宋体" w:eastAsia="宋体" w:cs="宋体"/>
        </w:rPr>
        <w:t>投标人</w:t>
      </w:r>
      <w:r>
        <w:rPr>
          <w:rFonts w:hint="eastAsia" w:ascii="宋体" w:hAnsi="宋体" w:eastAsia="宋体" w:cs="宋体"/>
          <w:kern w:val="2"/>
        </w:rPr>
        <w:t>自动弃标。</w:t>
      </w:r>
    </w:p>
    <w:p>
      <w:pPr>
        <w:spacing w:line="360" w:lineRule="auto"/>
        <w:rPr>
          <w:rFonts w:hint="eastAsia" w:ascii="宋体" w:hAnsi="宋体" w:eastAsia="宋体" w:cs="宋体"/>
          <w:sz w:val="24"/>
          <w:szCs w:val="24"/>
        </w:rPr>
      </w:pPr>
      <w:r>
        <w:rPr>
          <w:rFonts w:hint="eastAsia" w:ascii="宋体" w:hAnsi="宋体" w:eastAsia="宋体" w:cs="宋体"/>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政采云在线客服获取服务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特别提示： </w:t>
      </w:r>
    </w:p>
    <w:p>
      <w:pPr>
        <w:spacing w:line="360" w:lineRule="auto"/>
        <w:rPr>
          <w:rFonts w:hint="eastAsia" w:ascii="宋体" w:hAnsi="宋体" w:eastAsia="宋体" w:cs="宋体"/>
          <w:sz w:val="24"/>
          <w:szCs w:val="24"/>
        </w:rPr>
      </w:pPr>
      <w:r>
        <w:rPr>
          <w:rFonts w:hint="eastAsia" w:ascii="宋体" w:hAnsi="宋体" w:eastAsia="宋体" w:cs="宋体"/>
          <w:sz w:val="24"/>
          <w:szCs w:val="24"/>
        </w:rPr>
        <w:t>1、采购限额标准以上，200万元以下的货物和服务采购项目、400万元以下的工程采购项目，适宜由中小企业提供的，采购人应当专门面向中小企业采购。</w:t>
      </w:r>
    </w:p>
    <w:p>
      <w:pPr>
        <w:spacing w:line="360" w:lineRule="auto"/>
        <w:rPr>
          <w:rFonts w:hint="eastAsia" w:ascii="宋体" w:hAnsi="宋体" w:eastAsia="宋体" w:cs="宋体"/>
          <w:sz w:val="24"/>
          <w:szCs w:val="24"/>
        </w:rPr>
      </w:pPr>
      <w:r>
        <w:rPr>
          <w:rFonts w:hint="eastAsia" w:ascii="宋体" w:hAnsi="宋体" w:eastAsia="宋体" w:cs="宋体"/>
          <w:sz w:val="24"/>
          <w:szCs w:val="24"/>
        </w:rPr>
        <w:t>2、超过200万元的货物和服务采购项目，预留该部分采购项目预算总额的30%以上专门面向中小企业采购，其中预留给小微企业的比例不低于60%。</w:t>
      </w:r>
    </w:p>
    <w:p>
      <w:pPr>
        <w:spacing w:line="360" w:lineRule="auto"/>
        <w:rPr>
          <w:rFonts w:hint="eastAsia" w:ascii="宋体" w:hAnsi="宋体" w:eastAsia="宋体" w:cs="宋体"/>
          <w:sz w:val="24"/>
          <w:szCs w:val="24"/>
        </w:rPr>
      </w:pPr>
      <w:r>
        <w:rPr>
          <w:rFonts w:hint="eastAsia" w:ascii="宋体" w:hAnsi="宋体" w:eastAsia="宋体" w:cs="宋体"/>
          <w:sz w:val="24"/>
          <w:szCs w:val="24"/>
        </w:rPr>
        <w:t>3、超过400万元的工程采购项目中适宜由中小企业提供的，预留该部分采购项目预算总额的40%以上专门面向中小企业采购，其中预留给小微企业的比例不低于60%。</w:t>
      </w:r>
    </w:p>
    <w:p>
      <w:pPr>
        <w:spacing w:line="360" w:lineRule="auto"/>
        <w:rPr>
          <w:rFonts w:hint="eastAsia" w:ascii="宋体" w:hAnsi="宋体" w:eastAsia="宋体" w:cs="宋体"/>
          <w:sz w:val="24"/>
          <w:szCs w:val="24"/>
        </w:rPr>
      </w:pPr>
      <w:r>
        <w:rPr>
          <w:rFonts w:hint="eastAsia" w:ascii="宋体" w:hAnsi="宋体" w:eastAsia="宋体" w:cs="宋体"/>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rPr>
          <w:rFonts w:hint="eastAsia" w:ascii="宋体" w:hAnsi="宋体" w:eastAsia="宋体" w:cs="宋体"/>
          <w:sz w:val="24"/>
          <w:szCs w:val="24"/>
        </w:rPr>
      </w:pPr>
      <w:r>
        <w:rPr>
          <w:rFonts w:hint="eastAsia" w:ascii="宋体" w:hAnsi="宋体" w:eastAsia="宋体" w:cs="宋体"/>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360" w:lineRule="auto"/>
        <w:rPr>
          <w:rFonts w:hint="eastAsia" w:ascii="宋体" w:hAnsi="宋体" w:eastAsia="宋体" w:cs="宋体"/>
          <w:sz w:val="24"/>
          <w:szCs w:val="24"/>
        </w:rPr>
      </w:pPr>
      <w:r>
        <w:rPr>
          <w:rFonts w:hint="eastAsia" w:ascii="宋体" w:hAnsi="宋体" w:eastAsia="宋体" w:cs="宋体"/>
          <w:sz w:val="24"/>
          <w:szCs w:val="24"/>
        </w:rPr>
        <w:t>八、对本次采购提出询问，请按以下方式联系</w:t>
      </w:r>
    </w:p>
    <w:p>
      <w:pPr>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塔城市农业农村局</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cs="宋体"/>
          <w:sz w:val="24"/>
          <w:szCs w:val="24"/>
          <w:lang w:eastAsia="zh-CN"/>
        </w:rPr>
        <w:t>塔城市新华街饮马巷3号</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eastAsia="zh-CN"/>
        </w:rPr>
        <w:t>马雪梅</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cs="宋体"/>
          <w:sz w:val="24"/>
          <w:szCs w:val="24"/>
          <w:lang w:eastAsia="zh-CN"/>
        </w:rPr>
        <w:t xml:space="preserve">13579791100 </w:t>
      </w:r>
    </w:p>
    <w:p>
      <w:pPr>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名 称：新疆守正项目管理咨询有限公司</w:t>
      </w:r>
    </w:p>
    <w:p>
      <w:pPr>
        <w:spacing w:line="360" w:lineRule="auto"/>
        <w:rPr>
          <w:rFonts w:hint="eastAsia" w:ascii="宋体" w:hAnsi="宋体" w:eastAsia="宋体" w:cs="宋体"/>
          <w:sz w:val="24"/>
          <w:szCs w:val="24"/>
        </w:rPr>
      </w:pPr>
      <w:r>
        <w:rPr>
          <w:rFonts w:hint="eastAsia" w:ascii="宋体" w:hAnsi="宋体" w:eastAsia="宋体" w:cs="宋体"/>
          <w:sz w:val="24"/>
          <w:szCs w:val="24"/>
        </w:rPr>
        <w:t>地 址：新疆乌鲁木齐经济技术开发区新疆旅游大厦11楼1107室</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项目联系人： </w:t>
      </w:r>
      <w:r>
        <w:rPr>
          <w:rFonts w:hint="eastAsia" w:ascii="宋体" w:hAnsi="宋体" w:eastAsia="宋体" w:cs="宋体"/>
          <w:sz w:val="24"/>
          <w:szCs w:val="24"/>
          <w:lang w:eastAsia="zh-CN"/>
        </w:rPr>
        <w:t>郑步岳</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18599104040</w:t>
      </w:r>
    </w:p>
    <w:p>
      <w:pPr>
        <w:widowControl/>
        <w:jc w:val="left"/>
        <w:rPr>
          <w:rFonts w:hint="eastAsia" w:ascii="宋体" w:hAnsi="宋体" w:eastAsia="宋体" w:cs="宋体"/>
          <w:b/>
          <w:sz w:val="24"/>
          <w:szCs w:val="24"/>
        </w:rPr>
      </w:pPr>
      <w:r>
        <w:rPr>
          <w:rFonts w:hint="eastAsia" w:ascii="宋体" w:hAnsi="宋体" w:eastAsia="宋体" w:cs="宋体"/>
          <w:b/>
          <w:sz w:val="24"/>
          <w:szCs w:val="24"/>
        </w:rPr>
        <w:br w:type="page"/>
      </w:r>
    </w:p>
    <w:p>
      <w:pPr>
        <w:spacing w:line="440" w:lineRule="exact"/>
        <w:jc w:val="center"/>
        <w:outlineLvl w:val="0"/>
        <w:rPr>
          <w:rFonts w:hint="eastAsia" w:ascii="宋体" w:hAnsi="宋体" w:eastAsia="宋体" w:cs="宋体"/>
          <w:b/>
          <w:sz w:val="24"/>
          <w:szCs w:val="24"/>
        </w:rPr>
      </w:pPr>
      <w:bookmarkStart w:id="1" w:name="_Toc14060"/>
      <w:r>
        <w:rPr>
          <w:rFonts w:hint="eastAsia" w:ascii="宋体" w:hAnsi="宋体" w:eastAsia="宋体" w:cs="宋体"/>
          <w:b/>
          <w:sz w:val="24"/>
          <w:szCs w:val="24"/>
        </w:rPr>
        <w:t>投标人须知前附表</w:t>
      </w:r>
      <w:bookmarkEnd w:id="1"/>
    </w:p>
    <w:tbl>
      <w:tblPr>
        <w:tblStyle w:val="39"/>
        <w:tblW w:w="9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pPr>
              <w:jc w:val="center"/>
              <w:rPr>
                <w:rFonts w:hint="eastAsia" w:ascii="宋体" w:hAnsi="宋体" w:eastAsia="宋体" w:cs="宋体"/>
                <w:b/>
                <w:kern w:val="0"/>
                <w:sz w:val="24"/>
                <w:szCs w:val="24"/>
              </w:rPr>
            </w:pPr>
            <w:r>
              <w:rPr>
                <w:rFonts w:hint="eastAsia" w:ascii="宋体" w:hAnsi="宋体" w:eastAsia="宋体" w:cs="宋体"/>
                <w:b/>
                <w:kern w:val="0"/>
                <w:sz w:val="24"/>
                <w:szCs w:val="24"/>
              </w:rPr>
              <w:t>项号</w:t>
            </w:r>
          </w:p>
        </w:tc>
        <w:tc>
          <w:tcPr>
            <w:tcW w:w="8906" w:type="dxa"/>
            <w:gridSpan w:val="2"/>
          </w:tcPr>
          <w:p>
            <w:pPr>
              <w:jc w:val="center"/>
              <w:rPr>
                <w:rFonts w:hint="eastAsia" w:ascii="宋体" w:hAnsi="宋体" w:eastAsia="宋体" w:cs="宋体"/>
                <w:b/>
                <w:kern w:val="0"/>
                <w:sz w:val="24"/>
                <w:szCs w:val="24"/>
              </w:rPr>
            </w:pPr>
            <w:r>
              <w:rPr>
                <w:rFonts w:hint="eastAsia" w:ascii="宋体" w:hAnsi="宋体" w:eastAsia="宋体" w:cs="宋体"/>
                <w:b/>
                <w:kern w:val="0"/>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496" w:type="dxa"/>
            <w:vAlign w:val="center"/>
          </w:tcPr>
          <w:p>
            <w:pPr>
              <w:autoSpaceDE w:val="0"/>
              <w:autoSpaceDN w:val="0"/>
              <w:adjustRightInd w:val="0"/>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塔城市第三次全国土壤普查项目（内业检测和成果汇总）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项目编号</w:t>
            </w:r>
          </w:p>
        </w:tc>
        <w:tc>
          <w:tcPr>
            <w:tcW w:w="7496" w:type="dxa"/>
            <w:vAlign w:val="center"/>
          </w:tcPr>
          <w:p>
            <w:pPr>
              <w:autoSpaceDE w:val="0"/>
              <w:autoSpaceDN w:val="0"/>
              <w:adjustRightInd w:val="0"/>
              <w:jc w:val="left"/>
              <w:rPr>
                <w:rFonts w:hint="eastAsia" w:ascii="宋体" w:hAnsi="宋体" w:eastAsia="宋体" w:cs="宋体"/>
                <w:kern w:val="0"/>
                <w:sz w:val="24"/>
                <w:szCs w:val="24"/>
                <w:lang w:eastAsia="zh-CN"/>
              </w:rPr>
            </w:pPr>
            <w:r>
              <w:rPr>
                <w:rFonts w:hint="eastAsia" w:ascii="宋体" w:hAnsi="宋体" w:cs="宋体"/>
                <w:sz w:val="24"/>
                <w:szCs w:val="24"/>
                <w:lang w:eastAsia="zh-CN"/>
              </w:rPr>
              <w:t>XJSZG2023-227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7496" w:type="dxa"/>
            <w:vAlign w:val="center"/>
          </w:tcPr>
          <w:p>
            <w:pPr>
              <w:autoSpaceDE w:val="0"/>
              <w:autoSpaceDN w:val="0"/>
              <w:adjustRightInd w:val="0"/>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塔城市农业农村局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采购代理机构</w:t>
            </w:r>
          </w:p>
        </w:tc>
        <w:tc>
          <w:tcPr>
            <w:tcW w:w="7496" w:type="dxa"/>
            <w:vAlign w:val="center"/>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新疆守正项目管理咨询有限公司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项目地点</w:t>
            </w:r>
          </w:p>
        </w:tc>
        <w:tc>
          <w:tcPr>
            <w:tcW w:w="7496" w:type="dxa"/>
            <w:vAlign w:val="center"/>
          </w:tcPr>
          <w:p>
            <w:pPr>
              <w:autoSpaceDE w:val="0"/>
              <w:autoSpaceDN w:val="0"/>
              <w:adjustRightInd w:val="0"/>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塔城市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7496" w:type="dxa"/>
            <w:vAlign w:val="center"/>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预算金额</w:t>
            </w:r>
          </w:p>
        </w:tc>
        <w:tc>
          <w:tcPr>
            <w:tcW w:w="7496" w:type="dxa"/>
            <w:vAlign w:val="center"/>
          </w:tcPr>
          <w:p>
            <w:pPr>
              <w:autoSpaceDE w:val="0"/>
              <w:autoSpaceDN w:val="0"/>
              <w:adjustRightInd w:val="0"/>
              <w:jc w:val="left"/>
              <w:rPr>
                <w:rFonts w:hint="eastAsia" w:ascii="宋体" w:hAnsi="宋体" w:eastAsia="宋体" w:cs="宋体"/>
                <w:kern w:val="0"/>
                <w:sz w:val="24"/>
                <w:szCs w:val="24"/>
              </w:rPr>
            </w:pPr>
            <w:r>
              <w:rPr>
                <w:rFonts w:hint="eastAsia" w:ascii="宋体" w:hAnsi="宋体" w:cs="宋体"/>
                <w:kern w:val="0"/>
                <w:sz w:val="24"/>
                <w:szCs w:val="24"/>
                <w:lang w:eastAsia="zh-CN"/>
              </w:rPr>
              <w:t>6060000</w:t>
            </w:r>
            <w:r>
              <w:rPr>
                <w:rFonts w:hint="eastAsia" w:ascii="宋体" w:hAnsi="宋体" w:eastAsia="宋体" w:cs="宋体"/>
                <w:kern w:val="0"/>
                <w:sz w:val="24"/>
                <w:szCs w:val="24"/>
              </w:rPr>
              <w:t>元，投标人投标报价不得超相应预算金额，否则，按废标处理。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服务期</w:t>
            </w:r>
          </w:p>
        </w:tc>
        <w:tc>
          <w:tcPr>
            <w:tcW w:w="7496" w:type="dxa"/>
            <w:vAlign w:val="center"/>
          </w:tcPr>
          <w:p>
            <w:pPr>
              <w:autoSpaceDE w:val="0"/>
              <w:autoSpaceDN w:val="0"/>
              <w:adjustRightInd w:val="0"/>
              <w:jc w:val="left"/>
              <w:rPr>
                <w:rFonts w:hint="eastAsia" w:ascii="宋体" w:hAnsi="宋体" w:eastAsia="宋体" w:cs="宋体"/>
                <w:kern w:val="0"/>
                <w:sz w:val="24"/>
                <w:szCs w:val="24"/>
                <w:lang w:eastAsia="zh-CN"/>
              </w:rPr>
            </w:pPr>
            <w:r>
              <w:rPr>
                <w:rFonts w:hint="eastAsia" w:ascii="宋体" w:hAnsi="宋体" w:cs="宋体"/>
                <w:sz w:val="24"/>
                <w:szCs w:val="24"/>
                <w:lang w:eastAsia="zh-CN"/>
              </w:rPr>
              <w:t>签订合同后按照甲方及自治区进度要求分批次完成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招标范围</w:t>
            </w:r>
          </w:p>
        </w:tc>
        <w:tc>
          <w:tcPr>
            <w:tcW w:w="7496" w:type="dxa"/>
            <w:vAlign w:val="center"/>
          </w:tcPr>
          <w:p>
            <w:pPr>
              <w:autoSpaceDE w:val="0"/>
              <w:autoSpaceDN w:val="0"/>
              <w:adjustRightInd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1、内业检测：</w:t>
            </w:r>
            <w:r>
              <w:rPr>
                <w:rFonts w:hint="eastAsia" w:ascii="宋体" w:hAnsi="宋体" w:eastAsia="宋体" w:cs="宋体"/>
                <w:kern w:val="0"/>
                <w:sz w:val="24"/>
                <w:szCs w:val="24"/>
                <w:lang w:val="zh-CN" w:eastAsia="zh-CN"/>
              </w:rPr>
              <w:t>塔城市表层样品</w:t>
            </w:r>
            <w:r>
              <w:rPr>
                <w:rFonts w:hint="eastAsia" w:ascii="宋体" w:hAnsi="宋体" w:eastAsia="宋体" w:cs="宋体"/>
                <w:kern w:val="0"/>
                <w:sz w:val="24"/>
                <w:szCs w:val="24"/>
                <w:lang w:val="en-US" w:eastAsia="zh-CN"/>
              </w:rPr>
              <w:t>1932个，其中耕地样品1733个，草场133个，园地23个、林地43个。剖面样品45个，其中耕地样品26个，草场11个，林地8个。其中严格按照第三次全国土壤普查技术规范和</w:t>
            </w:r>
            <w:r>
              <w:rPr>
                <w:rFonts w:hint="eastAsia" w:ascii="宋体" w:hAnsi="宋体" w:eastAsia="宋体" w:cs="宋体"/>
                <w:kern w:val="0"/>
                <w:sz w:val="24"/>
                <w:szCs w:val="24"/>
                <w:lang w:val="zh-CN" w:eastAsia="zh-CN"/>
              </w:rPr>
              <w:t>土壤样品制备与检测技术规范执行，检测项目包括耕地园地土壤样品检测指标和林地草地土壤样品检测指标。</w:t>
            </w:r>
            <w:r>
              <w:rPr>
                <w:rFonts w:hint="eastAsia" w:ascii="宋体" w:hAnsi="宋体" w:eastAsia="宋体" w:cs="宋体"/>
                <w:kern w:val="0"/>
                <w:sz w:val="24"/>
                <w:szCs w:val="24"/>
                <w:lang w:val="en-US" w:eastAsia="zh-CN"/>
              </w:rPr>
              <w:t>根据全国土壤普查办工作要求，第三次全国土壤普查工作全面铺开后的耕地园地剖面样和表层样需要加测全硒；林地草地剖面样和表层样需要加测水溶性盐总量和电导率，若水溶性盐总量大于等于1.0g／kg时，需要加测8大离子（水溶性钠离子、钾离子、钙离子、镁离子、碳酸根、碳酸氢根、硫酸根、氯根）。</w:t>
            </w:r>
          </w:p>
          <w:p>
            <w:pPr>
              <w:autoSpaceDE w:val="0"/>
              <w:autoSpaceDN w:val="0"/>
              <w:adjustRightInd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2、成果汇总：土壤“三普”调查检测数据的审核、土壤普查数据库构建（三普基础数据库和专题数据库）、土壤制图（土壤类型图和土壤属性专题图等）、总结报告（工作、技术和专题报告）及验收等工作。</w:t>
            </w:r>
          </w:p>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含招标文件及</w:t>
            </w:r>
            <w:r>
              <w:rPr>
                <w:rFonts w:hint="eastAsia" w:ascii="宋体" w:hAnsi="宋体" w:eastAsia="宋体" w:cs="宋体"/>
                <w:kern w:val="0"/>
                <w:sz w:val="24"/>
                <w:szCs w:val="24"/>
              </w:rPr>
              <w:t>服务标准和要求</w:t>
            </w:r>
            <w:r>
              <w:rPr>
                <w:rFonts w:hint="eastAsia" w:ascii="宋体" w:hAnsi="宋体" w:eastAsia="宋体" w:cs="宋体"/>
                <w:kern w:val="0"/>
                <w:sz w:val="24"/>
                <w:szCs w:val="24"/>
                <w:lang w:val="en-US" w:eastAsia="zh-CN"/>
              </w:rPr>
              <w:t>全部内容</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招标方式</w:t>
            </w:r>
          </w:p>
        </w:tc>
        <w:tc>
          <w:tcPr>
            <w:tcW w:w="7496"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联合体</w:t>
            </w:r>
          </w:p>
        </w:tc>
        <w:tc>
          <w:tcPr>
            <w:tcW w:w="7496" w:type="dxa"/>
            <w:vAlign w:val="center"/>
          </w:tcPr>
          <w:p>
            <w:pPr>
              <w:autoSpaceDE w:val="0"/>
              <w:autoSpaceDN w:val="0"/>
              <w:adjustRightInd w:val="0"/>
              <w:jc w:val="left"/>
              <w:rPr>
                <w:rFonts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本项目接受联合体投标.</w:t>
            </w:r>
          </w:p>
          <w:p>
            <w:pPr>
              <w:autoSpaceDE w:val="0"/>
              <w:autoSpaceDN w:val="0"/>
              <w:adjustRightInd w:val="0"/>
              <w:rPr>
                <w:rFonts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联合体投标要求如下：</w:t>
            </w:r>
          </w:p>
          <w:p>
            <w:pPr>
              <w:autoSpaceDE w:val="0"/>
              <w:autoSpaceDN w:val="0"/>
              <w:adjustRightInd w:val="0"/>
              <w:rPr>
                <w:rFonts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1.两个以上供应商可以组成一个投标联合体，以一个供应商的身份共同参加投标。联合体投标的，须提供《联合体投标协议书》（格式后附）。</w:t>
            </w:r>
          </w:p>
          <w:p>
            <w:pPr>
              <w:autoSpaceDE w:val="0"/>
              <w:autoSpaceDN w:val="0"/>
              <w:adjustRightInd w:val="0"/>
              <w:rPr>
                <w:rFonts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2.以联合体形式参加投标的，联合体各方均必须具备《中华人民共和国政府采购法》第二十二条第一款规定的基本条件（涉及行政许可范围的内容，联合体各方均应具备相应资质）。本项目有特殊要求规定供应商特定条件的</w:t>
            </w:r>
            <w:r>
              <w:rPr>
                <w:rFonts w:hint="eastAsia" w:cs="Arial" w:asciiTheme="minorEastAsia" w:hAnsiTheme="minorEastAsia" w:eastAsiaTheme="minorEastAsia"/>
                <w:b/>
                <w:bCs/>
                <w:kern w:val="0"/>
                <w:sz w:val="24"/>
                <w:szCs w:val="24"/>
                <w:highlight w:val="none"/>
              </w:rPr>
              <w:t>，联合体必须</w:t>
            </w:r>
            <w:r>
              <w:rPr>
                <w:rFonts w:hint="eastAsia" w:cs="Arial" w:asciiTheme="minorEastAsia" w:hAnsiTheme="minorEastAsia" w:eastAsiaTheme="minorEastAsia"/>
                <w:b/>
                <w:bCs/>
                <w:kern w:val="0"/>
                <w:sz w:val="24"/>
                <w:szCs w:val="24"/>
                <w:highlight w:val="none"/>
                <w:lang w:eastAsia="zh-CN"/>
              </w:rPr>
              <w:t>按照各方不同分工具备</w:t>
            </w:r>
            <w:r>
              <w:rPr>
                <w:rFonts w:hint="eastAsia" w:cs="Arial" w:asciiTheme="minorEastAsia" w:hAnsiTheme="minorEastAsia" w:eastAsiaTheme="minorEastAsia"/>
                <w:b/>
                <w:bCs/>
                <w:kern w:val="0"/>
                <w:sz w:val="24"/>
                <w:szCs w:val="24"/>
                <w:highlight w:val="none"/>
              </w:rPr>
              <w:t>符合招标文件规定的</w:t>
            </w:r>
            <w:r>
              <w:rPr>
                <w:rFonts w:hint="eastAsia" w:cs="Arial" w:asciiTheme="minorEastAsia" w:hAnsiTheme="minorEastAsia" w:eastAsiaTheme="minorEastAsia"/>
                <w:b/>
                <w:bCs/>
                <w:kern w:val="0"/>
                <w:sz w:val="24"/>
                <w:szCs w:val="24"/>
                <w:highlight w:val="none"/>
                <w:lang w:eastAsia="zh-CN"/>
              </w:rPr>
              <w:t>相应</w:t>
            </w:r>
            <w:r>
              <w:rPr>
                <w:rFonts w:hint="eastAsia" w:cs="Arial" w:asciiTheme="minorEastAsia" w:hAnsiTheme="minorEastAsia" w:eastAsiaTheme="minorEastAsia"/>
                <w:b/>
                <w:bCs/>
                <w:kern w:val="0"/>
                <w:sz w:val="24"/>
                <w:szCs w:val="24"/>
                <w:highlight w:val="none"/>
              </w:rPr>
              <w:t>特定条件。</w:t>
            </w:r>
          </w:p>
          <w:p>
            <w:pPr>
              <w:autoSpaceDE w:val="0"/>
              <w:autoSpaceDN w:val="0"/>
              <w:adjustRightInd w:val="0"/>
              <w:rPr>
                <w:rFonts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3.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pPr>
              <w:autoSpaceDE w:val="0"/>
              <w:autoSpaceDN w:val="0"/>
              <w:adjustRightInd w:val="0"/>
              <w:rPr>
                <w:rFonts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4.以联合体形式参加政府采购活动的，联合体各方不得再单独参加或者与其他供应商另外组成联合体参加同一合同项下的政府采购活动。</w:t>
            </w:r>
          </w:p>
          <w:p>
            <w:pPr>
              <w:autoSpaceDE w:val="0"/>
              <w:autoSpaceDN w:val="0"/>
              <w:adjustRightInd w:val="0"/>
              <w:rPr>
                <w:rFonts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5.联合体中有同类资质的供应商按照联合体分工承担相同工作的，应当按照资质等级较低的供应商确定资质等级。</w:t>
            </w:r>
          </w:p>
          <w:p>
            <w:pPr>
              <w:autoSpaceDE w:val="0"/>
              <w:autoSpaceDN w:val="0"/>
              <w:adjustRightInd w:val="0"/>
              <w:rPr>
                <w:rFonts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6.联合体各方均应按照投标文件的规定提交资格证明文件。</w:t>
            </w:r>
          </w:p>
          <w:p>
            <w:pPr>
              <w:autoSpaceDE w:val="0"/>
              <w:autoSpaceDN w:val="0"/>
              <w:adjustRightInd w:val="0"/>
              <w:rPr>
                <w:rFonts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7.联合体各方均为中小企业的，联合体视同中小企业。其中，联合体各方均为小微企业的，联合体视同小微企业。</w:t>
            </w:r>
          </w:p>
          <w:p>
            <w:pPr>
              <w:autoSpaceDE w:val="0"/>
              <w:autoSpaceDN w:val="0"/>
              <w:adjustRightInd w:val="0"/>
              <w:jc w:val="left"/>
              <w:rPr>
                <w:rFonts w:hint="eastAsia" w:ascii="宋体" w:hAnsi="宋体" w:eastAsia="宋体" w:cs="宋体"/>
                <w:b/>
                <w:bCs/>
                <w:kern w:val="0"/>
                <w:sz w:val="24"/>
                <w:szCs w:val="24"/>
              </w:rPr>
            </w:pPr>
            <w:r>
              <w:rPr>
                <w:rFonts w:hint="eastAsia" w:cs="Arial" w:asciiTheme="minorEastAsia" w:hAnsiTheme="minorEastAsia" w:eastAsiaTheme="minorEastAsia"/>
                <w:b/>
                <w:bCs/>
                <w:kern w:val="0"/>
                <w:sz w:val="24"/>
                <w:szCs w:val="24"/>
              </w:rPr>
              <w:t>8.组成联合体或者接受分包合同的中小企业与联合体内其他企业、分包企业之间不得存在直接控股、管理关系</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资格审查方式</w:t>
            </w:r>
          </w:p>
        </w:tc>
        <w:tc>
          <w:tcPr>
            <w:tcW w:w="7496"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评标办法</w:t>
            </w:r>
          </w:p>
        </w:tc>
        <w:tc>
          <w:tcPr>
            <w:tcW w:w="7496"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pPr>
              <w:jc w:val="center"/>
              <w:rPr>
                <w:rFonts w:hint="eastAsia" w:ascii="宋体" w:hAnsi="宋体" w:eastAsia="宋体" w:cs="宋体"/>
                <w:kern w:val="0"/>
                <w:sz w:val="24"/>
                <w:szCs w:val="24"/>
              </w:rPr>
            </w:pP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定标方法</w:t>
            </w:r>
          </w:p>
        </w:tc>
        <w:tc>
          <w:tcPr>
            <w:tcW w:w="7496"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评标委员会推荐三名中标候选人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投标人资格条件和能力</w:t>
            </w:r>
          </w:p>
        </w:tc>
        <w:tc>
          <w:tcPr>
            <w:tcW w:w="749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r>
              <w:rPr>
                <w:rFonts w:hint="eastAsia" w:ascii="宋体" w:hAnsi="宋体" w:cs="宋体"/>
                <w:sz w:val="24"/>
                <w:szCs w:val="24"/>
                <w:lang w:eastAsia="zh-CN"/>
              </w:rPr>
              <w:t>无</w:t>
            </w:r>
            <w:r>
              <w:rPr>
                <w:rFonts w:hint="eastAsia" w:ascii="宋体" w:hAnsi="宋体" w:eastAsia="宋体" w:cs="宋体"/>
                <w:sz w:val="24"/>
                <w:szCs w:val="24"/>
              </w:rPr>
              <w:t>。</w:t>
            </w:r>
          </w:p>
          <w:p>
            <w:pPr>
              <w:pStyle w:val="11"/>
              <w:rPr>
                <w:rFonts w:hint="eastAsia" w:ascii="宋体" w:hAnsi="宋体" w:eastAsia="宋体" w:cs="宋体"/>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投标人须是在“信用中国”（www.creditchina.gov.cn）和中国政府采购网（www.ccgp.gov.cn）网站上未被列入失信被执行人、重大税收违法案件当事人名单以及政府采购严重违法失信行为记录名单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1、具备检验检测机构资质认定证书 (CMA)；</w:t>
            </w:r>
            <w:r>
              <w:rPr>
                <w:rFonts w:hint="eastAsia" w:ascii="宋体" w:hAnsi="宋体" w:cs="宋体"/>
                <w:color w:val="auto"/>
                <w:sz w:val="24"/>
                <w:szCs w:val="24"/>
                <w:highlight w:val="none"/>
                <w:lang w:eastAsia="zh-CN"/>
              </w:rPr>
              <w:t>（以联合体形式参与投标的，联合体一方须具备</w:t>
            </w:r>
            <w:r>
              <w:rPr>
                <w:rFonts w:hint="eastAsia" w:ascii="宋体" w:hAnsi="宋体" w:eastAsia="宋体" w:cs="宋体"/>
                <w:color w:val="auto"/>
                <w:sz w:val="24"/>
                <w:szCs w:val="24"/>
                <w:highlight w:val="none"/>
              </w:rPr>
              <w:t>检验检测机构资质认定证书 (CMA)</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供应商需在国务院第三次全国土壤普查领导小组办公室公布的“第三次全国土壤普查检测实验室"名录内或“新疆维吾尔自治区第三全国土壤普查领导小组办公室”审核通过的实验室名录之内</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eastAsia="zh-CN"/>
              </w:rPr>
              <w:t>（以联合体形式参与投标的，联合体一方须在名录内）</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3.供应商具有乙级及以上测绘资质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（以联合体形式参与投标的，联合体一方须具备</w:t>
            </w:r>
            <w:r>
              <w:rPr>
                <w:rFonts w:hint="eastAsia" w:ascii="宋体" w:hAnsi="宋体" w:eastAsia="宋体" w:cs="宋体"/>
                <w:color w:val="auto"/>
                <w:sz w:val="24"/>
                <w:szCs w:val="24"/>
                <w:highlight w:val="none"/>
                <w:lang w:val="en-US" w:eastAsia="zh-CN"/>
              </w:rPr>
              <w:t>乙级及以上测绘资质</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4.本项目接受联合体投标.</w:t>
            </w:r>
          </w:p>
          <w:p>
            <w:pPr>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招标文件费</w:t>
            </w:r>
          </w:p>
        </w:tc>
        <w:tc>
          <w:tcPr>
            <w:tcW w:w="7496"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投标保证金</w:t>
            </w:r>
          </w:p>
        </w:tc>
        <w:tc>
          <w:tcPr>
            <w:tcW w:w="7496" w:type="dxa"/>
            <w:vAlign w:val="center"/>
          </w:tcPr>
          <w:p>
            <w:pPr>
              <w:pStyle w:val="14"/>
              <w:jc w:val="left"/>
              <w:rPr>
                <w:rFonts w:hint="eastAsia" w:ascii="宋体" w:hAnsi="宋体" w:eastAsia="宋体" w:cs="宋体"/>
                <w:sz w:val="24"/>
                <w:szCs w:val="24"/>
              </w:rPr>
            </w:pPr>
            <w:r>
              <w:rPr>
                <w:rFonts w:hint="eastAsia" w:ascii="宋体" w:hAnsi="宋体" w:eastAsia="宋体" w:cs="宋体"/>
                <w:sz w:val="24"/>
                <w:szCs w:val="24"/>
              </w:rPr>
              <w:t>本项目的投标保证金金额：</w:t>
            </w:r>
            <w:r>
              <w:rPr>
                <w:rFonts w:hint="eastAsia" w:hAnsi="宋体" w:cs="宋体"/>
                <w:sz w:val="24"/>
                <w:szCs w:val="24"/>
                <w:lang w:val="en-US" w:eastAsia="zh-CN"/>
              </w:rPr>
              <w:t>80000</w:t>
            </w:r>
            <w:r>
              <w:rPr>
                <w:rFonts w:hint="eastAsia" w:ascii="宋体" w:hAnsi="宋体" w:eastAsia="宋体" w:cs="宋体"/>
                <w:sz w:val="24"/>
                <w:szCs w:val="24"/>
              </w:rPr>
              <w:t>元</w:t>
            </w:r>
          </w:p>
          <w:p>
            <w:pPr>
              <w:pStyle w:val="14"/>
              <w:jc w:val="left"/>
              <w:rPr>
                <w:rFonts w:hint="eastAsia" w:ascii="宋体" w:hAnsi="宋体" w:eastAsia="宋体" w:cs="宋体"/>
                <w:sz w:val="24"/>
                <w:szCs w:val="24"/>
              </w:rPr>
            </w:pPr>
            <w:r>
              <w:rPr>
                <w:rFonts w:hint="eastAsia" w:ascii="宋体" w:hAnsi="宋体" w:eastAsia="宋体" w:cs="宋体"/>
                <w:sz w:val="24"/>
                <w:szCs w:val="24"/>
              </w:rPr>
              <w:t>收款单位全称：新疆守正项目管理咨询有限公司</w:t>
            </w:r>
          </w:p>
          <w:p>
            <w:pPr>
              <w:pStyle w:val="14"/>
              <w:jc w:val="left"/>
              <w:rPr>
                <w:rFonts w:hint="eastAsia" w:ascii="宋体" w:hAnsi="宋体" w:eastAsia="宋体" w:cs="宋体"/>
                <w:sz w:val="24"/>
                <w:szCs w:val="24"/>
              </w:rPr>
            </w:pPr>
            <w:r>
              <w:rPr>
                <w:rFonts w:hint="eastAsia" w:ascii="宋体" w:hAnsi="宋体" w:eastAsia="宋体" w:cs="宋体"/>
                <w:sz w:val="24"/>
                <w:szCs w:val="24"/>
              </w:rPr>
              <w:t>开户银行：中国建设银行股份有限公司乌鲁木齐南湖路支行</w:t>
            </w:r>
          </w:p>
          <w:p>
            <w:pPr>
              <w:pStyle w:val="14"/>
              <w:jc w:val="left"/>
              <w:rPr>
                <w:rFonts w:hint="eastAsia" w:ascii="宋体" w:hAnsi="宋体" w:eastAsia="宋体" w:cs="宋体"/>
                <w:sz w:val="24"/>
                <w:szCs w:val="24"/>
              </w:rPr>
            </w:pPr>
            <w:r>
              <w:rPr>
                <w:rFonts w:hint="eastAsia" w:ascii="宋体" w:hAnsi="宋体" w:eastAsia="宋体" w:cs="宋体"/>
                <w:sz w:val="24"/>
                <w:szCs w:val="24"/>
              </w:rPr>
              <w:t>行    号：105881000575</w:t>
            </w:r>
          </w:p>
          <w:p>
            <w:pPr>
              <w:pStyle w:val="14"/>
              <w:jc w:val="left"/>
              <w:rPr>
                <w:rFonts w:hint="eastAsia" w:ascii="宋体" w:hAnsi="宋体" w:eastAsia="宋体" w:cs="宋体"/>
                <w:sz w:val="24"/>
                <w:szCs w:val="24"/>
              </w:rPr>
            </w:pPr>
            <w:r>
              <w:rPr>
                <w:rFonts w:hint="eastAsia" w:ascii="宋体" w:hAnsi="宋体" w:eastAsia="宋体" w:cs="宋体"/>
                <w:sz w:val="24"/>
                <w:szCs w:val="24"/>
              </w:rPr>
              <w:t>银行账号：65050161604100001075</w:t>
            </w:r>
          </w:p>
          <w:p>
            <w:pPr>
              <w:pStyle w:val="14"/>
              <w:jc w:val="left"/>
              <w:rPr>
                <w:rFonts w:hint="eastAsia" w:ascii="宋体" w:hAnsi="宋体" w:eastAsia="宋体" w:cs="宋体"/>
                <w:sz w:val="24"/>
                <w:szCs w:val="24"/>
              </w:rPr>
            </w:pPr>
            <w:r>
              <w:rPr>
                <w:rFonts w:hint="eastAsia" w:ascii="宋体" w:hAnsi="宋体" w:eastAsia="宋体" w:cs="宋体"/>
                <w:sz w:val="24"/>
                <w:szCs w:val="24"/>
              </w:rPr>
              <w:t>投标保证金缴纳形式：转账</w:t>
            </w:r>
            <w:r>
              <w:rPr>
                <w:rFonts w:hint="eastAsia" w:ascii="宋体" w:hAnsi="宋体" w:eastAsia="宋体" w:cs="宋体"/>
                <w:sz w:val="24"/>
                <w:szCs w:val="24"/>
                <w:lang w:eastAsia="zh-CN"/>
              </w:rPr>
              <w:t>或</w:t>
            </w:r>
            <w:r>
              <w:rPr>
                <w:rFonts w:hint="eastAsia" w:ascii="宋体" w:hAnsi="宋体" w:eastAsia="宋体" w:cs="宋体"/>
                <w:sz w:val="24"/>
                <w:szCs w:val="24"/>
              </w:rPr>
              <w:t>电汇</w:t>
            </w:r>
            <w:r>
              <w:rPr>
                <w:rFonts w:hint="eastAsia" w:ascii="宋体" w:hAnsi="宋体" w:eastAsia="宋体" w:cs="宋体"/>
                <w:sz w:val="24"/>
                <w:szCs w:val="24"/>
                <w:lang w:eastAsia="zh-CN"/>
              </w:rPr>
              <w:t>或保函</w:t>
            </w:r>
            <w:r>
              <w:rPr>
                <w:rFonts w:hint="eastAsia" w:ascii="宋体" w:hAnsi="宋体" w:eastAsia="宋体" w:cs="宋体"/>
                <w:sz w:val="24"/>
                <w:szCs w:val="24"/>
              </w:rPr>
              <w:t>。</w:t>
            </w:r>
          </w:p>
          <w:p>
            <w:pPr>
              <w:keepNext/>
              <w:widowControl/>
              <w:jc w:val="left"/>
              <w:rPr>
                <w:rFonts w:hint="eastAsia" w:ascii="宋体" w:hAnsi="宋体" w:eastAsia="宋体" w:cs="宋体"/>
                <w:kern w:val="0"/>
                <w:sz w:val="24"/>
                <w:szCs w:val="24"/>
              </w:rPr>
            </w:pPr>
            <w:r>
              <w:rPr>
                <w:rFonts w:hint="eastAsia" w:ascii="宋体" w:hAnsi="宋体" w:eastAsia="宋体" w:cs="宋体"/>
                <w:b/>
                <w:sz w:val="24"/>
                <w:szCs w:val="24"/>
              </w:rPr>
              <w:t>各投标单位缴纳投标保证金时需在附加信息及用途栏内注明投标保证金、项目名称（简称）；投标保证金于投标截止时间前确认到账，若投标人未按照上述规定缴纳投标保证金,</w:t>
            </w:r>
            <w:r>
              <w:rPr>
                <w:rFonts w:hint="eastAsia" w:ascii="宋体" w:hAnsi="宋体" w:eastAsia="宋体" w:cs="宋体"/>
              </w:rPr>
              <w:t xml:space="preserve"> </w:t>
            </w:r>
            <w:r>
              <w:rPr>
                <w:rFonts w:hint="eastAsia" w:ascii="宋体" w:hAnsi="宋体" w:eastAsia="宋体" w:cs="宋体"/>
                <w:b/>
                <w:sz w:val="24"/>
                <w:szCs w:val="24"/>
              </w:rPr>
              <w:t>投标文件将被拒绝评审。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现场踏勘</w:t>
            </w:r>
          </w:p>
        </w:tc>
        <w:tc>
          <w:tcPr>
            <w:tcW w:w="7496"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招标答疑</w:t>
            </w:r>
          </w:p>
        </w:tc>
        <w:tc>
          <w:tcPr>
            <w:tcW w:w="7496"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对招标文件提出质疑的，应当在获取招标文件或者招标文件公告期限届满之日起7个工作日内一次性提出。</w:t>
            </w:r>
          </w:p>
          <w:p>
            <w:pPr>
              <w:rPr>
                <w:rFonts w:hint="eastAsia" w:ascii="宋体" w:hAnsi="宋体" w:eastAsia="宋体" w:cs="宋体"/>
                <w:kern w:val="0"/>
                <w:sz w:val="24"/>
                <w:szCs w:val="24"/>
              </w:rPr>
            </w:pPr>
            <w:r>
              <w:rPr>
                <w:rFonts w:hint="eastAsia" w:ascii="宋体" w:hAnsi="宋体" w:eastAsia="宋体" w:cs="宋体"/>
                <w:sz w:val="24"/>
                <w:szCs w:val="24"/>
              </w:rPr>
              <w:t>澄清修改内容可能影响投标文件编制的，应当在投标截止时间至少15日前，以书面形式通知所有获取招标文件的潜在投标人。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投标文件份数</w:t>
            </w:r>
          </w:p>
        </w:tc>
        <w:tc>
          <w:tcPr>
            <w:tcW w:w="7496" w:type="dxa"/>
            <w:vAlign w:val="center"/>
          </w:tcPr>
          <w:p>
            <w:pPr>
              <w:keepNext/>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投标文件递交</w:t>
            </w:r>
          </w:p>
        </w:tc>
        <w:tc>
          <w:tcPr>
            <w:tcW w:w="7496" w:type="dxa"/>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截止时间：</w:t>
            </w:r>
            <w:r>
              <w:rPr>
                <w:rFonts w:hint="eastAsia" w:ascii="宋体" w:hAnsi="宋体" w:cs="宋体"/>
                <w:color w:val="FF0000"/>
                <w:kern w:val="0"/>
                <w:sz w:val="24"/>
                <w:szCs w:val="24"/>
                <w:lang w:eastAsia="zh-CN"/>
              </w:rPr>
              <w:t xml:space="preserve">2023年12月 </w:t>
            </w:r>
            <w:r>
              <w:rPr>
                <w:rFonts w:hint="eastAsia" w:ascii="宋体" w:hAnsi="宋体" w:cs="宋体"/>
                <w:color w:val="FF0000"/>
                <w:kern w:val="0"/>
                <w:sz w:val="24"/>
                <w:szCs w:val="24"/>
                <w:lang w:val="en-US" w:eastAsia="zh-CN"/>
              </w:rPr>
              <w:t>20</w:t>
            </w:r>
            <w:r>
              <w:rPr>
                <w:rFonts w:hint="eastAsia" w:ascii="宋体" w:hAnsi="宋体" w:cs="宋体"/>
                <w:color w:val="FF0000"/>
                <w:kern w:val="0"/>
                <w:sz w:val="24"/>
                <w:szCs w:val="24"/>
                <w:lang w:eastAsia="zh-CN"/>
              </w:rPr>
              <w:t>日</w:t>
            </w:r>
            <w:r>
              <w:rPr>
                <w:rFonts w:hint="eastAsia" w:ascii="宋体" w:hAnsi="宋体" w:eastAsia="宋体" w:cs="宋体"/>
                <w:color w:val="FF0000"/>
                <w:kern w:val="0"/>
                <w:sz w:val="24"/>
                <w:szCs w:val="24"/>
              </w:rPr>
              <w:t>11时00分（北京时间）</w:t>
            </w:r>
          </w:p>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递交地点：</w:t>
            </w:r>
            <w:r>
              <w:rPr>
                <w:rFonts w:hint="eastAsia" w:ascii="宋体" w:hAnsi="宋体" w:eastAsia="宋体" w:cs="宋体"/>
                <w:b/>
                <w:kern w:val="0"/>
                <w:sz w:val="24"/>
                <w:szCs w:val="24"/>
              </w:rPr>
              <w:t>政采云平台http://www.zcygov.cn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开标</w:t>
            </w:r>
          </w:p>
        </w:tc>
        <w:tc>
          <w:tcPr>
            <w:tcW w:w="7496" w:type="dxa"/>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时间：</w:t>
            </w:r>
            <w:r>
              <w:rPr>
                <w:rFonts w:hint="eastAsia" w:ascii="宋体" w:hAnsi="宋体" w:cs="宋体"/>
                <w:color w:val="FF0000"/>
                <w:kern w:val="0"/>
                <w:sz w:val="24"/>
                <w:szCs w:val="24"/>
                <w:lang w:eastAsia="zh-CN"/>
              </w:rPr>
              <w:t xml:space="preserve">2023年12月 </w:t>
            </w:r>
            <w:r>
              <w:rPr>
                <w:rFonts w:hint="eastAsia" w:ascii="宋体" w:hAnsi="宋体" w:cs="宋体"/>
                <w:color w:val="FF0000"/>
                <w:kern w:val="0"/>
                <w:sz w:val="24"/>
                <w:szCs w:val="24"/>
                <w:lang w:val="en-US" w:eastAsia="zh-CN"/>
              </w:rPr>
              <w:t>20</w:t>
            </w:r>
            <w:r>
              <w:rPr>
                <w:rFonts w:hint="eastAsia" w:ascii="宋体" w:hAnsi="宋体" w:cs="宋体"/>
                <w:color w:val="FF0000"/>
                <w:kern w:val="0"/>
                <w:sz w:val="24"/>
                <w:szCs w:val="24"/>
                <w:lang w:eastAsia="zh-CN"/>
              </w:rPr>
              <w:t xml:space="preserve"> 日</w:t>
            </w:r>
            <w:r>
              <w:rPr>
                <w:rFonts w:hint="eastAsia" w:ascii="宋体" w:hAnsi="宋体" w:eastAsia="宋体" w:cs="宋体"/>
                <w:color w:val="FF0000"/>
                <w:kern w:val="0"/>
                <w:sz w:val="24"/>
                <w:szCs w:val="24"/>
              </w:rPr>
              <w:t>11时00分（北京时间）</w:t>
            </w:r>
          </w:p>
          <w:p>
            <w:pPr>
              <w:keepNext/>
              <w:widowControl/>
              <w:jc w:val="left"/>
              <w:rPr>
                <w:rFonts w:hint="eastAsia" w:ascii="宋体" w:hAnsi="宋体" w:eastAsia="宋体" w:cs="宋体"/>
                <w:b/>
                <w:kern w:val="0"/>
                <w:sz w:val="24"/>
                <w:szCs w:val="24"/>
              </w:rPr>
            </w:pPr>
            <w:r>
              <w:rPr>
                <w:rFonts w:hint="eastAsia" w:ascii="宋体" w:hAnsi="宋体" w:eastAsia="宋体" w:cs="宋体"/>
                <w:kern w:val="0"/>
                <w:sz w:val="24"/>
                <w:szCs w:val="24"/>
              </w:rPr>
              <w:t>地点：</w:t>
            </w:r>
            <w:r>
              <w:rPr>
                <w:rFonts w:hint="eastAsia" w:ascii="宋体" w:hAnsi="宋体" w:eastAsia="宋体" w:cs="宋体"/>
                <w:b/>
                <w:kern w:val="0"/>
                <w:sz w:val="24"/>
                <w:szCs w:val="24"/>
              </w:rPr>
              <w:t>政采云网上不见面开标系统</w:t>
            </w:r>
          </w:p>
          <w:p>
            <w:pPr>
              <w:jc w:val="left"/>
              <w:rPr>
                <w:rFonts w:hint="eastAsia" w:ascii="宋体" w:hAnsi="宋体" w:eastAsia="宋体" w:cs="宋体"/>
                <w:sz w:val="24"/>
                <w:szCs w:val="24"/>
              </w:rPr>
            </w:pPr>
            <w:r>
              <w:rPr>
                <w:rFonts w:hint="eastAsia" w:ascii="宋体" w:hAnsi="宋体" w:eastAsia="宋体" w:cs="宋体"/>
                <w:szCs w:val="24"/>
              </w:rPr>
              <w:t>说</w:t>
            </w:r>
            <w:r>
              <w:rPr>
                <w:rFonts w:hint="eastAsia" w:ascii="宋体" w:hAnsi="宋体" w:eastAsia="宋体" w:cs="宋体"/>
                <w:sz w:val="24"/>
                <w:szCs w:val="24"/>
              </w:rPr>
              <w:t>明：</w:t>
            </w:r>
          </w:p>
          <w:p>
            <w:pPr>
              <w:jc w:val="left"/>
              <w:rPr>
                <w:rFonts w:hint="eastAsia" w:ascii="宋体" w:hAnsi="宋体" w:eastAsia="宋体" w:cs="宋体"/>
                <w:sz w:val="24"/>
                <w:szCs w:val="24"/>
              </w:rPr>
            </w:pPr>
            <w:r>
              <w:rPr>
                <w:rFonts w:hint="eastAsia" w:ascii="宋体" w:hAnsi="宋体" w:eastAsia="宋体" w:cs="宋体"/>
                <w:sz w:val="24"/>
                <w:szCs w:val="24"/>
              </w:rPr>
              <w:t>1、本次采购采用电子交易方式，电子交易平台为“政府采购云平台（www.zcygov.cn）”。投标人参与本项目电子交易活动前，应注册成为政府采购云平台供应商。编制电子响应文件前还需申领CA证书并绑定帐号。投标人应充分考虑完成平台注册、申领CA证书等所需的时间。因未注册入库、未办理CA数字证书等原因造成无法响应或响应失败等后果由投标人自行承担。</w:t>
            </w:r>
          </w:p>
          <w:p>
            <w:pPr>
              <w:jc w:val="left"/>
              <w:rPr>
                <w:rFonts w:hint="eastAsia" w:ascii="宋体" w:hAnsi="宋体" w:eastAsia="宋体" w:cs="宋体"/>
                <w:sz w:val="24"/>
                <w:szCs w:val="24"/>
              </w:rPr>
            </w:pPr>
            <w:r>
              <w:rPr>
                <w:rFonts w:hint="eastAsia" w:ascii="宋体" w:hAnsi="宋体" w:eastAsia="宋体" w:cs="宋体"/>
                <w:sz w:val="24"/>
                <w:szCs w:val="24"/>
              </w:rPr>
              <w:t>2、投标人须在在提交响应文件截止时间前通过CA在政采云平台上传加密的电子响应文件。投标人在开标时须使用制作加密电子响应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pPr>
              <w:jc w:val="left"/>
              <w:rPr>
                <w:rFonts w:hint="eastAsia" w:ascii="宋体" w:hAnsi="宋体" w:eastAsia="宋体" w:cs="宋体"/>
                <w:sz w:val="24"/>
                <w:szCs w:val="24"/>
              </w:rPr>
            </w:pPr>
            <w:r>
              <w:rPr>
                <w:rFonts w:hint="eastAsia" w:ascii="宋体" w:hAnsi="宋体" w:eastAsia="宋体" w:cs="宋体"/>
                <w:sz w:val="24"/>
                <w:szCs w:val="24"/>
              </w:rPr>
              <w:t>3、参与电子投标投标人，“不见面开标”大厅操作提示：①开标前一小时在系统进行在线签到②30分钟内完成在线解密③开标结束后30分钟内完成“开标一览表”在线签章。注意：如未在规定时间进行以上操作，将导致投标（响应）无效。</w:t>
            </w:r>
          </w:p>
          <w:p>
            <w:pPr>
              <w:jc w:val="left"/>
              <w:rPr>
                <w:rFonts w:hint="eastAsia" w:ascii="宋体" w:hAnsi="宋体" w:eastAsia="宋体" w:cs="宋体"/>
              </w:rPr>
            </w:pPr>
            <w:r>
              <w:rPr>
                <w:rFonts w:hint="eastAsia" w:ascii="宋体" w:hAnsi="宋体" w:eastAsia="宋体" w:cs="宋体"/>
                <w:sz w:val="24"/>
                <w:szCs w:val="24"/>
              </w:rPr>
              <w:t>4、各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7496"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自投标截止之日90日历日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招标公告发布媒体</w:t>
            </w:r>
          </w:p>
        </w:tc>
        <w:tc>
          <w:tcPr>
            <w:tcW w:w="7496"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新疆政府采购网（http://www.ccgp-xinjiang.gov.cn/）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履约保证金</w:t>
            </w:r>
          </w:p>
        </w:tc>
        <w:tc>
          <w:tcPr>
            <w:tcW w:w="7496" w:type="dxa"/>
            <w:vAlign w:val="center"/>
          </w:tcPr>
          <w:p>
            <w:pPr>
              <w:keepNext/>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410" w:type="dxa"/>
            <w:vAlign w:val="center"/>
          </w:tcPr>
          <w:p>
            <w:pPr>
              <w:keepNext/>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所属行业</w:t>
            </w:r>
          </w:p>
        </w:tc>
        <w:tc>
          <w:tcPr>
            <w:tcW w:w="7496" w:type="dxa"/>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中小企业声明函(服务)格式中招标文件中明确的所属行业：</w:t>
            </w:r>
            <w:r>
              <w:rPr>
                <w:rFonts w:hint="eastAsia" w:ascii="宋体" w:hAnsi="宋体" w:eastAsia="宋体" w:cs="宋体"/>
                <w:b/>
                <w:color w:val="auto"/>
                <w:sz w:val="24"/>
                <w:szCs w:val="24"/>
                <w:highlight w:val="none"/>
                <w:lang w:val="en-US" w:eastAsia="zh-CN"/>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keepNext/>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1410" w:type="dxa"/>
            <w:vAlign w:val="center"/>
          </w:tcPr>
          <w:p>
            <w:pPr>
              <w:keepNext/>
              <w:widowControl/>
              <w:jc w:val="distribute"/>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付款方式</w:t>
            </w:r>
          </w:p>
        </w:tc>
        <w:tc>
          <w:tcPr>
            <w:tcW w:w="7496" w:type="dxa"/>
            <w:vAlign w:val="center"/>
          </w:tcPr>
          <w:p>
            <w:pPr>
              <w:keepNext/>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按合同约定分批次付款</w:t>
            </w:r>
            <w:r>
              <w:rPr>
                <w:rFonts w:hint="eastAsia" w:ascii="宋体" w:hAnsi="宋体" w:cs="宋体"/>
                <w:kern w:val="0"/>
                <w:sz w:val="24"/>
                <w:szCs w:val="24"/>
                <w:lang w:val="en-US" w:eastAsia="zh-CN"/>
              </w:rPr>
              <w:t>（2024-2028年分批支付）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pPr>
              <w:keepNext/>
              <w:widowControl/>
              <w:jc w:val="left"/>
              <w:rPr>
                <w:rFonts w:hint="eastAsia" w:ascii="宋体" w:hAnsi="宋体" w:eastAsia="宋体" w:cs="宋体"/>
                <w:kern w:val="0"/>
                <w:sz w:val="24"/>
                <w:szCs w:val="24"/>
                <w:lang w:val="en-US" w:eastAsia="zh-CN"/>
              </w:rPr>
            </w:pPr>
          </w:p>
        </w:tc>
        <w:tc>
          <w:tcPr>
            <w:tcW w:w="1410" w:type="dxa"/>
            <w:vAlign w:val="center"/>
          </w:tcPr>
          <w:p>
            <w:pPr>
              <w:spacing w:line="360" w:lineRule="auto"/>
              <w:ind w:firstLine="0" w:firstLineChars="0"/>
              <w:rPr>
                <w:rFonts w:hint="eastAsia" w:ascii="宋体" w:hAnsi="宋体" w:eastAsia="宋体" w:cs="宋体"/>
                <w:sz w:val="24"/>
              </w:rPr>
            </w:pPr>
            <w:r>
              <w:rPr>
                <w:rFonts w:hint="eastAsia" w:ascii="宋体" w:hAnsi="宋体" w:eastAsia="宋体" w:cs="宋体"/>
                <w:sz w:val="24"/>
              </w:rPr>
              <w:t>政府采购</w:t>
            </w:r>
          </w:p>
          <w:p>
            <w:pPr>
              <w:spacing w:line="360" w:lineRule="auto"/>
              <w:ind w:firstLine="0" w:firstLineChars="0"/>
              <w:rPr>
                <w:rFonts w:hint="eastAsia" w:ascii="宋体" w:hAnsi="宋体" w:eastAsia="宋体" w:cs="宋体"/>
                <w:kern w:val="0"/>
                <w:sz w:val="24"/>
                <w:szCs w:val="24"/>
                <w:lang w:val="en-US" w:eastAsia="zh-CN"/>
              </w:rPr>
            </w:pPr>
            <w:r>
              <w:rPr>
                <w:rFonts w:hint="eastAsia" w:ascii="宋体" w:hAnsi="宋体" w:eastAsia="宋体" w:cs="宋体"/>
                <w:sz w:val="24"/>
              </w:rPr>
              <w:t>政策支持</w:t>
            </w:r>
          </w:p>
        </w:tc>
        <w:tc>
          <w:tcPr>
            <w:tcW w:w="7496" w:type="dxa"/>
            <w:vAlign w:val="center"/>
          </w:tcPr>
          <w:p>
            <w:pPr>
              <w:keepNext/>
              <w:widowControl/>
              <w:spacing w:line="360" w:lineRule="auto"/>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widowControl/>
              <w:spacing w:line="360" w:lineRule="auto"/>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keepNext/>
              <w:widowControl/>
              <w:spacing w:line="360" w:lineRule="auto"/>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3、在货物采购项目中，供应商提供的货物既有中小企业制造货物，也有大型企业制造货物的，不享受本办法规定的中小企业扶持政策。</w:t>
            </w:r>
          </w:p>
          <w:p>
            <w:pPr>
              <w:keepNext/>
              <w:widowControl/>
              <w:spacing w:line="360" w:lineRule="auto"/>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4、以联合体形式参加政府采购活动，联合体各方均为中小企业的，联合体视同中小企业。其中，联合体各方均为小微企业的，联合体视同小微企业。</w:t>
            </w:r>
          </w:p>
          <w:p>
            <w:pPr>
              <w:keepNext/>
              <w:widowControl/>
              <w:spacing w:line="360" w:lineRule="auto"/>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5、供应商经享受扶持政策获得政府采购合同的，小微企业不得将合同分包给大中型企业，中型企业不得将合同分包给大型企业；</w:t>
            </w:r>
          </w:p>
          <w:p>
            <w:pPr>
              <w:keepNext/>
              <w:widowControl/>
              <w:spacing w:line="360" w:lineRule="auto"/>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6、本项目中小企业扶持政策：本项目</w:t>
            </w:r>
            <w:r>
              <w:rPr>
                <w:rFonts w:hint="eastAsia" w:ascii="宋体" w:hAnsi="宋体" w:eastAsia="宋体" w:cs="宋体"/>
                <w:kern w:val="0"/>
                <w:sz w:val="24"/>
                <w:szCs w:val="24"/>
                <w:shd w:val="clear" w:color="auto" w:fill="FFFFFF"/>
                <w:lang w:val="en-US" w:eastAsia="zh-CN"/>
              </w:rPr>
              <w:t>为非专门面向中小</w:t>
            </w:r>
            <w:r>
              <w:rPr>
                <w:rFonts w:hint="eastAsia" w:ascii="宋体" w:hAnsi="宋体" w:eastAsia="宋体" w:cs="宋体"/>
                <w:kern w:val="0"/>
                <w:sz w:val="24"/>
                <w:szCs w:val="24"/>
                <w:shd w:val="clear" w:color="auto" w:fill="FFFFFF"/>
              </w:rPr>
              <w:t>企业采购</w:t>
            </w:r>
            <w:r>
              <w:rPr>
                <w:rFonts w:hint="eastAsia" w:ascii="宋体" w:hAnsi="宋体" w:eastAsia="宋体" w:cs="宋体"/>
                <w:kern w:val="0"/>
                <w:sz w:val="24"/>
                <w:szCs w:val="24"/>
                <w:shd w:val="clear" w:color="auto" w:fill="FFFFFF"/>
                <w:lang w:val="en-US" w:eastAsia="zh-CN"/>
              </w:rPr>
              <w:t>项目</w:t>
            </w:r>
            <w:r>
              <w:rPr>
                <w:rFonts w:hint="eastAsia" w:ascii="宋体" w:hAnsi="宋体" w:eastAsia="宋体" w:cs="宋体"/>
                <w:kern w:val="0"/>
                <w:sz w:val="24"/>
                <w:szCs w:val="24"/>
                <w:shd w:val="clear" w:color="auto" w:fill="FFFFFF"/>
              </w:rPr>
              <w:t>，对小型和微型企业（或联合体各方均为小型、微型企业的，残疾人福利性单位、监狱企业视为小微企业）产品的价格给予10%的扣除，用扣除后的价格参与价格的评审。供应商</w:t>
            </w:r>
            <w:r>
              <w:rPr>
                <w:rFonts w:hint="eastAsia" w:ascii="宋体" w:hAnsi="宋体" w:eastAsia="宋体" w:cs="宋体"/>
                <w:kern w:val="0"/>
                <w:sz w:val="24"/>
                <w:szCs w:val="24"/>
                <w:shd w:val="clear" w:color="auto" w:fill="FFFFFF"/>
                <w:lang w:val="en-US" w:eastAsia="zh-CN"/>
              </w:rPr>
              <w:t>应提供</w:t>
            </w:r>
            <w:r>
              <w:rPr>
                <w:rFonts w:hint="eastAsia" w:ascii="宋体" w:hAnsi="宋体" w:eastAsia="宋体" w:cs="宋体"/>
                <w:kern w:val="0"/>
                <w:sz w:val="24"/>
                <w:szCs w:val="24"/>
                <w:shd w:val="clear" w:color="auto" w:fill="FFFFFF"/>
              </w:rPr>
              <w:t>《中小企业声明函》或残疾人福利性单位声明函或监狱企业证明文件；供应商应提供以上材料，否则将不给予价格扣除。若所供应产品为进口产品的，不适用《政府采购促进中小企业发展管理办法》。</w:t>
            </w:r>
            <w:r>
              <w:rPr>
                <w:rFonts w:hint="eastAsia" w:ascii="宋体" w:hAnsi="宋体" w:eastAsia="宋体" w:cs="宋体"/>
                <w:kern w:val="0"/>
                <w:sz w:val="24"/>
                <w:szCs w:val="24"/>
                <w:shd w:val="clear" w:color="auto" w:fill="FFFFFF"/>
                <w:lang w:val="en-US" w:eastAsia="zh-CN"/>
              </w:rPr>
              <w:t>成交</w:t>
            </w:r>
            <w:r>
              <w:rPr>
                <w:rFonts w:hint="eastAsia" w:ascii="宋体" w:hAnsi="宋体" w:eastAsia="宋体" w:cs="宋体"/>
                <w:kern w:val="0"/>
                <w:sz w:val="24"/>
                <w:szCs w:val="24"/>
                <w:shd w:val="clear" w:color="auto" w:fill="FFFFFF"/>
              </w:rPr>
              <w:t>单位符合小微企业投标时享受中小企业扶持政策的，将随</w:t>
            </w:r>
            <w:r>
              <w:rPr>
                <w:rFonts w:hint="eastAsia" w:ascii="宋体" w:hAnsi="宋体" w:eastAsia="宋体" w:cs="宋体"/>
                <w:kern w:val="0"/>
                <w:sz w:val="24"/>
                <w:szCs w:val="24"/>
                <w:shd w:val="clear" w:color="auto" w:fill="FFFFFF"/>
                <w:lang w:val="en-US" w:eastAsia="zh-CN"/>
              </w:rPr>
              <w:t>成交</w:t>
            </w:r>
            <w:r>
              <w:rPr>
                <w:rFonts w:hint="eastAsia" w:ascii="宋体" w:hAnsi="宋体" w:eastAsia="宋体" w:cs="宋体"/>
                <w:kern w:val="0"/>
                <w:sz w:val="24"/>
                <w:szCs w:val="24"/>
                <w:shd w:val="clear" w:color="auto" w:fill="FFFFFF"/>
              </w:rPr>
              <w:t>结果公开</w:t>
            </w:r>
            <w:r>
              <w:rPr>
                <w:rFonts w:hint="eastAsia" w:ascii="宋体" w:hAnsi="宋体" w:eastAsia="宋体" w:cs="宋体"/>
                <w:kern w:val="0"/>
                <w:sz w:val="24"/>
                <w:szCs w:val="24"/>
                <w:shd w:val="clear" w:color="auto" w:fill="FFFFFF"/>
                <w:lang w:val="en-US" w:eastAsia="zh-CN"/>
              </w:rPr>
              <w:t>成交</w:t>
            </w:r>
            <w:r>
              <w:rPr>
                <w:rFonts w:hint="eastAsia" w:ascii="宋体" w:hAnsi="宋体" w:eastAsia="宋体" w:cs="宋体"/>
                <w:kern w:val="0"/>
                <w:sz w:val="24"/>
                <w:szCs w:val="24"/>
                <w:shd w:val="clear" w:color="auto" w:fill="FFFFFF"/>
              </w:rPr>
              <w:t>供应商的企业类型声明函。</w:t>
            </w:r>
          </w:p>
          <w:p>
            <w:pPr>
              <w:keepNext/>
              <w:widowControl/>
              <w:spacing w:line="360" w:lineRule="auto"/>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7、</w:t>
            </w:r>
            <w:r>
              <w:rPr>
                <w:rFonts w:hint="eastAsia" w:ascii="宋体" w:hAnsi="宋体" w:eastAsia="宋体" w:cs="宋体"/>
                <w:kern w:val="0"/>
                <w:sz w:val="24"/>
                <w:szCs w:val="24"/>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360" w:lineRule="auto"/>
              <w:rPr>
                <w:rFonts w:hint="eastAsia" w:ascii="宋体" w:hAnsi="宋体" w:eastAsia="宋体" w:cs="宋体"/>
                <w:kern w:val="0"/>
                <w:sz w:val="24"/>
                <w:szCs w:val="24"/>
                <w:lang w:val="en-US" w:eastAsia="zh-CN"/>
              </w:rPr>
            </w:pPr>
            <w:r>
              <w:rPr>
                <w:rFonts w:hint="eastAsia" w:ascii="宋体" w:hAnsi="宋体" w:cs="宋体"/>
                <w:kern w:val="0"/>
                <w:sz w:val="24"/>
                <w:szCs w:val="24"/>
                <w:shd w:val="clear" w:color="auto" w:fill="FFFFFF"/>
                <w:lang w:val="en-US" w:eastAsia="zh-CN"/>
              </w:rPr>
              <w:t>8</w:t>
            </w:r>
            <w:r>
              <w:rPr>
                <w:rFonts w:hint="eastAsia" w:ascii="宋体" w:hAnsi="宋体" w:eastAsia="宋体" w:cs="宋体"/>
                <w:kern w:val="0"/>
                <w:sz w:val="24"/>
                <w:szCs w:val="24"/>
                <w:shd w:val="clear" w:color="auto" w:fill="FFFFFF"/>
              </w:rPr>
              <w:t>、根据“关于印发中小企业划型标准规定的通知(工信部联企业〔2011〕300号)”等有关规定，</w:t>
            </w:r>
            <w:r>
              <w:rPr>
                <w:rFonts w:hint="eastAsia" w:ascii="宋体" w:hAnsi="宋体" w:eastAsia="宋体" w:cs="宋体"/>
                <w:b/>
                <w:bCs/>
                <w:kern w:val="0"/>
                <w:sz w:val="24"/>
                <w:szCs w:val="24"/>
                <w:shd w:val="clear" w:color="auto" w:fill="FFFFFF"/>
              </w:rPr>
              <w:t>本项目标的所属行业为</w:t>
            </w:r>
            <w:r>
              <w:rPr>
                <w:rFonts w:hint="eastAsia" w:ascii="宋体" w:hAnsi="宋体" w:eastAsia="宋体" w:cs="宋体"/>
                <w:b/>
                <w:bCs/>
                <w:kern w:val="0"/>
                <w:sz w:val="24"/>
                <w:szCs w:val="24"/>
                <w:shd w:val="clear" w:color="auto" w:fill="FFFFFF"/>
                <w:lang w:eastAsia="zh-CN"/>
              </w:rPr>
              <w:t>其他未列明行业</w:t>
            </w:r>
            <w:r>
              <w:rPr>
                <w:rFonts w:hint="eastAsia" w:ascii="宋体" w:hAnsi="宋体" w:eastAsia="宋体" w:cs="宋体"/>
                <w:kern w:val="0"/>
                <w:sz w:val="24"/>
                <w:szCs w:val="24"/>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503" w:type="dxa"/>
            <w:gridSpan w:val="3"/>
            <w:vAlign w:val="center"/>
          </w:tcPr>
          <w:p>
            <w:pPr>
              <w:keepNext/>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备注：采购人委托了专业的招标代理机构实施本次招标工作。招标代理服务费的计算执行“《国家发展改革委关于进一步放开建设项目专业服务价格的通知》[2015] 299 号文件”、“国家发展改革委办公厅关于招标代理服务收费有关问题的通知（发改价格[2011]534 号）文件”及计价格[2002]1980 号的规定：根据上述文件的规定，本次招标代理服务费由中标单位支付。招标代理费参照[2002]1980 号服务类收费标准计取。</w:t>
            </w:r>
          </w:p>
        </w:tc>
      </w:tr>
    </w:tbl>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spacing w:line="440" w:lineRule="exact"/>
        <w:jc w:val="center"/>
        <w:outlineLvl w:val="0"/>
        <w:rPr>
          <w:rFonts w:hint="eastAsia" w:ascii="宋体" w:hAnsi="宋体" w:eastAsia="宋体" w:cs="宋体"/>
          <w:b/>
          <w:sz w:val="24"/>
          <w:szCs w:val="24"/>
        </w:rPr>
      </w:pPr>
      <w:bookmarkStart w:id="73" w:name="_GoBack"/>
      <w:bookmarkEnd w:id="73"/>
      <w:bookmarkStart w:id="2" w:name="_BookMark_3"/>
      <w:bookmarkEnd w:id="2"/>
      <w:r>
        <w:rPr>
          <w:rFonts w:hint="eastAsia" w:ascii="宋体" w:hAnsi="宋体" w:eastAsia="宋体" w:cs="宋体"/>
          <w:kern w:val="0"/>
          <w:sz w:val="24"/>
          <w:szCs w:val="24"/>
        </w:rPr>
        <w:br w:type="page"/>
      </w:r>
      <w:bookmarkStart w:id="3" w:name="_Toc11160"/>
      <w:r>
        <w:rPr>
          <w:rFonts w:hint="eastAsia" w:ascii="宋体" w:hAnsi="宋体" w:eastAsia="宋体" w:cs="宋体"/>
          <w:b/>
          <w:sz w:val="24"/>
          <w:szCs w:val="24"/>
        </w:rPr>
        <w:t>第一章投标人须知</w:t>
      </w:r>
      <w:bookmarkEnd w:id="3"/>
      <w:bookmarkStart w:id="4" w:name="_BookMark_2"/>
      <w:bookmarkEnd w:id="4"/>
    </w:p>
    <w:p>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5" w:name="_Toc8886"/>
      <w:r>
        <w:rPr>
          <w:rFonts w:hint="eastAsia" w:ascii="宋体" w:hAnsi="宋体" w:eastAsia="宋体" w:cs="宋体"/>
          <w:b/>
          <w:sz w:val="24"/>
          <w:szCs w:val="24"/>
        </w:rPr>
        <w:t>1．总则</w:t>
      </w:r>
      <w:bookmarkEnd w:id="5"/>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 招标项目概况</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1.1.1 项目名称：见投标人须知前附表。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1.1.2项目编号：见投标人须知前附表。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1.1.3采购人：见投标人须知前附表。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1.1.4采购代理机构：见投标人须知前附表。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1.1.5项目地点：见投标人须知前附表。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1.1.6资金来源：见投标人须知前附表。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1.1.7预算金额：见投标人须知前附表。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1.1.8服务周期：见投标人须知前附表。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1.2招标范围：见投标人须知前附表。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 招标方式和资格审查方式</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1.3.1 招标方式：见投标人须知前附表。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1.3.2 资格审查方式：见投标人须知前附表。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 评标办法及定标方法</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1.4.1 评标办法：见投标人须知前附表。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1.4.2定标方法：见投标人须知前附表。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 投标人资格条件和能力要求</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1.5.1 投标人应具备承担本招标项目的资格条件和能力，具体要求见投标人须知前附表。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1.5.2投标人不得存在下列情形之一，否则相关投标均应被否决：</w:t>
      </w:r>
    </w:p>
    <w:p>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与采购人存在利害关系可能影响招标公正性的法人、其他组织或者个人，不得参加投标。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（2）单位负责人为同一人或者存在控股、管理关系的不同投标人，不得参加同一合同项下的政府采购活动。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1.6费用承担</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1.6.1招标文件费：见投标人须知前附表。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1.6.2投标人应承担其编制投标文件与递交投标文件所涉及的一切费用，无论投标结果如何，采购人及采购代理机构对上述费用不作任何补偿。</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1.7投标保证金：见投标人须知前附表。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1.8踏勘现场</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1.8.1 投标人须知前附表规定组织踏勘现场的，采购人或采购代理机构按投标人须知前附表规定的时间、地点组织投标人踏勘项目现场。</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1.8.2 投标人踏勘现场发生的费用自理。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1.8.3 除采购人或采购代理机构的原因外，投标人自行负责在踏勘现场中所发生的人员伤亡和财产损失。</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1.8.4 采购人或采购代理机构在踏勘现场中介绍的项目有关情况，供投标人在编制投标文件时参考，采购人或采购代理机构不对投标人据此作出的判断和决策负责。</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1.9招标答疑会和招标澄清答疑要求</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1.9.1 投标人须知前附表规定召开招标答疑会的，采购人或采购代理机构按照投标人须知前附表规定的时间和地点召开招标答疑会，澄清投标人提出的问题。</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1.9.2 投标人若有疑问，应按投标人须知前附表规定的时间、方式向采购人或采购代理机构提出，要求采购人对招标文件予以澄清。</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1.9.3 采购人或采购代理机构将按照投标人须知前附表规定的时间方式对投标人的疑问作出统一的解答。</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1.10投标文件份数：见投标人须知前附表。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1.11投标文件递交：见投标人须知前附表。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1.12开标：见投标人须知前附表。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1.13投标有效期：见投标人须知前附表。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1.14招标公告发布媒体：见投标人须知前附表。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1.15履约保证金：见投标人须知前附表。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1.16保密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参与招标投标活动的各方应当对招标文件和投标文件中的商业和技术等秘密保密，否则应当承担相应的法律责任。</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1.17语言文字</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除专用术语外，与招标投标有关的语言均应当使用中文。必要时专用术语应附有中文注释。</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1.18计量单位</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所有计量均采用中华人民共和国法定计量单位。</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1.19偏离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1.19.1本条所称偏离为投标文件对招标文件的偏离，即不满足、或不响应招标文件的要求。偏离分为对招标文件的实质性要求条款偏离和对招标文件的一般商务和技术条款偏离。</w:t>
      </w:r>
    </w:p>
    <w:p>
      <w:pPr>
        <w:widowControl/>
        <w:shd w:val="clear" w:color="auto" w:fill="FFFFFF"/>
        <w:snapToGri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1.19.2除法律、法规和规章规定外。招标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投标人注意，并认真查看招标文件中的每一个条款及要求，因误读招标文件而造成的后果，采购人概不负责。</w:t>
      </w:r>
    </w:p>
    <w:p>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6" w:name="_Toc2533"/>
      <w:r>
        <w:rPr>
          <w:rFonts w:hint="eastAsia" w:ascii="宋体" w:hAnsi="宋体" w:eastAsia="宋体" w:cs="宋体"/>
          <w:b/>
          <w:sz w:val="24"/>
          <w:szCs w:val="24"/>
        </w:rPr>
        <w:t>2．招标文件</w:t>
      </w:r>
      <w:bookmarkEnd w:id="6"/>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 招标文件的组成</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（1）招标公告</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（2）投标人须知；</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（3）评标办法；</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（4）合同条款及格式；</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（5）服务标准和要求；</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（6）投标文件格式；</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根据本章第2.4款和第2.5款对招标文件所作的澄清、修改，构成招标文件的组成部分。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2.2招标文件的获取</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凡有意参加并符合投标人须知前附表“投标人资格条件和能力”的投标人，均可登陆政采云https://www.zcygov.cn/平台后进入“项目采购“应用，在获取文件菜单中选择项目，申请获取招标文件。</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2.3招标文件的澄清</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2.3.2 招标文件的澄清将按照投标人须知前附表规定的时间、方式发布，但不指明澄清问题的来源。</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2.4招标文件的修改</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2.4.1 招标文件的修改将按照投标人须知前附表规定的时间、方式发布，但不指明澄清问题的来源。</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2.4.2 在投标人须知前附表规定的截止时间前，无论出于何种原因，采购代理机构和采购人可主动地或在解答潜在投标人提出的澄清问题时对招标文件进行修改。</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2.4.3 招标文件的修改部分是招标文件的组成部分对投标人具有约束力。</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2.4.4 为使投标人准备投标时有充分时间对招标文件的修改部分进行研究，采购人可适当推迟投标截止期。</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2.4.5 当采购人发放的招标文件及招标文件的答疑文件、修改文件、补充文件前后不一致，发生矛盾情况时，以最后发出的为准。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7" w:name="_BookMark_6"/>
      <w:bookmarkEnd w:id="7"/>
      <w:bookmarkStart w:id="8" w:name="_Toc19181"/>
      <w:r>
        <w:rPr>
          <w:rFonts w:hint="eastAsia" w:ascii="宋体" w:hAnsi="宋体" w:eastAsia="宋体" w:cs="宋体"/>
          <w:b/>
          <w:sz w:val="24"/>
          <w:szCs w:val="24"/>
        </w:rPr>
        <w:t>3．投标文件</w:t>
      </w:r>
      <w:bookmarkEnd w:id="8"/>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3.1投标文件的组成</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3.1.1投标文件应包括下列内容：</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、投标函</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、法定代表人身份证明书</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、法定代表人授权委托书</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、供应商概况</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、具有独立承担民事责任的能力</w:t>
      </w:r>
      <w:r>
        <w:rPr>
          <w:rFonts w:hint="eastAsia" w:ascii="宋体" w:hAnsi="宋体" w:eastAsia="宋体" w:cs="宋体"/>
          <w:bCs/>
          <w:sz w:val="24"/>
          <w:szCs w:val="24"/>
          <w:lang w:val="en-US" w:eastAsia="zh-CN"/>
        </w:rPr>
        <w:t>证明材料</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、具有良好的商业信誉和健全的财务会计制度</w:t>
      </w:r>
      <w:r>
        <w:rPr>
          <w:rFonts w:hint="eastAsia" w:ascii="宋体" w:hAnsi="宋体" w:eastAsia="宋体" w:cs="宋体"/>
          <w:bCs/>
          <w:sz w:val="24"/>
          <w:szCs w:val="24"/>
          <w:lang w:val="en-US" w:eastAsia="zh-CN"/>
        </w:rPr>
        <w:t>证明材料</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、具有履行合同所必需的设备和专业技术能力</w:t>
      </w:r>
      <w:r>
        <w:rPr>
          <w:rFonts w:hint="eastAsia" w:ascii="宋体" w:hAnsi="宋体" w:eastAsia="宋体" w:cs="宋体"/>
          <w:bCs/>
          <w:sz w:val="24"/>
          <w:szCs w:val="24"/>
          <w:lang w:val="en-US" w:eastAsia="zh-CN"/>
        </w:rPr>
        <w:t>证明材料或声明</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、有依法缴纳税收和社会保障资金的良好记录的</w:t>
      </w:r>
      <w:r>
        <w:rPr>
          <w:rFonts w:hint="eastAsia" w:ascii="宋体" w:hAnsi="宋体" w:eastAsia="宋体" w:cs="宋体"/>
          <w:bCs/>
          <w:sz w:val="24"/>
          <w:szCs w:val="24"/>
          <w:lang w:val="en-US" w:eastAsia="zh-CN"/>
        </w:rPr>
        <w:t>证明材料</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、参加政府采购活动前三年内，在经营活动中没有重大违法记录的</w:t>
      </w:r>
      <w:r>
        <w:rPr>
          <w:rFonts w:hint="eastAsia" w:ascii="宋体" w:hAnsi="宋体" w:eastAsia="宋体" w:cs="宋体"/>
          <w:bCs/>
          <w:sz w:val="24"/>
          <w:szCs w:val="24"/>
          <w:lang w:val="en-US" w:eastAsia="zh-CN"/>
        </w:rPr>
        <w:t>声明</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10</w:t>
      </w:r>
      <w:r>
        <w:rPr>
          <w:rFonts w:hint="eastAsia" w:ascii="宋体" w:hAnsi="宋体" w:eastAsia="宋体" w:cs="宋体"/>
          <w:bCs/>
          <w:sz w:val="24"/>
          <w:szCs w:val="24"/>
        </w:rPr>
        <w:t>、开标一览表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10</w:t>
      </w:r>
      <w:r>
        <w:rPr>
          <w:rFonts w:hint="eastAsia" w:ascii="宋体" w:hAnsi="宋体" w:eastAsia="宋体" w:cs="宋体"/>
          <w:bCs/>
          <w:sz w:val="24"/>
          <w:szCs w:val="24"/>
        </w:rPr>
        <w:t>.1投标</w:t>
      </w:r>
      <w:r>
        <w:rPr>
          <w:rFonts w:hint="eastAsia" w:ascii="宋体" w:hAnsi="宋体" w:eastAsia="宋体" w:cs="宋体"/>
          <w:kern w:val="0"/>
          <w:sz w:val="24"/>
          <w:szCs w:val="24"/>
        </w:rPr>
        <w:t>价格</w:t>
      </w:r>
      <w:r>
        <w:rPr>
          <w:rFonts w:hint="eastAsia" w:ascii="宋体" w:hAnsi="宋体" w:eastAsia="宋体" w:cs="宋体"/>
          <w:bCs/>
          <w:sz w:val="24"/>
          <w:szCs w:val="24"/>
        </w:rPr>
        <w:t>分类明细表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、技术条款偏离表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12</w:t>
      </w:r>
      <w:r>
        <w:rPr>
          <w:rFonts w:hint="eastAsia" w:ascii="宋体" w:hAnsi="宋体" w:eastAsia="宋体" w:cs="宋体"/>
          <w:bCs/>
          <w:sz w:val="24"/>
          <w:szCs w:val="24"/>
        </w:rPr>
        <w:t>、商务条款偏离表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13</w:t>
      </w:r>
      <w:r>
        <w:rPr>
          <w:rFonts w:hint="eastAsia" w:ascii="宋体" w:hAnsi="宋体" w:eastAsia="宋体" w:cs="宋体"/>
          <w:bCs/>
          <w:sz w:val="24"/>
          <w:szCs w:val="24"/>
        </w:rPr>
        <w:t>、企业类似项目业绩表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14</w:t>
      </w:r>
      <w:r>
        <w:rPr>
          <w:rFonts w:hint="eastAsia" w:ascii="宋体" w:hAnsi="宋体" w:eastAsia="宋体" w:cs="宋体"/>
          <w:bCs/>
          <w:sz w:val="24"/>
          <w:szCs w:val="24"/>
        </w:rPr>
        <w:t>、拟派项目负责人（项目经理）简历表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15</w:t>
      </w:r>
      <w:r>
        <w:rPr>
          <w:rFonts w:hint="eastAsia" w:ascii="宋体" w:hAnsi="宋体" w:eastAsia="宋体" w:cs="宋体"/>
          <w:bCs/>
          <w:sz w:val="24"/>
          <w:szCs w:val="24"/>
        </w:rPr>
        <w:t>、拟派项目</w:t>
      </w:r>
      <w:r>
        <w:rPr>
          <w:rFonts w:hint="eastAsia" w:ascii="宋体" w:hAnsi="宋体" w:eastAsia="宋体" w:cs="宋体"/>
          <w:bCs/>
          <w:sz w:val="24"/>
          <w:szCs w:val="24"/>
          <w:lang w:eastAsia="zh-CN"/>
        </w:rPr>
        <w:t>组成员</w:t>
      </w:r>
      <w:r>
        <w:rPr>
          <w:rFonts w:hint="eastAsia" w:ascii="宋体" w:hAnsi="宋体" w:eastAsia="宋体" w:cs="宋体"/>
          <w:bCs/>
          <w:sz w:val="24"/>
          <w:szCs w:val="24"/>
        </w:rPr>
        <w:t>情况</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16</w:t>
      </w:r>
      <w:r>
        <w:rPr>
          <w:rFonts w:hint="eastAsia" w:ascii="宋体" w:hAnsi="宋体" w:eastAsia="宋体" w:cs="宋体"/>
          <w:bCs/>
          <w:sz w:val="24"/>
          <w:szCs w:val="24"/>
        </w:rPr>
        <w:t>、</w:t>
      </w:r>
      <w:r>
        <w:rPr>
          <w:rFonts w:hint="eastAsia" w:ascii="宋体" w:hAnsi="宋体" w:cs="宋体"/>
          <w:bCs/>
          <w:sz w:val="24"/>
          <w:szCs w:val="24"/>
          <w:lang w:eastAsia="zh-CN"/>
        </w:rPr>
        <w:t>总体技术方案</w:t>
      </w:r>
      <w:r>
        <w:rPr>
          <w:rFonts w:hint="eastAsia" w:ascii="宋体" w:hAnsi="宋体" w:eastAsia="宋体" w:cs="宋体"/>
          <w:bCs/>
          <w:sz w:val="24"/>
          <w:szCs w:val="24"/>
        </w:rPr>
        <w:t xml:space="preserve"> </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17</w:t>
      </w:r>
      <w:r>
        <w:rPr>
          <w:rFonts w:hint="eastAsia" w:ascii="宋体" w:hAnsi="宋体" w:eastAsia="宋体" w:cs="宋体"/>
          <w:bCs/>
          <w:sz w:val="24"/>
          <w:szCs w:val="24"/>
        </w:rPr>
        <w:t>、</w:t>
      </w:r>
      <w:r>
        <w:rPr>
          <w:rFonts w:hint="eastAsia" w:ascii="宋体" w:hAnsi="宋体" w:cs="宋体"/>
          <w:bCs/>
          <w:sz w:val="24"/>
          <w:szCs w:val="24"/>
          <w:lang w:eastAsia="zh-CN"/>
        </w:rPr>
        <w:t>业务理解与需求分析</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18</w:t>
      </w:r>
      <w:r>
        <w:rPr>
          <w:rFonts w:hint="eastAsia" w:ascii="宋体" w:hAnsi="宋体" w:eastAsia="宋体" w:cs="宋体"/>
          <w:bCs/>
          <w:sz w:val="24"/>
          <w:szCs w:val="24"/>
        </w:rPr>
        <w:t>、</w:t>
      </w:r>
      <w:r>
        <w:rPr>
          <w:rFonts w:hint="eastAsia" w:ascii="宋体" w:hAnsi="宋体" w:cs="宋体"/>
          <w:bCs/>
          <w:sz w:val="24"/>
          <w:szCs w:val="24"/>
          <w:lang w:eastAsia="zh-CN"/>
        </w:rPr>
        <w:t>实施方案</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cs="宋体"/>
          <w:bCs/>
          <w:sz w:val="24"/>
          <w:szCs w:val="24"/>
          <w:lang w:eastAsia="zh-CN"/>
        </w:rPr>
        <w:t>质量安全方案</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w:t>
      </w:r>
      <w:r>
        <w:rPr>
          <w:rFonts w:hint="eastAsia" w:ascii="宋体" w:hAnsi="宋体" w:eastAsia="宋体" w:cs="宋体"/>
          <w:bCs/>
          <w:sz w:val="24"/>
          <w:szCs w:val="24"/>
        </w:rPr>
        <w:t>、</w:t>
      </w:r>
      <w:r>
        <w:rPr>
          <w:rFonts w:hint="eastAsia" w:ascii="宋体" w:hAnsi="宋体" w:cs="宋体"/>
          <w:bCs/>
          <w:sz w:val="24"/>
          <w:szCs w:val="24"/>
          <w:lang w:val="en-US" w:eastAsia="zh-CN"/>
        </w:rPr>
        <w:t>培训方案</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w:t>
      </w:r>
      <w:r>
        <w:rPr>
          <w:rFonts w:hint="eastAsia" w:ascii="宋体" w:hAnsi="宋体" w:cs="宋体"/>
          <w:bCs/>
          <w:sz w:val="24"/>
          <w:szCs w:val="24"/>
          <w:lang w:val="en-US" w:eastAsia="zh-CN"/>
        </w:rPr>
        <w:t>售后服务方案</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22、投标保证金缴纳凭证</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23、中小企业声明函</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24、其他需要提交的资料</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 投标价格</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3.2.1 投标人应当按第四章“服务标准和要求”的规定进行报价。</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3.2.2 投标人的投标价格不能超出本项目预算金额。</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3.2.3投标人的服务只允许有一个报价，采购人不接受有任何选择的报价。</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3.2.4 投标人在投标截止时间前修改投标函中的投标总价的，应同时修改第五章“投标文件格式”中投标价格明细表中的相应报价。此修改须符合本章第4.3款的有关要求。</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3.2.5投标人提供的服务一律用人民币报价。</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 投标有效期</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3.3.1 在投标人须知前附表规定的投标有效期内，投标人不得要求撤销或修改其投标文件。</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3.3.3 投标保证金的有效期与投标有效期一致。</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 投标保证金</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3.4.1 投标人应于投标截止时间前按投标人须知前附表规定提交投标保证金。未按规定提交投标保证金的，将被视为非响应性投标而予以拒绝。</w:t>
      </w:r>
    </w:p>
    <w:p>
      <w:pPr>
        <w:shd w:val="clear" w:color="auto" w:fill="FFFFFF"/>
        <w:snapToGrid w:val="0"/>
        <w:spacing w:line="384"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3.4.2 投标保证金是为了保护采购人免遭因投标人的行为而蒙受损失。采购人在因投标人的行为受到损害时可根据相关法律规定没收投标人的投标保证金。</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3.4.3 投标人在投标截止时间前撤回已提交的投标文件的，采购人或者采购代理机构应当自收到投标人书面撤回通知之日起5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3.4.4投标保证金有效期与投标有效期一致。</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3.4.5有下列情形之一的，投标保证金不予退还：</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（1）投标人在规定的投标有效期内撤销或修改其投标文件的；</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（2）中标单位在收到中标通知书后，无正当理由拒签合同协议书或在签订合同时提出附加条件或者更改合同实质性内容的；</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（3）未按招标文件规定提交履约保证金的。</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 电子投标文件的编制</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bookmarkStart w:id="9" w:name="_BookMark_7"/>
      <w:bookmarkEnd w:id="9"/>
      <w:r>
        <w:rPr>
          <w:rFonts w:hint="eastAsia" w:ascii="宋体" w:hAnsi="宋体" w:eastAsia="宋体" w:cs="宋体"/>
          <w:kern w:val="0"/>
          <w:sz w:val="24"/>
          <w:szCs w:val="24"/>
        </w:rPr>
        <w:t>3.5.1电子投标文件使用政采云平台</w:t>
      </w:r>
      <w:r>
        <w:rPr>
          <w:rFonts w:hint="eastAsia" w:ascii="宋体" w:hAnsi="宋体" w:eastAsia="宋体" w:cs="宋体"/>
          <w:sz w:val="24"/>
          <w:szCs w:val="24"/>
        </w:rPr>
        <w:t>投标</w:t>
      </w:r>
      <w:r>
        <w:rPr>
          <w:rFonts w:hint="eastAsia" w:ascii="宋体" w:hAnsi="宋体" w:eastAsia="宋体" w:cs="宋体"/>
          <w:kern w:val="0"/>
          <w:sz w:val="24"/>
          <w:szCs w:val="24"/>
        </w:rPr>
        <w:t>文件制作工具以及招标文件要求进行制作编制。投标文件制作时，按照招标文件中明确的投标文件目录和格式进行编制，保证目录清晰、内容完整。</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3.5.2电子投标文件须使用投标人电子公章及法定代表人的电子签名。若无电子签章和签名，则视为无效响应。</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3.5.3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p>
    <w:p>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10" w:name="_Toc20363"/>
      <w:r>
        <w:rPr>
          <w:rFonts w:hint="eastAsia" w:ascii="宋体" w:hAnsi="宋体" w:eastAsia="宋体" w:cs="宋体"/>
          <w:b/>
          <w:sz w:val="24"/>
          <w:szCs w:val="24"/>
        </w:rPr>
        <w:t>4．投标</w:t>
      </w:r>
      <w:bookmarkEnd w:id="10"/>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4.1 投标文件的密封</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4.1.1、投标文件的密封：加密的电子投标文件（.jmbs格式）加密的电子投标文件（.jmbs格式）应在投标文件递交截止时间前通过政采云平台上传完成。</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 投标文件的递交</w:t>
      </w:r>
    </w:p>
    <w:p>
      <w:pPr>
        <w:autoSpaceDE w:val="0"/>
        <w:autoSpaceDN w:val="0"/>
        <w:spacing w:line="360" w:lineRule="auto"/>
        <w:ind w:firstLine="480" w:firstLineChars="200"/>
        <w:jc w:val="left"/>
        <w:rPr>
          <w:rFonts w:hint="eastAsia" w:ascii="宋体" w:hAnsi="宋体" w:eastAsia="宋体" w:cs="宋体"/>
          <w:bCs/>
          <w:kern w:val="0"/>
          <w:sz w:val="24"/>
          <w:szCs w:val="24"/>
        </w:rPr>
      </w:pPr>
      <w:bookmarkStart w:id="11" w:name="_Hlk23746208"/>
      <w:bookmarkStart w:id="12" w:name="_Hlk18820304"/>
      <w:bookmarkStart w:id="13" w:name="_Hlk18820305"/>
      <w:bookmarkStart w:id="14" w:name="_Hlk23746210"/>
      <w:bookmarkStart w:id="15" w:name="_Hlk23651229"/>
      <w:bookmarkStart w:id="16" w:name="_Hlk22461104"/>
      <w:bookmarkStart w:id="17" w:name="_Hlk57105549"/>
      <w:bookmarkStart w:id="18" w:name="_Hlk18820306"/>
      <w:bookmarkStart w:id="19" w:name="_Hlk57105547"/>
      <w:bookmarkStart w:id="20" w:name="_Hlk22461103"/>
      <w:bookmarkStart w:id="21" w:name="_Hlk22461105"/>
      <w:bookmarkStart w:id="22" w:name="_Hlk23651228"/>
      <w:bookmarkStart w:id="23" w:name="_Hlk23746209"/>
      <w:bookmarkStart w:id="24" w:name="_Hlk57105548"/>
      <w:bookmarkStart w:id="25" w:name="_Hlk23651230"/>
      <w:r>
        <w:rPr>
          <w:rFonts w:hint="eastAsia" w:ascii="宋体" w:hAnsi="宋体" w:eastAsia="宋体" w:cs="宋体"/>
          <w:kern w:val="0"/>
          <w:sz w:val="24"/>
          <w:szCs w:val="24"/>
        </w:rPr>
        <w:t>4.2.1</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宋体" w:hAnsi="宋体" w:eastAsia="宋体" w:cs="宋体"/>
          <w:kern w:val="0"/>
          <w:sz w:val="24"/>
          <w:szCs w:val="24"/>
        </w:rPr>
        <w:t>、</w:t>
      </w:r>
      <w:r>
        <w:rPr>
          <w:rFonts w:hint="eastAsia" w:ascii="宋体" w:hAnsi="宋体" w:eastAsia="宋体" w:cs="宋体"/>
          <w:bCs/>
          <w:kern w:val="0"/>
          <w:sz w:val="24"/>
          <w:szCs w:val="24"/>
        </w:rPr>
        <w:t>“电子加密投标文件”的递交截止时间及地点为招标公告所规定的时间、地点，投标人将“电子加密投标文件”成功上传递交后，投标人可自行打印投标文件接收回执。任何单位和个人不得在开标前开启投标文件。逾期递交的投标文件，采购人、采购代理机构将予以拒收。</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bCs/>
          <w:kern w:val="0"/>
          <w:sz w:val="24"/>
          <w:szCs w:val="24"/>
        </w:rPr>
        <w:t>4.2.2 出现因招标文件的修改推迟投标截止时间时，则按采购人或者采购代理机构规定的顺延时间递交。</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4.3 投标文件的修改与撤回</w:t>
      </w:r>
    </w:p>
    <w:p>
      <w:pPr>
        <w:autoSpaceDE w:val="0"/>
        <w:autoSpaceDN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4.3.1</w:t>
      </w:r>
      <w:r>
        <w:rPr>
          <w:rFonts w:hint="eastAsia" w:ascii="宋体" w:hAnsi="宋体" w:eastAsia="宋体" w:cs="宋体"/>
          <w:bCs/>
          <w:kern w:val="0"/>
          <w:sz w:val="24"/>
          <w:szCs w:val="24"/>
        </w:rPr>
        <w:t>投标人在投标人须知前附表规定的提交投标文件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pPr>
        <w:autoSpaceDE w:val="0"/>
        <w:autoSpaceDN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4.3.2投标人不得在开标时间起至投标有效期期满前撤回投标文件。</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4.4投标文件格式</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4.4.1 投标文件格式见第五章。</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4.4.2 投标人应使用本招标文件后面提供的投标文件格式填写，如不够用时，投标人可按同样格式自行编制和填补，如果本招标文件未提供格式的，投标人可自行编制。</w:t>
      </w:r>
    </w:p>
    <w:p>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26" w:name="_BookMark_8"/>
      <w:bookmarkEnd w:id="26"/>
      <w:bookmarkStart w:id="27" w:name="_Toc10309"/>
      <w:r>
        <w:rPr>
          <w:rFonts w:hint="eastAsia" w:ascii="宋体" w:hAnsi="宋体" w:eastAsia="宋体" w:cs="宋体"/>
          <w:b/>
          <w:sz w:val="24"/>
          <w:szCs w:val="24"/>
        </w:rPr>
        <w:t>5．开标</w:t>
      </w:r>
      <w:bookmarkEnd w:id="27"/>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5.1投标人须在在提交投标文件截止时间前通过CA在政采云平台上传加密的电子投标文件。投标人在开标时须使用制作加密电子投标文件所使用的CA锁解密，投标人须提前配置好浏览器，并确保开标期间电脑网络环境畅通，以便开标时解密。本项目解密时间定为30分钟，如因投标人自身原因导致无法正常解密，后果由投标人自行承担。</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5.2参与电子投标投标人，“不见面开标”大厅操作提示：①开标前一小时在系统进行在线签到②30分钟内完成在线解密③开标结束后30分钟内完成“开标一览表”在线签章。注意：如未在规定时间进行以上操作，将导致投标（响应）无效。</w:t>
      </w:r>
    </w:p>
    <w:p>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bCs/>
          <w:kern w:val="0"/>
          <w:sz w:val="24"/>
          <w:szCs w:val="24"/>
        </w:rPr>
        <w:t>5.3</w:t>
      </w:r>
      <w:r>
        <w:rPr>
          <w:rFonts w:hint="eastAsia" w:ascii="宋体" w:hAnsi="宋体" w:eastAsia="宋体" w:cs="宋体"/>
          <w:b/>
          <w:kern w:val="0"/>
          <w:sz w:val="24"/>
          <w:szCs w:val="24"/>
        </w:rPr>
        <w:t>开标结束后由采购人或采购代理机构对投标人已解密的电子投标文件进行资格审查（详见资格审查标准）。</w:t>
      </w:r>
    </w:p>
    <w:p>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28" w:name="_BookMark_9"/>
      <w:bookmarkEnd w:id="28"/>
      <w:bookmarkStart w:id="29" w:name="_Toc29000"/>
      <w:r>
        <w:rPr>
          <w:rFonts w:hint="eastAsia" w:ascii="宋体" w:hAnsi="宋体" w:eastAsia="宋体" w:cs="宋体"/>
          <w:b/>
          <w:sz w:val="24"/>
          <w:szCs w:val="24"/>
        </w:rPr>
        <w:t>6．评标</w:t>
      </w:r>
      <w:bookmarkEnd w:id="29"/>
    </w:p>
    <w:p>
      <w:pPr>
        <w:widowControl/>
        <w:shd w:val="clear" w:color="auto" w:fill="FFFFFF"/>
        <w:snapToGrid w:val="0"/>
        <w:spacing w:line="360" w:lineRule="auto"/>
        <w:ind w:firstLine="480" w:firstLineChars="200"/>
        <w:rPr>
          <w:rFonts w:hint="eastAsia" w:ascii="宋体" w:hAnsi="宋体" w:eastAsia="宋体" w:cs="宋体"/>
          <w:kern w:val="0"/>
          <w:sz w:val="24"/>
          <w:szCs w:val="24"/>
        </w:rPr>
      </w:pPr>
      <w:bookmarkStart w:id="30" w:name="_BookMark_10"/>
      <w:bookmarkEnd w:id="30"/>
      <w:r>
        <w:rPr>
          <w:rFonts w:hint="eastAsia" w:ascii="宋体" w:hAnsi="宋体" w:eastAsia="宋体" w:cs="宋体"/>
          <w:kern w:val="0"/>
          <w:sz w:val="24"/>
          <w:szCs w:val="24"/>
        </w:rPr>
        <w:t>6.1 评标委员会</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6.1.1 评标由采购人依法组建的评标委员会负责。评标委员会由采购人熟悉相关业务的代表，以及有关技术、经济等方面的专家组成。</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采购人评标代表须具备中级专业技术职称或同等专业水平且从事相关领域工作满8年,或者具有高级专业技术职称或同等专业水平。</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评标委员会负责评标工作，并向采购人提交书面评标报告。</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6.1.2 评标委员会成员有下列情形之一的，应当回避：</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（1）采购人或投标人的主要负责人的近亲属；</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（2）项目主管部门或者行政监督部门的人员；</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（3）与投标人有经济利益关系，可能影响投标公正评审的；</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（4）曾因在招标、评标以及其他与招标投标有关活动中从事违法行为而受过行政处罚或刑事处罚的。</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6.2 评标原则</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评标活动遵循公平、公正、科学和择优的原则。</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6.3 评标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评标委员会按照招标文件中规定的方法、评审因素、标准和程序对投标文件进行评审。</w:t>
      </w:r>
    </w:p>
    <w:p>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31" w:name="_Toc18397"/>
      <w:r>
        <w:rPr>
          <w:rFonts w:hint="eastAsia" w:ascii="宋体" w:hAnsi="宋体" w:eastAsia="宋体" w:cs="宋体"/>
          <w:b/>
          <w:sz w:val="24"/>
          <w:szCs w:val="24"/>
        </w:rPr>
        <w:t>7．定标及合同授予</w:t>
      </w:r>
      <w:bookmarkEnd w:id="31"/>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7.1 定标方法</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7.1.1 评标活动遵循公平、公正、科学和择优的原则。评标委员会按照招标文件中规定的方法、评审因素、标准和程序对投标文件进行评审，并按投标人须知前附表的规定向采购人推荐三名中标候选人。采购人依据评标委员会推荐的中标候选人确定中标单位。</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7.1.2采购人从中标候选人中确定出中标单位的原则：采购人应当确定排名第一的中标候选人为中标单位。</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7.2 中标候选人</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在中标通知书发出前，中标候选人的情况将在招标公告发布的媒体上公示，公示期不得少于1个工作日。</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7.3 中标通知</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中标公示发布同时，采购人向中标单位发出中标通知书，并及时通知其它投标人中标结果。</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7.4 履约保证金</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7.4.1 在签订合同前，中标单位应按投标人须知前附表规定的金额、形式向采购人提交履约保证金。联合体中标的，其履约保证金由牵头人提交，并应符合投标人须知前附表的规定。</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7.4.2 中标单位不能按本章第7.4.1款要求提交履约保证金的，视为放弃中标，其投标保证金不予退还；给采购人造成的损失超过投标保证金数额的，中标单位还应当对超过部分予以赔偿。</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7.5 签订合同</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7.5.1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7.5.2发出中标通知书后，采购人无正当理由拒签合同的，给中标单位造成损失的，还应当赔偿中标单位损失。</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7.5.3发出中标通知书后，中标单位无正当理由拒签合同的，采购人取消其中标资格，其投标保证金不予退还；给采购人造成的损失超过投标保证金数额的，中标单位还应当对超过部分予以赔偿。</w:t>
      </w:r>
    </w:p>
    <w:p>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32" w:name="_BookMark_11"/>
      <w:bookmarkEnd w:id="32"/>
      <w:bookmarkStart w:id="33" w:name="_Toc28087"/>
      <w:r>
        <w:rPr>
          <w:rFonts w:hint="eastAsia" w:ascii="宋体" w:hAnsi="宋体" w:eastAsia="宋体" w:cs="宋体"/>
          <w:b/>
          <w:sz w:val="24"/>
          <w:szCs w:val="24"/>
        </w:rPr>
        <w:t>8．纪律和监督</w:t>
      </w:r>
      <w:bookmarkEnd w:id="33"/>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8.1 对采购人的纪律要求</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采购人不得泄漏招标投标活动中应当保密的情况和资料，不得与投标人串通损害国家利益、社会公共利益或者他人合法权益。</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8.2 对投标人的纪律要求</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8.3 对评标委员会成员的纪律要求</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8.4 对与评标活动有关的工作人员的纪律要求</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8.5 监督</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本项目的招标投标活动及其相关当事人应当接受有管辖权的监督部门依法实施的监督。</w:t>
      </w:r>
      <w:bookmarkStart w:id="34" w:name="_BookMark_12"/>
      <w:bookmarkEnd w:id="34"/>
    </w:p>
    <w:p>
      <w:pPr>
        <w:spacing w:line="440" w:lineRule="exact"/>
        <w:jc w:val="center"/>
        <w:outlineLvl w:val="0"/>
        <w:rPr>
          <w:rFonts w:hint="eastAsia" w:ascii="宋体" w:hAnsi="宋体" w:eastAsia="宋体" w:cs="宋体"/>
          <w:b/>
          <w:sz w:val="24"/>
          <w:szCs w:val="24"/>
        </w:rPr>
      </w:pPr>
      <w:r>
        <w:rPr>
          <w:rFonts w:hint="eastAsia" w:ascii="宋体" w:hAnsi="宋体" w:eastAsia="宋体" w:cs="宋体"/>
          <w:bCs/>
          <w:kern w:val="0"/>
          <w:sz w:val="24"/>
          <w:szCs w:val="24"/>
        </w:rPr>
        <w:br w:type="page"/>
      </w:r>
      <w:bookmarkStart w:id="35" w:name="_Toc1035"/>
      <w:r>
        <w:rPr>
          <w:rFonts w:hint="eastAsia" w:ascii="宋体" w:hAnsi="宋体" w:eastAsia="宋体" w:cs="宋体"/>
          <w:b/>
          <w:sz w:val="24"/>
          <w:szCs w:val="24"/>
        </w:rPr>
        <w:t>第二章评标办法</w:t>
      </w:r>
      <w:bookmarkEnd w:id="35"/>
    </w:p>
    <w:p>
      <w:pPr>
        <w:tabs>
          <w:tab w:val="center" w:pos="4832"/>
          <w:tab w:val="left" w:pos="7140"/>
        </w:tabs>
        <w:spacing w:line="360" w:lineRule="auto"/>
        <w:jc w:val="center"/>
        <w:outlineLvl w:val="2"/>
        <w:rPr>
          <w:rFonts w:hint="eastAsia" w:ascii="宋体" w:hAnsi="宋体" w:eastAsia="宋体" w:cs="宋体"/>
          <w:b/>
          <w:sz w:val="24"/>
          <w:szCs w:val="24"/>
        </w:rPr>
      </w:pPr>
      <w:bookmarkStart w:id="36" w:name="_BookMark_1"/>
      <w:bookmarkEnd w:id="36"/>
      <w:bookmarkStart w:id="37" w:name="_Toc23381"/>
      <w:r>
        <w:rPr>
          <w:rFonts w:hint="eastAsia" w:ascii="宋体" w:hAnsi="宋体" w:eastAsia="宋体" w:cs="宋体"/>
          <w:b/>
          <w:sz w:val="24"/>
          <w:szCs w:val="24"/>
        </w:rPr>
        <w:t>评标办法前附表</w:t>
      </w:r>
      <w:bookmarkEnd w:id="37"/>
    </w:p>
    <w:tbl>
      <w:tblPr>
        <w:tblStyle w:val="38"/>
        <w:tblW w:w="9160" w:type="dxa"/>
        <w:jc w:val="center"/>
        <w:tblLayout w:type="fixed"/>
        <w:tblCellMar>
          <w:top w:w="0" w:type="dxa"/>
          <w:left w:w="0" w:type="dxa"/>
          <w:bottom w:w="0" w:type="dxa"/>
          <w:right w:w="0" w:type="dxa"/>
        </w:tblCellMar>
      </w:tblPr>
      <w:tblGrid>
        <w:gridCol w:w="612"/>
        <w:gridCol w:w="2783"/>
        <w:gridCol w:w="5765"/>
      </w:tblGrid>
      <w:tr>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条款内容</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编列内容</w:t>
            </w:r>
          </w:p>
        </w:tc>
      </w:tr>
      <w:tr>
        <w:tblPrEx>
          <w:tblCellMar>
            <w:top w:w="0" w:type="dxa"/>
            <w:left w:w="0" w:type="dxa"/>
            <w:bottom w:w="0" w:type="dxa"/>
            <w:right w:w="0" w:type="dxa"/>
          </w:tblCellMar>
        </w:tblPrEx>
        <w:trPr>
          <w:cantSplit/>
          <w:trHeight w:val="630"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hint="eastAsia" w:ascii="宋体" w:hAnsi="宋体" w:eastAsia="宋体" w:cs="宋体"/>
                <w:sz w:val="24"/>
                <w:szCs w:val="24"/>
              </w:rPr>
            </w:pPr>
            <w:r>
              <w:rPr>
                <w:rFonts w:hint="eastAsia" w:ascii="宋体" w:hAnsi="宋体" w:eastAsia="宋体" w:cs="宋体"/>
                <w:sz w:val="24"/>
                <w:szCs w:val="24"/>
              </w:rPr>
              <w:t>分值构成及权重</w:t>
            </w:r>
          </w:p>
          <w:p>
            <w:pPr>
              <w:rPr>
                <w:rFonts w:hint="eastAsia" w:ascii="宋体" w:hAnsi="宋体" w:eastAsia="宋体" w:cs="宋体"/>
                <w:sz w:val="24"/>
                <w:szCs w:val="24"/>
              </w:rPr>
            </w:pPr>
            <w:r>
              <w:rPr>
                <w:rFonts w:hint="eastAsia" w:ascii="宋体" w:hAnsi="宋体" w:eastAsia="宋体" w:cs="宋体"/>
                <w:sz w:val="24"/>
                <w:szCs w:val="24"/>
              </w:rPr>
              <w:t>(总分100分)</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hint="eastAsia" w:ascii="宋体" w:hAnsi="宋体" w:eastAsia="宋体" w:cs="宋体"/>
                <w:sz w:val="24"/>
                <w:szCs w:val="24"/>
              </w:rPr>
            </w:pPr>
            <w:r>
              <w:rPr>
                <w:rFonts w:hint="eastAsia" w:ascii="宋体" w:hAnsi="宋体" w:eastAsia="宋体" w:cs="宋体"/>
                <w:sz w:val="24"/>
                <w:szCs w:val="24"/>
              </w:rPr>
              <w:t>1.详细评审部分90分</w:t>
            </w:r>
          </w:p>
          <w:p>
            <w:pPr>
              <w:rPr>
                <w:rFonts w:hint="eastAsia" w:ascii="宋体" w:hAnsi="宋体" w:eastAsia="宋体" w:cs="宋体"/>
                <w:sz w:val="24"/>
                <w:szCs w:val="24"/>
              </w:rPr>
            </w:pPr>
            <w:r>
              <w:rPr>
                <w:rFonts w:hint="eastAsia" w:ascii="宋体" w:hAnsi="宋体" w:eastAsia="宋体" w:cs="宋体"/>
                <w:sz w:val="24"/>
                <w:szCs w:val="24"/>
              </w:rPr>
              <w:t>2.投标报价10分</w:t>
            </w:r>
          </w:p>
        </w:tc>
      </w:tr>
      <w:tr>
        <w:tblPrEx>
          <w:tblCellMar>
            <w:top w:w="0" w:type="dxa"/>
            <w:left w:w="0" w:type="dxa"/>
            <w:bottom w:w="0" w:type="dxa"/>
            <w:right w:w="0" w:type="dxa"/>
          </w:tblCellMar>
        </w:tblPrEx>
        <w:trPr>
          <w:cantSplit/>
          <w:trHeight w:val="147"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hint="eastAsia" w:ascii="宋体" w:hAnsi="宋体" w:eastAsia="宋体" w:cs="宋体"/>
                <w:sz w:val="24"/>
                <w:szCs w:val="24"/>
              </w:rPr>
            </w:pPr>
            <w:r>
              <w:rPr>
                <w:rFonts w:hint="eastAsia" w:ascii="宋体" w:hAnsi="宋体" w:eastAsia="宋体" w:cs="宋体"/>
                <w:sz w:val="24"/>
                <w:szCs w:val="24"/>
              </w:rPr>
              <w:t>资格审查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hint="eastAsia" w:ascii="宋体" w:hAnsi="宋体" w:eastAsia="宋体" w:cs="宋体"/>
                <w:sz w:val="24"/>
                <w:szCs w:val="24"/>
              </w:rPr>
            </w:pPr>
            <w:r>
              <w:rPr>
                <w:rFonts w:hint="eastAsia" w:ascii="宋体" w:hAnsi="宋体" w:eastAsia="宋体" w:cs="宋体"/>
                <w:sz w:val="24"/>
                <w:szCs w:val="24"/>
              </w:rPr>
              <w:t>详见《资格审查标准》</w:t>
            </w:r>
          </w:p>
        </w:tc>
      </w:tr>
      <w:tr>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hint="eastAsia" w:ascii="宋体" w:hAnsi="宋体" w:eastAsia="宋体" w:cs="宋体"/>
                <w:sz w:val="24"/>
                <w:szCs w:val="24"/>
              </w:rPr>
            </w:pPr>
            <w:r>
              <w:rPr>
                <w:rFonts w:hint="eastAsia" w:ascii="宋体" w:hAnsi="宋体" w:eastAsia="宋体" w:cs="宋体"/>
                <w:sz w:val="24"/>
                <w:szCs w:val="24"/>
              </w:rPr>
              <w:t>完备性及符合性审查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hint="eastAsia" w:ascii="宋体" w:hAnsi="宋体" w:eastAsia="宋体" w:cs="宋体"/>
                <w:sz w:val="24"/>
                <w:szCs w:val="24"/>
              </w:rPr>
            </w:pPr>
            <w:r>
              <w:rPr>
                <w:rFonts w:hint="eastAsia" w:ascii="宋体" w:hAnsi="宋体" w:eastAsia="宋体" w:cs="宋体"/>
                <w:sz w:val="24"/>
                <w:szCs w:val="24"/>
              </w:rPr>
              <w:t>详见《完备性及符合性审查标准》</w:t>
            </w:r>
          </w:p>
        </w:tc>
      </w:tr>
      <w:tr>
        <w:tblPrEx>
          <w:tblCellMar>
            <w:top w:w="0" w:type="dxa"/>
            <w:left w:w="0" w:type="dxa"/>
            <w:bottom w:w="0" w:type="dxa"/>
            <w:right w:w="0" w:type="dxa"/>
          </w:tblCellMar>
        </w:tblPrEx>
        <w:trPr>
          <w:cantSplit/>
          <w:trHeight w:val="325" w:hRule="atLeast"/>
          <w:jc w:val="center"/>
        </w:trPr>
        <w:tc>
          <w:tcPr>
            <w:tcW w:w="612"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783"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pPr>
              <w:rPr>
                <w:rFonts w:hint="eastAsia" w:ascii="宋体" w:hAnsi="宋体" w:eastAsia="宋体" w:cs="宋体"/>
                <w:sz w:val="24"/>
                <w:szCs w:val="24"/>
              </w:rPr>
            </w:pPr>
            <w:r>
              <w:rPr>
                <w:rFonts w:hint="eastAsia" w:ascii="宋体" w:hAnsi="宋体" w:eastAsia="宋体" w:cs="宋体"/>
                <w:sz w:val="24"/>
                <w:szCs w:val="24"/>
              </w:rPr>
              <w:t>详细评审</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rFonts w:hint="eastAsia" w:ascii="宋体" w:hAnsi="宋体" w:eastAsia="宋体" w:cs="宋体"/>
                <w:sz w:val="24"/>
                <w:szCs w:val="24"/>
              </w:rPr>
            </w:pPr>
            <w:r>
              <w:rPr>
                <w:rFonts w:hint="eastAsia" w:ascii="宋体" w:hAnsi="宋体" w:eastAsia="宋体" w:cs="宋体"/>
                <w:sz w:val="24"/>
                <w:szCs w:val="24"/>
              </w:rPr>
              <w:t>详见《详细评审标准》</w:t>
            </w:r>
          </w:p>
        </w:tc>
      </w:tr>
      <w:tr>
        <w:tblPrEx>
          <w:tblCellMar>
            <w:top w:w="0" w:type="dxa"/>
            <w:left w:w="0" w:type="dxa"/>
            <w:bottom w:w="0" w:type="dxa"/>
            <w:right w:w="0" w:type="dxa"/>
          </w:tblCellMar>
        </w:tblPrEx>
        <w:trPr>
          <w:cantSplit/>
          <w:trHeight w:val="2577" w:hRule="atLeast"/>
          <w:jc w:val="center"/>
        </w:trPr>
        <w:tc>
          <w:tcPr>
            <w:tcW w:w="612"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rFonts w:hint="eastAsia" w:ascii="宋体" w:hAnsi="宋体" w:eastAsia="宋体" w:cs="宋体"/>
                <w:sz w:val="24"/>
                <w:szCs w:val="24"/>
              </w:rPr>
            </w:pPr>
          </w:p>
        </w:tc>
        <w:tc>
          <w:tcPr>
            <w:tcW w:w="2783"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pPr>
              <w:rPr>
                <w:rFonts w:hint="eastAsia" w:ascii="宋体" w:hAnsi="宋体" w:eastAsia="宋体" w:cs="宋体"/>
                <w:sz w:val="24"/>
                <w:szCs w:val="24"/>
              </w:rPr>
            </w:pP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pPr>
              <w:rPr>
                <w:rFonts w:hint="eastAsia" w:ascii="宋体" w:hAnsi="宋体" w:eastAsia="宋体" w:cs="宋体"/>
                <w:sz w:val="24"/>
                <w:szCs w:val="24"/>
              </w:rPr>
            </w:pPr>
            <w:r>
              <w:rPr>
                <w:rFonts w:hint="eastAsia" w:ascii="宋体" w:hAnsi="宋体" w:eastAsia="宋体" w:cs="宋体"/>
                <w:sz w:val="24"/>
                <w:szCs w:val="24"/>
              </w:rPr>
              <w:t>投标报价得分计算方法：</w:t>
            </w:r>
          </w:p>
          <w:p>
            <w:pPr>
              <w:rPr>
                <w:rFonts w:hint="eastAsia" w:ascii="宋体" w:hAnsi="宋体" w:eastAsia="宋体" w:cs="宋体"/>
                <w:bCs/>
                <w:sz w:val="24"/>
                <w:szCs w:val="24"/>
              </w:rPr>
            </w:pPr>
            <w:r>
              <w:rPr>
                <w:rFonts w:hint="eastAsia" w:ascii="宋体" w:hAnsi="宋体" w:eastAsia="宋体" w:cs="宋体"/>
                <w:sz w:val="24"/>
                <w:szCs w:val="24"/>
              </w:rPr>
              <w:t>1</w:t>
            </w:r>
            <w:r>
              <w:rPr>
                <w:rFonts w:hint="eastAsia" w:ascii="宋体" w:hAnsi="宋体" w:eastAsia="宋体" w:cs="宋体"/>
                <w:bCs/>
                <w:sz w:val="24"/>
                <w:szCs w:val="24"/>
              </w:rPr>
              <w:t>.投标报价的确定</w:t>
            </w:r>
          </w:p>
          <w:p>
            <w:pPr>
              <w:rPr>
                <w:rFonts w:hint="eastAsia" w:ascii="宋体" w:hAnsi="宋体" w:eastAsia="宋体" w:cs="宋体"/>
                <w:bCs/>
                <w:sz w:val="24"/>
                <w:szCs w:val="24"/>
              </w:rPr>
            </w:pPr>
            <w:r>
              <w:rPr>
                <w:rFonts w:hint="eastAsia" w:ascii="宋体" w:hAnsi="宋体" w:eastAsia="宋体" w:cs="宋体"/>
                <w:bCs/>
                <w:sz w:val="24"/>
                <w:szCs w:val="24"/>
              </w:rPr>
              <w:t>投标报价是指经评审的且不超过采购预算金额的投标价格</w:t>
            </w:r>
          </w:p>
          <w:p>
            <w:pPr>
              <w:rPr>
                <w:rFonts w:hint="eastAsia" w:ascii="宋体" w:hAnsi="宋体" w:eastAsia="宋体" w:cs="宋体"/>
                <w:bCs/>
                <w:sz w:val="24"/>
                <w:szCs w:val="24"/>
              </w:rPr>
            </w:pPr>
            <w:r>
              <w:rPr>
                <w:rFonts w:hint="eastAsia" w:ascii="宋体" w:hAnsi="宋体" w:eastAsia="宋体" w:cs="宋体"/>
                <w:bCs/>
                <w:sz w:val="24"/>
                <w:szCs w:val="24"/>
              </w:rPr>
              <w:t>2.评标基准价的确定</w:t>
            </w:r>
          </w:p>
          <w:p>
            <w:pPr>
              <w:rPr>
                <w:rFonts w:hint="eastAsia" w:ascii="宋体" w:hAnsi="宋体" w:eastAsia="宋体" w:cs="宋体"/>
                <w:bCs/>
                <w:sz w:val="24"/>
                <w:szCs w:val="24"/>
              </w:rPr>
            </w:pPr>
            <w:r>
              <w:rPr>
                <w:rFonts w:hint="eastAsia" w:ascii="宋体" w:hAnsi="宋体" w:eastAsia="宋体" w:cs="宋体"/>
                <w:bCs/>
                <w:sz w:val="24"/>
                <w:szCs w:val="24"/>
              </w:rPr>
              <w:t>满足招标文件要求且投标报价最低的为评标基准价</w:t>
            </w:r>
          </w:p>
          <w:p>
            <w:pPr>
              <w:rPr>
                <w:rFonts w:hint="eastAsia" w:ascii="宋体" w:hAnsi="宋体" w:eastAsia="宋体" w:cs="宋体"/>
                <w:bCs/>
                <w:sz w:val="24"/>
                <w:szCs w:val="24"/>
              </w:rPr>
            </w:pPr>
            <w:r>
              <w:rPr>
                <w:rFonts w:hint="eastAsia" w:ascii="宋体" w:hAnsi="宋体" w:eastAsia="宋体" w:cs="宋体"/>
                <w:bCs/>
                <w:sz w:val="24"/>
                <w:szCs w:val="24"/>
              </w:rPr>
              <w:t>3.投标报价得分=(评标基准价／投标报价)×100×10%</w:t>
            </w:r>
          </w:p>
          <w:p>
            <w:pPr>
              <w:rPr>
                <w:rFonts w:hint="eastAsia" w:ascii="宋体" w:hAnsi="宋体" w:eastAsia="宋体" w:cs="宋体"/>
                <w:sz w:val="24"/>
                <w:szCs w:val="24"/>
              </w:rPr>
            </w:pPr>
            <w:r>
              <w:rPr>
                <w:rFonts w:hint="eastAsia" w:ascii="宋体" w:hAnsi="宋体" w:eastAsia="宋体" w:cs="宋体"/>
                <w:bCs/>
                <w:sz w:val="24"/>
                <w:szCs w:val="24"/>
              </w:rPr>
              <w:t>4.</w:t>
            </w:r>
            <w:r>
              <w:rPr>
                <w:rFonts w:hint="eastAsia" w:ascii="宋体" w:hAnsi="宋体" w:eastAsia="宋体" w:cs="宋体"/>
                <w:sz w:val="24"/>
                <w:szCs w:val="24"/>
              </w:rPr>
              <w:t>评分分值计算保留小数点后两位，小数点后三位“四舍五入”。</w:t>
            </w:r>
          </w:p>
          <w:p>
            <w:pPr>
              <w:rPr>
                <w:rFonts w:hint="default" w:ascii="宋体" w:hAnsi="宋体" w:eastAsia="宋体" w:cs="宋体"/>
                <w:sz w:val="24"/>
                <w:szCs w:val="24"/>
                <w:lang w:val="en-US" w:eastAsia="zh-CN"/>
              </w:rPr>
            </w:pPr>
            <w:r>
              <w:rPr>
                <w:rFonts w:hint="eastAsia" w:ascii="宋体" w:hAnsi="宋体" w:eastAsia="宋体" w:cs="宋体"/>
                <w:sz w:val="24"/>
                <w:szCs w:val="24"/>
              </w:rPr>
              <w:t>5.本项目中小企业扶持政策：本项目</w:t>
            </w:r>
            <w:r>
              <w:rPr>
                <w:rFonts w:hint="eastAsia" w:ascii="宋体" w:hAnsi="宋体" w:eastAsia="宋体" w:cs="宋体"/>
                <w:sz w:val="24"/>
                <w:szCs w:val="24"/>
                <w:lang w:val="en-US" w:eastAsia="zh-CN"/>
              </w:rPr>
              <w:t>为非专门面向中小</w:t>
            </w:r>
            <w:r>
              <w:rPr>
                <w:rFonts w:hint="eastAsia" w:ascii="宋体" w:hAnsi="宋体" w:eastAsia="宋体" w:cs="宋体"/>
                <w:sz w:val="24"/>
                <w:szCs w:val="24"/>
              </w:rPr>
              <w:t>企业采购</w:t>
            </w:r>
            <w:r>
              <w:rPr>
                <w:rFonts w:hint="eastAsia" w:ascii="宋体" w:hAnsi="宋体" w:eastAsia="宋体" w:cs="宋体"/>
                <w:sz w:val="24"/>
                <w:szCs w:val="24"/>
                <w:lang w:val="en-US" w:eastAsia="zh-CN"/>
              </w:rPr>
              <w:t>项目</w:t>
            </w:r>
            <w:r>
              <w:rPr>
                <w:rFonts w:hint="eastAsia" w:ascii="宋体" w:hAnsi="宋体" w:eastAsia="宋体" w:cs="宋体"/>
                <w:sz w:val="24"/>
                <w:szCs w:val="24"/>
              </w:rPr>
              <w:t>，对小型和微型企业（或联合体各方均为小型、微型企业的，残疾人福利性单位、监狱企业视为小微企业）产品的价格给予10%的扣除，用扣除后的价格参与价格的评审。供应商</w:t>
            </w:r>
            <w:r>
              <w:rPr>
                <w:rFonts w:hint="eastAsia" w:ascii="宋体" w:hAnsi="宋体" w:eastAsia="宋体" w:cs="宋体"/>
                <w:sz w:val="24"/>
                <w:szCs w:val="24"/>
                <w:lang w:val="en-US" w:eastAsia="zh-CN"/>
              </w:rPr>
              <w:t>应提供</w:t>
            </w:r>
            <w:r>
              <w:rPr>
                <w:rFonts w:hint="eastAsia" w:ascii="宋体" w:hAnsi="宋体" w:eastAsia="宋体" w:cs="宋体"/>
                <w:sz w:val="24"/>
                <w:szCs w:val="24"/>
              </w:rPr>
              <w:t>《中小企业声明函》或残疾人福利性单位声明函或监狱企业证明文件；供应商应提供以上材料，否则将不给予价格扣除。若所供应产品为进口产品的，不适用《政府采购促进中小企业发展管理办法》。</w:t>
            </w:r>
            <w:r>
              <w:rPr>
                <w:rFonts w:hint="eastAsia" w:ascii="宋体" w:hAnsi="宋体" w:eastAsia="宋体" w:cs="宋体"/>
                <w:sz w:val="24"/>
                <w:szCs w:val="24"/>
                <w:lang w:val="en-US" w:eastAsia="zh-CN"/>
              </w:rPr>
              <w:t>成交</w:t>
            </w:r>
            <w:r>
              <w:rPr>
                <w:rFonts w:hint="eastAsia" w:ascii="宋体" w:hAnsi="宋体" w:eastAsia="宋体" w:cs="宋体"/>
                <w:sz w:val="24"/>
                <w:szCs w:val="24"/>
              </w:rPr>
              <w:t>单位符合小微企业投标时享受中小企业扶持政策的，将随</w:t>
            </w:r>
            <w:r>
              <w:rPr>
                <w:rFonts w:hint="eastAsia" w:ascii="宋体" w:hAnsi="宋体" w:eastAsia="宋体" w:cs="宋体"/>
                <w:sz w:val="24"/>
                <w:szCs w:val="24"/>
                <w:lang w:val="en-US" w:eastAsia="zh-CN"/>
              </w:rPr>
              <w:t>成交</w:t>
            </w:r>
            <w:r>
              <w:rPr>
                <w:rFonts w:hint="eastAsia" w:ascii="宋体" w:hAnsi="宋体" w:eastAsia="宋体" w:cs="宋体"/>
                <w:sz w:val="24"/>
                <w:szCs w:val="24"/>
              </w:rPr>
              <w:t>结果公开</w:t>
            </w:r>
            <w:r>
              <w:rPr>
                <w:rFonts w:hint="eastAsia" w:ascii="宋体" w:hAnsi="宋体" w:eastAsia="宋体" w:cs="宋体"/>
                <w:sz w:val="24"/>
                <w:szCs w:val="24"/>
                <w:lang w:val="en-US" w:eastAsia="zh-CN"/>
              </w:rPr>
              <w:t>成交</w:t>
            </w:r>
            <w:r>
              <w:rPr>
                <w:rFonts w:hint="eastAsia" w:ascii="宋体" w:hAnsi="宋体" w:eastAsia="宋体" w:cs="宋体"/>
                <w:sz w:val="24"/>
                <w:szCs w:val="24"/>
              </w:rPr>
              <w:t>供应商的企业类型声明函。</w:t>
            </w:r>
            <w:r>
              <w:rPr>
                <w:rFonts w:hint="eastAsia" w:ascii="宋体" w:hAnsi="宋体" w:cs="宋体"/>
                <w:sz w:val="24"/>
                <w:szCs w:val="24"/>
                <w:lang w:val="en-US" w:eastAsia="zh-CN"/>
              </w:rPr>
              <w:t>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bl>
    <w:p>
      <w:pPr>
        <w:widowControl/>
        <w:shd w:val="clear" w:color="auto" w:fill="FFFFFF"/>
        <w:snapToGrid w:val="0"/>
        <w:jc w:val="center"/>
        <w:rPr>
          <w:rFonts w:hint="eastAsia" w:ascii="宋体" w:hAnsi="宋体" w:eastAsia="宋体" w:cs="宋体"/>
          <w:b/>
          <w:kern w:val="0"/>
          <w:sz w:val="24"/>
          <w:szCs w:val="24"/>
        </w:rPr>
      </w:pPr>
      <w:bookmarkStart w:id="38" w:name="_Toc501719166"/>
      <w:r>
        <w:rPr>
          <w:rFonts w:hint="eastAsia" w:ascii="宋体" w:hAnsi="宋体" w:eastAsia="宋体" w:cs="宋体"/>
          <w:b/>
          <w:kern w:val="0"/>
          <w:sz w:val="24"/>
          <w:szCs w:val="24"/>
        </w:rPr>
        <w:t>《资格审查标准》</w:t>
      </w:r>
      <w:bookmarkEnd w:id="38"/>
    </w:p>
    <w:tbl>
      <w:tblPr>
        <w:tblStyle w:val="38"/>
        <w:tblW w:w="8665" w:type="dxa"/>
        <w:jc w:val="center"/>
        <w:tblLayout w:type="fixed"/>
        <w:tblCellMar>
          <w:top w:w="0" w:type="dxa"/>
          <w:left w:w="108" w:type="dxa"/>
          <w:bottom w:w="0" w:type="dxa"/>
          <w:right w:w="108" w:type="dxa"/>
        </w:tblCellMar>
      </w:tblPr>
      <w:tblGrid>
        <w:gridCol w:w="464"/>
        <w:gridCol w:w="1708"/>
        <w:gridCol w:w="6493"/>
      </w:tblGrid>
      <w:tr>
        <w:tblPrEx>
          <w:tblCellMar>
            <w:top w:w="0" w:type="dxa"/>
            <w:left w:w="108" w:type="dxa"/>
            <w:bottom w:w="0" w:type="dxa"/>
            <w:right w:w="108" w:type="dxa"/>
          </w:tblCellMar>
        </w:tblPrEx>
        <w:trPr>
          <w:trHeight w:val="916"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bookmarkStart w:id="39" w:name="_Toc501719167"/>
            <w:r>
              <w:rPr>
                <w:rFonts w:hint="eastAsia" w:ascii="宋体" w:hAnsi="宋体" w:eastAsia="宋体" w:cs="宋体"/>
                <w:sz w:val="24"/>
                <w:szCs w:val="24"/>
              </w:rPr>
              <w:t>序号</w:t>
            </w:r>
          </w:p>
        </w:tc>
        <w:tc>
          <w:tcPr>
            <w:tcW w:w="17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649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评审标准</w:t>
            </w:r>
          </w:p>
        </w:tc>
      </w:tr>
      <w:tr>
        <w:tblPrEx>
          <w:tblCellMar>
            <w:top w:w="0" w:type="dxa"/>
            <w:left w:w="108" w:type="dxa"/>
            <w:bottom w:w="0" w:type="dxa"/>
            <w:right w:w="108" w:type="dxa"/>
          </w:tblCellMar>
        </w:tblPrEx>
        <w:trPr>
          <w:trHeight w:val="35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6493"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sz w:val="24"/>
                <w:szCs w:val="24"/>
              </w:rPr>
            </w:pPr>
            <w:r>
              <w:rPr>
                <w:rFonts w:hint="eastAsia" w:ascii="宋体" w:hAnsi="宋体" w:eastAsia="宋体" w:cs="宋体"/>
                <w:sz w:val="24"/>
                <w:szCs w:val="24"/>
              </w:rPr>
              <w:t>法人或者其他组织的营业执照等证明文件，自然人的身份证明</w:t>
            </w:r>
          </w:p>
        </w:tc>
      </w:tr>
      <w:tr>
        <w:tblPrEx>
          <w:tblCellMar>
            <w:top w:w="0" w:type="dxa"/>
            <w:left w:w="108" w:type="dxa"/>
            <w:bottom w:w="0" w:type="dxa"/>
            <w:right w:w="108" w:type="dxa"/>
          </w:tblCellMar>
        </w:tblPrEx>
        <w:trPr>
          <w:trHeight w:val="35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70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p>
            <w:pPr>
              <w:widowControl/>
              <w:rPr>
                <w:rFonts w:hint="eastAsia" w:ascii="宋体" w:hAnsi="宋体" w:eastAsia="宋体" w:cs="宋体"/>
                <w:sz w:val="24"/>
                <w:szCs w:val="24"/>
              </w:rPr>
            </w:pPr>
          </w:p>
        </w:tc>
        <w:tc>
          <w:tcPr>
            <w:tcW w:w="649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提供上年度（2021 年度或 2022 年度）经审计财务会计报告（至少提供资产负债表、利润表、现金流量表，新成立的公司提供情况说明）/企业财务报表/基本开户银行出具的资信证明或近半年内任意一个月财务报表（财务报表应至少包括资产负债表、现金流量表或财务状况变动表，当月新成立公司不需提供）；  </w:t>
            </w:r>
          </w:p>
          <w:p>
            <w:pPr>
              <w:rPr>
                <w:rFonts w:hint="eastAsia" w:ascii="宋体" w:hAnsi="宋体" w:eastAsia="宋体" w:cs="宋体"/>
                <w:sz w:val="24"/>
                <w:szCs w:val="24"/>
              </w:rPr>
            </w:pPr>
            <w:r>
              <w:rPr>
                <w:rFonts w:hint="eastAsia" w:ascii="宋体" w:hAnsi="宋体" w:eastAsia="宋体" w:cs="宋体"/>
                <w:sz w:val="24"/>
                <w:szCs w:val="24"/>
              </w:rPr>
              <w:t>个体工商户审查财务状况报告或财务报表，则将以个体工商户为户名的银行账户状况视为个体工商户的财务状况；如果个体工商户仅有经营者或者家庭经营成员的银行账户，则将经营者或者家庭经营成员的银行账户状况视为个体工商户的财务状况。</w:t>
            </w:r>
          </w:p>
        </w:tc>
      </w:tr>
      <w:tr>
        <w:tblPrEx>
          <w:tblCellMar>
            <w:top w:w="0" w:type="dxa"/>
            <w:left w:w="108" w:type="dxa"/>
            <w:bottom w:w="0" w:type="dxa"/>
            <w:right w:w="108" w:type="dxa"/>
          </w:tblCellMar>
        </w:tblPrEx>
        <w:trPr>
          <w:trHeight w:val="809"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708"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w:t>
            </w:r>
          </w:p>
        </w:tc>
        <w:tc>
          <w:tcPr>
            <w:tcW w:w="649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提供具有履行合同所必需的设备和专业技术能力等相关证明材料或声明</w:t>
            </w:r>
          </w:p>
        </w:tc>
      </w:tr>
      <w:tr>
        <w:tblPrEx>
          <w:tblCellMar>
            <w:top w:w="0" w:type="dxa"/>
            <w:left w:w="108" w:type="dxa"/>
            <w:bottom w:w="0" w:type="dxa"/>
            <w:right w:w="108" w:type="dxa"/>
          </w:tblCellMar>
        </w:tblPrEx>
        <w:trPr>
          <w:trHeight w:val="542"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708"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w:t>
            </w:r>
          </w:p>
        </w:tc>
        <w:tc>
          <w:tcPr>
            <w:tcW w:w="649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提供响应文件递交截止时间近</w:t>
            </w:r>
            <w:r>
              <w:rPr>
                <w:rFonts w:hint="eastAsia" w:ascii="宋体" w:hAnsi="宋体" w:eastAsia="宋体" w:cs="宋体"/>
                <w:sz w:val="24"/>
                <w:szCs w:val="24"/>
                <w:lang w:eastAsia="zh-CN"/>
              </w:rPr>
              <w:t>半年任意一月</w:t>
            </w:r>
            <w:r>
              <w:rPr>
                <w:rFonts w:hint="eastAsia" w:ascii="宋体" w:hAnsi="宋体" w:eastAsia="宋体" w:cs="宋体"/>
                <w:sz w:val="24"/>
                <w:szCs w:val="24"/>
              </w:rPr>
              <w:t>的依法缴纳税收和社会保障资金的良好记录的证明材料（附复印件）； 个体工商户参与政府采购活动需要提供缴纳税收的凭据和社会保险的凭据；依法免税或不需要缴纳社保的，应提供相应文件以证明其依法免税或不需要缴纳社保的优惠；</w:t>
            </w:r>
          </w:p>
        </w:tc>
      </w:tr>
      <w:tr>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708"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w:t>
            </w:r>
          </w:p>
          <w:p>
            <w:pPr>
              <w:rPr>
                <w:rFonts w:hint="eastAsia" w:ascii="宋体" w:hAnsi="宋体" w:eastAsia="宋体" w:cs="宋体"/>
                <w:sz w:val="24"/>
                <w:szCs w:val="24"/>
              </w:rPr>
            </w:pPr>
          </w:p>
        </w:tc>
        <w:tc>
          <w:tcPr>
            <w:tcW w:w="649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参加政府采购活动近3年内，在经营活动中没有重大违法记录，提供声明书。</w:t>
            </w:r>
          </w:p>
        </w:tc>
      </w:tr>
      <w:tr>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08" w:type="dxa"/>
            <w:tcBorders>
              <w:top w:val="single" w:color="auto" w:sz="4" w:space="0"/>
              <w:left w:val="nil"/>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sz w:val="24"/>
                <w:lang w:val="zh-CN"/>
              </w:rPr>
              <w:t>特点资格条件</w:t>
            </w:r>
          </w:p>
        </w:tc>
        <w:tc>
          <w:tcPr>
            <w:tcW w:w="649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1、具备检验检测机构资质认定证书 (CMA)；</w:t>
            </w:r>
            <w:r>
              <w:rPr>
                <w:rFonts w:hint="eastAsia" w:ascii="宋体" w:hAnsi="宋体" w:cs="宋体"/>
                <w:color w:val="auto"/>
                <w:sz w:val="24"/>
                <w:szCs w:val="24"/>
                <w:highlight w:val="none"/>
                <w:lang w:eastAsia="zh-CN"/>
              </w:rPr>
              <w:t>（以联合体形式参与投标的，联合体一方须具备</w:t>
            </w:r>
            <w:r>
              <w:rPr>
                <w:rFonts w:hint="eastAsia" w:ascii="宋体" w:hAnsi="宋体" w:eastAsia="宋体" w:cs="宋体"/>
                <w:color w:val="auto"/>
                <w:sz w:val="24"/>
                <w:szCs w:val="24"/>
                <w:highlight w:val="none"/>
              </w:rPr>
              <w:t>检验检测机构资质认定证书 (CMA)</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供应商需在国务院第三次全国土壤普查领导小组办公室公布的“第三次全国土壤普查检测实验室"名录内或“新疆维吾尔自治区第三全国土壤普查领导小组办公室”审核通过的实验室名录之内</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eastAsia="zh-CN"/>
              </w:rPr>
              <w:t>（以联合体形式参与投标的，联合体一方须在名录内）</w:t>
            </w:r>
          </w:p>
          <w:p>
            <w:pPr>
              <w:spacing w:line="360" w:lineRule="auto"/>
              <w:rPr>
                <w:rFonts w:hint="eastAsia" w:ascii="宋体" w:hAnsi="宋体" w:eastAsia="宋体" w:cs="宋体"/>
                <w:kern w:val="0"/>
                <w:sz w:val="24"/>
                <w:szCs w:val="24"/>
              </w:rPr>
            </w:pPr>
            <w:r>
              <w:rPr>
                <w:rFonts w:hint="eastAsia" w:ascii="宋体" w:hAnsi="宋体" w:eastAsia="宋体" w:cs="宋体"/>
                <w:color w:val="auto"/>
                <w:sz w:val="24"/>
                <w:szCs w:val="24"/>
                <w:highlight w:val="none"/>
                <w:lang w:val="en-US" w:eastAsia="zh-CN"/>
              </w:rPr>
              <w:t>3.供应商具有乙级及以上测绘资质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（以联合体形式参与投标的，联合体一方须具备</w:t>
            </w:r>
            <w:r>
              <w:rPr>
                <w:rFonts w:hint="eastAsia" w:ascii="宋体" w:hAnsi="宋体" w:eastAsia="宋体" w:cs="宋体"/>
                <w:color w:val="auto"/>
                <w:sz w:val="24"/>
                <w:szCs w:val="24"/>
                <w:highlight w:val="none"/>
                <w:lang w:val="en-US" w:eastAsia="zh-CN"/>
              </w:rPr>
              <w:t>乙级及以上测绘资质</w:t>
            </w:r>
            <w:r>
              <w:rPr>
                <w:rFonts w:hint="eastAsia" w:ascii="宋体" w:hAnsi="宋体" w:cs="宋体"/>
                <w:color w:val="auto"/>
                <w:sz w:val="24"/>
                <w:szCs w:val="24"/>
                <w:highlight w:val="none"/>
                <w:lang w:eastAsia="zh-CN"/>
              </w:rPr>
              <w:t>）</w:t>
            </w:r>
          </w:p>
        </w:tc>
      </w:tr>
      <w:tr>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708"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信用查询</w:t>
            </w:r>
          </w:p>
        </w:tc>
        <w:tc>
          <w:tcPr>
            <w:tcW w:w="649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根据《财政部关于在政府采购活动中查询及使用信用记录有关问题的通知》（财库〔2016〕125 号）规定，响应文件递交截止时间后，采购人或采购代理机构将通过“信用中国”网站(www.creditchina.gov.cn)、中国政府采购网(www.ccgp.gov.cn)，对供应商截止到响应文件递交截止时间的信用记录进行审查，对列入失信被执行人、重大税收违法案件当事人名单、政府采购严重违法失信行为记录名单其</w:t>
            </w:r>
            <w:r>
              <w:rPr>
                <w:rFonts w:hint="eastAsia" w:ascii="宋体" w:hAnsi="宋体" w:cs="宋体"/>
                <w:kern w:val="0"/>
                <w:sz w:val="24"/>
                <w:szCs w:val="24"/>
                <w:lang w:eastAsia="zh-CN"/>
              </w:rPr>
              <w:t>投标</w:t>
            </w:r>
            <w:r>
              <w:rPr>
                <w:rFonts w:hint="eastAsia" w:ascii="宋体" w:hAnsi="宋体" w:eastAsia="宋体" w:cs="宋体"/>
                <w:kern w:val="0"/>
                <w:sz w:val="24"/>
                <w:szCs w:val="24"/>
              </w:rPr>
              <w:t>资格将被拒绝。</w:t>
            </w:r>
          </w:p>
          <w:p>
            <w:pPr>
              <w:rPr>
                <w:rFonts w:hint="eastAsia" w:ascii="宋体" w:hAnsi="宋体" w:eastAsia="宋体" w:cs="宋体"/>
                <w:kern w:val="0"/>
                <w:sz w:val="24"/>
                <w:szCs w:val="24"/>
              </w:rPr>
            </w:pPr>
            <w:r>
              <w:rPr>
                <w:rFonts w:hint="eastAsia" w:ascii="宋体" w:hAnsi="宋体" w:eastAsia="宋体" w:cs="宋体"/>
                <w:kern w:val="0"/>
                <w:sz w:val="24"/>
                <w:szCs w:val="24"/>
              </w:rPr>
              <w:t>本次查询的信用记录仅限于本项目使用，查询截止时点为响应文件递交截止当日，并将开标议会现场各供应商的信用查询结果网页版打印件留存在采购档案中。</w:t>
            </w:r>
          </w:p>
        </w:tc>
      </w:tr>
      <w:tr>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08"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是否缴纳</w:t>
            </w:r>
            <w:r>
              <w:rPr>
                <w:rFonts w:hint="eastAsia" w:ascii="宋体" w:hAnsi="宋体" w:cs="宋体"/>
                <w:sz w:val="24"/>
                <w:szCs w:val="24"/>
                <w:lang w:eastAsia="zh-CN"/>
              </w:rPr>
              <w:t>投标</w:t>
            </w:r>
            <w:r>
              <w:rPr>
                <w:rFonts w:hint="eastAsia" w:ascii="宋体" w:hAnsi="宋体" w:eastAsia="宋体" w:cs="宋体"/>
                <w:sz w:val="24"/>
                <w:szCs w:val="24"/>
              </w:rPr>
              <w:t>保证金</w:t>
            </w:r>
          </w:p>
        </w:tc>
        <w:tc>
          <w:tcPr>
            <w:tcW w:w="649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提供缴纳保证金凭证</w:t>
            </w:r>
          </w:p>
        </w:tc>
      </w:tr>
      <w:tr>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1708"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以联合体形式参与投标的，需提供联合体协议书</w:t>
            </w:r>
          </w:p>
        </w:tc>
        <w:tc>
          <w:tcPr>
            <w:tcW w:w="649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以联合体形式参与投标的，需提供联合体协议书，格式以采购文件为准</w:t>
            </w:r>
          </w:p>
        </w:tc>
      </w:tr>
      <w:tr>
        <w:tblPrEx>
          <w:tblCellMar>
            <w:top w:w="0" w:type="dxa"/>
            <w:left w:w="108" w:type="dxa"/>
            <w:bottom w:w="0" w:type="dxa"/>
            <w:right w:w="108" w:type="dxa"/>
          </w:tblCellMar>
        </w:tblPrEx>
        <w:trPr>
          <w:trHeight w:val="5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8201"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再次重申：供应商请认真阅读和理解上述内容，避免资格审查中有违背上述审查标准之一的情况发生而造成废标。</w:t>
            </w:r>
          </w:p>
        </w:tc>
      </w:tr>
    </w:tbl>
    <w:p>
      <w:pPr>
        <w:widowControl/>
        <w:shd w:val="clear" w:color="auto" w:fill="FFFFFF"/>
        <w:snapToGrid w:val="0"/>
        <w:jc w:val="center"/>
        <w:rPr>
          <w:rFonts w:hint="eastAsia" w:ascii="宋体" w:hAnsi="宋体" w:eastAsia="宋体" w:cs="宋体"/>
          <w:b/>
          <w:kern w:val="0"/>
          <w:sz w:val="24"/>
          <w:szCs w:val="24"/>
        </w:rPr>
      </w:pPr>
      <w:r>
        <w:rPr>
          <w:rFonts w:hint="eastAsia" w:ascii="宋体" w:hAnsi="宋体" w:eastAsia="宋体" w:cs="宋体"/>
          <w:b/>
          <w:kern w:val="0"/>
          <w:sz w:val="24"/>
          <w:szCs w:val="24"/>
        </w:rPr>
        <w:t>《</w:t>
      </w:r>
      <w:r>
        <w:rPr>
          <w:rFonts w:hint="eastAsia" w:ascii="宋体" w:hAnsi="宋体" w:eastAsia="宋体" w:cs="宋体"/>
          <w:b/>
          <w:sz w:val="24"/>
          <w:szCs w:val="24"/>
        </w:rPr>
        <w:t>完备性及符合性审查标准</w:t>
      </w:r>
      <w:r>
        <w:rPr>
          <w:rFonts w:hint="eastAsia" w:ascii="宋体" w:hAnsi="宋体" w:eastAsia="宋体" w:cs="宋体"/>
          <w:b/>
          <w:kern w:val="0"/>
          <w:sz w:val="24"/>
          <w:szCs w:val="24"/>
        </w:rPr>
        <w:t>》</w:t>
      </w:r>
      <w:bookmarkEnd w:id="39"/>
    </w:p>
    <w:tbl>
      <w:tblPr>
        <w:tblStyle w:val="3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33" w:type="dxa"/>
            <w:vMerge w:val="restart"/>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8406" w:type="dxa"/>
            <w:vMerge w:val="restart"/>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sz w:val="24"/>
                <w:szCs w:val="24"/>
              </w:rPr>
              <w:t>投标</w:t>
            </w:r>
            <w:r>
              <w:rPr>
                <w:rFonts w:hint="eastAsia" w:ascii="宋体" w:hAnsi="宋体" w:eastAsia="宋体" w:cs="宋体"/>
                <w:kern w:val="0"/>
                <w:sz w:val="24"/>
                <w:szCs w:val="24"/>
              </w:rPr>
              <w:t>文件符合性审查内容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33" w:type="dxa"/>
            <w:vMerge w:val="continue"/>
            <w:vAlign w:val="center"/>
          </w:tcPr>
          <w:p>
            <w:pPr>
              <w:autoSpaceDE w:val="0"/>
              <w:autoSpaceDN w:val="0"/>
              <w:adjustRightInd w:val="0"/>
              <w:jc w:val="center"/>
              <w:rPr>
                <w:rFonts w:hint="eastAsia" w:ascii="宋体" w:hAnsi="宋体" w:eastAsia="宋体" w:cs="宋体"/>
                <w:kern w:val="0"/>
                <w:sz w:val="24"/>
                <w:szCs w:val="24"/>
              </w:rPr>
            </w:pPr>
          </w:p>
        </w:tc>
        <w:tc>
          <w:tcPr>
            <w:tcW w:w="8406" w:type="dxa"/>
            <w:vMerge w:val="continue"/>
          </w:tcPr>
          <w:p>
            <w:pPr>
              <w:autoSpaceDE w:val="0"/>
              <w:autoSpaceDN w:val="0"/>
              <w:adjustRightIn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406" w:type="dxa"/>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凡招标文件中要求盖章或签字处，是否按要求加盖单位公章、法定代表人或被授权委托人签字或盖章的。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406" w:type="dxa"/>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投标文件组成是否齐全完整，内容是否均按规定填写；投标文件的关键内容是否无字迹模糊、无法辨认的。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406" w:type="dxa"/>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投标文件是否实质上响应了招标文件的要求。实质上响应的投标应该是与招标文件要求的全部条款、条件等相符，没有重大偏离或保留的投标。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406" w:type="dxa"/>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一份投标文件应只有一个投标报价，在招标文件没有规定的情况下，是否未提交选择性的报价。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406" w:type="dxa"/>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投标人的投标报价是否未超出采购预算金额（招标控制价）。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406" w:type="dxa"/>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投标文件载明的</w:t>
            </w:r>
            <w:r>
              <w:rPr>
                <w:rFonts w:hint="eastAsia" w:ascii="宋体" w:hAnsi="宋体" w:cs="宋体"/>
                <w:kern w:val="0"/>
                <w:sz w:val="24"/>
                <w:szCs w:val="24"/>
                <w:lang w:eastAsia="zh-CN"/>
              </w:rPr>
              <w:t>合同履约期限</w:t>
            </w:r>
            <w:r>
              <w:rPr>
                <w:rFonts w:hint="eastAsia" w:ascii="宋体" w:hAnsi="宋体" w:eastAsia="宋体" w:cs="宋体"/>
                <w:kern w:val="0"/>
                <w:sz w:val="24"/>
                <w:szCs w:val="24"/>
              </w:rPr>
              <w:t>是否满足招标文件规定的期限。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406" w:type="dxa"/>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投标人是否未提出不同的验收、计量、支付办法。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autoSpaceDE w:val="0"/>
              <w:autoSpaceDN w:val="0"/>
              <w:adjustRightInd w:val="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8406" w:type="dxa"/>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投标文件是否未附有采购人不能接受的附加条件的。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autoSpaceDE w:val="0"/>
              <w:autoSpaceDN w:val="0"/>
              <w:adjustRightInd w:val="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8406" w:type="dxa"/>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是否未存在法律、法规和招标文件规定的其他无效情形。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2"/>
            <w:vAlign w:val="center"/>
          </w:tcPr>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说明：</w:t>
      </w:r>
    </w:p>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投标</w:t>
      </w:r>
      <w:r>
        <w:rPr>
          <w:rFonts w:hint="eastAsia" w:ascii="宋体" w:hAnsi="宋体" w:eastAsia="宋体" w:cs="宋体"/>
          <w:kern w:val="0"/>
          <w:sz w:val="24"/>
          <w:szCs w:val="24"/>
        </w:rPr>
        <w:t>文件最终合格与否，以所有评委的评审意见中少数服从多数为原则定论。</w:t>
      </w:r>
    </w:p>
    <w:p>
      <w:pPr>
        <w:jc w:val="left"/>
        <w:rPr>
          <w:rFonts w:hint="eastAsia" w:ascii="宋体" w:hAnsi="宋体" w:eastAsia="宋体" w:cs="宋体"/>
          <w:b/>
          <w:kern w:val="0"/>
          <w:sz w:val="24"/>
          <w:szCs w:val="24"/>
        </w:rPr>
      </w:pPr>
      <w:r>
        <w:rPr>
          <w:rFonts w:hint="eastAsia" w:ascii="宋体" w:hAnsi="宋体" w:eastAsia="宋体" w:cs="宋体"/>
          <w:kern w:val="0"/>
          <w:sz w:val="24"/>
          <w:szCs w:val="24"/>
        </w:rPr>
        <w:t>（2）投标人请认真阅读和理解上述内容，避免</w:t>
      </w:r>
      <w:r>
        <w:rPr>
          <w:rFonts w:hint="eastAsia" w:ascii="宋体" w:hAnsi="宋体" w:eastAsia="宋体" w:cs="宋体"/>
          <w:sz w:val="24"/>
          <w:szCs w:val="24"/>
        </w:rPr>
        <w:t>投标</w:t>
      </w:r>
      <w:r>
        <w:rPr>
          <w:rFonts w:hint="eastAsia" w:ascii="宋体" w:hAnsi="宋体" w:eastAsia="宋体" w:cs="宋体"/>
          <w:kern w:val="0"/>
          <w:sz w:val="24"/>
          <w:szCs w:val="24"/>
        </w:rPr>
        <w:t>文件中有违背上述审查标准之一的情况发生而造成投标被否决。</w:t>
      </w:r>
    </w:p>
    <w:p>
      <w:pPr>
        <w:jc w:val="center"/>
        <w:rPr>
          <w:rFonts w:hint="eastAsia" w:ascii="宋体" w:hAnsi="宋体" w:eastAsia="宋体" w:cs="宋体"/>
          <w:b/>
          <w:kern w:val="0"/>
          <w:sz w:val="24"/>
          <w:szCs w:val="24"/>
        </w:rPr>
      </w:pPr>
      <w:r>
        <w:rPr>
          <w:rFonts w:hint="eastAsia" w:ascii="宋体" w:hAnsi="宋体" w:eastAsia="宋体" w:cs="宋体"/>
          <w:b/>
          <w:kern w:val="0"/>
          <w:sz w:val="24"/>
          <w:szCs w:val="24"/>
        </w:rPr>
        <w:t>《详细评审标准》</w:t>
      </w:r>
    </w:p>
    <w:p>
      <w:pPr>
        <w:rPr>
          <w:rFonts w:hint="eastAsia" w:ascii="宋体" w:hAnsi="宋体" w:eastAsia="宋体" w:cs="宋体"/>
        </w:rPr>
      </w:pPr>
    </w:p>
    <w:tbl>
      <w:tblPr>
        <w:tblStyle w:val="38"/>
        <w:tblpPr w:leftFromText="180" w:rightFromText="180" w:vertAnchor="text" w:horzAnchor="page" w:tblpX="1466" w:tblpY="539"/>
        <w:tblOverlap w:val="never"/>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863"/>
        <w:gridCol w:w="1276"/>
        <w:gridCol w:w="709"/>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712" w:type="dxa"/>
            <w:vMerge w:val="restart"/>
            <w:vAlign w:val="center"/>
          </w:tcPr>
          <w:p>
            <w:pPr>
              <w:pStyle w:val="196"/>
              <w:adjustRightInd w:val="0"/>
              <w:snapToGrid w:val="0"/>
              <w:ind w:left="107" w:right="3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863" w:type="dxa"/>
            <w:vMerge w:val="restart"/>
            <w:vAlign w:val="center"/>
          </w:tcPr>
          <w:p>
            <w:pPr>
              <w:pStyle w:val="196"/>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276" w:type="dxa"/>
            <w:vMerge w:val="restart"/>
            <w:vAlign w:val="center"/>
          </w:tcPr>
          <w:p>
            <w:pPr>
              <w:pStyle w:val="196"/>
              <w:adjustRightInd w:val="0"/>
              <w:snapToGrid w:val="0"/>
              <w:ind w:left="156"/>
              <w:jc w:val="center"/>
              <w:rPr>
                <w:rFonts w:hint="eastAsia" w:ascii="宋体" w:hAnsi="宋体" w:eastAsia="宋体" w:cs="宋体"/>
                <w:sz w:val="24"/>
                <w:szCs w:val="24"/>
              </w:rPr>
            </w:pPr>
            <w:r>
              <w:rPr>
                <w:rFonts w:hint="eastAsia" w:ascii="宋体" w:hAnsi="宋体" w:eastAsia="宋体" w:cs="宋体"/>
                <w:b/>
                <w:sz w:val="24"/>
                <w:szCs w:val="24"/>
              </w:rPr>
              <w:t>评审内容</w:t>
            </w:r>
          </w:p>
        </w:tc>
        <w:tc>
          <w:tcPr>
            <w:tcW w:w="6081" w:type="dxa"/>
            <w:gridSpan w:val="2"/>
            <w:vAlign w:val="center"/>
          </w:tcPr>
          <w:p>
            <w:pPr>
              <w:pStyle w:val="196"/>
              <w:adjustRightInd w:val="0"/>
              <w:snapToGrid w:val="0"/>
              <w:ind w:right="2431"/>
              <w:jc w:val="center"/>
              <w:rPr>
                <w:rFonts w:hint="eastAsia" w:ascii="宋体" w:hAnsi="宋体" w:eastAsia="宋体" w:cs="宋体"/>
                <w:sz w:val="24"/>
                <w:szCs w:val="24"/>
              </w:rPr>
            </w:pPr>
            <w:r>
              <w:rPr>
                <w:rFonts w:hint="eastAsia" w:ascii="宋体" w:hAnsi="宋体" w:eastAsia="宋体" w:cs="宋体"/>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712" w:type="dxa"/>
            <w:vMerge w:val="continue"/>
            <w:vAlign w:val="center"/>
          </w:tcPr>
          <w:p>
            <w:pPr>
              <w:adjustRightInd w:val="0"/>
              <w:snapToGrid w:val="0"/>
              <w:jc w:val="both"/>
              <w:rPr>
                <w:rFonts w:hint="eastAsia" w:ascii="宋体" w:hAnsi="宋体" w:eastAsia="宋体" w:cs="宋体"/>
                <w:sz w:val="24"/>
                <w:szCs w:val="24"/>
              </w:rPr>
            </w:pPr>
          </w:p>
        </w:tc>
        <w:tc>
          <w:tcPr>
            <w:tcW w:w="863" w:type="dxa"/>
            <w:vMerge w:val="continue"/>
            <w:vAlign w:val="center"/>
          </w:tcPr>
          <w:p>
            <w:pPr>
              <w:adjustRightInd w:val="0"/>
              <w:snapToGrid w:val="0"/>
              <w:jc w:val="both"/>
              <w:rPr>
                <w:rFonts w:hint="eastAsia" w:ascii="宋体" w:hAnsi="宋体" w:eastAsia="宋体" w:cs="宋体"/>
                <w:sz w:val="24"/>
                <w:szCs w:val="24"/>
              </w:rPr>
            </w:pPr>
          </w:p>
        </w:tc>
        <w:tc>
          <w:tcPr>
            <w:tcW w:w="1276" w:type="dxa"/>
            <w:vMerge w:val="continue"/>
            <w:vAlign w:val="center"/>
          </w:tcPr>
          <w:p>
            <w:pPr>
              <w:adjustRightInd w:val="0"/>
              <w:snapToGrid w:val="0"/>
              <w:jc w:val="center"/>
              <w:rPr>
                <w:rFonts w:hint="eastAsia" w:ascii="宋体" w:hAnsi="宋体" w:eastAsia="宋体" w:cs="宋体"/>
                <w:sz w:val="24"/>
                <w:szCs w:val="24"/>
              </w:rPr>
            </w:pPr>
          </w:p>
        </w:tc>
        <w:tc>
          <w:tcPr>
            <w:tcW w:w="709" w:type="dxa"/>
            <w:vAlign w:val="center"/>
          </w:tcPr>
          <w:p>
            <w:pPr>
              <w:pStyle w:val="196"/>
              <w:adjustRightInd w:val="0"/>
              <w:snapToGrid w:val="0"/>
              <w:ind w:right="52"/>
              <w:jc w:val="center"/>
              <w:rPr>
                <w:rFonts w:hint="eastAsia" w:ascii="宋体" w:hAnsi="宋体" w:eastAsia="宋体" w:cs="宋体"/>
                <w:b/>
                <w:sz w:val="24"/>
                <w:szCs w:val="24"/>
              </w:rPr>
            </w:pPr>
            <w:r>
              <w:rPr>
                <w:rFonts w:hint="eastAsia" w:ascii="宋体" w:hAnsi="宋体" w:eastAsia="宋体" w:cs="宋体"/>
                <w:b/>
                <w:sz w:val="24"/>
                <w:szCs w:val="24"/>
              </w:rPr>
              <w:t>满分</w:t>
            </w:r>
          </w:p>
          <w:p>
            <w:pPr>
              <w:pStyle w:val="196"/>
              <w:adjustRightInd w:val="0"/>
              <w:snapToGrid w:val="0"/>
              <w:ind w:right="52"/>
              <w:jc w:val="center"/>
              <w:rPr>
                <w:rFonts w:hint="eastAsia" w:ascii="宋体" w:hAnsi="宋体" w:eastAsia="宋体" w:cs="宋体"/>
                <w:sz w:val="24"/>
                <w:szCs w:val="24"/>
              </w:rPr>
            </w:pPr>
            <w:r>
              <w:rPr>
                <w:rFonts w:hint="eastAsia" w:ascii="宋体" w:hAnsi="宋体" w:eastAsia="宋体" w:cs="宋体"/>
                <w:b/>
                <w:sz w:val="24"/>
                <w:szCs w:val="24"/>
              </w:rPr>
              <w:t>分值</w:t>
            </w:r>
          </w:p>
        </w:tc>
        <w:tc>
          <w:tcPr>
            <w:tcW w:w="5372" w:type="dxa"/>
            <w:vAlign w:val="center"/>
          </w:tcPr>
          <w:p>
            <w:pPr>
              <w:pStyle w:val="196"/>
              <w:adjustRightInd w:val="0"/>
              <w:snapToGrid w:val="0"/>
              <w:ind w:right="2004"/>
              <w:jc w:val="center"/>
              <w:rPr>
                <w:rFonts w:hint="eastAsia" w:ascii="宋体" w:hAnsi="宋体" w:eastAsia="宋体" w:cs="宋体"/>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712"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863"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价格部分（1</w:t>
            </w:r>
            <w:r>
              <w:rPr>
                <w:rFonts w:hint="eastAsia" w:ascii="宋体" w:hAnsi="宋体" w:eastAsia="宋体" w:cs="宋体"/>
                <w:sz w:val="24"/>
                <w:szCs w:val="24"/>
                <w:lang w:val="en-US"/>
              </w:rPr>
              <w:t>0</w:t>
            </w:r>
            <w:r>
              <w:rPr>
                <w:rFonts w:hint="eastAsia" w:ascii="宋体" w:hAnsi="宋体" w:eastAsia="宋体" w:cs="宋体"/>
                <w:spacing w:val="-30"/>
                <w:sz w:val="24"/>
                <w:szCs w:val="24"/>
              </w:rPr>
              <w:t xml:space="preserve"> 分</w:t>
            </w:r>
            <w:r>
              <w:rPr>
                <w:rFonts w:hint="eastAsia" w:ascii="宋体" w:hAnsi="宋体" w:eastAsia="宋体" w:cs="宋体"/>
                <w:sz w:val="24"/>
                <w:szCs w:val="24"/>
              </w:rPr>
              <w:t>）</w:t>
            </w:r>
          </w:p>
        </w:tc>
        <w:tc>
          <w:tcPr>
            <w:tcW w:w="1276"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价格（1</w:t>
            </w:r>
            <w:r>
              <w:rPr>
                <w:rFonts w:hint="eastAsia" w:ascii="宋体" w:hAnsi="宋体" w:eastAsia="宋体" w:cs="宋体"/>
                <w:sz w:val="24"/>
                <w:szCs w:val="24"/>
                <w:lang w:val="en-US"/>
              </w:rPr>
              <w:t>0</w:t>
            </w:r>
            <w:r>
              <w:rPr>
                <w:rFonts w:hint="eastAsia" w:ascii="宋体" w:hAnsi="宋体" w:eastAsia="宋体" w:cs="宋体"/>
                <w:sz w:val="24"/>
                <w:szCs w:val="24"/>
              </w:rPr>
              <w:t>分）</w:t>
            </w:r>
          </w:p>
        </w:tc>
        <w:tc>
          <w:tcPr>
            <w:tcW w:w="709"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0</w:t>
            </w:r>
          </w:p>
        </w:tc>
        <w:tc>
          <w:tcPr>
            <w:tcW w:w="5372" w:type="dxa"/>
            <w:vAlign w:val="center"/>
          </w:tcPr>
          <w:p>
            <w:pPr>
              <w:rPr>
                <w:rFonts w:hint="eastAsia" w:ascii="宋体" w:hAnsi="宋体" w:eastAsia="宋体" w:cs="宋体"/>
                <w:bCs/>
                <w:sz w:val="24"/>
                <w:szCs w:val="24"/>
              </w:rPr>
            </w:pPr>
            <w:r>
              <w:rPr>
                <w:rFonts w:hint="eastAsia" w:ascii="宋体" w:hAnsi="宋体" w:eastAsia="宋体" w:cs="宋体"/>
                <w:sz w:val="24"/>
                <w:szCs w:val="24"/>
              </w:rPr>
              <w:t>1</w:t>
            </w:r>
            <w:r>
              <w:rPr>
                <w:rFonts w:hint="eastAsia" w:ascii="宋体" w:hAnsi="宋体" w:eastAsia="宋体" w:cs="宋体"/>
                <w:bCs/>
                <w:sz w:val="24"/>
                <w:szCs w:val="24"/>
              </w:rPr>
              <w:t>.投标报价的确定</w:t>
            </w:r>
          </w:p>
          <w:p>
            <w:pPr>
              <w:rPr>
                <w:rFonts w:hint="eastAsia" w:ascii="宋体" w:hAnsi="宋体" w:eastAsia="宋体" w:cs="宋体"/>
                <w:bCs/>
                <w:sz w:val="24"/>
                <w:szCs w:val="24"/>
              </w:rPr>
            </w:pPr>
            <w:r>
              <w:rPr>
                <w:rFonts w:hint="eastAsia" w:ascii="宋体" w:hAnsi="宋体" w:eastAsia="宋体" w:cs="宋体"/>
                <w:bCs/>
                <w:sz w:val="24"/>
                <w:szCs w:val="24"/>
              </w:rPr>
              <w:t>投标报价是指经评审的且不超过采购预算金额的投标价格</w:t>
            </w:r>
          </w:p>
          <w:p>
            <w:pPr>
              <w:rPr>
                <w:rFonts w:hint="eastAsia" w:ascii="宋体" w:hAnsi="宋体" w:eastAsia="宋体" w:cs="宋体"/>
                <w:bCs/>
                <w:sz w:val="24"/>
                <w:szCs w:val="24"/>
              </w:rPr>
            </w:pPr>
            <w:r>
              <w:rPr>
                <w:rFonts w:hint="eastAsia" w:ascii="宋体" w:hAnsi="宋体" w:eastAsia="宋体" w:cs="宋体"/>
                <w:bCs/>
                <w:sz w:val="24"/>
                <w:szCs w:val="24"/>
              </w:rPr>
              <w:t>2.评标基准价的确定</w:t>
            </w:r>
          </w:p>
          <w:p>
            <w:pPr>
              <w:rPr>
                <w:rFonts w:hint="eastAsia" w:ascii="宋体" w:hAnsi="宋体" w:eastAsia="宋体" w:cs="宋体"/>
                <w:bCs/>
                <w:sz w:val="24"/>
                <w:szCs w:val="24"/>
              </w:rPr>
            </w:pPr>
            <w:r>
              <w:rPr>
                <w:rFonts w:hint="eastAsia" w:ascii="宋体" w:hAnsi="宋体" w:eastAsia="宋体" w:cs="宋体"/>
                <w:bCs/>
                <w:sz w:val="24"/>
                <w:szCs w:val="24"/>
              </w:rPr>
              <w:t>满足招标文件要求且投标报价最低的为评标基准价</w:t>
            </w:r>
          </w:p>
          <w:p>
            <w:pPr>
              <w:rPr>
                <w:rFonts w:hint="eastAsia" w:ascii="宋体" w:hAnsi="宋体" w:eastAsia="宋体" w:cs="宋体"/>
                <w:bCs/>
                <w:sz w:val="24"/>
                <w:szCs w:val="24"/>
              </w:rPr>
            </w:pPr>
            <w:r>
              <w:rPr>
                <w:rFonts w:hint="eastAsia" w:ascii="宋体" w:hAnsi="宋体" w:eastAsia="宋体" w:cs="宋体"/>
                <w:bCs/>
                <w:sz w:val="24"/>
                <w:szCs w:val="24"/>
              </w:rPr>
              <w:t>3.投标报价得分=(评标基准价／投标报价)×100×10%</w:t>
            </w:r>
          </w:p>
          <w:p>
            <w:pPr>
              <w:rPr>
                <w:rFonts w:hint="eastAsia" w:ascii="宋体" w:hAnsi="宋体" w:eastAsia="宋体" w:cs="宋体"/>
                <w:sz w:val="24"/>
                <w:szCs w:val="24"/>
              </w:rPr>
            </w:pPr>
            <w:r>
              <w:rPr>
                <w:rFonts w:hint="eastAsia" w:ascii="宋体" w:hAnsi="宋体" w:eastAsia="宋体" w:cs="宋体"/>
                <w:bCs/>
                <w:sz w:val="24"/>
                <w:szCs w:val="24"/>
              </w:rPr>
              <w:t>4.</w:t>
            </w:r>
            <w:r>
              <w:rPr>
                <w:rFonts w:hint="eastAsia" w:ascii="宋体" w:hAnsi="宋体" w:eastAsia="宋体" w:cs="宋体"/>
                <w:sz w:val="24"/>
                <w:szCs w:val="24"/>
              </w:rPr>
              <w:t>评分分值计算保留小数点后两位，小数点后三位“四舍五入”。</w:t>
            </w:r>
          </w:p>
          <w:p>
            <w:pPr>
              <w:pStyle w:val="196"/>
              <w:adjustRightInd w:val="0"/>
              <w:snapToGrid w:val="0"/>
              <w:ind w:left="108" w:right="102"/>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trPr>
        <w:tc>
          <w:tcPr>
            <w:tcW w:w="712" w:type="dxa"/>
            <w:vMerge w:val="restart"/>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863" w:type="dxa"/>
            <w:vMerge w:val="restart"/>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lang w:val="en-US" w:eastAsia="zh-CN"/>
              </w:rPr>
              <w:t>5</w:t>
            </w:r>
            <w:r>
              <w:rPr>
                <w:rFonts w:hint="eastAsia" w:cs="宋体"/>
                <w:sz w:val="24"/>
                <w:szCs w:val="24"/>
                <w:lang w:val="en-US" w:eastAsia="zh-CN"/>
              </w:rPr>
              <w:t>7</w:t>
            </w:r>
            <w:r>
              <w:rPr>
                <w:rFonts w:hint="eastAsia" w:ascii="宋体" w:hAnsi="宋体" w:eastAsia="宋体" w:cs="宋体"/>
                <w:spacing w:val="-30"/>
                <w:sz w:val="24"/>
                <w:szCs w:val="24"/>
              </w:rPr>
              <w:t>分</w:t>
            </w:r>
            <w:r>
              <w:rPr>
                <w:rFonts w:hint="eastAsia" w:ascii="宋体" w:hAnsi="宋体" w:eastAsia="宋体" w:cs="宋体"/>
                <w:sz w:val="24"/>
                <w:szCs w:val="24"/>
              </w:rPr>
              <w:t>）</w:t>
            </w:r>
          </w:p>
        </w:tc>
        <w:tc>
          <w:tcPr>
            <w:tcW w:w="1276"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总体技术方案</w:t>
            </w:r>
          </w:p>
          <w:p>
            <w:pPr>
              <w:pStyle w:val="196"/>
              <w:adjustRightInd w:val="0"/>
              <w:snapToGrid w:val="0"/>
              <w:ind w:left="188"/>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10</w:t>
            </w:r>
            <w:r>
              <w:rPr>
                <w:rFonts w:hint="eastAsia" w:ascii="宋体" w:hAnsi="宋体" w:eastAsia="宋体" w:cs="宋体"/>
                <w:sz w:val="24"/>
                <w:szCs w:val="24"/>
              </w:rPr>
              <w:t xml:space="preserve"> 分）</w:t>
            </w:r>
          </w:p>
        </w:tc>
        <w:tc>
          <w:tcPr>
            <w:tcW w:w="709"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val="en-US"/>
              </w:rPr>
              <w:t>10</w:t>
            </w:r>
          </w:p>
        </w:tc>
        <w:tc>
          <w:tcPr>
            <w:tcW w:w="5372" w:type="dxa"/>
            <w:vAlign w:val="center"/>
          </w:tcPr>
          <w:p>
            <w:pPr>
              <w:pStyle w:val="196"/>
              <w:adjustRightInd w:val="0"/>
              <w:snapToGrid w:val="0"/>
              <w:jc w:val="both"/>
              <w:rPr>
                <w:rFonts w:hint="eastAsia" w:ascii="宋体" w:hAnsi="宋体" w:eastAsia="宋体" w:cs="宋体"/>
                <w:sz w:val="24"/>
                <w:szCs w:val="24"/>
              </w:rPr>
            </w:pPr>
            <w:r>
              <w:rPr>
                <w:rFonts w:hint="eastAsia" w:ascii="宋体" w:hAnsi="宋体" w:eastAsia="宋体" w:cs="宋体"/>
                <w:spacing w:val="-9"/>
                <w:sz w:val="24"/>
                <w:szCs w:val="24"/>
                <w:lang w:val="en-US"/>
              </w:rPr>
              <w:t>针对本项目的</w:t>
            </w:r>
            <w:r>
              <w:rPr>
                <w:rFonts w:hint="eastAsia" w:ascii="宋体" w:hAnsi="宋体" w:eastAsia="宋体" w:cs="宋体"/>
                <w:spacing w:val="-9"/>
                <w:sz w:val="24"/>
                <w:szCs w:val="24"/>
              </w:rPr>
              <w:t>技术需求内容制定总体技术方案：</w:t>
            </w:r>
          </w:p>
          <w:p>
            <w:pPr>
              <w:pStyle w:val="196"/>
              <w:adjustRightInd w:val="0"/>
              <w:snapToGrid w:val="0"/>
              <w:jc w:val="both"/>
              <w:rPr>
                <w:rFonts w:hint="eastAsia" w:ascii="宋体" w:hAnsi="宋体" w:eastAsia="宋体" w:cs="宋体"/>
                <w:spacing w:val="-9"/>
                <w:sz w:val="24"/>
                <w:szCs w:val="24"/>
              </w:rPr>
            </w:pPr>
            <w:r>
              <w:rPr>
                <w:rFonts w:hint="eastAsia" w:ascii="宋体" w:hAnsi="宋体" w:eastAsia="宋体" w:cs="宋体"/>
                <w:spacing w:val="-9"/>
                <w:sz w:val="24"/>
                <w:szCs w:val="24"/>
              </w:rPr>
              <w:t>1. 总体技术方案内容详实完整，对工作目标和任务理解充分，技术路线清晰准确，对本项目实施难点、工作重点描述非常准确，应对措施非常合理有效，得10分；</w:t>
            </w:r>
          </w:p>
          <w:p>
            <w:pPr>
              <w:pStyle w:val="196"/>
              <w:adjustRightInd w:val="0"/>
              <w:snapToGrid w:val="0"/>
              <w:jc w:val="both"/>
              <w:rPr>
                <w:rFonts w:hint="eastAsia" w:ascii="宋体" w:hAnsi="宋体" w:eastAsia="宋体" w:cs="宋体"/>
                <w:spacing w:val="-9"/>
                <w:sz w:val="24"/>
                <w:szCs w:val="24"/>
              </w:rPr>
            </w:pPr>
            <w:r>
              <w:rPr>
                <w:rFonts w:hint="eastAsia" w:ascii="宋体" w:hAnsi="宋体" w:eastAsia="宋体" w:cs="宋体"/>
                <w:spacing w:val="-9"/>
                <w:sz w:val="24"/>
                <w:szCs w:val="24"/>
              </w:rPr>
              <w:t>2. 总体技术方案内容比较齐全，对工作目标和任务理解比较充分，技术路线比较清晰，对本项目实施难点、工作重点描述比较准确，应对措施比较合理有效，得6分；</w:t>
            </w:r>
          </w:p>
          <w:p>
            <w:pPr>
              <w:pStyle w:val="196"/>
              <w:adjustRightInd w:val="0"/>
              <w:snapToGrid w:val="0"/>
              <w:jc w:val="both"/>
              <w:rPr>
                <w:rFonts w:hint="eastAsia" w:ascii="宋体" w:hAnsi="宋体" w:eastAsia="宋体" w:cs="宋体"/>
                <w:spacing w:val="-9"/>
                <w:sz w:val="24"/>
                <w:szCs w:val="24"/>
              </w:rPr>
            </w:pPr>
            <w:r>
              <w:rPr>
                <w:rFonts w:hint="eastAsia" w:ascii="宋体" w:hAnsi="宋体" w:eastAsia="宋体" w:cs="宋体"/>
                <w:spacing w:val="-9"/>
                <w:sz w:val="24"/>
                <w:szCs w:val="24"/>
              </w:rPr>
              <w:t>3. 总体技术方案内容一般，对工作目标和任务理解一般，技术路线一般，对本项目实施难点、工作重点描述一般，应对措施一般，得3分；</w:t>
            </w:r>
          </w:p>
          <w:p>
            <w:pPr>
              <w:pStyle w:val="196"/>
              <w:adjustRightInd w:val="0"/>
              <w:snapToGrid w:val="0"/>
              <w:jc w:val="both"/>
              <w:rPr>
                <w:rFonts w:hint="eastAsia" w:ascii="宋体" w:hAnsi="宋体" w:eastAsia="宋体" w:cs="宋体"/>
                <w:sz w:val="24"/>
                <w:szCs w:val="24"/>
              </w:rPr>
            </w:pPr>
            <w:r>
              <w:rPr>
                <w:rFonts w:hint="eastAsia" w:ascii="宋体" w:hAnsi="宋体" w:eastAsia="宋体" w:cs="宋体"/>
                <w:spacing w:val="-9"/>
                <w:sz w:val="24"/>
                <w:szCs w:val="24"/>
              </w:rPr>
              <w:t>4.未提供或提供内容较差，得0分。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2" w:hRule="atLeast"/>
        </w:trPr>
        <w:tc>
          <w:tcPr>
            <w:tcW w:w="712" w:type="dxa"/>
            <w:vMerge w:val="continue"/>
            <w:vAlign w:val="center"/>
          </w:tcPr>
          <w:p>
            <w:pPr>
              <w:adjustRightInd w:val="0"/>
              <w:snapToGrid w:val="0"/>
              <w:jc w:val="both"/>
              <w:rPr>
                <w:rFonts w:hint="eastAsia" w:ascii="宋体" w:hAnsi="宋体" w:eastAsia="宋体" w:cs="宋体"/>
                <w:sz w:val="24"/>
                <w:szCs w:val="24"/>
              </w:rPr>
            </w:pPr>
          </w:p>
        </w:tc>
        <w:tc>
          <w:tcPr>
            <w:tcW w:w="863" w:type="dxa"/>
            <w:vMerge w:val="continue"/>
            <w:vAlign w:val="center"/>
          </w:tcPr>
          <w:p>
            <w:pPr>
              <w:adjustRightInd w:val="0"/>
              <w:snapToGrid w:val="0"/>
              <w:jc w:val="both"/>
              <w:rPr>
                <w:rFonts w:hint="eastAsia" w:ascii="宋体" w:hAnsi="宋体" w:eastAsia="宋体" w:cs="宋体"/>
                <w:sz w:val="24"/>
                <w:szCs w:val="24"/>
              </w:rPr>
            </w:pPr>
          </w:p>
        </w:tc>
        <w:tc>
          <w:tcPr>
            <w:tcW w:w="1276"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业务理解与</w:t>
            </w:r>
          </w:p>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需求分析</w:t>
            </w:r>
          </w:p>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 分）</w:t>
            </w:r>
          </w:p>
        </w:tc>
        <w:tc>
          <w:tcPr>
            <w:tcW w:w="709"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val="en-US"/>
              </w:rPr>
              <w:t>5</w:t>
            </w:r>
          </w:p>
        </w:tc>
        <w:tc>
          <w:tcPr>
            <w:tcW w:w="5372" w:type="dxa"/>
            <w:vAlign w:val="center"/>
          </w:tcPr>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针对本项目的建设需求进行详细分析和深入理解：</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1. 对项目建设需求进行详细分析，需求分析全面深入，涵盖用户业务需求、功能需求、性能需求等内容，符合采购方现状需求，得 5分；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2. 对项目建设需求进行分析，需求分析较全面，涵盖用户业务需求、功能需求、性能需求等内容，较符合采购方现状需求，得 3分；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3.  对项目建设需求进行分析，需求分析一般，基本涵盖用户业务需求、功能需求、性能需求等内容，基本符合采购方现状需求，得2分；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 xml:space="preserve"> 4.未提供或提供内容较差，得0分；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trPr>
        <w:tc>
          <w:tcPr>
            <w:tcW w:w="712" w:type="dxa"/>
            <w:vMerge w:val="continue"/>
            <w:vAlign w:val="center"/>
          </w:tcPr>
          <w:p>
            <w:pPr>
              <w:adjustRightInd w:val="0"/>
              <w:snapToGrid w:val="0"/>
              <w:jc w:val="both"/>
              <w:rPr>
                <w:rFonts w:hint="eastAsia" w:ascii="宋体" w:hAnsi="宋体" w:eastAsia="宋体" w:cs="宋体"/>
                <w:sz w:val="24"/>
                <w:szCs w:val="24"/>
              </w:rPr>
            </w:pPr>
          </w:p>
        </w:tc>
        <w:tc>
          <w:tcPr>
            <w:tcW w:w="863" w:type="dxa"/>
            <w:vMerge w:val="continue"/>
            <w:vAlign w:val="center"/>
          </w:tcPr>
          <w:p>
            <w:pPr>
              <w:adjustRightInd w:val="0"/>
              <w:snapToGrid w:val="0"/>
              <w:jc w:val="both"/>
              <w:rPr>
                <w:rFonts w:hint="eastAsia" w:ascii="宋体" w:hAnsi="宋体" w:eastAsia="宋体" w:cs="宋体"/>
                <w:sz w:val="24"/>
                <w:szCs w:val="24"/>
              </w:rPr>
            </w:pPr>
          </w:p>
        </w:tc>
        <w:tc>
          <w:tcPr>
            <w:tcW w:w="1276"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实施方案</w:t>
            </w:r>
          </w:p>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（30 分）</w:t>
            </w:r>
          </w:p>
        </w:tc>
        <w:tc>
          <w:tcPr>
            <w:tcW w:w="709"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30</w:t>
            </w:r>
          </w:p>
        </w:tc>
        <w:tc>
          <w:tcPr>
            <w:tcW w:w="5372" w:type="dxa"/>
            <w:vAlign w:val="center"/>
          </w:tcPr>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根据项目内容要求，提供详实的建设实施方案。</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1.实施方案内容全面、详实，科学合理，具有很强的针对性及可操作性，工作流程清晰，项目实施管理切实有效，时间及人员安排满足实际工作要求，制定项目实施进度表具体、合理，得30分；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2. 实施方案内容较全面、详实，科学，具有较强的针对性及可操作性，工作流程较清晰，项目实施管理较有效，时间及人员安排满足实际工作要求，制定项目实施进度表合理，得20分；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3. 实施方案内容基本详细，合理，针对性及可操作性一般，工作流程不清晰，项目实施管理一般，时间及人员安排基本满足实际工作要求、制定项目实施进度表一般，得10分；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4. 未提供或提供内容较差，得0分；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712" w:type="dxa"/>
            <w:vMerge w:val="continue"/>
            <w:vAlign w:val="center"/>
          </w:tcPr>
          <w:p>
            <w:pPr>
              <w:adjustRightInd w:val="0"/>
              <w:snapToGrid w:val="0"/>
              <w:jc w:val="both"/>
              <w:rPr>
                <w:rFonts w:hint="eastAsia" w:ascii="宋体" w:hAnsi="宋体" w:eastAsia="宋体" w:cs="宋体"/>
                <w:sz w:val="24"/>
                <w:szCs w:val="24"/>
              </w:rPr>
            </w:pPr>
          </w:p>
        </w:tc>
        <w:tc>
          <w:tcPr>
            <w:tcW w:w="863" w:type="dxa"/>
            <w:vMerge w:val="continue"/>
            <w:vAlign w:val="center"/>
          </w:tcPr>
          <w:p>
            <w:pPr>
              <w:adjustRightInd w:val="0"/>
              <w:snapToGrid w:val="0"/>
              <w:jc w:val="both"/>
              <w:rPr>
                <w:rFonts w:hint="eastAsia" w:ascii="宋体" w:hAnsi="宋体" w:eastAsia="宋体" w:cs="宋体"/>
                <w:sz w:val="24"/>
                <w:szCs w:val="24"/>
              </w:rPr>
            </w:pPr>
          </w:p>
        </w:tc>
        <w:tc>
          <w:tcPr>
            <w:tcW w:w="1276"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质量安全方案</w:t>
            </w:r>
          </w:p>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（6分）</w:t>
            </w:r>
          </w:p>
        </w:tc>
        <w:tc>
          <w:tcPr>
            <w:tcW w:w="709" w:type="dxa"/>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val="en-US"/>
              </w:rPr>
              <w:t>6</w:t>
            </w:r>
          </w:p>
        </w:tc>
        <w:tc>
          <w:tcPr>
            <w:tcW w:w="5372" w:type="dxa"/>
            <w:vAlign w:val="center"/>
          </w:tcPr>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针对项目质量和安全，提供详细方案；</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1. 质量安全方案全面，设计清晰合理、框架完整，管理措施非常切实可行，非常有针对性，工作制度非常健全，得6分；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2. 质量安全方案较全面，设计较清晰合理、框架较完整，管理措施比较切实可行，比较有针对性，工作制度比较健全，得4分；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3. 质量安全方案内容一般，设计不清晰、框架完整，质量管理措施基本切实可行，有一定针对性，工作制度基本健全，得2分；</w:t>
            </w:r>
          </w:p>
          <w:p>
            <w:pPr>
              <w:pStyle w:val="196"/>
              <w:adjustRightInd w:val="0"/>
              <w:snapToGrid w:val="0"/>
              <w:jc w:val="both"/>
              <w:rPr>
                <w:rFonts w:hint="eastAsia" w:ascii="宋体" w:hAnsi="宋体" w:eastAsia="宋体" w:cs="宋体"/>
                <w:sz w:val="24"/>
                <w:szCs w:val="24"/>
              </w:rPr>
            </w:pPr>
            <w:r>
              <w:rPr>
                <w:rFonts w:hint="eastAsia" w:ascii="宋体" w:hAnsi="宋体" w:eastAsia="宋体" w:cs="宋体"/>
                <w:spacing w:val="-9"/>
                <w:sz w:val="24"/>
                <w:szCs w:val="24"/>
                <w:lang w:val="en-US"/>
              </w:rPr>
              <w:t>4.未提供或提供内容较差，得0分。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2" w:type="dxa"/>
            <w:vMerge w:val="continue"/>
            <w:vAlign w:val="center"/>
          </w:tcPr>
          <w:p>
            <w:pPr>
              <w:pStyle w:val="11"/>
              <w:adjustRightInd w:val="0"/>
              <w:snapToGrid w:val="0"/>
              <w:ind w:left="0"/>
              <w:rPr>
                <w:rFonts w:hint="eastAsia" w:ascii="宋体" w:hAnsi="宋体" w:eastAsia="宋体" w:cs="宋体"/>
                <w:sz w:val="24"/>
                <w:szCs w:val="24"/>
              </w:rPr>
            </w:pPr>
          </w:p>
        </w:tc>
        <w:tc>
          <w:tcPr>
            <w:tcW w:w="863" w:type="dxa"/>
            <w:vMerge w:val="continue"/>
            <w:vAlign w:val="center"/>
          </w:tcPr>
          <w:p>
            <w:pPr>
              <w:adjustRightInd w:val="0"/>
              <w:snapToGrid w:val="0"/>
              <w:jc w:val="both"/>
              <w:rPr>
                <w:rFonts w:hint="eastAsia" w:ascii="宋体" w:hAnsi="宋体" w:eastAsia="宋体" w:cs="宋体"/>
                <w:sz w:val="24"/>
                <w:szCs w:val="24"/>
              </w:rPr>
            </w:pPr>
          </w:p>
        </w:tc>
        <w:tc>
          <w:tcPr>
            <w:tcW w:w="1276" w:type="dxa"/>
            <w:vAlign w:val="center"/>
          </w:tcPr>
          <w:p>
            <w:pPr>
              <w:pStyle w:val="196"/>
              <w:adjustRightInd w:val="0"/>
              <w:snapToGrid w:val="0"/>
              <w:spacing w:line="304" w:lineRule="exact"/>
              <w:jc w:val="center"/>
              <w:rPr>
                <w:rFonts w:hint="eastAsia" w:ascii="宋体" w:hAnsi="宋体" w:eastAsia="宋体" w:cs="宋体"/>
                <w:sz w:val="24"/>
                <w:szCs w:val="24"/>
              </w:rPr>
            </w:pPr>
            <w:r>
              <w:rPr>
                <w:rFonts w:hint="eastAsia" w:ascii="宋体" w:hAnsi="宋体" w:eastAsia="宋体" w:cs="宋体"/>
                <w:sz w:val="24"/>
                <w:szCs w:val="24"/>
              </w:rPr>
              <w:t>培训方案</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709" w:type="dxa"/>
            <w:vAlign w:val="center"/>
          </w:tcPr>
          <w:p>
            <w:pPr>
              <w:pStyle w:val="196"/>
              <w:adjustRightInd w:val="0"/>
              <w:snapToGrid w:val="0"/>
              <w:jc w:val="center"/>
              <w:rPr>
                <w:rFonts w:hint="eastAsia" w:ascii="宋体" w:hAnsi="宋体" w:eastAsia="宋体" w:cs="宋体"/>
                <w:sz w:val="24"/>
                <w:szCs w:val="24"/>
                <w:lang w:val="en-US" w:eastAsia="zh-CN"/>
              </w:rPr>
            </w:pPr>
            <w:r>
              <w:rPr>
                <w:rFonts w:hint="eastAsia" w:cs="宋体"/>
                <w:sz w:val="24"/>
                <w:szCs w:val="24"/>
                <w:lang w:val="en-US" w:eastAsia="zh-CN"/>
              </w:rPr>
              <w:t>3</w:t>
            </w:r>
          </w:p>
        </w:tc>
        <w:tc>
          <w:tcPr>
            <w:tcW w:w="5372" w:type="dxa"/>
          </w:tcPr>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供应商提供完备的项目培训方案：</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 xml:space="preserve">1.培训方案内容全面，科学、可行，能全面满足用户需求，得 </w:t>
            </w:r>
            <w:r>
              <w:rPr>
                <w:rFonts w:hint="eastAsia" w:cs="宋体"/>
                <w:spacing w:val="-9"/>
                <w:sz w:val="24"/>
                <w:szCs w:val="24"/>
                <w:lang w:val="en-US" w:eastAsia="zh-CN"/>
              </w:rPr>
              <w:t>3</w:t>
            </w:r>
            <w:r>
              <w:rPr>
                <w:rFonts w:hint="eastAsia" w:ascii="宋体" w:hAnsi="宋体" w:eastAsia="宋体" w:cs="宋体"/>
                <w:spacing w:val="-9"/>
                <w:sz w:val="24"/>
                <w:szCs w:val="24"/>
                <w:lang w:val="en-US"/>
              </w:rPr>
              <w:t xml:space="preserve"> 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 xml:space="preserve">2. 培训方案内容基本全面，基本合理，基本满足用户需求，得 </w:t>
            </w:r>
            <w:r>
              <w:rPr>
                <w:rFonts w:hint="eastAsia" w:cs="宋体"/>
                <w:spacing w:val="-9"/>
                <w:sz w:val="24"/>
                <w:szCs w:val="24"/>
                <w:lang w:val="en-US" w:eastAsia="zh-CN"/>
              </w:rPr>
              <w:t>2</w:t>
            </w:r>
            <w:r>
              <w:rPr>
                <w:rFonts w:hint="eastAsia" w:ascii="宋体" w:hAnsi="宋体" w:eastAsia="宋体" w:cs="宋体"/>
                <w:spacing w:val="-9"/>
                <w:sz w:val="24"/>
                <w:szCs w:val="24"/>
                <w:lang w:val="en-US"/>
              </w:rPr>
              <w:t xml:space="preserve"> 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3. 未提供或提供内容较差，得0分。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2" w:type="dxa"/>
            <w:vMerge w:val="continue"/>
            <w:vAlign w:val="center"/>
          </w:tcPr>
          <w:p>
            <w:pPr>
              <w:pStyle w:val="11"/>
              <w:adjustRightInd w:val="0"/>
              <w:snapToGrid w:val="0"/>
              <w:ind w:left="0"/>
              <w:rPr>
                <w:rFonts w:hint="eastAsia" w:ascii="宋体" w:hAnsi="宋体" w:eastAsia="宋体" w:cs="宋体"/>
                <w:sz w:val="24"/>
                <w:szCs w:val="24"/>
              </w:rPr>
            </w:pPr>
          </w:p>
        </w:tc>
        <w:tc>
          <w:tcPr>
            <w:tcW w:w="863" w:type="dxa"/>
            <w:vMerge w:val="continue"/>
            <w:vAlign w:val="center"/>
          </w:tcPr>
          <w:p>
            <w:pPr>
              <w:adjustRightInd w:val="0"/>
              <w:snapToGrid w:val="0"/>
              <w:jc w:val="both"/>
              <w:rPr>
                <w:rFonts w:hint="eastAsia" w:ascii="宋体" w:hAnsi="宋体" w:eastAsia="宋体" w:cs="宋体"/>
                <w:sz w:val="24"/>
                <w:szCs w:val="24"/>
              </w:rPr>
            </w:pPr>
          </w:p>
        </w:tc>
        <w:tc>
          <w:tcPr>
            <w:tcW w:w="1276" w:type="dxa"/>
            <w:vAlign w:val="center"/>
          </w:tcPr>
          <w:p>
            <w:pPr>
              <w:pStyle w:val="196"/>
              <w:adjustRightInd w:val="0"/>
              <w:snapToGrid w:val="0"/>
              <w:spacing w:line="304" w:lineRule="exact"/>
              <w:jc w:val="center"/>
              <w:rPr>
                <w:rFonts w:hint="eastAsia" w:ascii="宋体" w:hAnsi="宋体" w:eastAsia="宋体" w:cs="宋体"/>
                <w:sz w:val="24"/>
                <w:szCs w:val="24"/>
              </w:rPr>
            </w:pPr>
            <w:r>
              <w:rPr>
                <w:rFonts w:hint="eastAsia" w:ascii="宋体" w:hAnsi="宋体" w:eastAsia="宋体" w:cs="宋体"/>
                <w:sz w:val="24"/>
                <w:szCs w:val="24"/>
              </w:rPr>
              <w:t>售后服务方案</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709" w:type="dxa"/>
            <w:vAlign w:val="center"/>
          </w:tcPr>
          <w:p>
            <w:pPr>
              <w:pStyle w:val="196"/>
              <w:adjustRightInd w:val="0"/>
              <w:snapToGrid w:val="0"/>
              <w:jc w:val="center"/>
              <w:rPr>
                <w:rFonts w:hint="eastAsia" w:ascii="宋体" w:hAnsi="宋体" w:eastAsia="宋体" w:cs="宋体"/>
                <w:sz w:val="24"/>
                <w:szCs w:val="24"/>
                <w:lang w:val="en-US" w:eastAsia="zh-CN"/>
              </w:rPr>
            </w:pPr>
            <w:r>
              <w:rPr>
                <w:rFonts w:hint="eastAsia" w:cs="宋体"/>
                <w:sz w:val="24"/>
                <w:szCs w:val="24"/>
                <w:lang w:val="en-US" w:eastAsia="zh-CN"/>
              </w:rPr>
              <w:t>3</w:t>
            </w:r>
          </w:p>
        </w:tc>
        <w:tc>
          <w:tcPr>
            <w:tcW w:w="5372" w:type="dxa"/>
          </w:tcPr>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提供完备的售后服务方案，针对其售后服务内容、售后服务时间、问题解决方案进行计分：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1. 售后服务体系及管理制度完整、服务措施科学合理，得</w:t>
            </w:r>
            <w:r>
              <w:rPr>
                <w:rFonts w:hint="eastAsia" w:cs="宋体"/>
                <w:spacing w:val="-9"/>
                <w:sz w:val="24"/>
                <w:szCs w:val="24"/>
                <w:lang w:val="en-US" w:eastAsia="zh-CN"/>
              </w:rPr>
              <w:t>3</w:t>
            </w:r>
            <w:r>
              <w:rPr>
                <w:rFonts w:hint="eastAsia" w:ascii="宋体" w:hAnsi="宋体" w:eastAsia="宋体" w:cs="宋体"/>
                <w:spacing w:val="-9"/>
                <w:sz w:val="24"/>
                <w:szCs w:val="24"/>
                <w:lang w:val="en-US"/>
              </w:rPr>
              <w:t xml:space="preserve">分； </w:t>
            </w:r>
          </w:p>
          <w:p>
            <w:pPr>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2. 售后服务体系及管理制度基本完整、服务措施基本合理，得</w:t>
            </w:r>
            <w:r>
              <w:rPr>
                <w:rFonts w:hint="eastAsia" w:ascii="宋体" w:hAnsi="宋体" w:cs="宋体"/>
                <w:spacing w:val="-9"/>
                <w:sz w:val="24"/>
                <w:szCs w:val="24"/>
                <w:lang w:val="en-US" w:eastAsia="zh-CN"/>
              </w:rPr>
              <w:t>2</w:t>
            </w:r>
            <w:r>
              <w:rPr>
                <w:rFonts w:hint="eastAsia" w:ascii="宋体" w:hAnsi="宋体" w:eastAsia="宋体" w:cs="宋体"/>
                <w:spacing w:val="-9"/>
                <w:sz w:val="24"/>
                <w:szCs w:val="24"/>
                <w:lang w:val="en-US"/>
              </w:rPr>
              <w:t>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3. 未提供或提供内容较差，得0分。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2" w:type="dxa"/>
            <w:vMerge w:val="restart"/>
            <w:vAlign w:val="center"/>
          </w:tcPr>
          <w:p>
            <w:pPr>
              <w:pStyle w:val="11"/>
              <w:adjustRightInd w:val="0"/>
              <w:snapToGrid w:val="0"/>
              <w:ind w:left="0"/>
              <w:jc w:val="center"/>
              <w:rPr>
                <w:rFonts w:hint="eastAsia" w:ascii="宋体" w:hAnsi="宋体" w:eastAsia="宋体" w:cs="宋体"/>
                <w:sz w:val="24"/>
                <w:szCs w:val="24"/>
              </w:rPr>
            </w:pPr>
            <w:r>
              <w:rPr>
                <w:rFonts w:hint="eastAsia" w:ascii="宋体" w:hAnsi="宋体" w:eastAsia="宋体" w:cs="宋体"/>
                <w:sz w:val="24"/>
                <w:szCs w:val="24"/>
              </w:rPr>
              <w:t>3</w:t>
            </w:r>
          </w:p>
        </w:tc>
        <w:tc>
          <w:tcPr>
            <w:tcW w:w="863" w:type="dxa"/>
            <w:vMerge w:val="restart"/>
            <w:vAlign w:val="center"/>
          </w:tcPr>
          <w:p>
            <w:pPr>
              <w:pStyle w:val="196"/>
              <w:adjustRightInd w:val="0"/>
              <w:snapToGrid w:val="0"/>
              <w:spacing w:line="304" w:lineRule="exact"/>
              <w:jc w:val="center"/>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3</w:t>
            </w:r>
            <w:r>
              <w:rPr>
                <w:rFonts w:hint="eastAsia" w:cs="宋体"/>
                <w:sz w:val="24"/>
                <w:szCs w:val="24"/>
                <w:lang w:val="en-US" w:eastAsia="zh-CN"/>
              </w:rPr>
              <w:t>3</w:t>
            </w:r>
            <w:r>
              <w:rPr>
                <w:rFonts w:hint="eastAsia" w:ascii="宋体" w:hAnsi="宋体" w:eastAsia="宋体" w:cs="宋体"/>
                <w:spacing w:val="-30"/>
                <w:sz w:val="24"/>
                <w:szCs w:val="24"/>
              </w:rPr>
              <w:t xml:space="preserve"> 分</w:t>
            </w:r>
            <w:r>
              <w:rPr>
                <w:rFonts w:hint="eastAsia" w:ascii="宋体" w:hAnsi="宋体" w:eastAsia="宋体" w:cs="宋体"/>
                <w:sz w:val="24"/>
                <w:szCs w:val="24"/>
              </w:rPr>
              <w:t>）</w:t>
            </w:r>
          </w:p>
        </w:tc>
        <w:tc>
          <w:tcPr>
            <w:tcW w:w="1276" w:type="dxa"/>
            <w:vAlign w:val="center"/>
          </w:tcPr>
          <w:p>
            <w:pPr>
              <w:pStyle w:val="196"/>
              <w:adjustRightInd w:val="0"/>
              <w:snapToGrid w:val="0"/>
              <w:jc w:val="center"/>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企业资质</w:t>
            </w:r>
          </w:p>
          <w:p>
            <w:pPr>
              <w:pStyle w:val="196"/>
              <w:adjustRightInd w:val="0"/>
              <w:snapToGrid w:val="0"/>
              <w:jc w:val="center"/>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w:t>
            </w:r>
            <w:r>
              <w:rPr>
                <w:rFonts w:hint="eastAsia" w:cs="宋体"/>
                <w:spacing w:val="-9"/>
                <w:sz w:val="24"/>
                <w:szCs w:val="24"/>
                <w:lang w:val="en-US" w:eastAsia="zh-CN"/>
              </w:rPr>
              <w:t>3</w:t>
            </w:r>
            <w:r>
              <w:rPr>
                <w:rFonts w:hint="eastAsia" w:ascii="宋体" w:hAnsi="宋体" w:eastAsia="宋体" w:cs="宋体"/>
                <w:spacing w:val="-9"/>
                <w:sz w:val="24"/>
                <w:szCs w:val="24"/>
                <w:lang w:val="en-US"/>
              </w:rPr>
              <w:t>分）</w:t>
            </w:r>
          </w:p>
        </w:tc>
        <w:tc>
          <w:tcPr>
            <w:tcW w:w="709" w:type="dxa"/>
            <w:vAlign w:val="center"/>
          </w:tcPr>
          <w:p>
            <w:pPr>
              <w:pStyle w:val="196"/>
              <w:adjustRightInd w:val="0"/>
              <w:snapToGrid w:val="0"/>
              <w:jc w:val="center"/>
              <w:rPr>
                <w:rFonts w:hint="eastAsia" w:ascii="宋体" w:hAnsi="宋体" w:eastAsia="宋体" w:cs="宋体"/>
                <w:spacing w:val="-9"/>
                <w:sz w:val="24"/>
                <w:szCs w:val="24"/>
                <w:lang w:val="en-US" w:eastAsia="zh-CN"/>
              </w:rPr>
            </w:pPr>
            <w:r>
              <w:rPr>
                <w:rFonts w:hint="eastAsia" w:cs="宋体"/>
                <w:spacing w:val="-9"/>
                <w:sz w:val="24"/>
                <w:szCs w:val="24"/>
                <w:lang w:val="en-US" w:eastAsia="zh-CN"/>
              </w:rPr>
              <w:t>3</w:t>
            </w:r>
          </w:p>
        </w:tc>
        <w:tc>
          <w:tcPr>
            <w:tcW w:w="5372" w:type="dxa"/>
            <w:vAlign w:val="center"/>
          </w:tcPr>
          <w:p>
            <w:pPr>
              <w:pStyle w:val="196"/>
              <w:adjustRightInd w:val="0"/>
              <w:snapToGrid w:val="0"/>
              <w:jc w:val="both"/>
              <w:rPr>
                <w:rFonts w:hint="eastAsia" w:ascii="宋体" w:hAnsi="宋体" w:eastAsia="宋体" w:cs="宋体"/>
                <w:spacing w:val="-9"/>
                <w:sz w:val="24"/>
                <w:szCs w:val="24"/>
                <w:lang w:val="en-US"/>
              </w:rPr>
            </w:pPr>
            <w:r>
              <w:rPr>
                <w:rFonts w:hint="eastAsia" w:cs="宋体"/>
                <w:spacing w:val="-9"/>
                <w:sz w:val="24"/>
                <w:szCs w:val="24"/>
                <w:lang w:val="en-US" w:eastAsia="zh-CN"/>
              </w:rPr>
              <w:t>1</w:t>
            </w:r>
            <w:r>
              <w:rPr>
                <w:rFonts w:hint="eastAsia" w:ascii="宋体" w:hAnsi="宋体" w:eastAsia="宋体" w:cs="宋体"/>
                <w:spacing w:val="-9"/>
                <w:sz w:val="24"/>
                <w:szCs w:val="24"/>
                <w:lang w:val="en-US"/>
              </w:rPr>
              <w:t>.供应商具有质量管理体系认证证书，得1分，未提供或证书无效的不得分。</w:t>
            </w:r>
          </w:p>
          <w:p>
            <w:pPr>
              <w:pStyle w:val="196"/>
              <w:adjustRightInd w:val="0"/>
              <w:snapToGrid w:val="0"/>
              <w:jc w:val="both"/>
              <w:rPr>
                <w:rFonts w:hint="eastAsia" w:ascii="宋体" w:hAnsi="宋体" w:eastAsia="宋体" w:cs="宋体"/>
                <w:spacing w:val="-9"/>
                <w:sz w:val="24"/>
                <w:szCs w:val="24"/>
                <w:lang w:val="en-US"/>
              </w:rPr>
            </w:pPr>
            <w:r>
              <w:rPr>
                <w:rFonts w:hint="eastAsia" w:cs="宋体"/>
                <w:spacing w:val="-9"/>
                <w:sz w:val="24"/>
                <w:szCs w:val="24"/>
                <w:lang w:val="en-US" w:eastAsia="zh-CN"/>
              </w:rPr>
              <w:t>2</w:t>
            </w:r>
            <w:r>
              <w:rPr>
                <w:rFonts w:hint="eastAsia" w:ascii="宋体" w:hAnsi="宋体" w:eastAsia="宋体" w:cs="宋体"/>
                <w:spacing w:val="-9"/>
                <w:sz w:val="24"/>
                <w:szCs w:val="24"/>
                <w:lang w:val="en-US"/>
              </w:rPr>
              <w:t>.供应商具有环境管理体系认证证书，得1分，未提供或证书无效的不得分。</w:t>
            </w:r>
          </w:p>
          <w:p>
            <w:pPr>
              <w:pStyle w:val="196"/>
              <w:adjustRightInd w:val="0"/>
              <w:snapToGrid w:val="0"/>
              <w:jc w:val="both"/>
              <w:rPr>
                <w:rFonts w:hint="eastAsia" w:ascii="宋体" w:hAnsi="宋体" w:eastAsia="宋体" w:cs="宋体"/>
                <w:spacing w:val="-9"/>
                <w:sz w:val="24"/>
                <w:szCs w:val="24"/>
                <w:lang w:val="en-US"/>
              </w:rPr>
            </w:pPr>
            <w:r>
              <w:rPr>
                <w:rFonts w:hint="eastAsia" w:cs="宋体"/>
                <w:spacing w:val="-9"/>
                <w:sz w:val="24"/>
                <w:szCs w:val="24"/>
                <w:lang w:val="en-US" w:eastAsia="zh-CN"/>
              </w:rPr>
              <w:t>3</w:t>
            </w:r>
            <w:r>
              <w:rPr>
                <w:rFonts w:hint="eastAsia" w:ascii="宋体" w:hAnsi="宋体" w:eastAsia="宋体" w:cs="宋体"/>
                <w:spacing w:val="-9"/>
                <w:sz w:val="24"/>
                <w:szCs w:val="24"/>
                <w:lang w:val="en-US"/>
              </w:rPr>
              <w:t>.供应商具有信息安全管理体系认证证书，得1分，未提供或证书无效的不得分。</w:t>
            </w:r>
          </w:p>
          <w:p>
            <w:pPr>
              <w:pStyle w:val="196"/>
              <w:adjustRightInd w:val="0"/>
              <w:snapToGrid w:val="0"/>
              <w:jc w:val="both"/>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（以上证书须提供复印件并加盖单位公章，否则无效，联合体成员单位任一成员提供均可）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2" w:type="dxa"/>
            <w:vMerge w:val="continue"/>
            <w:vAlign w:val="center"/>
          </w:tcPr>
          <w:p>
            <w:pPr>
              <w:pStyle w:val="11"/>
              <w:adjustRightInd w:val="0"/>
              <w:snapToGrid w:val="0"/>
              <w:ind w:left="0"/>
              <w:jc w:val="center"/>
              <w:rPr>
                <w:rFonts w:hint="eastAsia" w:ascii="宋体" w:hAnsi="宋体" w:eastAsia="宋体" w:cs="宋体"/>
                <w:sz w:val="24"/>
                <w:szCs w:val="24"/>
              </w:rPr>
            </w:pPr>
          </w:p>
        </w:tc>
        <w:tc>
          <w:tcPr>
            <w:tcW w:w="863" w:type="dxa"/>
            <w:vMerge w:val="continue"/>
            <w:vAlign w:val="center"/>
          </w:tcPr>
          <w:p>
            <w:pPr>
              <w:pStyle w:val="196"/>
              <w:adjustRightInd w:val="0"/>
              <w:snapToGrid w:val="0"/>
              <w:spacing w:line="304" w:lineRule="exact"/>
              <w:jc w:val="center"/>
              <w:rPr>
                <w:rFonts w:hint="eastAsia" w:ascii="宋体" w:hAnsi="宋体" w:eastAsia="宋体" w:cs="宋体"/>
                <w:sz w:val="24"/>
                <w:szCs w:val="24"/>
              </w:rPr>
            </w:pPr>
          </w:p>
        </w:tc>
        <w:tc>
          <w:tcPr>
            <w:tcW w:w="1276" w:type="dxa"/>
            <w:vMerge w:val="restart"/>
            <w:vAlign w:val="center"/>
          </w:tcPr>
          <w:p>
            <w:pPr>
              <w:pStyle w:val="19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项目人员</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709" w:type="dxa"/>
            <w:vAlign w:val="center"/>
          </w:tcPr>
          <w:p>
            <w:pPr>
              <w:pStyle w:val="196"/>
              <w:adjustRightInd w:val="0"/>
              <w:snapToGrid w:val="0"/>
              <w:jc w:val="center"/>
              <w:rPr>
                <w:rFonts w:hint="eastAsia" w:ascii="宋体" w:hAnsi="宋体" w:eastAsia="宋体" w:cs="宋体"/>
                <w:sz w:val="24"/>
                <w:szCs w:val="24"/>
                <w:lang w:val="en-US"/>
              </w:rPr>
            </w:pPr>
            <w:r>
              <w:rPr>
                <w:rFonts w:hint="eastAsia" w:ascii="宋体" w:hAnsi="宋体" w:eastAsia="宋体" w:cs="宋体"/>
                <w:sz w:val="24"/>
                <w:szCs w:val="24"/>
                <w:lang w:val="en-US"/>
              </w:rPr>
              <w:t>6</w:t>
            </w:r>
          </w:p>
        </w:tc>
        <w:tc>
          <w:tcPr>
            <w:tcW w:w="5372" w:type="dxa"/>
            <w:vAlign w:val="center"/>
          </w:tcPr>
          <w:p>
            <w:pPr>
              <w:pStyle w:val="196"/>
              <w:adjustRightInd w:val="0"/>
              <w:snapToGrid w:val="0"/>
              <w:jc w:val="both"/>
              <w:rPr>
                <w:rFonts w:hint="eastAsia" w:asciiTheme="minorEastAsia" w:hAnsiTheme="minorEastAsia" w:eastAsiaTheme="minorEastAsia" w:cstheme="minorEastAsia"/>
                <w:kern w:val="0"/>
                <w:szCs w:val="21"/>
              </w:rPr>
            </w:pPr>
            <w:r>
              <w:rPr>
                <w:rFonts w:hint="eastAsia" w:ascii="宋体" w:hAnsi="宋体" w:eastAsia="宋体" w:cs="宋体"/>
                <w:spacing w:val="-9"/>
                <w:sz w:val="24"/>
                <w:szCs w:val="24"/>
                <w:lang w:val="en-US"/>
              </w:rPr>
              <w:t>供应商的项目团队成员具有土壤类、环境类、测绘类、化学类等相关专业中级以上职称，每提供一个有效证书的得1分，最多得 6 分。（需提供“职称证书、身份证、公司6个月内社保缴费证明”复印件）。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2" w:type="dxa"/>
            <w:vMerge w:val="continue"/>
            <w:vAlign w:val="center"/>
          </w:tcPr>
          <w:p>
            <w:pPr>
              <w:pStyle w:val="11"/>
              <w:adjustRightInd w:val="0"/>
              <w:snapToGrid w:val="0"/>
              <w:ind w:left="0"/>
              <w:jc w:val="center"/>
              <w:rPr>
                <w:rFonts w:hint="eastAsia" w:ascii="宋体" w:hAnsi="宋体" w:eastAsia="宋体" w:cs="宋体"/>
                <w:sz w:val="24"/>
                <w:szCs w:val="24"/>
              </w:rPr>
            </w:pPr>
          </w:p>
        </w:tc>
        <w:tc>
          <w:tcPr>
            <w:tcW w:w="863" w:type="dxa"/>
            <w:vMerge w:val="continue"/>
            <w:vAlign w:val="center"/>
          </w:tcPr>
          <w:p>
            <w:pPr>
              <w:pStyle w:val="196"/>
              <w:adjustRightInd w:val="0"/>
              <w:snapToGrid w:val="0"/>
              <w:spacing w:line="304" w:lineRule="exact"/>
              <w:jc w:val="center"/>
              <w:rPr>
                <w:rFonts w:hint="eastAsia" w:ascii="宋体" w:hAnsi="宋体" w:eastAsia="宋体" w:cs="宋体"/>
                <w:sz w:val="24"/>
                <w:szCs w:val="24"/>
              </w:rPr>
            </w:pPr>
          </w:p>
        </w:tc>
        <w:tc>
          <w:tcPr>
            <w:tcW w:w="1276" w:type="dxa"/>
            <w:vMerge w:val="continue"/>
            <w:vAlign w:val="center"/>
          </w:tcPr>
          <w:p>
            <w:pPr>
              <w:adjustRightInd w:val="0"/>
              <w:snapToGrid w:val="0"/>
              <w:jc w:val="center"/>
              <w:rPr>
                <w:rFonts w:hint="eastAsia" w:ascii="宋体" w:hAnsi="宋体" w:eastAsia="宋体" w:cs="宋体"/>
                <w:sz w:val="24"/>
                <w:szCs w:val="24"/>
              </w:rPr>
            </w:pPr>
          </w:p>
        </w:tc>
        <w:tc>
          <w:tcPr>
            <w:tcW w:w="709" w:type="dxa"/>
            <w:vAlign w:val="center"/>
          </w:tcPr>
          <w:p>
            <w:pPr>
              <w:pStyle w:val="196"/>
              <w:adjustRightInd w:val="0"/>
              <w:snapToGrid w:val="0"/>
              <w:jc w:val="center"/>
              <w:rPr>
                <w:rFonts w:hint="eastAsia" w:ascii="宋体" w:hAnsi="宋体" w:eastAsia="宋体" w:cs="宋体"/>
                <w:sz w:val="24"/>
                <w:szCs w:val="24"/>
                <w:lang w:val="en-US"/>
              </w:rPr>
            </w:pPr>
            <w:r>
              <w:rPr>
                <w:rFonts w:hint="eastAsia" w:ascii="宋体" w:hAnsi="宋体" w:eastAsia="宋体" w:cs="宋体"/>
                <w:sz w:val="24"/>
                <w:szCs w:val="24"/>
                <w:lang w:val="en-US"/>
              </w:rPr>
              <w:t>4</w:t>
            </w:r>
          </w:p>
        </w:tc>
        <w:tc>
          <w:tcPr>
            <w:tcW w:w="5372" w:type="dxa"/>
            <w:vAlign w:val="center"/>
          </w:tcPr>
          <w:p>
            <w:pPr>
              <w:pStyle w:val="196"/>
              <w:adjustRightInd w:val="0"/>
              <w:snapToGrid w:val="0"/>
              <w:jc w:val="both"/>
              <w:rPr>
                <w:rFonts w:hint="eastAsia" w:asciiTheme="minorEastAsia" w:hAnsiTheme="minorEastAsia" w:eastAsiaTheme="minorEastAsia" w:cstheme="minorEastAsia"/>
                <w:kern w:val="0"/>
                <w:szCs w:val="21"/>
              </w:rPr>
            </w:pPr>
            <w:r>
              <w:rPr>
                <w:rFonts w:hint="eastAsia" w:ascii="宋体" w:hAnsi="宋体" w:eastAsia="宋体" w:cs="宋体"/>
                <w:spacing w:val="-9"/>
                <w:sz w:val="24"/>
                <w:szCs w:val="24"/>
                <w:lang w:val="en-US"/>
              </w:rPr>
              <w:t>供应商的项目负责人和技术负责人都具有土壤类、环境类、测绘类、化学类等相关专业高级职称以及硕士以上学历的，得4分。（需提供“职称证书、学历证书、身份证、公司6个月内社保缴费证明”复印件）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2" w:type="dxa"/>
            <w:vMerge w:val="continue"/>
            <w:vAlign w:val="center"/>
          </w:tcPr>
          <w:p>
            <w:pPr>
              <w:pStyle w:val="11"/>
              <w:adjustRightInd w:val="0"/>
              <w:snapToGrid w:val="0"/>
              <w:ind w:left="0"/>
              <w:rPr>
                <w:rFonts w:hint="eastAsia" w:ascii="宋体" w:hAnsi="宋体" w:eastAsia="宋体" w:cs="宋体"/>
                <w:sz w:val="24"/>
                <w:szCs w:val="24"/>
              </w:rPr>
            </w:pPr>
          </w:p>
        </w:tc>
        <w:tc>
          <w:tcPr>
            <w:tcW w:w="863" w:type="dxa"/>
            <w:vMerge w:val="continue"/>
            <w:vAlign w:val="center"/>
          </w:tcPr>
          <w:p>
            <w:pPr>
              <w:adjustRightInd w:val="0"/>
              <w:snapToGrid w:val="0"/>
              <w:jc w:val="both"/>
              <w:rPr>
                <w:rFonts w:hint="eastAsia" w:ascii="宋体" w:hAnsi="宋体" w:eastAsia="宋体" w:cs="宋体"/>
                <w:sz w:val="24"/>
                <w:szCs w:val="24"/>
              </w:rPr>
            </w:pPr>
          </w:p>
        </w:tc>
        <w:tc>
          <w:tcPr>
            <w:tcW w:w="1276"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技术配备（</w:t>
            </w:r>
            <w:r>
              <w:rPr>
                <w:rFonts w:hint="eastAsia" w:ascii="宋体" w:hAnsi="宋体" w:eastAsia="宋体" w:cs="宋体"/>
                <w:sz w:val="24"/>
                <w:szCs w:val="24"/>
                <w:lang w:val="en-US"/>
              </w:rPr>
              <w:t>6</w:t>
            </w:r>
            <w:r>
              <w:rPr>
                <w:rFonts w:hint="eastAsia" w:ascii="宋体" w:hAnsi="宋体" w:eastAsia="宋体" w:cs="宋体"/>
                <w:sz w:val="24"/>
                <w:szCs w:val="24"/>
              </w:rPr>
              <w:t xml:space="preserve"> 分）</w:t>
            </w:r>
          </w:p>
        </w:tc>
        <w:tc>
          <w:tcPr>
            <w:tcW w:w="709" w:type="dxa"/>
            <w:vAlign w:val="center"/>
          </w:tcPr>
          <w:p>
            <w:pPr>
              <w:pStyle w:val="196"/>
              <w:adjustRightInd w:val="0"/>
              <w:snapToGrid w:val="0"/>
              <w:jc w:val="center"/>
              <w:rPr>
                <w:rFonts w:hint="eastAsia" w:ascii="宋体" w:hAnsi="宋体" w:eastAsia="宋体" w:cs="宋体"/>
                <w:sz w:val="24"/>
                <w:szCs w:val="24"/>
                <w:lang w:val="en-US"/>
              </w:rPr>
            </w:pPr>
            <w:r>
              <w:rPr>
                <w:rFonts w:hint="eastAsia" w:ascii="宋体" w:hAnsi="宋体" w:eastAsia="宋体" w:cs="宋体"/>
                <w:sz w:val="24"/>
                <w:szCs w:val="24"/>
                <w:lang w:val="en-US"/>
              </w:rPr>
              <w:t>6</w:t>
            </w:r>
          </w:p>
        </w:tc>
        <w:tc>
          <w:tcPr>
            <w:tcW w:w="5372" w:type="dxa"/>
          </w:tcPr>
          <w:p>
            <w:pPr>
              <w:pStyle w:val="196"/>
              <w:adjustRightInd w:val="0"/>
              <w:snapToGrid w:val="0"/>
              <w:spacing w:line="272" w:lineRule="exact"/>
              <w:ind w:left="108" w:right="-29"/>
              <w:rPr>
                <w:rFonts w:hint="eastAsia" w:ascii="宋体" w:hAnsi="宋体" w:eastAsia="宋体" w:cs="宋体"/>
                <w:spacing w:val="-9"/>
                <w:sz w:val="24"/>
                <w:szCs w:val="24"/>
                <w:lang w:val="en-US"/>
              </w:rPr>
            </w:pPr>
            <w:r>
              <w:rPr>
                <w:rFonts w:hint="eastAsia" w:ascii="宋体" w:hAnsi="宋体" w:eastAsia="宋体" w:cs="宋体"/>
                <w:sz w:val="24"/>
                <w:szCs w:val="24"/>
              </w:rPr>
              <w:t>具有针对本项目所需的仪器设备，合格的检测场所，每提供一项得</w:t>
            </w:r>
            <w:r>
              <w:rPr>
                <w:rFonts w:hint="eastAsia" w:cs="宋体"/>
                <w:sz w:val="24"/>
                <w:szCs w:val="24"/>
                <w:lang w:val="en-US" w:eastAsia="zh-CN"/>
              </w:rPr>
              <w:t>3</w:t>
            </w:r>
            <w:r>
              <w:rPr>
                <w:rFonts w:hint="eastAsia" w:ascii="宋体" w:hAnsi="宋体" w:eastAsia="宋体" w:cs="宋体"/>
                <w:sz w:val="24"/>
                <w:szCs w:val="24"/>
              </w:rPr>
              <w:t>分，本项满分6分。（需提供相关证明材料）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2" w:type="dxa"/>
            <w:vMerge w:val="continue"/>
            <w:vAlign w:val="center"/>
          </w:tcPr>
          <w:p>
            <w:pPr>
              <w:pStyle w:val="11"/>
              <w:adjustRightInd w:val="0"/>
              <w:snapToGrid w:val="0"/>
              <w:ind w:left="0"/>
              <w:rPr>
                <w:rFonts w:hint="eastAsia" w:ascii="宋体" w:hAnsi="宋体" w:eastAsia="宋体" w:cs="宋体"/>
                <w:sz w:val="24"/>
                <w:szCs w:val="24"/>
              </w:rPr>
            </w:pPr>
          </w:p>
        </w:tc>
        <w:tc>
          <w:tcPr>
            <w:tcW w:w="863" w:type="dxa"/>
            <w:vMerge w:val="continue"/>
            <w:vAlign w:val="center"/>
          </w:tcPr>
          <w:p>
            <w:pPr>
              <w:adjustRightInd w:val="0"/>
              <w:snapToGrid w:val="0"/>
              <w:jc w:val="both"/>
              <w:rPr>
                <w:rFonts w:hint="eastAsia" w:ascii="宋体" w:hAnsi="宋体" w:eastAsia="宋体" w:cs="宋体"/>
                <w:sz w:val="24"/>
                <w:szCs w:val="24"/>
              </w:rPr>
            </w:pPr>
          </w:p>
        </w:tc>
        <w:tc>
          <w:tcPr>
            <w:tcW w:w="1276" w:type="dxa"/>
            <w:vAlign w:val="center"/>
          </w:tcPr>
          <w:p>
            <w:pPr>
              <w:pStyle w:val="196"/>
              <w:adjustRightInd w:val="0"/>
              <w:snapToGrid w:val="0"/>
              <w:spacing w:line="304" w:lineRule="exact"/>
              <w:jc w:val="center"/>
              <w:rPr>
                <w:rFonts w:hint="eastAsia" w:ascii="宋体" w:hAnsi="宋体" w:eastAsia="宋体" w:cs="宋体"/>
                <w:sz w:val="24"/>
                <w:szCs w:val="24"/>
              </w:rPr>
            </w:pPr>
            <w:r>
              <w:rPr>
                <w:rFonts w:hint="eastAsia" w:ascii="宋体" w:hAnsi="宋体" w:eastAsia="宋体" w:cs="宋体"/>
                <w:sz w:val="24"/>
                <w:szCs w:val="24"/>
              </w:rPr>
              <w:t>企业业绩</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14</w:t>
            </w:r>
            <w:r>
              <w:rPr>
                <w:rFonts w:hint="eastAsia" w:ascii="宋体" w:hAnsi="宋体" w:eastAsia="宋体" w:cs="宋体"/>
                <w:sz w:val="24"/>
                <w:szCs w:val="24"/>
              </w:rPr>
              <w:t>分）</w:t>
            </w:r>
          </w:p>
        </w:tc>
        <w:tc>
          <w:tcPr>
            <w:tcW w:w="709" w:type="dxa"/>
            <w:vAlign w:val="center"/>
          </w:tcPr>
          <w:p>
            <w:pPr>
              <w:pStyle w:val="196"/>
              <w:adjustRightInd w:val="0"/>
              <w:snapToGrid w:val="0"/>
              <w:jc w:val="center"/>
              <w:rPr>
                <w:rFonts w:hint="eastAsia" w:ascii="宋体" w:hAnsi="宋体" w:eastAsia="宋体" w:cs="宋体"/>
                <w:sz w:val="24"/>
                <w:szCs w:val="24"/>
                <w:lang w:val="en-US"/>
              </w:rPr>
            </w:pPr>
            <w:r>
              <w:rPr>
                <w:rFonts w:hint="eastAsia" w:ascii="宋体" w:hAnsi="宋体" w:eastAsia="宋体" w:cs="宋体"/>
                <w:sz w:val="24"/>
                <w:szCs w:val="24"/>
                <w:lang w:val="en-US"/>
              </w:rPr>
              <w:t>14</w:t>
            </w:r>
          </w:p>
        </w:tc>
        <w:tc>
          <w:tcPr>
            <w:tcW w:w="5372" w:type="dxa"/>
          </w:tcPr>
          <w:p>
            <w:pPr>
              <w:pStyle w:val="196"/>
              <w:adjustRightInd w:val="0"/>
              <w:snapToGrid w:val="0"/>
              <w:spacing w:line="272" w:lineRule="exact"/>
              <w:ind w:left="108" w:right="-29"/>
              <w:rPr>
                <w:rFonts w:hint="eastAsia" w:ascii="宋体" w:hAnsi="宋体" w:eastAsia="宋体" w:cs="宋体"/>
                <w:sz w:val="24"/>
                <w:szCs w:val="24"/>
                <w:lang w:val="en-US"/>
              </w:rPr>
            </w:pPr>
            <w:r>
              <w:rPr>
                <w:rFonts w:hint="eastAsia" w:ascii="宋体" w:hAnsi="宋体" w:eastAsia="宋体" w:cs="宋体"/>
                <w:sz w:val="24"/>
                <w:szCs w:val="24"/>
                <w:lang w:val="en-US"/>
              </w:rPr>
              <w:t>供应商自202</w:t>
            </w:r>
            <w:r>
              <w:rPr>
                <w:rFonts w:hint="eastAsia" w:cs="宋体"/>
                <w:sz w:val="24"/>
                <w:szCs w:val="24"/>
                <w:lang w:val="en-US" w:eastAsia="zh-CN"/>
              </w:rPr>
              <w:t>0</w:t>
            </w:r>
            <w:r>
              <w:rPr>
                <w:rFonts w:hint="eastAsia" w:ascii="宋体" w:hAnsi="宋体" w:eastAsia="宋体" w:cs="宋体"/>
                <w:sz w:val="24"/>
                <w:szCs w:val="24"/>
                <w:lang w:val="en-US"/>
              </w:rPr>
              <w:t>年1月1日至开标前具有全国第三次土壤普查相关案例的，每提供一个项目合同案例得 2分；投标人具有土壤污染状况调查分析测试类似业绩的，每提供一项得1分，最高得分为 14分。</w:t>
            </w:r>
          </w:p>
          <w:p>
            <w:pPr>
              <w:pStyle w:val="196"/>
              <w:adjustRightInd w:val="0"/>
              <w:snapToGrid w:val="0"/>
              <w:spacing w:line="272" w:lineRule="exact"/>
              <w:ind w:left="108" w:right="-29"/>
              <w:rPr>
                <w:rFonts w:hint="eastAsia" w:ascii="宋体" w:hAnsi="宋体" w:eastAsia="宋体" w:cs="宋体"/>
                <w:spacing w:val="-9"/>
                <w:sz w:val="24"/>
                <w:szCs w:val="24"/>
                <w:lang w:val="en-US"/>
              </w:rPr>
            </w:pPr>
            <w:r>
              <w:rPr>
                <w:rFonts w:hint="eastAsia" w:ascii="宋体" w:hAnsi="宋体" w:eastAsia="宋体" w:cs="宋体"/>
                <w:sz w:val="24"/>
                <w:szCs w:val="24"/>
                <w:lang w:val="en-US"/>
              </w:rPr>
              <w:t>（供应商提供合同首页、合同金额页、签字盖章页及相关证明页复印件，未提供材料不得分，联合体成员单位任一成员提供均可。）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575" w:type="dxa"/>
            <w:gridSpan w:val="2"/>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合计</w:t>
            </w:r>
          </w:p>
        </w:tc>
        <w:tc>
          <w:tcPr>
            <w:tcW w:w="7357" w:type="dxa"/>
            <w:gridSpan w:val="3"/>
            <w:vAlign w:val="center"/>
          </w:tcPr>
          <w:p>
            <w:pPr>
              <w:pStyle w:val="196"/>
              <w:adjustRightInd w:val="0"/>
              <w:snapToGrid w:val="0"/>
              <w:jc w:val="center"/>
              <w:rPr>
                <w:rFonts w:hint="eastAsia" w:ascii="宋体" w:hAnsi="宋体" w:eastAsia="宋体" w:cs="宋体"/>
                <w:spacing w:val="-9"/>
                <w:sz w:val="24"/>
                <w:szCs w:val="24"/>
                <w:lang w:val="en-US"/>
              </w:rPr>
            </w:pPr>
            <w:r>
              <w:rPr>
                <w:rFonts w:hint="eastAsia" w:ascii="宋体" w:hAnsi="宋体" w:eastAsia="宋体" w:cs="宋体"/>
                <w:spacing w:val="-9"/>
                <w:sz w:val="24"/>
                <w:szCs w:val="24"/>
                <w:lang w:val="en-US"/>
              </w:rPr>
              <w:t>100</w:t>
            </w:r>
          </w:p>
        </w:tc>
      </w:tr>
    </w:tbl>
    <w:p>
      <w:pPr>
        <w:rPr>
          <w:rFonts w:hint="eastAsia" w:ascii="宋体" w:hAnsi="宋体" w:eastAsia="宋体" w:cs="宋体"/>
        </w:rPr>
      </w:pPr>
    </w:p>
    <w:p>
      <w:pPr>
        <w:tabs>
          <w:tab w:val="center" w:pos="4832"/>
          <w:tab w:val="left" w:pos="7140"/>
        </w:tabs>
        <w:spacing w:line="360" w:lineRule="auto"/>
        <w:jc w:val="left"/>
        <w:outlineLvl w:val="2"/>
        <w:rPr>
          <w:rFonts w:hint="eastAsia" w:ascii="宋体" w:hAnsi="宋体" w:eastAsia="宋体" w:cs="宋体"/>
          <w:b/>
          <w:sz w:val="24"/>
          <w:szCs w:val="24"/>
        </w:rPr>
      </w:pPr>
      <w:bookmarkStart w:id="40" w:name="_Toc12503"/>
      <w:r>
        <w:rPr>
          <w:rFonts w:hint="eastAsia" w:ascii="宋体" w:hAnsi="宋体" w:eastAsia="宋体" w:cs="宋体"/>
          <w:b/>
          <w:sz w:val="24"/>
          <w:szCs w:val="24"/>
        </w:rPr>
        <w:t>1. 评标方法</w:t>
      </w:r>
      <w:bookmarkEnd w:id="40"/>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本次评标采用综合评分法。评标委员会对满足招标文件实质性要求的投标文件，按照本节规定的评审标准进行评审。评标中各评委若发生意见分歧，以少数服从多数原则确定。</w:t>
      </w:r>
    </w:p>
    <w:p>
      <w:pPr>
        <w:tabs>
          <w:tab w:val="center" w:pos="4832"/>
          <w:tab w:val="left" w:pos="7140"/>
        </w:tabs>
        <w:spacing w:line="360" w:lineRule="auto"/>
        <w:ind w:firstLine="472" w:firstLineChars="196"/>
        <w:jc w:val="left"/>
        <w:outlineLvl w:val="2"/>
        <w:rPr>
          <w:rFonts w:hint="eastAsia" w:ascii="宋体" w:hAnsi="宋体" w:eastAsia="宋体" w:cs="宋体"/>
          <w:b/>
          <w:sz w:val="24"/>
          <w:szCs w:val="24"/>
        </w:rPr>
      </w:pPr>
      <w:bookmarkStart w:id="41" w:name="_Toc24478"/>
      <w:r>
        <w:rPr>
          <w:rFonts w:hint="eastAsia" w:ascii="宋体" w:hAnsi="宋体" w:eastAsia="宋体" w:cs="宋体"/>
          <w:b/>
          <w:sz w:val="24"/>
          <w:szCs w:val="24"/>
        </w:rPr>
        <w:t>2. 评审标准</w:t>
      </w:r>
      <w:bookmarkEnd w:id="41"/>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2.1资格审查：评审因素和评审标准见《资格审查标准》。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w:t>
      </w:r>
      <w:r>
        <w:rPr>
          <w:rFonts w:hint="eastAsia" w:ascii="宋体" w:hAnsi="宋体" w:eastAsia="宋体" w:cs="宋体"/>
          <w:sz w:val="24"/>
          <w:szCs w:val="24"/>
        </w:rPr>
        <w:t>完备性及符合性审查</w:t>
      </w:r>
      <w:r>
        <w:rPr>
          <w:rFonts w:hint="eastAsia" w:ascii="宋体" w:hAnsi="宋体" w:eastAsia="宋体" w:cs="宋体"/>
          <w:kern w:val="0"/>
          <w:sz w:val="24"/>
          <w:szCs w:val="24"/>
        </w:rPr>
        <w:t>：评审因素和评审标准见《</w:t>
      </w:r>
      <w:r>
        <w:rPr>
          <w:rFonts w:hint="eastAsia" w:ascii="宋体" w:hAnsi="宋体" w:eastAsia="宋体" w:cs="宋体"/>
          <w:sz w:val="24"/>
          <w:szCs w:val="24"/>
        </w:rPr>
        <w:t>完备性及符合性审查</w:t>
      </w:r>
      <w:r>
        <w:rPr>
          <w:rFonts w:hint="eastAsia" w:ascii="宋体" w:hAnsi="宋体" w:eastAsia="宋体" w:cs="宋体"/>
          <w:kern w:val="0"/>
          <w:sz w:val="24"/>
          <w:szCs w:val="24"/>
        </w:rPr>
        <w:t>标准》。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2.3详细评审：</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2.3.1详细评审：评审因素和评审标准见《详细评审标准》。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2.3.2 投标报价评分标准：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（1）分值构成及权重：见评标办法前附表。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（2）评标基准价计算：见评标办法前附表。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（3）投标报价得分的计算：见评标办法前附表。</w:t>
      </w:r>
    </w:p>
    <w:p>
      <w:pPr>
        <w:tabs>
          <w:tab w:val="center" w:pos="4832"/>
          <w:tab w:val="left" w:pos="7140"/>
        </w:tabs>
        <w:spacing w:line="360" w:lineRule="auto"/>
        <w:ind w:firstLine="472" w:firstLineChars="196"/>
        <w:jc w:val="left"/>
        <w:outlineLvl w:val="2"/>
        <w:rPr>
          <w:rFonts w:hint="eastAsia" w:ascii="宋体" w:hAnsi="宋体" w:eastAsia="宋体" w:cs="宋体"/>
          <w:b/>
          <w:sz w:val="24"/>
          <w:szCs w:val="24"/>
        </w:rPr>
      </w:pPr>
      <w:bookmarkStart w:id="42" w:name="_Toc16662"/>
      <w:r>
        <w:rPr>
          <w:rFonts w:hint="eastAsia" w:ascii="宋体" w:hAnsi="宋体" w:eastAsia="宋体" w:cs="宋体"/>
          <w:b/>
          <w:sz w:val="24"/>
          <w:szCs w:val="24"/>
        </w:rPr>
        <w:t>3. 评标程序</w:t>
      </w:r>
      <w:bookmarkEnd w:id="42"/>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 基本程序</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评标活动将按以下步骤进行：</w:t>
      </w:r>
    </w:p>
    <w:p>
      <w:pPr>
        <w:widowControl/>
        <w:shd w:val="clear" w:color="auto" w:fill="FFFFFF"/>
        <w:snapToGrid w:val="0"/>
        <w:spacing w:line="360" w:lineRule="auto"/>
        <w:ind w:left="60" w:firstLine="420"/>
        <w:rPr>
          <w:rFonts w:hint="eastAsia" w:ascii="宋体" w:hAnsi="宋体" w:eastAsia="宋体" w:cs="宋体"/>
          <w:kern w:val="0"/>
          <w:sz w:val="24"/>
          <w:szCs w:val="24"/>
        </w:rPr>
      </w:pPr>
      <w:r>
        <w:rPr>
          <w:rFonts w:hint="eastAsia" w:ascii="宋体" w:hAnsi="宋体" w:eastAsia="宋体" w:cs="宋体"/>
          <w:kern w:val="0"/>
          <w:sz w:val="24"/>
          <w:szCs w:val="24"/>
        </w:rPr>
        <w:t>（1）评标准备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（2）资格审查</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（3）完备性及符合性审查</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（4）详细评审</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（5）澄清、说明或补正</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（6）推荐中标候选人及提交评标报告</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 评标准备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3.2.1评标委员会成员签到</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评标委员会成员到达评标现场时应当在签到表上签到以证明其出席。</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3.2.2 评标委员会的分工</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3.2.2.1评标委员会首先推选一名评标委员会主任（除招标人代表）。评标委员会主任负责评标活动的组织领导工作。评标委员会主任与评标委员会其他成员具有同等的评标权力。</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3.2.2.2 评标委员会主任除履行自己作为评标委员会成员独立评标的职责外，主要负责以下工作：</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（1）组织评标委员会成员学习招标文件；</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（2）汇总各评标委员会成员认为需要投标人澄清、说明或者补正的问题；</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（3）组织评标委员会对投标人质询并对投标人的答复进行评审；</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（4）对出现较大争议的事项进行书面记录；</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（5）组织收回评标过程中使用的文件、表格和评标记录以及其他资料，并查验评标记录的完整性及有效性；</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（6）组织对评标结论进行复核确认；</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（7）组织编写评标报告。</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3.2.3 熟悉文件资料</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3.2.3.1 评标委员会主任应当组织评标委员会成员认真研究招标文件，了解和熟悉招标目的、招标范围、主要合同条件、服务标准和要求，掌握评标标准和方法，熟悉本章及附件中包括的评标表格的使用，如果本章及附件所附的表格不能满足评标所需时，评标委员会应当补充编制评标所需的表格。</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3.2.3.2 采购人或采购代理机构应当向评标委员会提供评标所需的信息和数据，包括：</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（1）招标文件及其澄清修改等招标文件补充；</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（2）未在开标会上当场拒绝的各投标文件；</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（3）开标会记录；</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（4）评标表格；</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（5）其他信息和数据。</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3.3资格审查</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人依据本章规定的评审因素和评审标准，对投标人的资格审查资料进行资格评审。资格审查有一项未通过审查标准，采购人将认定整个投标文件不响应招标文件而否决其投标，并且不允许投标人通过修改或撤销其不符合要求的差异或保留，使之成为具有响应性的投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3.4完备性及符合性审查</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3.4.1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3.4.2 完备性及符合性审查条款是指对本招标项目产生了重大影响的重大偏差，而且纠正此类偏差将会对响应本次招标的其他投标人的竞争地位产生不公正的影响。</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3.5详细评审</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3.5.1.只有通过了资格审查、完备性及符合性审查且投标人不少于3个方可进入详细评审。</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3.5.2 澄清、说明和补正</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3.5.2.2澄清、说明和补正内容不得改变投标文件的实质性内容（算术性错误修正的除外）。投标人的书面澄清、说明和补正属于投标文件的组成部分。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3.5.2.4评标委员会对投标人提交的澄清、说明或补正有疑问的，可以要求投标人进一步澄清、说明或补正，直至满足评标委员会的要求。</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3.5.3评委评分：评委按照《详细评审标准》评分，投标人详细评审得分等于全部评委评分的算术平均值。</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3.5.4 算术错误修正：投标价格有算术错误的，评标委员会按以下原则对投标价格进行修正，修正的价格经投标人书面确认后具有约束力。投标人不接受修正价格的，其投标将被否决。</w:t>
      </w:r>
    </w:p>
    <w:p>
      <w:pPr>
        <w:autoSpaceDE w:val="0"/>
        <w:autoSpaceDN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 响应文件中开标一览表（报价表）内容与响应文件中相应内容不一致的，以开标一览表（报价表）为准；</w:t>
      </w:r>
    </w:p>
    <w:p>
      <w:pPr>
        <w:autoSpaceDE w:val="0"/>
        <w:autoSpaceDN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b. 大写金额和小写金额不一致的，以大写金额为准；</w:t>
      </w:r>
    </w:p>
    <w:p>
      <w:pPr>
        <w:autoSpaceDE w:val="0"/>
        <w:autoSpaceDN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c. 单价金额小数点或者百分比有明显错位的，以开标一览表的总价为准，并修改单价；</w:t>
      </w:r>
    </w:p>
    <w:p>
      <w:pPr>
        <w:autoSpaceDE w:val="0"/>
        <w:autoSpaceDN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d. 总价金额与按单价汇总金额不一致的，以单价金额计算结果为准。</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e. 同时出现两种以上不一致的，按照前款规定的顺序修正。修正后的最终投标报价若超过最高投标限价（如有），评审小组应当否决其投标。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3.5.5 评标委员会发现投标人的报价明显低于其他投标人投标价格，使得其投标价格可能低于其成本的，应当要求该投标人作出书面说明并提供相应的证明材料。投标人不能合理说明或者不能提供相应证明材料的，由评标委员会认定该投标人以低于成本报价竞标，否决其投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3.5.6 投标报价评分：对投标报价进行投标报价得分计算，计算方法详见评标办法前附表。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3.5.7 汇总评分结果，评分分值计算保留小数点后两位，小数点后第三位“四舍五入”。</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3.5.8 详细评审工作全部结束后，投标人总得分排序按照以下原则进行。</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3.5.8.1按照总得分由高到低顺序对投标人进行排序；</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3.5.8.2总得分相同时报价低的投标人排序靠前；</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3.5.8.3总得分相同且报价相同的投标人，采取随机抽取方式确定排序顺序。</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3.6推荐中标候选人及提交评标报告</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3.6.1评标委员会推荐中标候选人，总得分排序第一的投标人将被确定为第一中标候选人，以此类推确定出规定数量的的中标候选人。</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3.6.2当通过了资格审查、完备性及符合性审查后，投标人少于3个时，采购人应当依法重新招标。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3.6.3 评标委员会完成评标后，应当向采购人提交书面评标报告。</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3.7、特殊情况的处置程序</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3.7.1 关于评标活动暂停</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3.7.2关于评标中途更换评委</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3.7.2.1 除非发生下列情况之一，评标委员会成员不得在评标中途更换：</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（1）因不可抗拒的客观原因，不能到场或需在评标中途退出评标活动。</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（2）根据法律法规规定，某个或某几个评标委员会成员需要回避。</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3.7.2.2 退出评标的评标委员会成员，其已完成的评标行为无效，由更换的评委进行评标。</w:t>
      </w:r>
    </w:p>
    <w:p>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3.7.3 在评标环节中，需评标委员会就某项定性的评审结论做出表决的，由评标委员会全体成员按照少数服从多数的原则确定。</w:t>
      </w:r>
    </w:p>
    <w:p>
      <w:pPr>
        <w:widowControl/>
        <w:shd w:val="clear" w:color="auto" w:fill="FFFFFF"/>
        <w:snapToGrid w:val="0"/>
        <w:spacing w:line="360" w:lineRule="auto"/>
        <w:jc w:val="center"/>
        <w:rPr>
          <w:rFonts w:hint="eastAsia" w:ascii="宋体" w:hAnsi="宋体" w:eastAsia="宋体" w:cs="宋体"/>
          <w:b/>
          <w:sz w:val="24"/>
          <w:szCs w:val="24"/>
        </w:rPr>
      </w:pPr>
      <w:r>
        <w:rPr>
          <w:rFonts w:hint="eastAsia" w:ascii="宋体" w:hAnsi="宋体" w:eastAsia="宋体" w:cs="宋体"/>
          <w:kern w:val="0"/>
          <w:sz w:val="24"/>
          <w:szCs w:val="24"/>
        </w:rPr>
        <w:br w:type="page"/>
      </w:r>
      <w:bookmarkStart w:id="43" w:name="_Toc485312286"/>
      <w:r>
        <w:rPr>
          <w:rFonts w:hint="eastAsia" w:ascii="宋体" w:hAnsi="宋体" w:eastAsia="宋体" w:cs="宋体"/>
          <w:b/>
          <w:sz w:val="24"/>
          <w:szCs w:val="24"/>
        </w:rPr>
        <w:t>问题澄清通知</w:t>
      </w:r>
    </w:p>
    <w:p>
      <w:pPr>
        <w:rPr>
          <w:rFonts w:hint="eastAsia" w:ascii="宋体" w:hAnsi="宋体" w:eastAsia="宋体" w:cs="宋体"/>
          <w:sz w:val="24"/>
          <w:szCs w:val="24"/>
        </w:rPr>
      </w:pPr>
    </w:p>
    <w:p>
      <w:pPr>
        <w:rPr>
          <w:rFonts w:hint="eastAsia" w:ascii="宋体" w:hAnsi="宋体" w:eastAsia="宋体" w:cs="宋体"/>
          <w:kern w:val="0"/>
          <w:sz w:val="24"/>
          <w:szCs w:val="24"/>
        </w:rPr>
      </w:pPr>
      <w:r>
        <w:rPr>
          <w:rFonts w:hint="eastAsia" w:ascii="宋体" w:hAnsi="宋体" w:eastAsia="宋体" w:cs="宋体"/>
          <w:kern w:val="0"/>
          <w:sz w:val="24"/>
          <w:szCs w:val="24"/>
        </w:rPr>
        <w:t>（投标人名称）：</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（招标项目名称）招标的评标委员会，对你方的投标文件进行了仔细的审查，现需你方对本通知所附质疑问卷中的问题以书面形式予以澄清、说明或者补正。</w:t>
      </w:r>
    </w:p>
    <w:p>
      <w:pPr>
        <w:rPr>
          <w:rFonts w:hint="eastAsia" w:ascii="宋体" w:hAnsi="宋体" w:eastAsia="宋体" w:cs="宋体"/>
          <w:kern w:val="0"/>
          <w:sz w:val="24"/>
          <w:szCs w:val="24"/>
        </w:rPr>
      </w:pPr>
      <w:r>
        <w:rPr>
          <w:rFonts w:hint="eastAsia" w:ascii="宋体" w:hAnsi="宋体" w:eastAsia="宋体" w:cs="宋体"/>
          <w:kern w:val="0"/>
          <w:sz w:val="24"/>
          <w:szCs w:val="24"/>
        </w:rPr>
        <w:t>质疑问题：</w:t>
      </w: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r>
        <w:rPr>
          <w:rFonts w:hint="eastAsia" w:ascii="宋体" w:hAnsi="宋体" w:eastAsia="宋体" w:cs="宋体"/>
          <w:kern w:val="0"/>
          <w:sz w:val="24"/>
          <w:szCs w:val="24"/>
        </w:rPr>
        <w:t>评标委员会员（签字）：</w:t>
      </w:r>
    </w:p>
    <w:p>
      <w:pPr>
        <w:rPr>
          <w:rFonts w:hint="eastAsia" w:ascii="宋体" w:hAnsi="宋体" w:eastAsia="宋体" w:cs="宋体"/>
          <w:kern w:val="0"/>
          <w:sz w:val="24"/>
          <w:szCs w:val="24"/>
        </w:rPr>
      </w:pPr>
    </w:p>
    <w:p>
      <w:pPr>
        <w:rPr>
          <w:rFonts w:hint="eastAsia" w:ascii="宋体" w:hAnsi="宋体" w:eastAsia="宋体" w:cs="宋体"/>
          <w:kern w:val="0"/>
          <w:sz w:val="24"/>
          <w:szCs w:val="24"/>
        </w:rPr>
      </w:pPr>
      <w:r>
        <w:rPr>
          <w:rFonts w:hint="eastAsia" w:ascii="宋体" w:hAnsi="宋体" w:eastAsia="宋体" w:cs="宋体"/>
          <w:kern w:val="0"/>
          <w:sz w:val="24"/>
          <w:szCs w:val="24"/>
        </w:rPr>
        <w:t>日期：年月日</w:t>
      </w:r>
    </w:p>
    <w:p>
      <w:pPr>
        <w:jc w:val="center"/>
        <w:rPr>
          <w:rFonts w:hint="eastAsia" w:ascii="宋体" w:hAnsi="宋体" w:eastAsia="宋体" w:cs="宋体"/>
          <w:b/>
          <w:sz w:val="24"/>
          <w:szCs w:val="24"/>
        </w:rPr>
      </w:pPr>
      <w:r>
        <w:rPr>
          <w:rFonts w:hint="eastAsia" w:ascii="宋体" w:hAnsi="宋体" w:eastAsia="宋体" w:cs="宋体"/>
          <w:kern w:val="0"/>
          <w:sz w:val="24"/>
          <w:szCs w:val="24"/>
        </w:rPr>
        <w:br w:type="page"/>
      </w:r>
      <w:r>
        <w:rPr>
          <w:rFonts w:hint="eastAsia" w:ascii="宋体" w:hAnsi="宋体" w:eastAsia="宋体" w:cs="宋体"/>
          <w:b/>
          <w:sz w:val="24"/>
          <w:szCs w:val="24"/>
        </w:rPr>
        <w:t>问题的澄清、说明或补正</w:t>
      </w:r>
    </w:p>
    <w:p>
      <w:pPr>
        <w:rPr>
          <w:rFonts w:hint="eastAsia" w:ascii="宋体" w:hAnsi="宋体" w:eastAsia="宋体" w:cs="宋体"/>
          <w:kern w:val="0"/>
          <w:sz w:val="24"/>
          <w:szCs w:val="24"/>
        </w:rPr>
      </w:pPr>
    </w:p>
    <w:p>
      <w:pPr>
        <w:rPr>
          <w:rFonts w:hint="eastAsia" w:ascii="宋体" w:hAnsi="宋体" w:eastAsia="宋体" w:cs="宋体"/>
          <w:kern w:val="0"/>
          <w:sz w:val="24"/>
          <w:szCs w:val="24"/>
        </w:rPr>
      </w:pPr>
      <w:r>
        <w:rPr>
          <w:rFonts w:hint="eastAsia" w:ascii="宋体" w:hAnsi="宋体" w:eastAsia="宋体" w:cs="宋体"/>
          <w:kern w:val="0"/>
          <w:sz w:val="24"/>
          <w:szCs w:val="24"/>
        </w:rPr>
        <w:t>评标委员会：</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（招标项目名称）的问题澄清通知已收悉，现澄清、说明或者补正如下：</w:t>
      </w: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r>
        <w:rPr>
          <w:rFonts w:hint="eastAsia" w:ascii="宋体" w:hAnsi="宋体" w:eastAsia="宋体" w:cs="宋体"/>
          <w:kern w:val="0"/>
          <w:sz w:val="24"/>
          <w:szCs w:val="24"/>
        </w:rPr>
        <w:t>法定代表人或其授权委托人（签字）：</w:t>
      </w:r>
    </w:p>
    <w:p>
      <w:pPr>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日期：年月日</w:t>
      </w:r>
    </w:p>
    <w:p>
      <w:pPr>
        <w:spacing w:line="360" w:lineRule="auto"/>
        <w:jc w:val="center"/>
        <w:outlineLvl w:val="0"/>
        <w:rPr>
          <w:rFonts w:hint="eastAsia" w:ascii="宋体" w:hAnsi="宋体" w:eastAsia="宋体" w:cs="宋体"/>
          <w:b/>
          <w:sz w:val="24"/>
          <w:szCs w:val="24"/>
        </w:rPr>
      </w:pPr>
      <w:r>
        <w:rPr>
          <w:rFonts w:hint="eastAsia" w:ascii="宋体" w:hAnsi="宋体" w:eastAsia="宋体" w:cs="宋体"/>
          <w:kern w:val="0"/>
          <w:sz w:val="24"/>
          <w:szCs w:val="24"/>
        </w:rPr>
        <w:br w:type="page"/>
      </w:r>
      <w:bookmarkEnd w:id="43"/>
      <w:bookmarkStart w:id="44" w:name="_Toc8245"/>
      <w:bookmarkStart w:id="45" w:name="_Toc507586162"/>
      <w:r>
        <w:rPr>
          <w:rFonts w:hint="eastAsia" w:ascii="宋体" w:hAnsi="宋体" w:eastAsia="宋体" w:cs="宋体"/>
          <w:b/>
          <w:sz w:val="24"/>
          <w:szCs w:val="24"/>
        </w:rPr>
        <w:t>第三章合同条款及格式</w:t>
      </w:r>
      <w:bookmarkEnd w:id="44"/>
      <w:bookmarkEnd w:id="45"/>
    </w:p>
    <w:p>
      <w:pPr>
        <w:ind w:firstLine="482"/>
        <w:jc w:val="center"/>
        <w:rPr>
          <w:rFonts w:hint="eastAsia" w:ascii="宋体" w:hAnsi="宋体" w:eastAsia="宋体" w:cs="宋体"/>
          <w:b/>
          <w:bCs/>
          <w:color w:val="auto"/>
          <w:highlight w:val="none"/>
        </w:rPr>
      </w:pPr>
      <w:bookmarkStart w:id="46" w:name="_Toc20858"/>
      <w:bookmarkStart w:id="47" w:name="_Toc507586163"/>
      <w:r>
        <w:rPr>
          <w:rFonts w:hint="eastAsia" w:ascii="宋体" w:hAnsi="宋体" w:eastAsia="宋体" w:cs="宋体"/>
          <w:b/>
          <w:bCs/>
          <w:color w:val="auto"/>
          <w:highlight w:val="none"/>
        </w:rPr>
        <w:t>本合同为参考合同，最终以与甲方实际签订的为准。</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合同编号：XXXX。</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签订地点：XXXX。</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签订时间：XXXX年XX月XX日。</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p>
    <w:p>
      <w:pPr>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rPr>
        <w:t xml:space="preserve">                              </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w:t>
      </w:r>
      <w:bookmarkStart w:id="48" w:name="_Hlk85640524"/>
      <w:r>
        <w:rPr>
          <w:rFonts w:hint="eastAsia" w:ascii="宋体" w:hAnsi="宋体" w:eastAsia="宋体" w:cs="宋体"/>
          <w:color w:val="auto"/>
          <w:sz w:val="24"/>
          <w:szCs w:val="24"/>
          <w:highlight w:val="none"/>
        </w:rPr>
        <w:t>《中华人民共和国民法典》</w:t>
      </w:r>
      <w:bookmarkEnd w:id="48"/>
      <w:r>
        <w:rPr>
          <w:rFonts w:hint="eastAsia" w:ascii="宋体" w:hAnsi="宋体" w:eastAsia="宋体" w:cs="宋体"/>
          <w:color w:val="auto"/>
          <w:sz w:val="24"/>
          <w:szCs w:val="24"/>
          <w:highlight w:val="none"/>
        </w:rPr>
        <w:t>、《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项目基本情况</w:t>
      </w:r>
    </w:p>
    <w:p>
      <w:pPr>
        <w:spacing w:line="276" w:lineRule="auto"/>
        <w:ind w:firstLine="630"/>
        <w:rPr>
          <w:rFonts w:hint="eastAsia" w:ascii="宋体" w:hAnsi="宋体" w:eastAsia="宋体" w:cs="宋体"/>
          <w:b/>
          <w:color w:val="auto"/>
          <w:sz w:val="24"/>
          <w:szCs w:val="24"/>
          <w:highlight w:val="none"/>
        </w:rPr>
      </w:pP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合同期限</w:t>
      </w:r>
    </w:p>
    <w:p>
      <w:pPr>
        <w:spacing w:line="276" w:lineRule="auto"/>
        <w:ind w:firstLine="480" w:firstLineChars="200"/>
        <w:rPr>
          <w:rFonts w:hint="eastAsia" w:ascii="宋体" w:hAnsi="宋体" w:eastAsia="宋体" w:cs="宋体"/>
          <w:color w:val="auto"/>
          <w:sz w:val="24"/>
          <w:szCs w:val="24"/>
          <w:highlight w:val="none"/>
        </w:rPr>
      </w:pP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服务内容与质量标准</w:t>
      </w:r>
    </w:p>
    <w:p>
      <w:pPr>
        <w:spacing w:line="276"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1、XXXX；</w:t>
      </w:r>
    </w:p>
    <w:p>
      <w:pPr>
        <w:spacing w:line="276"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2、XXXX；</w:t>
      </w:r>
    </w:p>
    <w:p>
      <w:pPr>
        <w:spacing w:line="276"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3、XXXX．</w:t>
      </w:r>
    </w:p>
    <w:p>
      <w:pPr>
        <w:spacing w:line="276"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服务费用及支付方式</w:t>
      </w:r>
    </w:p>
    <w:p>
      <w:pPr>
        <w:numPr>
          <w:ilvl w:val="0"/>
          <w:numId w:val="3"/>
        </w:numPr>
        <w:spacing w:line="276"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本项目服务费用由以下组成：</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1、XX万元；</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2、XX万元；</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3、XX万元。</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numPr>
          <w:ilvl w:val="0"/>
          <w:numId w:val="3"/>
        </w:numPr>
        <w:tabs>
          <w:tab w:val="left" w:pos="780"/>
        </w:tabs>
        <w:spacing w:line="276"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服务费支付方式： </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知识产权</w:t>
      </w:r>
    </w:p>
    <w:p>
      <w:pPr>
        <w:tabs>
          <w:tab w:val="left" w:pos="1440"/>
        </w:tabs>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无产权瑕疵条款</w:t>
      </w:r>
    </w:p>
    <w:p>
      <w:pPr>
        <w:tabs>
          <w:tab w:val="left" w:pos="1440"/>
        </w:tabs>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甲方的权利和义务</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乙方的权利和义务</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pPr>
        <w:adjustRightInd w:val="0"/>
        <w:spacing w:line="276"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违约责任</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pPr>
        <w:adjustRightInd w:val="0"/>
        <w:spacing w:line="276"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不可抗力事件处理</w:t>
      </w:r>
    </w:p>
    <w:p>
      <w:pPr>
        <w:tabs>
          <w:tab w:val="left" w:pos="0"/>
        </w:tabs>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tabs>
          <w:tab w:val="left" w:pos="0"/>
        </w:tabs>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tabs>
          <w:tab w:val="left" w:pos="0"/>
        </w:tabs>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3、不可抗力事件延续XX天以上，双方应通过友好协商，确定是否继续履行合同。</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解决合同纠纷的方式</w:t>
      </w:r>
    </w:p>
    <w:p>
      <w:pPr>
        <w:tabs>
          <w:tab w:val="left" w:pos="0"/>
        </w:tabs>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1、在执行本合同中发生的或与本合同有关的争端，双方应通过友好协商解决，经协商在XX天内不能达成协议时，双方均可向项目所在地人民法院提起诉讼。</w:t>
      </w:r>
    </w:p>
    <w:p>
      <w:pPr>
        <w:tabs>
          <w:tab w:val="left" w:pos="0"/>
        </w:tabs>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2、仲裁裁决应为最终决定，并对双方具有约束力。</w:t>
      </w:r>
    </w:p>
    <w:p>
      <w:pPr>
        <w:tabs>
          <w:tab w:val="left" w:pos="0"/>
        </w:tabs>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3、除另有裁决外，仲裁费应由败诉方负担。 </w:t>
      </w:r>
    </w:p>
    <w:p>
      <w:pPr>
        <w:tabs>
          <w:tab w:val="left" w:pos="0"/>
        </w:tabs>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4、在仲裁期间，除正在进行仲裁部分外，合同其他部分继续执行。  </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合同生效及其他</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3、本合同一式XX份，自双方签章之日起起效。甲方XX份，乙方XX份，政府采购代理机构1份，同级财政部门备案XX份，具有同等法律效力。</w:t>
      </w:r>
    </w:p>
    <w:p>
      <w:pPr>
        <w:numPr>
          <w:ilvl w:val="0"/>
          <w:numId w:val="2"/>
        </w:num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1、项目招标文件</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2、项目修改澄清文件</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3、项目投标文件</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4、中标通知书</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pPr>
        <w:spacing w:line="276" w:lineRule="auto"/>
        <w:ind w:firstLine="480" w:firstLineChars="200"/>
        <w:rPr>
          <w:rFonts w:hint="eastAsia" w:ascii="宋体" w:hAnsi="宋体" w:eastAsia="宋体" w:cs="宋体"/>
          <w:color w:val="auto"/>
          <w:sz w:val="24"/>
          <w:szCs w:val="24"/>
          <w:highlight w:val="none"/>
        </w:rPr>
      </w:pP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（盖章）                   乙方：   （盖章）</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   号：</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                         签约日期： </w:t>
      </w:r>
    </w:p>
    <w:p>
      <w:pPr>
        <w:spacing w:line="276"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注：合同条款可根据采购人及成交人签订合同时的实际情况进行修改调整。</w:t>
      </w:r>
    </w:p>
    <w:p>
      <w:pPr>
        <w:spacing w:line="360" w:lineRule="auto"/>
        <w:jc w:val="center"/>
        <w:outlineLvl w:val="0"/>
        <w:rPr>
          <w:rFonts w:hint="eastAsia" w:ascii="宋体" w:hAnsi="宋体" w:eastAsia="宋体" w:cs="宋体"/>
          <w:b/>
          <w:sz w:val="30"/>
          <w:szCs w:val="30"/>
        </w:rPr>
      </w:pPr>
      <w:r>
        <w:rPr>
          <w:rFonts w:hint="eastAsia" w:ascii="仿宋" w:hAnsi="仿宋" w:eastAsia="仿宋" w:cs="仿宋"/>
          <w:b/>
          <w:sz w:val="32"/>
          <w:szCs w:val="32"/>
        </w:rPr>
        <w:br w:type="page"/>
      </w:r>
      <w:r>
        <w:rPr>
          <w:rFonts w:hint="eastAsia" w:ascii="宋体" w:hAnsi="宋体" w:eastAsia="宋体" w:cs="宋体"/>
          <w:b/>
          <w:sz w:val="30"/>
          <w:szCs w:val="30"/>
        </w:rPr>
        <w:t>第四章服务标准和要求</w:t>
      </w:r>
      <w:bookmarkEnd w:id="46"/>
      <w:bookmarkEnd w:id="47"/>
      <w:bookmarkStart w:id="49" w:name="_Toc138638509"/>
      <w:bookmarkEnd w:id="49"/>
      <w:bookmarkStart w:id="50" w:name="_Toc138639091"/>
      <w:bookmarkEnd w:id="50"/>
      <w:bookmarkStart w:id="51" w:name="_合同文件的组成及解释顺序"/>
      <w:bookmarkEnd w:id="51"/>
      <w:bookmarkStart w:id="52" w:name="_Toc138638718"/>
      <w:bookmarkEnd w:id="52"/>
      <w:bookmarkStart w:id="53" w:name="_Toc138638534"/>
      <w:bookmarkEnd w:id="53"/>
      <w:bookmarkStart w:id="54" w:name="_Toc138638510"/>
      <w:bookmarkEnd w:id="54"/>
      <w:bookmarkStart w:id="55" w:name="_Toc138639090"/>
      <w:bookmarkEnd w:id="55"/>
      <w:bookmarkStart w:id="56" w:name="_Toc138639074"/>
      <w:bookmarkEnd w:id="56"/>
      <w:bookmarkStart w:id="57" w:name="_Toc138638883"/>
      <w:bookmarkEnd w:id="57"/>
      <w:bookmarkStart w:id="58" w:name="_Toc138638907"/>
      <w:bookmarkEnd w:id="58"/>
      <w:bookmarkStart w:id="59" w:name="_Toc138638719"/>
      <w:bookmarkEnd w:id="59"/>
      <w:bookmarkStart w:id="60" w:name="_Toc138638773"/>
      <w:bookmarkEnd w:id="60"/>
      <w:bookmarkStart w:id="61" w:name="_Toc138638535"/>
      <w:bookmarkEnd w:id="61"/>
      <w:bookmarkStart w:id="62" w:name="_Toc138638538"/>
      <w:bookmarkEnd w:id="62"/>
      <w:bookmarkStart w:id="63" w:name="_Toc138639145"/>
      <w:bookmarkEnd w:id="63"/>
      <w:bookmarkStart w:id="64" w:name="_Toc138638910"/>
      <w:bookmarkEnd w:id="64"/>
      <w:bookmarkStart w:id="65" w:name="_Toc138638906"/>
      <w:bookmarkEnd w:id="65"/>
      <w:bookmarkStart w:id="66" w:name="_Toc138638702"/>
      <w:bookmarkEnd w:id="66"/>
      <w:bookmarkStart w:id="67" w:name="_Toc138638884"/>
      <w:bookmarkEnd w:id="67"/>
    </w:p>
    <w:p>
      <w:pPr>
        <w:adjustRightInd w:val="0"/>
        <w:snapToGrid w:val="0"/>
        <w:spacing w:line="500" w:lineRule="exact"/>
        <w:ind w:firstLine="562" w:firstLineChars="200"/>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1、内业检测。</w:t>
      </w:r>
      <w:r>
        <w:rPr>
          <w:rFonts w:hint="eastAsia" w:ascii="宋体" w:hAnsi="宋体" w:eastAsia="宋体" w:cs="宋体"/>
          <w:color w:val="000000"/>
          <w:sz w:val="28"/>
          <w:szCs w:val="28"/>
          <w:lang w:val="zh-CN" w:eastAsia="zh-CN"/>
        </w:rPr>
        <w:t>塔城市表层样品</w:t>
      </w:r>
      <w:r>
        <w:rPr>
          <w:rFonts w:hint="eastAsia" w:ascii="宋体" w:hAnsi="宋体" w:eastAsia="宋体" w:cs="宋体"/>
          <w:color w:val="000000"/>
          <w:sz w:val="28"/>
          <w:szCs w:val="28"/>
          <w:lang w:val="en-US" w:eastAsia="zh-CN"/>
        </w:rPr>
        <w:t>1932个，其中耕地样品1733个，草场133个，园地23个、林地43个。剖面样品45个，其中耕地样品26个，草场11个，林地8个。其中严格按照第三次全国土壤普查技术规范和</w:t>
      </w:r>
      <w:r>
        <w:rPr>
          <w:rFonts w:hint="eastAsia" w:ascii="宋体" w:hAnsi="宋体" w:eastAsia="宋体" w:cs="宋体"/>
          <w:color w:val="000000"/>
          <w:sz w:val="28"/>
          <w:szCs w:val="28"/>
          <w:lang w:val="zh-CN" w:eastAsia="zh-CN"/>
        </w:rPr>
        <w:t>土壤样品制备与检测技术规范执行，检测项目包括耕地园地土壤样品检测指标和林地草地土壤样品检测指标。</w:t>
      </w:r>
      <w:r>
        <w:rPr>
          <w:rFonts w:hint="eastAsia" w:ascii="宋体" w:hAnsi="宋体" w:eastAsia="宋体" w:cs="宋体"/>
          <w:color w:val="000000"/>
          <w:sz w:val="28"/>
          <w:szCs w:val="28"/>
          <w:lang w:val="en-US" w:eastAsia="zh-CN"/>
        </w:rPr>
        <w:t>根据全国土壤普查办工作要求，第三次全国土壤普查工作全面铺开后的耕地园地剖面样和表层样需要加测全硒；林地草地剖面样和表层样需要加测水溶性盐总量和电导率，若水溶性盐总量大于等于1.0g／kg时，需要加测8大离子（水溶性钠离子、钾离子、钙离子、镁离子、碳酸根、碳酸氢根、硫酸根、氯根）。</w:t>
      </w:r>
    </w:p>
    <w:p>
      <w:pPr>
        <w:adjustRightInd w:val="0"/>
        <w:snapToGrid w:val="0"/>
        <w:spacing w:line="500" w:lineRule="exact"/>
        <w:ind w:firstLine="562" w:firstLineChars="200"/>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2、成果汇总。</w:t>
      </w:r>
      <w:r>
        <w:rPr>
          <w:rFonts w:hint="eastAsia" w:ascii="宋体" w:hAnsi="宋体" w:eastAsia="宋体" w:cs="宋体"/>
          <w:color w:val="000000"/>
          <w:sz w:val="28"/>
          <w:szCs w:val="28"/>
          <w:lang w:val="en-US" w:eastAsia="zh-CN"/>
        </w:rPr>
        <w:t>土壤“三普”调查检测数据的审核、土壤普查数据库构建（三普基础数据库和专题数据库）、土壤制图（土壤类型图和土壤属性专题图等）、总结报告（工作、技术和专题报告）及验收等工作。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94" w:firstLineChars="200"/>
        <w:jc w:val="both"/>
        <w:textAlignment w:val="auto"/>
        <w:rPr>
          <w:rFonts w:hint="eastAsia" w:ascii="黑体" w:hAnsi="黑体" w:eastAsia="黑体" w:cs="黑体"/>
          <w:b/>
          <w:bCs/>
          <w:color w:val="auto"/>
          <w:spacing w:val="8"/>
          <w:kern w:val="0"/>
          <w:sz w:val="28"/>
          <w:szCs w:val="28"/>
          <w:highlight w:val="none"/>
          <w:lang w:val="en-US" w:eastAsia="zh-CN" w:bidi="ar"/>
        </w:rPr>
      </w:pPr>
      <w:r>
        <w:rPr>
          <w:rFonts w:hint="eastAsia" w:ascii="黑体" w:hAnsi="黑体" w:eastAsia="黑体" w:cs="黑体"/>
          <w:b/>
          <w:bCs/>
          <w:color w:val="auto"/>
          <w:spacing w:val="8"/>
          <w:kern w:val="0"/>
          <w:sz w:val="28"/>
          <w:szCs w:val="28"/>
          <w:highlight w:val="none"/>
          <w:lang w:val="en-US" w:eastAsia="zh-CN" w:bidi="ar"/>
        </w:rPr>
        <w:t>基本要求：严格按照《第三次全国土壤普查技术规程规范（修订版）》进行制备、检测和汇总。</w:t>
      </w:r>
    </w:p>
    <w:p>
      <w:pPr>
        <w:pStyle w:val="55"/>
        <w:rPr>
          <w:rFonts w:hint="default"/>
          <w:sz w:val="28"/>
          <w:szCs w:val="28"/>
          <w:lang w:val="en-US" w:eastAsia="zh-CN"/>
        </w:rPr>
      </w:pPr>
      <w:r>
        <w:rPr>
          <w:rFonts w:hint="eastAsia"/>
          <w:sz w:val="28"/>
          <w:szCs w:val="28"/>
          <w:lang w:val="en-US" w:eastAsia="zh-CN"/>
        </w:rPr>
        <w:t>一、采购资金预算</w:t>
      </w:r>
    </w:p>
    <w:tbl>
      <w:tblPr>
        <w:tblStyle w:val="38"/>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9"/>
        <w:gridCol w:w="4827"/>
        <w:gridCol w:w="197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blHeader/>
        </w:trPr>
        <w:tc>
          <w:tcPr>
            <w:tcW w:w="899" w:type="dxa"/>
            <w:shd w:val="clear" w:color="auto" w:fill="FFFFFF"/>
            <w:noWrap w:val="0"/>
            <w:tcMar>
              <w:top w:w="75" w:type="dxa"/>
              <w:left w:w="150" w:type="dxa"/>
              <w:bottom w:w="75" w:type="dxa"/>
              <w:right w:w="150" w:type="dxa"/>
            </w:tcMar>
            <w:vAlign w:val="center"/>
          </w:tcPr>
          <w:p>
            <w:pPr>
              <w:keepNext w:val="0"/>
              <w:keepLines w:val="0"/>
              <w:widowControl/>
              <w:suppressLineNumbers w:val="0"/>
              <w:ind w:left="0" w:firstLine="0"/>
              <w:jc w:val="center"/>
              <w:rPr>
                <w:b/>
                <w:sz w:val="24"/>
                <w:szCs w:val="24"/>
              </w:rPr>
            </w:pPr>
            <w:r>
              <w:rPr>
                <w:rFonts w:ascii="宋体" w:hAnsi="宋体" w:eastAsia="宋体" w:cs="宋体"/>
                <w:b/>
                <w:kern w:val="0"/>
                <w:sz w:val="24"/>
                <w:szCs w:val="24"/>
                <w:lang w:val="en-US" w:eastAsia="zh-CN" w:bidi="ar"/>
              </w:rPr>
              <w:t>序号</w:t>
            </w:r>
          </w:p>
        </w:tc>
        <w:tc>
          <w:tcPr>
            <w:tcW w:w="4827" w:type="dxa"/>
            <w:shd w:val="clear" w:color="auto" w:fill="FFFFFF"/>
            <w:noWrap w:val="0"/>
            <w:tcMar>
              <w:top w:w="75" w:type="dxa"/>
              <w:left w:w="150" w:type="dxa"/>
              <w:bottom w:w="75" w:type="dxa"/>
              <w:right w:w="150" w:type="dxa"/>
            </w:tcMar>
            <w:vAlign w:val="center"/>
          </w:tcPr>
          <w:p>
            <w:pPr>
              <w:keepNext w:val="0"/>
              <w:keepLines w:val="0"/>
              <w:widowControl/>
              <w:suppressLineNumbers w:val="0"/>
              <w:ind w:left="0" w:firstLine="0"/>
              <w:jc w:val="center"/>
              <w:rPr>
                <w:b/>
                <w:sz w:val="24"/>
                <w:szCs w:val="24"/>
              </w:rPr>
            </w:pPr>
            <w:r>
              <w:rPr>
                <w:rFonts w:ascii="宋体" w:hAnsi="宋体" w:eastAsia="宋体" w:cs="宋体"/>
                <w:b/>
                <w:kern w:val="0"/>
                <w:sz w:val="24"/>
                <w:szCs w:val="24"/>
                <w:lang w:val="en-US" w:eastAsia="zh-CN" w:bidi="ar"/>
              </w:rPr>
              <w:t>采购需求概况</w:t>
            </w:r>
          </w:p>
        </w:tc>
        <w:tc>
          <w:tcPr>
            <w:tcW w:w="1978" w:type="dxa"/>
            <w:shd w:val="clear" w:color="auto" w:fill="FFFFFF"/>
            <w:noWrap w:val="0"/>
            <w:tcMar>
              <w:top w:w="75" w:type="dxa"/>
              <w:left w:w="150" w:type="dxa"/>
              <w:bottom w:w="75" w:type="dxa"/>
              <w:right w:w="150" w:type="dxa"/>
            </w:tcMar>
            <w:vAlign w:val="center"/>
          </w:tcPr>
          <w:p>
            <w:pPr>
              <w:keepNext w:val="0"/>
              <w:keepLines w:val="0"/>
              <w:widowControl/>
              <w:suppressLineNumbers w:val="0"/>
              <w:ind w:left="0" w:firstLine="0"/>
              <w:jc w:val="center"/>
              <w:rPr>
                <w:b/>
                <w:sz w:val="24"/>
                <w:szCs w:val="24"/>
              </w:rPr>
            </w:pPr>
            <w:r>
              <w:rPr>
                <w:rFonts w:ascii="宋体" w:hAnsi="宋体" w:eastAsia="宋体" w:cs="宋体"/>
                <w:b/>
                <w:kern w:val="0"/>
                <w:sz w:val="24"/>
                <w:szCs w:val="24"/>
                <w:lang w:val="en-US" w:eastAsia="zh-CN" w:bidi="ar"/>
              </w:rPr>
              <w:t>预算金额（</w:t>
            </w:r>
            <w:r>
              <w:rPr>
                <w:rFonts w:hint="eastAsia" w:ascii="宋体" w:hAnsi="宋体" w:cs="宋体"/>
                <w:b/>
                <w:kern w:val="0"/>
                <w:sz w:val="24"/>
                <w:szCs w:val="24"/>
                <w:lang w:val="en-US" w:eastAsia="zh-CN" w:bidi="ar"/>
              </w:rPr>
              <w:t>万</w:t>
            </w:r>
            <w:r>
              <w:rPr>
                <w:rFonts w:ascii="宋体" w:hAnsi="宋体" w:eastAsia="宋体" w:cs="宋体"/>
                <w:b/>
                <w:kern w:val="0"/>
                <w:sz w:val="24"/>
                <w:szCs w:val="24"/>
                <w:lang w:val="en-US" w:eastAsia="zh-CN" w:bidi="ar"/>
              </w:rPr>
              <w:t>元）</w:t>
            </w:r>
          </w:p>
        </w:tc>
        <w:tc>
          <w:tcPr>
            <w:tcW w:w="1456" w:type="dxa"/>
            <w:shd w:val="clear" w:color="auto" w:fill="FFFFFF"/>
            <w:noWrap w:val="0"/>
            <w:tcMar>
              <w:top w:w="75" w:type="dxa"/>
              <w:left w:w="150" w:type="dxa"/>
              <w:bottom w:w="75" w:type="dxa"/>
              <w:right w:w="150" w:type="dxa"/>
            </w:tcMar>
            <w:vAlign w:val="center"/>
          </w:tcPr>
          <w:p>
            <w:pPr>
              <w:keepNext w:val="0"/>
              <w:keepLines w:val="0"/>
              <w:widowControl/>
              <w:suppressLineNumbers w:val="0"/>
              <w:ind w:left="0" w:firstLine="0"/>
              <w:jc w:val="center"/>
              <w:rPr>
                <w:b/>
                <w:sz w:val="24"/>
                <w:szCs w:val="24"/>
              </w:rPr>
            </w:pPr>
            <w:r>
              <w:rPr>
                <w:rFonts w:ascii="宋体" w:hAnsi="宋体" w:eastAsia="宋体" w:cs="宋体"/>
                <w:b/>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899" w:type="dxa"/>
            <w:noWrap w:val="0"/>
            <w:tcMar>
              <w:top w:w="75" w:type="dxa"/>
              <w:left w:w="150" w:type="dxa"/>
              <w:bottom w:w="75" w:type="dxa"/>
              <w:right w:w="150" w:type="dxa"/>
            </w:tcMar>
            <w:vAlign w:val="center"/>
          </w:tcPr>
          <w:p>
            <w:pPr>
              <w:keepNext w:val="0"/>
              <w:keepLines w:val="0"/>
              <w:widowControl/>
              <w:suppressLineNumbers w:val="0"/>
              <w:ind w:left="0" w:firstLine="0"/>
              <w:jc w:val="center"/>
              <w:rPr>
                <w:sz w:val="24"/>
                <w:szCs w:val="24"/>
              </w:rPr>
            </w:pPr>
            <w:r>
              <w:rPr>
                <w:rFonts w:hint="eastAsia" w:ascii="宋体" w:hAnsi="宋体" w:eastAsia="宋体" w:cs="宋体"/>
                <w:kern w:val="0"/>
                <w:sz w:val="24"/>
                <w:szCs w:val="24"/>
                <w:lang w:val="en-US" w:eastAsia="zh-CN" w:bidi="ar"/>
              </w:rPr>
              <w:t>1</w:t>
            </w:r>
          </w:p>
        </w:tc>
        <w:tc>
          <w:tcPr>
            <w:tcW w:w="4827" w:type="dxa"/>
            <w:noWrap w:val="0"/>
            <w:tcMar>
              <w:top w:w="75" w:type="dxa"/>
              <w:left w:w="150" w:type="dxa"/>
              <w:bottom w:w="75" w:type="dxa"/>
              <w:right w:w="150" w:type="dxa"/>
            </w:tcMar>
            <w:vAlign w:val="center"/>
          </w:tcPr>
          <w:p>
            <w:pPr>
              <w:keepNext w:val="0"/>
              <w:keepLines w:val="0"/>
              <w:widowControl/>
              <w:suppressLineNumbers w:val="0"/>
              <w:ind w:left="0" w:firstLine="0"/>
              <w:jc w:val="center"/>
              <w:rPr>
                <w:sz w:val="24"/>
                <w:szCs w:val="24"/>
              </w:rPr>
            </w:pPr>
            <w:r>
              <w:rPr>
                <w:rFonts w:hint="eastAsia" w:ascii="宋体" w:hAnsi="宋体" w:cs="宋体"/>
                <w:kern w:val="0"/>
                <w:sz w:val="24"/>
                <w:szCs w:val="24"/>
                <w:lang w:val="en-US" w:eastAsia="zh-CN" w:bidi="ar"/>
              </w:rPr>
              <w:t>内业检测和成果汇总</w:t>
            </w:r>
          </w:p>
        </w:tc>
        <w:tc>
          <w:tcPr>
            <w:tcW w:w="1978"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sz w:val="24"/>
                <w:szCs w:val="24"/>
                <w:lang w:val="en-US"/>
              </w:rPr>
            </w:pPr>
            <w:r>
              <w:rPr>
                <w:rFonts w:hint="eastAsia" w:ascii="仿宋_GB2312" w:hAnsi="仿宋_GB2312" w:eastAsia="仿宋_GB2312" w:cs="仿宋_GB2312"/>
                <w:b w:val="0"/>
                <w:bCs w:val="0"/>
                <w:sz w:val="24"/>
                <w:szCs w:val="24"/>
                <w:lang w:val="en-US" w:eastAsia="zh-CN"/>
              </w:rPr>
              <w:t>606</w:t>
            </w:r>
          </w:p>
        </w:tc>
        <w:tc>
          <w:tcPr>
            <w:tcW w:w="1456"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eastAsia="宋体"/>
                <w:sz w:val="24"/>
                <w:szCs w:val="24"/>
                <w:lang w:eastAsia="zh-CN"/>
              </w:rPr>
            </w:pPr>
            <w:r>
              <w:rPr>
                <w:rFonts w:hint="eastAsia"/>
                <w:sz w:val="24"/>
                <w:szCs w:val="24"/>
                <w:lang w:eastAsia="zh-CN"/>
              </w:rPr>
              <w:t>成果汇总含盐碱地</w:t>
            </w:r>
          </w:p>
        </w:tc>
      </w:tr>
    </w:tbl>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sz w:val="28"/>
          <w:szCs w:val="28"/>
          <w:lang w:val="en-US" w:eastAsia="zh-CN"/>
        </w:rPr>
      </w:pPr>
      <w:r>
        <w:rPr>
          <w:rFonts w:hint="eastAsia"/>
          <w:sz w:val="28"/>
          <w:szCs w:val="28"/>
          <w:lang w:val="en-US" w:eastAsia="zh-CN"/>
        </w:rPr>
        <w:t>二、土壤化验检测服务</w:t>
      </w:r>
    </w:p>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sz w:val="28"/>
          <w:szCs w:val="28"/>
          <w:lang w:val="en-US" w:eastAsia="zh-CN"/>
        </w:rPr>
      </w:pPr>
      <w:r>
        <w:rPr>
          <w:rFonts w:hint="eastAsia"/>
          <w:sz w:val="28"/>
          <w:szCs w:val="28"/>
          <w:lang w:val="en-US" w:eastAsia="zh-CN"/>
        </w:rPr>
        <w:t>（一）、检测指标</w:t>
      </w:r>
    </w:p>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sz w:val="28"/>
          <w:szCs w:val="28"/>
          <w:lang w:val="en-US" w:eastAsia="zh-CN"/>
        </w:rPr>
      </w:pPr>
      <w:r>
        <w:rPr>
          <w:rFonts w:hint="eastAsia"/>
          <w:sz w:val="28"/>
          <w:szCs w:val="28"/>
          <w:lang w:val="en-US" w:eastAsia="zh-CN"/>
        </w:rPr>
        <w:t>1、耕地、园地土壤样品检测指标</w:t>
      </w:r>
    </w:p>
    <w:tbl>
      <w:tblPr>
        <w:tblStyle w:val="38"/>
        <w:tblW w:w="0" w:type="auto"/>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6"/>
        <w:gridCol w:w="5490"/>
        <w:gridCol w:w="1376"/>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blHeader/>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54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检测指标</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剖面样</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表层样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土壤容重</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机械组成</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土壤水稳性大团聚体</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4</w:t>
            </w:r>
          </w:p>
        </w:tc>
        <w:tc>
          <w:tcPr>
            <w:tcW w:w="54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pH值</w:t>
            </w:r>
          </w:p>
        </w:tc>
        <w:tc>
          <w:tcPr>
            <w:tcW w:w="13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5</w:t>
            </w:r>
          </w:p>
        </w:tc>
        <w:tc>
          <w:tcPr>
            <w:tcW w:w="549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可交换性酸</w:t>
            </w:r>
          </w:p>
        </w:tc>
        <w:tc>
          <w:tcPr>
            <w:tcW w:w="137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c>
          <w:tcPr>
            <w:tcW w:w="157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6</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阳离子交换量</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7</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交换性盐基及盐基总量（交换性钙、交换性镁、交换性钠、盐基总量）</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1"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8</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水溶性盐（水溶性盐总量、电导率、水溶性钠离子、钾离子、钙离子、镁离子、碳酸根、碳酸氢根、硫酸根、氯根）</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9</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有机质</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10</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碳酸钙</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11</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全氮</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12</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全磷</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13</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全钾</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14</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全硫</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15</w:t>
            </w:r>
          </w:p>
        </w:tc>
        <w:tc>
          <w:tcPr>
            <w:tcW w:w="54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全硼</w:t>
            </w:r>
          </w:p>
        </w:tc>
        <w:tc>
          <w:tcPr>
            <w:tcW w:w="13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16</w:t>
            </w:r>
          </w:p>
        </w:tc>
        <w:tc>
          <w:tcPr>
            <w:tcW w:w="54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全硒</w:t>
            </w:r>
          </w:p>
        </w:tc>
        <w:tc>
          <w:tcPr>
            <w:tcW w:w="137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17</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全铁</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18</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全锰</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19</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全铜</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20</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全锌</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21</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全钼</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22</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全铝</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23</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全硅</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24</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全钙</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25</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全镁</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26</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有效磷</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27</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速效钾</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28</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缓效钾</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29</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有效硫</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30</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有效硅</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31</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有效铁</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32</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有效锰</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33</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有效铜</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34</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有效锌</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35</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有效硼</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36</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有效钼</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37</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游离铁</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38</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总汞</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39</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总砷</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40</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总铅</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41</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总镉</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42</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总铬</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43</w:t>
            </w: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总镍</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p>
        </w:tc>
        <w:tc>
          <w:tcPr>
            <w:tcW w:w="5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kern w:val="2"/>
                <w:sz w:val="24"/>
                <w:szCs w:val="24"/>
                <w:u w:val="none"/>
                <w:lang w:val="en-US" w:eastAsia="zh-CN" w:bidi="ar-SA"/>
              </w:rPr>
            </w:pPr>
            <w:r>
              <w:rPr>
                <w:rFonts w:hint="eastAsia" w:ascii="Arial" w:hAnsi="Arial" w:cs="Arial"/>
                <w:i w:val="0"/>
                <w:color w:val="000000"/>
                <w:kern w:val="2"/>
                <w:sz w:val="24"/>
                <w:szCs w:val="24"/>
                <w:u w:val="none"/>
                <w:lang w:val="en-US" w:eastAsia="zh-CN" w:bidi="ar-SA"/>
              </w:rPr>
              <w:t>43项</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30项</w:t>
            </w:r>
          </w:p>
        </w:tc>
      </w:tr>
    </w:tbl>
    <w:p>
      <w:pPr>
        <w:keepNext w:val="0"/>
        <w:keepLines w:val="0"/>
        <w:widowControl/>
        <w:suppressLineNumbers w:val="0"/>
        <w:jc w:val="center"/>
        <w:rPr>
          <w:rFonts w:ascii="黑体" w:hAnsi="黑体" w:eastAsia="黑体" w:cs="黑体"/>
          <w:spacing w:val="9"/>
          <w:sz w:val="31"/>
          <w:szCs w:val="31"/>
          <w:lang w:val="en-US" w:eastAsia="zh-CN"/>
        </w:rPr>
      </w:pPr>
    </w:p>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sz w:val="28"/>
          <w:szCs w:val="28"/>
          <w:lang w:val="en-US" w:eastAsia="zh-CN"/>
        </w:rPr>
      </w:pPr>
      <w:r>
        <w:rPr>
          <w:rFonts w:hint="eastAsia"/>
          <w:sz w:val="28"/>
          <w:szCs w:val="28"/>
          <w:lang w:val="en-US" w:eastAsia="zh-CN"/>
        </w:rPr>
        <w:t>2、林地草地盐碱荒地土壤样品检测指标</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3"/>
        <w:gridCol w:w="2335"/>
        <w:gridCol w:w="1423"/>
        <w:gridCol w:w="1554"/>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序号</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检测指标</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4"/>
                <w:szCs w:val="24"/>
                <w:u w:val="none"/>
                <w:lang w:val="en-US" w:eastAsia="zh-CN" w:bidi="ar"/>
              </w:rPr>
              <w:t>剖面样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4"/>
                <w:szCs w:val="24"/>
                <w:u w:val="none"/>
                <w:lang w:val="en-US" w:eastAsia="zh-CN" w:bidi="ar"/>
              </w:rPr>
              <w:t>表层样</w:t>
            </w: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i w:val="0"/>
                <w:color w:val="000000"/>
                <w:kern w:val="0"/>
                <w:sz w:val="24"/>
                <w:szCs w:val="24"/>
                <w:u w:val="none"/>
                <w:lang w:val="en-US" w:eastAsia="zh-CN" w:bidi="ar"/>
              </w:rPr>
            </w:pPr>
            <w:r>
              <w:rPr>
                <w:rFonts w:ascii="Times New Roman" w:hAnsi="Times New Roman" w:cs="Times New Roman"/>
                <w:b/>
                <w:bCs/>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土壤容重</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机械组成</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2"/>
                <w:sz w:val="24"/>
                <w:szCs w:val="24"/>
                <w:u w:val="none"/>
                <w:lang w:val="en-US" w:eastAsia="zh-CN" w:bidi="ar-SA"/>
              </w:rPr>
              <w:t>土壤水稳性大团聚体</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2"/>
                <w:sz w:val="24"/>
                <w:szCs w:val="24"/>
                <w:u w:val="none"/>
                <w:lang w:val="en-US" w:eastAsia="zh-CN" w:bidi="ar-SA"/>
              </w:rPr>
              <w:t>矿物组成</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pH值</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可交换酸度</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水解性酸度</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阳离子交换量</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交换性盐基总量</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有机质</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碳酸钙（无机碳）</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r>
              <w:rPr>
                <w:rStyle w:val="201"/>
                <w:lang w:bidi="ar"/>
              </w:rPr>
              <w:t>除铁铝土纲不测，其余都测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全氮</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13</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全磷</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14</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全钾</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15</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全铁</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16</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全硫</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17</w:t>
            </w:r>
          </w:p>
        </w:tc>
        <w:tc>
          <w:tcPr>
            <w:tcW w:w="2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有效磷</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79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18</w:t>
            </w:r>
          </w:p>
        </w:tc>
        <w:tc>
          <w:tcPr>
            <w:tcW w:w="2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速效钾</w:t>
            </w:r>
          </w:p>
        </w:tc>
        <w:tc>
          <w:tcPr>
            <w:tcW w:w="14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155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cs="Arial"/>
                <w:i w:val="0"/>
                <w:color w:val="000000"/>
                <w:kern w:val="2"/>
                <w:sz w:val="24"/>
                <w:szCs w:val="24"/>
                <w:u w:val="none"/>
                <w:lang w:val="en-US" w:eastAsia="zh-CN" w:bidi="ar-SA"/>
              </w:rPr>
              <w:t>√</w:t>
            </w:r>
          </w:p>
        </w:tc>
        <w:tc>
          <w:tcPr>
            <w:tcW w:w="24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default" w:ascii="Arial" w:hAnsi="Arial" w:cs="Arial"/>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79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cs="宋体"/>
                <w:i w:val="0"/>
                <w:color w:val="FF0000"/>
                <w:kern w:val="0"/>
                <w:sz w:val="24"/>
                <w:szCs w:val="24"/>
                <w:u w:val="none"/>
                <w:lang w:val="en-US" w:eastAsia="zh-CN" w:bidi="ar"/>
              </w:rPr>
            </w:pPr>
            <w:r>
              <w:rPr>
                <w:rFonts w:ascii="Times New Roman" w:hAnsi="Times New Roman" w:cs="Times New Roman"/>
                <w:color w:val="FF0000"/>
                <w:kern w:val="0"/>
                <w:sz w:val="22"/>
                <w:szCs w:val="22"/>
                <w:lang w:bidi="ar"/>
              </w:rPr>
              <w:t>19</w:t>
            </w:r>
          </w:p>
        </w:tc>
        <w:tc>
          <w:tcPr>
            <w:tcW w:w="2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i w:val="0"/>
                <w:color w:val="FF0000"/>
                <w:kern w:val="0"/>
                <w:sz w:val="24"/>
                <w:szCs w:val="24"/>
                <w:u w:val="none"/>
                <w:lang w:val="en-US" w:eastAsia="zh-CN" w:bidi="ar"/>
              </w:rPr>
            </w:pPr>
            <w:r>
              <w:rPr>
                <w:rFonts w:ascii="Times New Roman" w:hAnsi="Times New Roman" w:cs="Times New Roman"/>
                <w:color w:val="FF0000"/>
                <w:kern w:val="0"/>
                <w:szCs w:val="21"/>
                <w:lang w:bidi="ar"/>
              </w:rPr>
              <w:t>游离铁</w:t>
            </w:r>
          </w:p>
        </w:tc>
        <w:tc>
          <w:tcPr>
            <w:tcW w:w="14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default" w:ascii="Arial" w:hAnsi="Arial" w:cs="Arial"/>
                <w:i w:val="0"/>
                <w:color w:val="FF0000"/>
                <w:kern w:val="2"/>
                <w:sz w:val="24"/>
                <w:szCs w:val="24"/>
                <w:u w:val="none"/>
                <w:lang w:val="en-US" w:eastAsia="zh-CN" w:bidi="ar-SA"/>
              </w:rPr>
            </w:pPr>
            <w:r>
              <w:rPr>
                <w:rFonts w:ascii="Times New Roman" w:hAnsi="Times New Roman" w:cs="Times New Roman"/>
                <w:b/>
                <w:bCs/>
                <w:color w:val="FF0000"/>
                <w:kern w:val="0"/>
                <w:szCs w:val="21"/>
              </w:rPr>
              <w:t>√</w:t>
            </w:r>
          </w:p>
        </w:tc>
        <w:tc>
          <w:tcPr>
            <w:tcW w:w="155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ind w:firstLine="0" w:firstLineChars="0"/>
              <w:jc w:val="center"/>
              <w:rPr>
                <w:rFonts w:hint="default" w:ascii="Arial" w:hAnsi="Arial" w:cs="Arial"/>
                <w:i w:val="0"/>
                <w:color w:val="FF0000"/>
                <w:kern w:val="2"/>
                <w:sz w:val="24"/>
                <w:szCs w:val="24"/>
                <w:u w:val="none"/>
                <w:lang w:val="en-US" w:eastAsia="zh-CN" w:bidi="ar-SA"/>
              </w:rPr>
            </w:pPr>
          </w:p>
        </w:tc>
        <w:tc>
          <w:tcPr>
            <w:tcW w:w="24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ind w:firstLine="0" w:firstLineChars="0"/>
              <w:jc w:val="center"/>
              <w:rPr>
                <w:rFonts w:hint="default" w:ascii="Arial" w:hAnsi="Arial" w:cs="Arial"/>
                <w:i w:val="0"/>
                <w:color w:val="FF0000"/>
                <w:kern w:val="2"/>
                <w:sz w:val="24"/>
                <w:szCs w:val="24"/>
                <w:u w:val="none"/>
                <w:lang w:val="en-US" w:eastAsia="zh-CN" w:bidi="ar-SA"/>
              </w:rPr>
            </w:pPr>
            <w:r>
              <w:rPr>
                <w:rStyle w:val="206"/>
                <w:rFonts w:hint="default" w:ascii="Times New Roman" w:hAnsi="Times New Roman" w:cs="Times New Roman"/>
                <w:color w:val="FF0000"/>
                <w:lang w:bidi="ar"/>
              </w:rPr>
              <w:t>仅测定铁铝土纲和淋溶土纲的土样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79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i w:val="0"/>
                <w:color w:val="FF0000"/>
                <w:kern w:val="0"/>
                <w:sz w:val="24"/>
                <w:szCs w:val="24"/>
                <w:u w:val="none"/>
                <w:lang w:val="en-US" w:eastAsia="zh-CN" w:bidi="ar"/>
              </w:rPr>
            </w:pPr>
          </w:p>
        </w:tc>
        <w:tc>
          <w:tcPr>
            <w:tcW w:w="23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总计</w:t>
            </w:r>
          </w:p>
        </w:tc>
        <w:tc>
          <w:tcPr>
            <w:tcW w:w="142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19项</w:t>
            </w:r>
          </w:p>
        </w:tc>
        <w:tc>
          <w:tcPr>
            <w:tcW w:w="155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i w:val="0"/>
                <w:color w:val="FF0000"/>
                <w:kern w:val="0"/>
                <w:sz w:val="24"/>
                <w:szCs w:val="24"/>
                <w:u w:val="none"/>
                <w:lang w:val="en-US" w:eastAsia="zh-CN" w:bidi="ar"/>
              </w:rPr>
            </w:pPr>
            <w:r>
              <w:rPr>
                <w:rFonts w:hint="eastAsia" w:ascii="Arial" w:hAnsi="Arial" w:cs="Arial"/>
                <w:i w:val="0"/>
                <w:color w:val="FF0000"/>
                <w:kern w:val="2"/>
                <w:sz w:val="24"/>
                <w:szCs w:val="24"/>
                <w:u w:val="none"/>
                <w:lang w:val="en-US" w:eastAsia="zh-CN" w:bidi="ar-SA"/>
              </w:rPr>
              <w:t>13项</w:t>
            </w:r>
          </w:p>
        </w:tc>
        <w:tc>
          <w:tcPr>
            <w:tcW w:w="247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Arial" w:hAnsi="Arial" w:cs="Arial"/>
                <w:i w:val="0"/>
                <w:color w:val="FF0000"/>
                <w:kern w:val="2"/>
                <w:sz w:val="24"/>
                <w:szCs w:val="24"/>
                <w:u w:val="none"/>
                <w:lang w:val="en-US" w:eastAsia="zh-CN" w:bidi="ar-SA"/>
              </w:rPr>
            </w:pPr>
          </w:p>
        </w:tc>
      </w:tr>
    </w:tbl>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sz w:val="28"/>
          <w:szCs w:val="28"/>
          <w:lang w:val="en-US" w:eastAsia="zh-CN"/>
        </w:rPr>
      </w:pPr>
      <w:r>
        <w:rPr>
          <w:rFonts w:hint="eastAsia"/>
          <w:sz w:val="28"/>
          <w:szCs w:val="28"/>
          <w:lang w:val="en-US" w:eastAsia="zh-CN"/>
        </w:rPr>
        <w:t>3、增加的检测指标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pPr>
      <w:r>
        <w:rPr>
          <w:rFonts w:hint="eastAsia" w:ascii="宋体" w:hAnsi="宋体" w:eastAsia="宋体" w:cs="宋体"/>
          <w:i w:val="0"/>
          <w:color w:val="000000"/>
          <w:kern w:val="0"/>
          <w:sz w:val="24"/>
          <w:szCs w:val="24"/>
          <w:u w:val="none"/>
          <w:lang w:val="en-US" w:eastAsia="zh-CN" w:bidi="ar"/>
        </w:rPr>
        <w:t>根据全国土壤普查办工作要求，第三次全国土壤普查工作全面铺开后的耕地园地剖面样和表层样需要加测全硒；林地草地剖面样和表层样需要加测水溶性盐总量和电导率，若水溶性盐总量大于等于1.0g／kg时，需要加测8大离子（水溶性钠离子、钾离子、钙离子、镁离子、碳酸根、碳酸氢根、硫酸根、氯根）。</w:t>
      </w:r>
    </w:p>
    <w:p>
      <w:pPr>
        <w:tabs>
          <w:tab w:val="left" w:pos="691"/>
        </w:tabs>
        <w:bidi w:val="0"/>
        <w:jc w:val="left"/>
        <w:rPr>
          <w:rFonts w:ascii="Times New Roman" w:hAnsi="Times New Roman" w:eastAsia="宋体" w:cs="Times New Roman"/>
          <w:kern w:val="2"/>
          <w:sz w:val="21"/>
          <w:szCs w:val="24"/>
          <w:lang w:val="en-US" w:eastAsia="zh-CN" w:bidi="ar-SA"/>
        </w:rPr>
        <w:sectPr>
          <w:footerReference r:id="rId6" w:type="default"/>
          <w:pgSz w:w="11906" w:h="16838"/>
          <w:pgMar w:top="1440" w:right="1800" w:bottom="1440" w:left="1800" w:header="851" w:footer="992" w:gutter="0"/>
          <w:cols w:space="720" w:num="1"/>
          <w:docGrid w:type="lines" w:linePitch="312" w:charSpace="0"/>
        </w:sectPr>
      </w:pPr>
      <w:r>
        <w:rPr>
          <w:rFonts w:hint="eastAsia" w:cs="Times New Roman"/>
          <w:kern w:val="2"/>
          <w:sz w:val="21"/>
          <w:szCs w:val="24"/>
          <w:lang w:val="en-US" w:eastAsia="zh-CN" w:bidi="ar-SA"/>
        </w:rPr>
        <w:tab/>
      </w:r>
    </w:p>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sz w:val="28"/>
          <w:szCs w:val="28"/>
          <w:lang w:val="en-US" w:eastAsia="zh-CN"/>
        </w:rPr>
      </w:pPr>
      <w:r>
        <w:rPr>
          <w:rFonts w:hint="eastAsia"/>
          <w:sz w:val="28"/>
          <w:szCs w:val="28"/>
          <w:lang w:val="en-US" w:eastAsia="zh-CN"/>
        </w:rPr>
        <w:t>（二）样品指标检测方法</w:t>
      </w:r>
    </w:p>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sz w:val="28"/>
          <w:szCs w:val="28"/>
          <w:lang w:val="en-US" w:eastAsia="zh-CN"/>
        </w:rPr>
      </w:pPr>
      <w:r>
        <w:rPr>
          <w:rFonts w:hint="eastAsia"/>
          <w:sz w:val="28"/>
          <w:szCs w:val="28"/>
          <w:lang w:val="en-US" w:eastAsia="zh-CN"/>
        </w:rPr>
        <w:t>1、耕地园地土壤理化性状检测指标及方法</w:t>
      </w:r>
    </w:p>
    <w:p>
      <w:pPr>
        <w:pStyle w:val="56"/>
        <w:rPr>
          <w:rFonts w:hint="eastAsia"/>
          <w:lang w:val="en-US" w:eastAsia="zh-CN"/>
        </w:rPr>
      </w:pPr>
    </w:p>
    <w:tbl>
      <w:tblPr>
        <w:tblStyle w:val="38"/>
        <w:tblW w:w="0" w:type="auto"/>
        <w:tblInd w:w="0" w:type="dxa"/>
        <w:tblLayout w:type="fixed"/>
        <w:tblCellMar>
          <w:top w:w="0" w:type="dxa"/>
          <w:left w:w="108" w:type="dxa"/>
          <w:bottom w:w="0" w:type="dxa"/>
          <w:right w:w="108" w:type="dxa"/>
        </w:tblCellMar>
      </w:tblPr>
      <w:tblGrid>
        <w:gridCol w:w="1139"/>
        <w:gridCol w:w="2117"/>
        <w:gridCol w:w="4569"/>
        <w:gridCol w:w="6555"/>
      </w:tblGrid>
      <w:tr>
        <w:tblPrEx>
          <w:tblCellMar>
            <w:top w:w="0" w:type="dxa"/>
            <w:left w:w="108" w:type="dxa"/>
            <w:bottom w:w="0" w:type="dxa"/>
            <w:right w:w="108" w:type="dxa"/>
          </w:tblCellMar>
        </w:tblPrEx>
        <w:trPr>
          <w:trHeight w:val="312" w:hRule="exact"/>
          <w:tblHeader/>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s="Times New Roman"/>
                <w:bCs/>
                <w:szCs w:val="21"/>
              </w:rPr>
            </w:pPr>
            <w:r>
              <w:rPr>
                <w:rFonts w:hint="default" w:ascii="Times New Roman" w:hAnsi="Times New Roman" w:eastAsia="宋体" w:cs="Times New Roman"/>
                <w:bCs/>
                <w:kern w:val="0"/>
                <w:szCs w:val="21"/>
                <w:lang w:bidi="ar"/>
              </w:rPr>
              <w:t>序号</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s="Times New Roman"/>
                <w:bCs/>
                <w:szCs w:val="21"/>
              </w:rPr>
            </w:pPr>
            <w:r>
              <w:rPr>
                <w:rFonts w:hint="default" w:ascii="Times New Roman" w:hAnsi="Times New Roman" w:eastAsia="宋体" w:cs="Times New Roman"/>
                <w:bCs/>
                <w:kern w:val="0"/>
                <w:szCs w:val="21"/>
                <w:lang w:bidi="ar"/>
              </w:rPr>
              <w:t>指标</w:t>
            </w:r>
          </w:p>
        </w:tc>
        <w:tc>
          <w:tcPr>
            <w:tcW w:w="45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s="Times New Roman"/>
                <w:bCs/>
                <w:szCs w:val="21"/>
              </w:rPr>
            </w:pPr>
            <w:r>
              <w:rPr>
                <w:rFonts w:hint="default" w:ascii="Times New Roman" w:hAnsi="Times New Roman" w:eastAsia="宋体" w:cs="Times New Roman"/>
                <w:bCs/>
                <w:kern w:val="0"/>
                <w:szCs w:val="21"/>
                <w:lang w:bidi="ar"/>
              </w:rPr>
              <w:t>方法</w:t>
            </w:r>
          </w:p>
        </w:tc>
        <w:tc>
          <w:tcPr>
            <w:tcW w:w="6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s="Times New Roman"/>
                <w:bCs/>
                <w:szCs w:val="21"/>
              </w:rPr>
            </w:pPr>
            <w:r>
              <w:rPr>
                <w:rFonts w:hint="default" w:ascii="Times New Roman" w:hAnsi="Times New Roman" w:eastAsia="宋体" w:cs="Times New Roman"/>
                <w:bCs/>
                <w:kern w:val="0"/>
                <w:szCs w:val="21"/>
                <w:lang w:bidi="ar"/>
              </w:rPr>
              <w:t>标准或规范</w:t>
            </w:r>
          </w:p>
        </w:tc>
      </w:tr>
      <w:tr>
        <w:tblPrEx>
          <w:tblCellMar>
            <w:top w:w="0" w:type="dxa"/>
            <w:left w:w="108" w:type="dxa"/>
            <w:bottom w:w="0" w:type="dxa"/>
            <w:right w:w="108" w:type="dxa"/>
          </w:tblCellMar>
        </w:tblPrEx>
        <w:trPr>
          <w:trHeight w:val="312" w:hRule="atLeast"/>
          <w:tblHeader/>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s="Times New Roman"/>
                <w:b/>
                <w:bCs/>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s="Times New Roman"/>
                <w:b/>
                <w:bCs/>
                <w:szCs w:val="21"/>
              </w:rPr>
            </w:pPr>
          </w:p>
        </w:tc>
        <w:tc>
          <w:tcPr>
            <w:tcW w:w="45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s="Times New Roman"/>
                <w:b/>
                <w:bCs/>
                <w:szCs w:val="21"/>
              </w:rPr>
            </w:pPr>
          </w:p>
        </w:tc>
        <w:tc>
          <w:tcPr>
            <w:tcW w:w="6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s="Times New Roman"/>
                <w:b/>
                <w:bCs/>
                <w:szCs w:val="21"/>
              </w:rPr>
            </w:pP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土壤容重</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1-1  </w:t>
            </w:r>
            <w:r>
              <w:rPr>
                <w:rFonts w:hint="default" w:ascii="Times New Roman" w:hAnsi="Times New Roman" w:eastAsia="宋体"/>
                <w:kern w:val="0"/>
                <w:szCs w:val="21"/>
                <w:lang w:bidi="ar"/>
              </w:rPr>
              <w:t>环刀法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4</w:t>
            </w:r>
            <w:r>
              <w:rPr>
                <w:rFonts w:hint="default" w:ascii="Times New Roman" w:hAnsi="Times New Roman" w:eastAsia="宋体"/>
                <w:kern w:val="0"/>
                <w:szCs w:val="21"/>
                <w:lang w:bidi="ar"/>
              </w:rPr>
              <w:t>部分：土壤容重的测定》（</w:t>
            </w:r>
            <w:r>
              <w:rPr>
                <w:rFonts w:ascii="Times New Roman" w:hAnsi="Times New Roman" w:eastAsia="宋体"/>
                <w:kern w:val="0"/>
                <w:szCs w:val="21"/>
                <w:lang w:bidi="ar"/>
              </w:rPr>
              <w:t>NY/T 1121.4</w:t>
            </w:r>
            <w:r>
              <w:rPr>
                <w:rFonts w:hint="default" w:ascii="Times New Roman" w:hAnsi="Times New Roman" w:eastAsia="宋体"/>
                <w:kern w:val="0"/>
                <w:szCs w:val="21"/>
                <w:lang w:bidi="ar"/>
              </w:rPr>
              <w:t>－</w:t>
            </w:r>
            <w:r>
              <w:rPr>
                <w:rFonts w:ascii="Times New Roman" w:hAnsi="Times New Roman" w:eastAsia="宋体"/>
                <w:kern w:val="0"/>
                <w:szCs w:val="21"/>
                <w:lang w:bidi="ar"/>
              </w:rPr>
              <w:t>2006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机械组成</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2-1  </w:t>
            </w:r>
            <w:r>
              <w:rPr>
                <w:rFonts w:hint="default" w:ascii="Times New Roman" w:hAnsi="Times New Roman" w:eastAsia="宋体"/>
                <w:kern w:val="0"/>
                <w:szCs w:val="21"/>
                <w:lang w:bidi="ar"/>
              </w:rPr>
              <w:t>吸管法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5.1</w:t>
            </w:r>
            <w:r>
              <w:rPr>
                <w:rFonts w:hint="default" w:ascii="Times New Roman" w:hAnsi="Times New Roman" w:eastAsia="宋体"/>
                <w:kern w:val="0"/>
                <w:szCs w:val="21"/>
                <w:lang w:bidi="ar"/>
              </w:rPr>
              <w:t>吸管法</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2-2  </w:t>
            </w:r>
            <w:r>
              <w:rPr>
                <w:rFonts w:hint="default" w:ascii="Times New Roman" w:hAnsi="Times New Roman" w:eastAsia="宋体"/>
                <w:kern w:val="0"/>
                <w:szCs w:val="21"/>
                <w:lang w:bidi="ar"/>
              </w:rPr>
              <w:t>比重计法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5.2</w:t>
            </w:r>
            <w:r>
              <w:rPr>
                <w:rFonts w:hint="default" w:ascii="Times New Roman" w:hAnsi="Times New Roman" w:eastAsia="宋体"/>
                <w:kern w:val="0"/>
                <w:szCs w:val="21"/>
                <w:lang w:bidi="ar"/>
              </w:rPr>
              <w:t>比重计法</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土壤水稳性大团聚体</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3-1  </w:t>
            </w:r>
            <w:r>
              <w:rPr>
                <w:rFonts w:hint="default" w:ascii="Times New Roman" w:hAnsi="Times New Roman" w:eastAsia="宋体"/>
                <w:kern w:val="0"/>
                <w:szCs w:val="21"/>
                <w:lang w:bidi="ar"/>
              </w:rPr>
              <w:t>人工筛分法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19</w:t>
            </w:r>
            <w:r>
              <w:rPr>
                <w:rFonts w:hint="default" w:ascii="Times New Roman" w:hAnsi="Times New Roman" w:eastAsia="宋体"/>
                <w:kern w:val="0"/>
                <w:szCs w:val="21"/>
                <w:lang w:bidi="ar"/>
              </w:rPr>
              <w:t>部分：土壤水稳性大团聚体组成的测定》（</w:t>
            </w:r>
            <w:r>
              <w:rPr>
                <w:rFonts w:ascii="Times New Roman" w:hAnsi="Times New Roman" w:eastAsia="宋体"/>
                <w:kern w:val="0"/>
                <w:szCs w:val="21"/>
                <w:lang w:bidi="ar"/>
              </w:rPr>
              <w:t>NY/T 1121.19</w:t>
            </w:r>
            <w:r>
              <w:rPr>
                <w:rFonts w:hint="default" w:ascii="Times New Roman" w:hAnsi="Times New Roman" w:eastAsia="宋体"/>
                <w:kern w:val="0"/>
                <w:szCs w:val="21"/>
                <w:lang w:bidi="ar"/>
              </w:rPr>
              <w:t>－</w:t>
            </w:r>
            <w:r>
              <w:rPr>
                <w:rFonts w:ascii="Times New Roman" w:hAnsi="Times New Roman" w:eastAsia="宋体"/>
                <w:kern w:val="0"/>
                <w:szCs w:val="21"/>
                <w:lang w:bidi="ar"/>
              </w:rPr>
              <w:t>2008</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4</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土壤田间持水量</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4-1  </w:t>
            </w:r>
            <w:r>
              <w:rPr>
                <w:rFonts w:hint="default" w:ascii="Times New Roman" w:hAnsi="Times New Roman" w:eastAsia="宋体"/>
                <w:kern w:val="0"/>
                <w:szCs w:val="21"/>
                <w:lang w:bidi="ar"/>
              </w:rPr>
              <w:t>压力膜（板）法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22</w:t>
            </w:r>
            <w:r>
              <w:rPr>
                <w:rFonts w:hint="default" w:ascii="Times New Roman" w:hAnsi="Times New Roman" w:eastAsia="宋体"/>
                <w:kern w:val="0"/>
                <w:szCs w:val="21"/>
                <w:lang w:bidi="ar"/>
              </w:rPr>
              <w:t>部分：土壤田间持水量的测定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环刀法》（</w:t>
            </w:r>
            <w:r>
              <w:rPr>
                <w:rFonts w:ascii="Times New Roman" w:hAnsi="Times New Roman" w:eastAsia="宋体"/>
                <w:kern w:val="0"/>
                <w:szCs w:val="21"/>
                <w:lang w:bidi="ar"/>
              </w:rPr>
              <w:t>NY/T 1121.22</w:t>
            </w:r>
            <w:r>
              <w:rPr>
                <w:rFonts w:hint="default" w:ascii="Times New Roman" w:hAnsi="Times New Roman" w:eastAsia="宋体"/>
                <w:kern w:val="0"/>
                <w:szCs w:val="21"/>
                <w:lang w:bidi="ar"/>
              </w:rPr>
              <w:t>－</w:t>
            </w:r>
            <w:r>
              <w:rPr>
                <w:rFonts w:ascii="Times New Roman" w:hAnsi="Times New Roman" w:eastAsia="宋体"/>
                <w:kern w:val="0"/>
                <w:szCs w:val="21"/>
                <w:lang w:bidi="ar"/>
              </w:rPr>
              <w:t>2010</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kern w:val="0"/>
                <w:szCs w:val="21"/>
                <w:lang w:bidi="ar"/>
              </w:rPr>
            </w:pPr>
            <w:r>
              <w:rPr>
                <w:rFonts w:ascii="Times New Roman" w:hAnsi="Times New Roman" w:eastAsia="宋体"/>
                <w:kern w:val="0"/>
                <w:szCs w:val="21"/>
                <w:lang w:bidi="ar"/>
              </w:rPr>
              <w:t>5</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kern w:val="0"/>
                <w:szCs w:val="21"/>
                <w:lang w:bidi="ar"/>
              </w:rPr>
            </w:pPr>
            <w:r>
              <w:rPr>
                <w:rFonts w:hint="default" w:ascii="Times New Roman" w:hAnsi="Times New Roman" w:eastAsia="宋体"/>
                <w:kern w:val="0"/>
                <w:szCs w:val="21"/>
                <w:lang w:bidi="ar"/>
              </w:rPr>
              <w:t>凋萎系数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kern w:val="0"/>
                <w:szCs w:val="21"/>
                <w:lang w:bidi="ar"/>
              </w:rPr>
            </w:pPr>
            <w:r>
              <w:rPr>
                <w:rFonts w:ascii="Times New Roman" w:hAnsi="Times New Roman" w:eastAsia="宋体"/>
                <w:kern w:val="0"/>
                <w:szCs w:val="21"/>
                <w:lang w:bidi="ar"/>
              </w:rPr>
              <w:t xml:space="preserve">5-1 </w:t>
            </w:r>
            <w:r>
              <w:rPr>
                <w:rFonts w:hint="eastAsia" w:ascii="Times New Roman" w:hAnsi="Times New Roman" w:eastAsia="宋体"/>
                <w:kern w:val="0"/>
                <w:szCs w:val="21"/>
                <w:lang w:val="en-US" w:eastAsia="zh-CN" w:bidi="ar"/>
              </w:rPr>
              <w:t xml:space="preserve"> </w:t>
            </w:r>
            <w:r>
              <w:rPr>
                <w:rFonts w:hint="eastAsia" w:ascii="Times New Roman" w:hAnsi="Times New Roman" w:eastAsia="宋体"/>
                <w:kern w:val="0"/>
                <w:szCs w:val="21"/>
                <w:lang w:bidi="ar"/>
              </w:rPr>
              <w:t>压力膜（板）法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kern w:val="0"/>
                <w:szCs w:val="21"/>
                <w:lang w:bidi="ar"/>
              </w:rPr>
            </w:pPr>
            <w:r>
              <w:rPr>
                <w:rFonts w:hint="default" w:ascii="Times New Roman" w:hAnsi="Times New Roman" w:eastAsia="宋体"/>
                <w:kern w:val="0"/>
                <w:szCs w:val="21"/>
                <w:lang w:bidi="ar"/>
              </w:rPr>
              <w:t>《土壤凋萎系数的测定》</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6</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矿物组成</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6-1  X-</w:t>
            </w:r>
            <w:r>
              <w:rPr>
                <w:rFonts w:hint="default" w:ascii="Times New Roman" w:hAnsi="Times New Roman" w:eastAsia="宋体"/>
                <w:kern w:val="0"/>
                <w:szCs w:val="21"/>
                <w:lang w:bidi="ar"/>
              </w:rPr>
              <w:t>射线衍射仪</w:t>
            </w:r>
            <w:r>
              <w:rPr>
                <w:rFonts w:ascii="Times New Roman" w:hAnsi="Times New Roman" w:eastAsia="宋体"/>
                <w:kern w:val="0"/>
                <w:szCs w:val="21"/>
                <w:lang w:bidi="ar"/>
              </w:rPr>
              <w:t>XRD</w:t>
            </w:r>
            <w:r>
              <w:rPr>
                <w:rFonts w:hint="default" w:ascii="Times New Roman" w:hAnsi="Times New Roman" w:eastAsia="宋体"/>
                <w:kern w:val="0"/>
                <w:szCs w:val="21"/>
                <w:lang w:bidi="ar"/>
              </w:rPr>
              <w:t>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《土壤矿物测定</w:t>
            </w:r>
            <w:r>
              <w:rPr>
                <w:rFonts w:ascii="Times New Roman" w:hAnsi="Times New Roman" w:eastAsia="宋体"/>
                <w:kern w:val="0"/>
                <w:szCs w:val="21"/>
                <w:lang w:bidi="ar"/>
              </w:rPr>
              <w:t xml:space="preserve"> X</w:t>
            </w:r>
            <w:r>
              <w:rPr>
                <w:rFonts w:hint="default" w:ascii="Times New Roman" w:hAnsi="Times New Roman" w:eastAsia="宋体"/>
                <w:kern w:val="0"/>
                <w:szCs w:val="21"/>
                <w:lang w:bidi="ar"/>
              </w:rPr>
              <w:t>射线衍射法》</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7</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pH</w:t>
            </w:r>
            <w:r>
              <w:rPr>
                <w:rFonts w:ascii="Times New Roman" w:hAnsi="Times New Roman" w:eastAsia="宋体"/>
                <w:szCs w:val="21"/>
              </w:rPr>
              <w:t xml:space="preserve"> </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7-1  </w:t>
            </w:r>
            <w:r>
              <w:rPr>
                <w:rFonts w:hint="default" w:ascii="Times New Roman" w:hAnsi="Times New Roman" w:eastAsia="宋体"/>
                <w:kern w:val="0"/>
                <w:szCs w:val="21"/>
                <w:lang w:bidi="ar"/>
              </w:rPr>
              <w:t>电位法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2</w:t>
            </w:r>
            <w:r>
              <w:rPr>
                <w:rFonts w:hint="default" w:ascii="Times New Roman" w:hAnsi="Times New Roman" w:eastAsia="宋体"/>
                <w:kern w:val="0"/>
                <w:szCs w:val="21"/>
                <w:lang w:bidi="ar"/>
              </w:rPr>
              <w:t>部分：土壤</w:t>
            </w:r>
            <w:r>
              <w:rPr>
                <w:rFonts w:ascii="Times New Roman" w:hAnsi="Times New Roman" w:eastAsia="宋体"/>
                <w:kern w:val="0"/>
                <w:szCs w:val="21"/>
                <w:lang w:bidi="ar"/>
              </w:rPr>
              <w:t>pH</w:t>
            </w:r>
            <w:r>
              <w:rPr>
                <w:rFonts w:hint="default" w:ascii="Times New Roman" w:hAnsi="Times New Roman" w:eastAsia="宋体"/>
                <w:kern w:val="0"/>
                <w:szCs w:val="21"/>
                <w:lang w:bidi="ar"/>
              </w:rPr>
              <w:t>的测定》（</w:t>
            </w:r>
            <w:r>
              <w:rPr>
                <w:rFonts w:ascii="Times New Roman" w:hAnsi="Times New Roman" w:eastAsia="宋体"/>
                <w:kern w:val="0"/>
                <w:szCs w:val="21"/>
                <w:lang w:bidi="ar"/>
              </w:rPr>
              <w:t>NY/T 1121.2</w:t>
            </w:r>
            <w:r>
              <w:rPr>
                <w:rFonts w:hint="default" w:ascii="Times New Roman" w:hAnsi="Times New Roman" w:eastAsia="宋体"/>
                <w:kern w:val="0"/>
                <w:szCs w:val="21"/>
                <w:lang w:bidi="ar"/>
              </w:rPr>
              <w:t>－</w:t>
            </w:r>
            <w:r>
              <w:rPr>
                <w:rFonts w:ascii="Times New Roman" w:hAnsi="Times New Roman" w:eastAsia="宋体"/>
                <w:kern w:val="0"/>
                <w:szCs w:val="21"/>
                <w:lang w:bidi="ar"/>
              </w:rPr>
              <w:t>2006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8</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可交换酸度</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8-1  </w:t>
            </w:r>
            <w:r>
              <w:rPr>
                <w:rFonts w:hint="default" w:ascii="Times New Roman" w:hAnsi="Times New Roman" w:eastAsia="宋体"/>
                <w:kern w:val="0"/>
                <w:szCs w:val="21"/>
                <w:lang w:bidi="ar"/>
              </w:rPr>
              <w:t>氯化钾交换－中和滴定法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11.2</w:t>
            </w:r>
            <w:r>
              <w:rPr>
                <w:rFonts w:hint="default" w:ascii="Times New Roman" w:hAnsi="Times New Roman" w:eastAsia="宋体"/>
                <w:kern w:val="0"/>
                <w:szCs w:val="21"/>
                <w:lang w:bidi="ar"/>
              </w:rPr>
              <w:t>土壤交换性酸的测定</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9</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阳离子交换量</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9-1  </w:t>
            </w:r>
            <w:r>
              <w:rPr>
                <w:rFonts w:hint="default" w:ascii="Times New Roman" w:hAnsi="Times New Roman" w:eastAsia="宋体"/>
                <w:kern w:val="0"/>
                <w:szCs w:val="21"/>
                <w:lang w:bidi="ar"/>
              </w:rPr>
              <w:t>乙酸铵交换－容量法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《中性土壤阳离子交换量和交换性盐基的测定》（</w:t>
            </w:r>
            <w:r>
              <w:rPr>
                <w:rFonts w:ascii="Times New Roman" w:hAnsi="Times New Roman" w:eastAsia="宋体"/>
                <w:kern w:val="0"/>
                <w:szCs w:val="21"/>
                <w:lang w:bidi="ar"/>
              </w:rPr>
              <w:t>NY/T 295</w:t>
            </w:r>
            <w:r>
              <w:rPr>
                <w:rFonts w:hint="default" w:ascii="Times New Roman" w:hAnsi="Times New Roman" w:eastAsia="宋体"/>
                <w:kern w:val="0"/>
                <w:szCs w:val="21"/>
                <w:lang w:bidi="ar"/>
              </w:rPr>
              <w:t>－</w:t>
            </w:r>
            <w:r>
              <w:rPr>
                <w:rFonts w:ascii="Times New Roman" w:hAnsi="Times New Roman" w:eastAsia="宋体"/>
                <w:kern w:val="0"/>
                <w:szCs w:val="21"/>
                <w:lang w:bidi="ar"/>
              </w:rPr>
              <w:t>1995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9-2  </w:t>
            </w:r>
            <w:r>
              <w:rPr>
                <w:rFonts w:hint="default" w:ascii="Times New Roman" w:hAnsi="Times New Roman" w:eastAsia="宋体"/>
                <w:kern w:val="0"/>
                <w:szCs w:val="21"/>
                <w:lang w:bidi="ar"/>
              </w:rPr>
              <w:t>乙酸钙交换－容量法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5</w:t>
            </w:r>
            <w:r>
              <w:rPr>
                <w:rFonts w:hint="default" w:ascii="Times New Roman" w:hAnsi="Times New Roman" w:eastAsia="宋体"/>
                <w:kern w:val="0"/>
                <w:szCs w:val="21"/>
                <w:lang w:bidi="ar"/>
              </w:rPr>
              <w:t>部分：石灰性土壤阳离子交换量的测定》（</w:t>
            </w:r>
            <w:r>
              <w:rPr>
                <w:rFonts w:ascii="Times New Roman" w:hAnsi="Times New Roman" w:eastAsia="宋体"/>
                <w:kern w:val="0"/>
                <w:szCs w:val="21"/>
                <w:lang w:bidi="ar"/>
              </w:rPr>
              <w:t>NY/T 1121.5</w:t>
            </w:r>
            <w:r>
              <w:rPr>
                <w:rFonts w:hint="default" w:ascii="Times New Roman" w:hAnsi="Times New Roman" w:eastAsia="宋体"/>
                <w:kern w:val="0"/>
                <w:szCs w:val="21"/>
                <w:lang w:bidi="ar"/>
              </w:rPr>
              <w:t>－</w:t>
            </w:r>
            <w:r>
              <w:rPr>
                <w:rFonts w:ascii="Times New Roman" w:hAnsi="Times New Roman" w:eastAsia="宋体"/>
                <w:kern w:val="0"/>
                <w:szCs w:val="21"/>
                <w:lang w:bidi="ar"/>
              </w:rPr>
              <w:t>2006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10</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交换性盐基及盐基总量（交换性钙、交换性镁、交换性钠、交换性钾、盐基总量）</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10-1  </w:t>
            </w:r>
            <w:r>
              <w:rPr>
                <w:rFonts w:hint="default" w:ascii="Times New Roman" w:hAnsi="Times New Roman" w:eastAsia="宋体"/>
                <w:kern w:val="0"/>
                <w:szCs w:val="21"/>
                <w:lang w:bidi="ar"/>
              </w:rPr>
              <w:t>乙酸铵交换－中和滴定法</w:t>
            </w:r>
            <w:r>
              <w:rPr>
                <w:rFonts w:ascii="Times New Roman" w:hAnsi="Times New Roman" w:eastAsia="宋体"/>
                <w:kern w:val="0"/>
                <w:szCs w:val="21"/>
                <w:lang w:bidi="ar"/>
              </w:rPr>
              <w:t>/EDTA</w:t>
            </w:r>
            <w:r>
              <w:rPr>
                <w:rFonts w:hint="default" w:ascii="Times New Roman" w:hAnsi="Times New Roman" w:eastAsia="宋体"/>
                <w:kern w:val="0"/>
                <w:szCs w:val="21"/>
                <w:lang w:bidi="ar"/>
              </w:rPr>
              <w:t>络合滴定法</w:t>
            </w:r>
            <w:r>
              <w:rPr>
                <w:rFonts w:ascii="Times New Roman" w:hAnsi="Times New Roman" w:eastAsia="宋体"/>
                <w:kern w:val="0"/>
                <w:szCs w:val="21"/>
                <w:lang w:bidi="ar"/>
              </w:rPr>
              <w:t>/</w:t>
            </w:r>
            <w:r>
              <w:rPr>
                <w:rFonts w:hint="default" w:ascii="Times New Roman" w:hAnsi="Times New Roman" w:eastAsia="宋体"/>
                <w:kern w:val="0"/>
                <w:szCs w:val="21"/>
                <w:lang w:bidi="ar"/>
              </w:rPr>
              <w:t>原子吸收分光光度法</w:t>
            </w:r>
            <w:r>
              <w:rPr>
                <w:rFonts w:ascii="Times New Roman" w:hAnsi="Times New Roman" w:eastAsia="宋体"/>
                <w:kern w:val="0"/>
                <w:szCs w:val="21"/>
                <w:lang w:bidi="ar"/>
              </w:rPr>
              <w:t>/</w:t>
            </w:r>
            <w:r>
              <w:rPr>
                <w:rFonts w:hint="default" w:ascii="Times New Roman" w:hAnsi="Times New Roman" w:eastAsia="宋体"/>
                <w:kern w:val="0"/>
                <w:szCs w:val="21"/>
                <w:lang w:bidi="ar"/>
              </w:rPr>
              <w:t>火焰光度法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13.1</w:t>
            </w:r>
            <w:r>
              <w:rPr>
                <w:rFonts w:hint="default" w:ascii="Times New Roman" w:hAnsi="Times New Roman" w:eastAsia="宋体"/>
                <w:kern w:val="0"/>
                <w:szCs w:val="21"/>
                <w:lang w:bidi="ar"/>
              </w:rPr>
              <w:t>酸性和中性土壤交换性盐基组成的测定（乙酸铵交换法）</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10-2  </w:t>
            </w:r>
            <w:r>
              <w:rPr>
                <w:rFonts w:hint="default" w:ascii="Times New Roman" w:hAnsi="Times New Roman" w:eastAsia="宋体"/>
                <w:kern w:val="0"/>
                <w:szCs w:val="21"/>
                <w:lang w:bidi="ar"/>
              </w:rPr>
              <w:t>氯化铵－乙醇交换－原子吸收分光光度法</w:t>
            </w:r>
            <w:r>
              <w:rPr>
                <w:rFonts w:ascii="Times New Roman" w:hAnsi="Times New Roman" w:eastAsia="宋体"/>
                <w:kern w:val="0"/>
                <w:szCs w:val="21"/>
                <w:lang w:bidi="ar"/>
              </w:rPr>
              <w:t>/</w:t>
            </w:r>
            <w:r>
              <w:rPr>
                <w:rFonts w:hint="default" w:ascii="Times New Roman" w:hAnsi="Times New Roman" w:eastAsia="宋体"/>
                <w:kern w:val="0"/>
                <w:szCs w:val="21"/>
                <w:lang w:bidi="ar"/>
              </w:rPr>
              <w:t>火焰光度法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《石灰性土壤交换性盐基及盐基总量的测定》（</w:t>
            </w:r>
            <w:r>
              <w:rPr>
                <w:rFonts w:ascii="Times New Roman" w:hAnsi="Times New Roman" w:eastAsia="宋体"/>
                <w:kern w:val="0"/>
                <w:szCs w:val="21"/>
                <w:lang w:bidi="ar"/>
              </w:rPr>
              <w:t>NY/T 1615</w:t>
            </w:r>
            <w:r>
              <w:rPr>
                <w:rFonts w:hint="default" w:ascii="Times New Roman" w:hAnsi="Times New Roman" w:eastAsia="宋体"/>
                <w:kern w:val="0"/>
                <w:szCs w:val="21"/>
                <w:lang w:bidi="ar"/>
              </w:rPr>
              <w:t>－</w:t>
            </w:r>
            <w:r>
              <w:rPr>
                <w:rFonts w:ascii="Times New Roman" w:hAnsi="Times New Roman" w:eastAsia="宋体"/>
                <w:kern w:val="0"/>
                <w:szCs w:val="21"/>
                <w:lang w:bidi="ar"/>
              </w:rPr>
              <w:t>2008</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11</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水溶性盐（水溶性盐总量、电导率、水溶性钠离子、钾离子、钙离子、镁离子、碳酸根、碳酸氢根、硫酸根、氯根）</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11-1  </w:t>
            </w:r>
            <w:r>
              <w:rPr>
                <w:rFonts w:hint="default" w:ascii="Times New Roman" w:hAnsi="Times New Roman" w:eastAsia="宋体"/>
                <w:kern w:val="0"/>
                <w:szCs w:val="21"/>
                <w:lang w:bidi="ar"/>
              </w:rPr>
              <w:t>重量法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16</w:t>
            </w:r>
            <w:r>
              <w:rPr>
                <w:rFonts w:hint="default" w:ascii="Times New Roman" w:hAnsi="Times New Roman" w:eastAsia="宋体"/>
                <w:kern w:val="0"/>
                <w:szCs w:val="21"/>
                <w:lang w:bidi="ar"/>
              </w:rPr>
              <w:t>部分：土壤水溶性盐总量的测定》（</w:t>
            </w:r>
            <w:r>
              <w:rPr>
                <w:rFonts w:ascii="Times New Roman" w:hAnsi="Times New Roman" w:eastAsia="宋体"/>
                <w:kern w:val="0"/>
                <w:szCs w:val="21"/>
                <w:lang w:bidi="ar"/>
              </w:rPr>
              <w:t>NY/T 1121.16</w:t>
            </w:r>
            <w:r>
              <w:rPr>
                <w:rFonts w:hint="default" w:ascii="Times New Roman" w:hAnsi="Times New Roman" w:eastAsia="宋体"/>
                <w:kern w:val="0"/>
                <w:szCs w:val="21"/>
                <w:lang w:bidi="ar"/>
              </w:rPr>
              <w:t>－</w:t>
            </w:r>
            <w:r>
              <w:rPr>
                <w:rFonts w:ascii="Times New Roman" w:hAnsi="Times New Roman" w:eastAsia="宋体"/>
                <w:kern w:val="0"/>
                <w:szCs w:val="21"/>
                <w:lang w:bidi="ar"/>
              </w:rPr>
              <w:t>2006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11-2  </w:t>
            </w:r>
            <w:r>
              <w:rPr>
                <w:rFonts w:hint="default" w:ascii="Times New Roman" w:hAnsi="Times New Roman" w:eastAsia="宋体"/>
                <w:kern w:val="0"/>
                <w:szCs w:val="21"/>
                <w:lang w:bidi="ar"/>
              </w:rPr>
              <w:t>质量法等</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《森林土壤水溶性盐分分析》（</w:t>
            </w:r>
            <w:r>
              <w:rPr>
                <w:rFonts w:ascii="Times New Roman" w:hAnsi="Times New Roman" w:eastAsia="宋体"/>
                <w:kern w:val="0"/>
                <w:szCs w:val="21"/>
                <w:lang w:bidi="ar"/>
              </w:rPr>
              <w:t>LY/T 1251</w:t>
            </w:r>
            <w:r>
              <w:rPr>
                <w:rFonts w:hint="default" w:ascii="Times New Roman" w:hAnsi="Times New Roman" w:eastAsia="宋体"/>
                <w:kern w:val="0"/>
                <w:szCs w:val="21"/>
                <w:lang w:bidi="ar"/>
              </w:rPr>
              <w:t>－</w:t>
            </w:r>
            <w:r>
              <w:rPr>
                <w:rFonts w:ascii="Times New Roman" w:hAnsi="Times New Roman" w:eastAsia="宋体"/>
                <w:kern w:val="0"/>
                <w:szCs w:val="21"/>
                <w:lang w:bidi="ar"/>
              </w:rPr>
              <w:t>1999</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有机质</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12-1  </w:t>
            </w:r>
            <w:r>
              <w:rPr>
                <w:rFonts w:hint="default" w:ascii="Times New Roman" w:hAnsi="Times New Roman" w:eastAsia="宋体"/>
                <w:kern w:val="0"/>
                <w:szCs w:val="21"/>
                <w:lang w:bidi="ar"/>
              </w:rPr>
              <w:t>重铬酸钾氧化－容量法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6</w:t>
            </w:r>
            <w:r>
              <w:rPr>
                <w:rFonts w:hint="default" w:ascii="Times New Roman" w:hAnsi="Times New Roman" w:eastAsia="宋体"/>
                <w:kern w:val="0"/>
                <w:szCs w:val="21"/>
                <w:lang w:bidi="ar"/>
              </w:rPr>
              <w:t>部分：土壤有机质的测定》（</w:t>
            </w:r>
            <w:r>
              <w:rPr>
                <w:rFonts w:ascii="Times New Roman" w:hAnsi="Times New Roman" w:eastAsia="宋体"/>
                <w:kern w:val="0"/>
                <w:szCs w:val="21"/>
                <w:lang w:bidi="ar"/>
              </w:rPr>
              <w:t>NY/T 1121.6</w:t>
            </w:r>
            <w:r>
              <w:rPr>
                <w:rFonts w:hint="default" w:ascii="Times New Roman" w:hAnsi="Times New Roman" w:eastAsia="宋体"/>
                <w:kern w:val="0"/>
                <w:szCs w:val="21"/>
                <w:lang w:bidi="ar"/>
              </w:rPr>
              <w:t>－</w:t>
            </w:r>
            <w:r>
              <w:rPr>
                <w:rFonts w:ascii="Times New Roman" w:hAnsi="Times New Roman" w:eastAsia="宋体"/>
                <w:kern w:val="0"/>
                <w:szCs w:val="21"/>
                <w:lang w:bidi="ar"/>
              </w:rPr>
              <w:t>2006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13</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碳酸钙</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13-1  </w:t>
            </w:r>
            <w:r>
              <w:rPr>
                <w:rFonts w:hint="default" w:ascii="Times New Roman" w:hAnsi="Times New Roman" w:eastAsia="宋体"/>
                <w:kern w:val="0"/>
                <w:szCs w:val="21"/>
                <w:lang w:bidi="ar"/>
              </w:rPr>
              <w:t>气量法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15.1</w:t>
            </w:r>
            <w:r>
              <w:rPr>
                <w:rFonts w:hint="default" w:ascii="Times New Roman" w:hAnsi="Times New Roman" w:eastAsia="宋体"/>
                <w:kern w:val="0"/>
                <w:szCs w:val="21"/>
                <w:lang w:bidi="ar"/>
              </w:rPr>
              <w:t>土壤碳酸盐的测定</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13-2  </w:t>
            </w:r>
            <w:r>
              <w:rPr>
                <w:rFonts w:hint="default" w:ascii="Times New Roman" w:hAnsi="Times New Roman" w:eastAsia="宋体"/>
                <w:kern w:val="0"/>
                <w:szCs w:val="21"/>
                <w:lang w:bidi="ar"/>
              </w:rPr>
              <w:t>非水滴定法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15.1</w:t>
            </w:r>
            <w:r>
              <w:rPr>
                <w:rFonts w:hint="default" w:ascii="Times New Roman" w:hAnsi="Times New Roman" w:eastAsia="宋体"/>
                <w:kern w:val="0"/>
                <w:szCs w:val="21"/>
                <w:lang w:bidi="ar"/>
              </w:rPr>
              <w:t>土壤碳酸盐的测定</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14</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全氮</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14-1  </w:t>
            </w:r>
            <w:r>
              <w:rPr>
                <w:rFonts w:hint="default" w:ascii="Times New Roman" w:hAnsi="Times New Roman" w:eastAsia="宋体"/>
                <w:kern w:val="0"/>
                <w:szCs w:val="21"/>
                <w:lang w:bidi="ar"/>
              </w:rPr>
              <w:t>自动定氮仪法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24</w:t>
            </w:r>
            <w:r>
              <w:rPr>
                <w:rFonts w:hint="default" w:ascii="Times New Roman" w:hAnsi="Times New Roman" w:eastAsia="宋体"/>
                <w:kern w:val="0"/>
                <w:szCs w:val="21"/>
                <w:lang w:bidi="ar"/>
              </w:rPr>
              <w:t>部分：土壤全氮的测定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自动定氮仪法》（</w:t>
            </w:r>
            <w:r>
              <w:rPr>
                <w:rFonts w:ascii="Times New Roman" w:hAnsi="Times New Roman" w:eastAsia="宋体"/>
                <w:kern w:val="0"/>
                <w:szCs w:val="21"/>
                <w:lang w:bidi="ar"/>
              </w:rPr>
              <w:t>NY/T 1121.24</w:t>
            </w:r>
            <w:r>
              <w:rPr>
                <w:rFonts w:hint="default" w:ascii="Times New Roman" w:hAnsi="Times New Roman" w:eastAsia="宋体"/>
                <w:kern w:val="0"/>
                <w:szCs w:val="21"/>
                <w:lang w:bidi="ar"/>
              </w:rPr>
              <w:t>－</w:t>
            </w:r>
            <w:r>
              <w:rPr>
                <w:rFonts w:ascii="Times New Roman" w:hAnsi="Times New Roman" w:eastAsia="宋体"/>
                <w:kern w:val="0"/>
                <w:szCs w:val="21"/>
                <w:lang w:bidi="ar"/>
              </w:rPr>
              <w:t>2012</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15</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全磷</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15-1  </w:t>
            </w:r>
            <w:r>
              <w:rPr>
                <w:rFonts w:hint="default" w:ascii="Times New Roman" w:hAnsi="Times New Roman" w:eastAsia="宋体"/>
                <w:kern w:val="0"/>
                <w:szCs w:val="21"/>
                <w:lang w:bidi="ar"/>
              </w:rPr>
              <w:t>氢氧化钠熔融－钼锑抗比色法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8.1</w:t>
            </w:r>
            <w:r>
              <w:rPr>
                <w:rFonts w:hint="default" w:ascii="Times New Roman" w:hAnsi="Times New Roman" w:eastAsia="宋体"/>
                <w:kern w:val="0"/>
                <w:szCs w:val="21"/>
                <w:lang w:bidi="ar"/>
              </w:rPr>
              <w:t>土壤全磷的测定（氢氧化钠熔融－钼锑抗比色法）</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15-2  </w:t>
            </w:r>
            <w:r>
              <w:rPr>
                <w:rFonts w:hint="default" w:ascii="Times New Roman" w:hAnsi="Times New Roman" w:eastAsia="宋体"/>
                <w:kern w:val="0"/>
                <w:szCs w:val="21"/>
                <w:lang w:bidi="ar"/>
              </w:rPr>
              <w:t>酸溶－钼锑抗比色</w:t>
            </w:r>
            <w:r>
              <w:rPr>
                <w:rFonts w:ascii="Times New Roman" w:hAnsi="Times New Roman" w:eastAsia="宋体"/>
                <w:kern w:val="0"/>
                <w:szCs w:val="21"/>
                <w:lang w:bidi="ar"/>
              </w:rPr>
              <w:t>/</w:t>
            </w:r>
            <w:r>
              <w:rPr>
                <w:rFonts w:hint="default" w:ascii="Times New Roman" w:hAnsi="Times New Roman" w:eastAsia="宋体"/>
                <w:kern w:val="0"/>
                <w:szCs w:val="21"/>
                <w:lang w:bidi="ar"/>
              </w:rPr>
              <w:t>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《森林土壤磷的测定》（</w:t>
            </w:r>
            <w:r>
              <w:rPr>
                <w:rFonts w:ascii="Times New Roman" w:hAnsi="Times New Roman" w:eastAsia="宋体"/>
                <w:kern w:val="0"/>
                <w:szCs w:val="21"/>
                <w:lang w:bidi="ar"/>
              </w:rPr>
              <w:t>LY/T 1232</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16</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全钾</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16-1  </w:t>
            </w:r>
            <w:r>
              <w:rPr>
                <w:rFonts w:hint="default" w:ascii="Times New Roman" w:hAnsi="Times New Roman" w:eastAsia="宋体"/>
                <w:kern w:val="0"/>
                <w:szCs w:val="21"/>
                <w:lang w:bidi="ar"/>
              </w:rPr>
              <w:t>氢氧化钠熔融－火焰光度法</w:t>
            </w:r>
            <w:r>
              <w:rPr>
                <w:rFonts w:ascii="Times New Roman" w:hAnsi="Times New Roman" w:eastAsia="宋体"/>
                <w:kern w:val="0"/>
                <w:szCs w:val="21"/>
                <w:lang w:bidi="ar"/>
              </w:rPr>
              <w:t>/</w:t>
            </w:r>
            <w:r>
              <w:rPr>
                <w:rFonts w:hint="default" w:ascii="Times New Roman" w:hAnsi="Times New Roman" w:eastAsia="宋体"/>
                <w:kern w:val="0"/>
                <w:szCs w:val="21"/>
                <w:lang w:bidi="ar"/>
              </w:rPr>
              <w:t>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9.1</w:t>
            </w:r>
            <w:r>
              <w:rPr>
                <w:rFonts w:hint="default" w:ascii="Times New Roman" w:hAnsi="Times New Roman" w:eastAsia="宋体"/>
                <w:kern w:val="0"/>
                <w:szCs w:val="21"/>
                <w:lang w:bidi="ar"/>
              </w:rPr>
              <w:t>土壤全钾的测定（碱熔－火焰光度法或原子吸收分光光度法）</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16-2  </w:t>
            </w:r>
            <w:r>
              <w:rPr>
                <w:rFonts w:hint="default" w:ascii="Times New Roman" w:hAnsi="Times New Roman" w:eastAsia="宋体"/>
                <w:kern w:val="0"/>
                <w:szCs w:val="21"/>
                <w:lang w:bidi="ar"/>
              </w:rPr>
              <w:t>酸溶－火焰光度法</w:t>
            </w:r>
            <w:r>
              <w:rPr>
                <w:rFonts w:ascii="Times New Roman" w:hAnsi="Times New Roman" w:eastAsia="宋体"/>
                <w:kern w:val="0"/>
                <w:szCs w:val="21"/>
                <w:lang w:bidi="ar"/>
              </w:rPr>
              <w:t>/</w:t>
            </w:r>
            <w:r>
              <w:rPr>
                <w:rFonts w:hint="default" w:ascii="Times New Roman" w:hAnsi="Times New Roman" w:eastAsia="宋体"/>
                <w:kern w:val="0"/>
                <w:szCs w:val="21"/>
                <w:lang w:bidi="ar"/>
              </w:rPr>
              <w:t>原子吸收分光光度法</w:t>
            </w:r>
            <w:r>
              <w:rPr>
                <w:rFonts w:ascii="Times New Roman" w:hAnsi="Times New Roman" w:eastAsia="宋体"/>
                <w:kern w:val="0"/>
                <w:szCs w:val="21"/>
                <w:lang w:bidi="ar"/>
              </w:rPr>
              <w:t>/</w:t>
            </w:r>
            <w:r>
              <w:rPr>
                <w:rFonts w:hint="default" w:ascii="Times New Roman" w:hAnsi="Times New Roman" w:eastAsia="宋体"/>
                <w:kern w:val="0"/>
                <w:szCs w:val="21"/>
                <w:lang w:bidi="ar"/>
              </w:rPr>
              <w:t>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《森林土壤钾的测定》（</w:t>
            </w:r>
            <w:r>
              <w:rPr>
                <w:rFonts w:ascii="Times New Roman" w:hAnsi="Times New Roman" w:eastAsia="宋体"/>
                <w:kern w:val="0"/>
                <w:szCs w:val="21"/>
                <w:lang w:bidi="ar"/>
              </w:rPr>
              <w:t>LY/T 1234</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17</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全硫</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17-1  </w:t>
            </w:r>
            <w:r>
              <w:rPr>
                <w:rFonts w:hint="default" w:ascii="Times New Roman" w:hAnsi="Times New Roman" w:eastAsia="宋体"/>
                <w:kern w:val="0"/>
                <w:szCs w:val="21"/>
                <w:lang w:bidi="ar"/>
              </w:rPr>
              <w:t>硝酸镁氧化－硫酸钡比浊法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16.9</w:t>
            </w:r>
            <w:r>
              <w:rPr>
                <w:rFonts w:hint="default" w:ascii="Times New Roman" w:hAnsi="Times New Roman" w:eastAsia="宋体"/>
                <w:kern w:val="0"/>
                <w:szCs w:val="21"/>
                <w:lang w:bidi="ar"/>
              </w:rPr>
              <w:t>全硫的测定（硝酸镁氧化－硫酸钡比浊法）</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17-2  </w:t>
            </w:r>
            <w:r>
              <w:rPr>
                <w:rFonts w:hint="default" w:ascii="Times New Roman" w:hAnsi="Times New Roman" w:eastAsia="宋体"/>
                <w:kern w:val="0"/>
                <w:szCs w:val="21"/>
                <w:lang w:bidi="ar"/>
              </w:rPr>
              <w:t>燃烧碘量法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《森林土壤全硫的测定》（</w:t>
            </w:r>
            <w:r>
              <w:rPr>
                <w:rFonts w:ascii="Times New Roman" w:hAnsi="Times New Roman" w:eastAsia="宋体"/>
                <w:kern w:val="0"/>
                <w:szCs w:val="21"/>
                <w:lang w:bidi="ar"/>
              </w:rPr>
              <w:t>LY/T 1255</w:t>
            </w:r>
            <w:r>
              <w:rPr>
                <w:rFonts w:hint="default" w:ascii="Times New Roman" w:hAnsi="Times New Roman" w:eastAsia="宋体"/>
                <w:kern w:val="0"/>
                <w:szCs w:val="21"/>
                <w:lang w:bidi="ar"/>
              </w:rPr>
              <w:t>－</w:t>
            </w:r>
            <w:r>
              <w:rPr>
                <w:rFonts w:ascii="Times New Roman" w:hAnsi="Times New Roman" w:eastAsia="宋体"/>
                <w:kern w:val="0"/>
                <w:szCs w:val="21"/>
                <w:lang w:bidi="ar"/>
              </w:rPr>
              <w:t>1999</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18</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全硼</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18-1  </w:t>
            </w:r>
            <w:r>
              <w:rPr>
                <w:rFonts w:hint="default" w:ascii="Times New Roman" w:hAnsi="Times New Roman" w:eastAsia="宋体"/>
                <w:kern w:val="0"/>
                <w:szCs w:val="21"/>
                <w:lang w:bidi="ar"/>
              </w:rPr>
              <w:t>碱熔－甲亚胺－比色法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18.1</w:t>
            </w:r>
            <w:r>
              <w:rPr>
                <w:rFonts w:hint="default" w:ascii="Times New Roman" w:hAnsi="Times New Roman" w:eastAsia="宋体"/>
                <w:kern w:val="0"/>
                <w:szCs w:val="21"/>
                <w:lang w:bidi="ar"/>
              </w:rPr>
              <w:t>土壤全硼的测定</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18-2  </w:t>
            </w:r>
            <w:r>
              <w:rPr>
                <w:rFonts w:hint="default" w:ascii="Times New Roman" w:hAnsi="Times New Roman" w:eastAsia="宋体"/>
                <w:kern w:val="0"/>
                <w:szCs w:val="21"/>
                <w:lang w:bidi="ar"/>
              </w:rPr>
              <w:t>碱熔－姜黄素－比色法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18.1</w:t>
            </w:r>
            <w:r>
              <w:rPr>
                <w:rFonts w:hint="default" w:ascii="Times New Roman" w:hAnsi="Times New Roman" w:eastAsia="宋体"/>
                <w:kern w:val="0"/>
                <w:szCs w:val="21"/>
                <w:lang w:bidi="ar"/>
              </w:rPr>
              <w:t>土壤全硼的测定</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18-3  </w:t>
            </w:r>
            <w:r>
              <w:rPr>
                <w:rFonts w:hint="default" w:ascii="Times New Roman" w:hAnsi="Times New Roman" w:eastAsia="宋体"/>
                <w:kern w:val="0"/>
                <w:szCs w:val="21"/>
                <w:lang w:bidi="ar"/>
              </w:rPr>
              <w:t>碱熔－等离子体发射光谱法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18.1</w:t>
            </w:r>
            <w:r>
              <w:rPr>
                <w:rFonts w:hint="default" w:ascii="Times New Roman" w:hAnsi="Times New Roman" w:eastAsia="宋体"/>
                <w:kern w:val="0"/>
                <w:szCs w:val="21"/>
                <w:lang w:bidi="ar"/>
              </w:rPr>
              <w:t>土壤全硼的测定</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19</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全硒</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19-1  </w:t>
            </w:r>
            <w:r>
              <w:rPr>
                <w:rFonts w:hint="default" w:ascii="Times New Roman" w:hAnsi="Times New Roman" w:eastAsia="宋体"/>
                <w:kern w:val="0"/>
                <w:szCs w:val="21"/>
                <w:lang w:bidi="ar"/>
              </w:rPr>
              <w:t>酸溶－氢化物发生－原子荧光光谱法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《土壤中全硒的测定》（</w:t>
            </w:r>
            <w:r>
              <w:rPr>
                <w:rFonts w:ascii="Times New Roman" w:hAnsi="Times New Roman" w:eastAsia="宋体"/>
                <w:kern w:val="0"/>
                <w:szCs w:val="21"/>
                <w:lang w:bidi="ar"/>
              </w:rPr>
              <w:t>NY/T 1104</w:t>
            </w:r>
            <w:r>
              <w:rPr>
                <w:rFonts w:hint="default" w:ascii="Times New Roman" w:hAnsi="Times New Roman" w:eastAsia="宋体"/>
                <w:kern w:val="0"/>
                <w:szCs w:val="21"/>
                <w:lang w:bidi="ar"/>
              </w:rPr>
              <w:t>－</w:t>
            </w:r>
            <w:r>
              <w:rPr>
                <w:rFonts w:ascii="Times New Roman" w:hAnsi="Times New Roman" w:eastAsia="宋体"/>
                <w:kern w:val="0"/>
                <w:szCs w:val="21"/>
                <w:lang w:bidi="ar"/>
              </w:rPr>
              <w:t>2006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20</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全铁</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20-1  </w:t>
            </w:r>
            <w:r>
              <w:rPr>
                <w:rFonts w:hint="default" w:ascii="Times New Roman" w:hAnsi="Times New Roman" w:eastAsia="宋体"/>
                <w:kern w:val="0"/>
                <w:szCs w:val="21"/>
                <w:lang w:bidi="ar"/>
              </w:rPr>
              <w:t>酸消解－电感耦合等离子体发射光谱法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20-2  </w:t>
            </w:r>
            <w:r>
              <w:rPr>
                <w:rFonts w:hint="default" w:ascii="Times New Roman" w:hAnsi="Times New Roman" w:eastAsia="宋体"/>
                <w:kern w:val="0"/>
                <w:szCs w:val="21"/>
                <w:lang w:bidi="ar"/>
              </w:rPr>
              <w:t>碱熔－电感耦合等离子体发射光谱法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11</w:t>
            </w:r>
            <w:r>
              <w:rPr>
                <w:rFonts w:hint="default" w:ascii="Times New Roman" w:hAnsi="Times New Roman" w:eastAsia="宋体"/>
                <w:kern w:val="0"/>
                <w:szCs w:val="21"/>
                <w:lang w:bidi="ar"/>
              </w:rPr>
              <w:t>种元素的测定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碱熔－电感耦合等离子体发射光谱法》</w:t>
            </w:r>
            <w:r>
              <w:rPr>
                <w:rFonts w:ascii="Times New Roman" w:hAnsi="Times New Roman" w:eastAsia="宋体"/>
                <w:kern w:val="0"/>
                <w:szCs w:val="21"/>
                <w:lang w:bidi="ar"/>
              </w:rPr>
              <w:t>(HJ 974</w:t>
            </w:r>
            <w:r>
              <w:rPr>
                <w:rFonts w:hint="default" w:ascii="Times New Roman" w:hAnsi="Times New Roman" w:eastAsia="宋体"/>
                <w:kern w:val="0"/>
                <w:szCs w:val="21"/>
                <w:lang w:bidi="ar"/>
              </w:rPr>
              <w:t>－</w:t>
            </w:r>
            <w:r>
              <w:rPr>
                <w:rFonts w:ascii="Times New Roman" w:hAnsi="Times New Roman" w:eastAsia="宋体"/>
                <w:kern w:val="0"/>
                <w:szCs w:val="21"/>
                <w:lang w:bidi="ar"/>
              </w:rPr>
              <w:t>2018)</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21</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21-1  </w:t>
            </w:r>
            <w:r>
              <w:rPr>
                <w:rFonts w:hint="default" w:ascii="Times New Roman" w:hAnsi="Times New Roman" w:eastAsia="宋体"/>
                <w:kern w:val="0"/>
                <w:szCs w:val="21"/>
                <w:lang w:bidi="ar"/>
              </w:rPr>
              <w:t>酸消解－电感耦合等离子体质谱法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电感耦合等离子体质谱法》（</w:t>
            </w:r>
            <w:r>
              <w:rPr>
                <w:rFonts w:ascii="Times New Roman" w:hAnsi="Times New Roman" w:eastAsia="宋体"/>
                <w:kern w:val="0"/>
                <w:szCs w:val="21"/>
                <w:lang w:bidi="ar"/>
              </w:rPr>
              <w:t>HJ 766</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21-2  </w:t>
            </w:r>
            <w:r>
              <w:rPr>
                <w:rFonts w:hint="default" w:ascii="Times New Roman" w:hAnsi="Times New Roman" w:eastAsia="宋体"/>
                <w:kern w:val="0"/>
                <w:szCs w:val="21"/>
                <w:lang w:bidi="ar"/>
              </w:rPr>
              <w:t>酸消解－电感耦合等离子体发射光谱法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22</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全铜</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22-1  </w:t>
            </w:r>
            <w:r>
              <w:rPr>
                <w:rFonts w:hint="default" w:ascii="Times New Roman" w:hAnsi="Times New Roman" w:eastAsia="宋体"/>
                <w:kern w:val="0"/>
                <w:szCs w:val="21"/>
                <w:lang w:bidi="ar"/>
              </w:rPr>
              <w:t>酸消解－电感耦合等离子体质谱法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电感耦合等离子体质谱法》（</w:t>
            </w:r>
            <w:r>
              <w:rPr>
                <w:rFonts w:ascii="Times New Roman" w:hAnsi="Times New Roman" w:eastAsia="宋体"/>
                <w:kern w:val="0"/>
                <w:szCs w:val="21"/>
                <w:lang w:bidi="ar"/>
              </w:rPr>
              <w:t>HJ 766</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22-2  </w:t>
            </w:r>
            <w:r>
              <w:rPr>
                <w:rFonts w:hint="default" w:ascii="Times New Roman" w:hAnsi="Times New Roman" w:eastAsia="宋体"/>
                <w:kern w:val="0"/>
                <w:szCs w:val="21"/>
                <w:lang w:bidi="ar"/>
              </w:rPr>
              <w:t>酸消解－电感耦合等离子体发射光谱法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23</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全锌</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23-1  </w:t>
            </w:r>
            <w:r>
              <w:rPr>
                <w:rFonts w:hint="default" w:ascii="Times New Roman" w:hAnsi="Times New Roman" w:eastAsia="宋体"/>
                <w:kern w:val="0"/>
                <w:szCs w:val="21"/>
                <w:lang w:bidi="ar"/>
              </w:rPr>
              <w:t>酸消解－电感耦合等离子体质谱法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电感耦合等离子体质谱法》（</w:t>
            </w:r>
            <w:r>
              <w:rPr>
                <w:rFonts w:ascii="Times New Roman" w:hAnsi="Times New Roman" w:eastAsia="宋体"/>
                <w:kern w:val="0"/>
                <w:szCs w:val="21"/>
                <w:lang w:bidi="ar"/>
              </w:rPr>
              <w:t>HJ 766</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22-2  </w:t>
            </w:r>
            <w:r>
              <w:rPr>
                <w:rFonts w:hint="default" w:ascii="Times New Roman" w:hAnsi="Times New Roman" w:eastAsia="宋体"/>
                <w:kern w:val="0"/>
                <w:szCs w:val="21"/>
                <w:lang w:bidi="ar"/>
              </w:rPr>
              <w:t>酸消解－电感耦合等离子体发射光谱法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24</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全钼</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24-1  </w:t>
            </w:r>
            <w:r>
              <w:rPr>
                <w:rFonts w:hint="default" w:ascii="Times New Roman" w:hAnsi="Times New Roman" w:eastAsia="宋体"/>
                <w:kern w:val="0"/>
                <w:szCs w:val="21"/>
                <w:lang w:bidi="ar"/>
              </w:rPr>
              <w:t>酸消解－电感耦合等离子体质谱法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电感耦合等离子体质谱法》（</w:t>
            </w:r>
            <w:r>
              <w:rPr>
                <w:rFonts w:ascii="Times New Roman" w:hAnsi="Times New Roman" w:eastAsia="宋体"/>
                <w:kern w:val="0"/>
                <w:szCs w:val="21"/>
                <w:lang w:bidi="ar"/>
              </w:rPr>
              <w:t>HJ 766</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25</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全铝</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25-1  </w:t>
            </w:r>
            <w:r>
              <w:rPr>
                <w:rFonts w:hint="default" w:ascii="Times New Roman" w:hAnsi="Times New Roman" w:eastAsia="宋体"/>
                <w:kern w:val="0"/>
                <w:szCs w:val="21"/>
                <w:lang w:bidi="ar"/>
              </w:rPr>
              <w:t>酸消解－电感耦合等离子体发射光谱法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25-2  </w:t>
            </w:r>
            <w:r>
              <w:rPr>
                <w:rFonts w:hint="default" w:ascii="Times New Roman" w:hAnsi="Times New Roman" w:eastAsia="宋体"/>
                <w:kern w:val="0"/>
                <w:szCs w:val="21"/>
                <w:lang w:bidi="ar"/>
              </w:rPr>
              <w:t>碱熔－电感耦合等离子体发射光谱法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11</w:t>
            </w:r>
            <w:r>
              <w:rPr>
                <w:rFonts w:hint="default" w:ascii="Times New Roman" w:hAnsi="Times New Roman" w:eastAsia="宋体"/>
                <w:kern w:val="0"/>
                <w:szCs w:val="21"/>
                <w:lang w:bidi="ar"/>
              </w:rPr>
              <w:t>种元素的测定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碱熔－电感耦合等离子体发射光谱法》</w:t>
            </w:r>
            <w:r>
              <w:rPr>
                <w:rFonts w:ascii="Times New Roman" w:hAnsi="Times New Roman" w:eastAsia="宋体"/>
                <w:kern w:val="0"/>
                <w:szCs w:val="21"/>
                <w:lang w:bidi="ar"/>
              </w:rPr>
              <w:t>(HJ 974</w:t>
            </w:r>
            <w:r>
              <w:rPr>
                <w:rFonts w:hint="default" w:ascii="Times New Roman" w:hAnsi="Times New Roman" w:eastAsia="宋体"/>
                <w:kern w:val="0"/>
                <w:szCs w:val="21"/>
                <w:lang w:bidi="ar"/>
              </w:rPr>
              <w:t>－</w:t>
            </w:r>
            <w:r>
              <w:rPr>
                <w:rFonts w:ascii="Times New Roman" w:hAnsi="Times New Roman" w:eastAsia="宋体"/>
                <w:kern w:val="0"/>
                <w:szCs w:val="21"/>
                <w:lang w:bidi="ar"/>
              </w:rPr>
              <w:t>2018)</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26</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全硅</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26-1  </w:t>
            </w:r>
            <w:r>
              <w:rPr>
                <w:rFonts w:hint="default" w:ascii="Times New Roman" w:hAnsi="Times New Roman" w:eastAsia="宋体"/>
                <w:kern w:val="0"/>
                <w:szCs w:val="21"/>
                <w:lang w:bidi="ar"/>
              </w:rPr>
              <w:t>碱熔－电感耦合等离子体发射光谱法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11</w:t>
            </w:r>
            <w:r>
              <w:rPr>
                <w:rFonts w:hint="default" w:ascii="Times New Roman" w:hAnsi="Times New Roman" w:eastAsia="宋体"/>
                <w:kern w:val="0"/>
                <w:szCs w:val="21"/>
                <w:lang w:bidi="ar"/>
              </w:rPr>
              <w:t>种元素的测定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碱熔－电感耦合等离子体发射光谱法》</w:t>
            </w:r>
            <w:r>
              <w:rPr>
                <w:rFonts w:ascii="Times New Roman" w:hAnsi="Times New Roman" w:eastAsia="宋体"/>
                <w:kern w:val="0"/>
                <w:szCs w:val="21"/>
                <w:lang w:bidi="ar"/>
              </w:rPr>
              <w:t>(HJ 974</w:t>
            </w:r>
            <w:r>
              <w:rPr>
                <w:rFonts w:hint="default" w:ascii="Times New Roman" w:hAnsi="Times New Roman" w:eastAsia="宋体"/>
                <w:kern w:val="0"/>
                <w:szCs w:val="21"/>
                <w:lang w:bidi="ar"/>
              </w:rPr>
              <w:t>－</w:t>
            </w:r>
            <w:r>
              <w:rPr>
                <w:rFonts w:ascii="Times New Roman" w:hAnsi="Times New Roman" w:eastAsia="宋体"/>
                <w:kern w:val="0"/>
                <w:szCs w:val="21"/>
                <w:lang w:bidi="ar"/>
              </w:rPr>
              <w:t>2018)</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27</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全钙</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27-1  </w:t>
            </w:r>
            <w:r>
              <w:rPr>
                <w:rFonts w:hint="default" w:ascii="Times New Roman" w:hAnsi="Times New Roman" w:eastAsia="宋体"/>
                <w:kern w:val="0"/>
                <w:szCs w:val="21"/>
                <w:lang w:bidi="ar"/>
              </w:rPr>
              <w:t>酸消解－电感耦合等离子体发射光谱法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27-2  </w:t>
            </w:r>
            <w:r>
              <w:rPr>
                <w:rFonts w:hint="default" w:ascii="Times New Roman" w:hAnsi="Times New Roman" w:eastAsia="宋体"/>
                <w:kern w:val="0"/>
                <w:szCs w:val="21"/>
                <w:lang w:bidi="ar"/>
              </w:rPr>
              <w:t>碱熔－电感耦合等离子体发射光谱法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11</w:t>
            </w:r>
            <w:r>
              <w:rPr>
                <w:rFonts w:hint="default" w:ascii="Times New Roman" w:hAnsi="Times New Roman" w:eastAsia="宋体"/>
                <w:kern w:val="0"/>
                <w:szCs w:val="21"/>
                <w:lang w:bidi="ar"/>
              </w:rPr>
              <w:t>种元素的测定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碱熔－电感耦合等离子体发射光谱法》</w:t>
            </w:r>
            <w:r>
              <w:rPr>
                <w:rFonts w:ascii="Times New Roman" w:hAnsi="Times New Roman" w:eastAsia="宋体"/>
                <w:kern w:val="0"/>
                <w:szCs w:val="21"/>
                <w:lang w:bidi="ar"/>
              </w:rPr>
              <w:t>(HJ 974</w:t>
            </w:r>
            <w:r>
              <w:rPr>
                <w:rFonts w:hint="default" w:ascii="Times New Roman" w:hAnsi="Times New Roman" w:eastAsia="宋体"/>
                <w:kern w:val="0"/>
                <w:szCs w:val="21"/>
                <w:lang w:bidi="ar"/>
              </w:rPr>
              <w:t>－</w:t>
            </w:r>
            <w:r>
              <w:rPr>
                <w:rFonts w:ascii="Times New Roman" w:hAnsi="Times New Roman" w:eastAsia="宋体"/>
                <w:kern w:val="0"/>
                <w:szCs w:val="21"/>
                <w:lang w:bidi="ar"/>
              </w:rPr>
              <w:t>2018)</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28</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全镁</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28-1  </w:t>
            </w:r>
            <w:r>
              <w:rPr>
                <w:rFonts w:hint="default" w:ascii="Times New Roman" w:hAnsi="Times New Roman" w:eastAsia="宋体"/>
                <w:kern w:val="0"/>
                <w:szCs w:val="21"/>
                <w:lang w:bidi="ar"/>
              </w:rPr>
              <w:t>酸消解－电感耦合等离子体发射光谱法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28-2  </w:t>
            </w:r>
            <w:r>
              <w:rPr>
                <w:rFonts w:hint="default" w:ascii="Times New Roman" w:hAnsi="Times New Roman" w:eastAsia="宋体"/>
                <w:kern w:val="0"/>
                <w:szCs w:val="21"/>
                <w:lang w:bidi="ar"/>
              </w:rPr>
              <w:t>碱熔－电感耦合等离子体发射光谱法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11</w:t>
            </w:r>
            <w:r>
              <w:rPr>
                <w:rFonts w:hint="default" w:ascii="Times New Roman" w:hAnsi="Times New Roman" w:eastAsia="宋体"/>
                <w:kern w:val="0"/>
                <w:szCs w:val="21"/>
                <w:lang w:bidi="ar"/>
              </w:rPr>
              <w:t>种元素的测定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碱熔－电感耦合等离子体发射光谱法》</w:t>
            </w:r>
            <w:r>
              <w:rPr>
                <w:rFonts w:ascii="Times New Roman" w:hAnsi="Times New Roman" w:eastAsia="宋体"/>
                <w:kern w:val="0"/>
                <w:szCs w:val="21"/>
                <w:lang w:bidi="ar"/>
              </w:rPr>
              <w:t>(HJ 974</w:t>
            </w:r>
            <w:r>
              <w:rPr>
                <w:rFonts w:hint="default" w:ascii="Times New Roman" w:hAnsi="Times New Roman" w:eastAsia="宋体"/>
                <w:kern w:val="0"/>
                <w:szCs w:val="21"/>
                <w:lang w:bidi="ar"/>
              </w:rPr>
              <w:t>－</w:t>
            </w:r>
            <w:r>
              <w:rPr>
                <w:rFonts w:ascii="Times New Roman" w:hAnsi="Times New Roman" w:eastAsia="宋体"/>
                <w:kern w:val="0"/>
                <w:szCs w:val="21"/>
                <w:lang w:bidi="ar"/>
              </w:rPr>
              <w:t>2018)</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29</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有效磷</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29-1  </w:t>
            </w:r>
            <w:r>
              <w:rPr>
                <w:rFonts w:hint="default" w:ascii="Times New Roman" w:hAnsi="Times New Roman" w:eastAsia="宋体"/>
                <w:kern w:val="0"/>
                <w:szCs w:val="21"/>
                <w:lang w:bidi="ar"/>
              </w:rPr>
              <w:t>氟化铵－盐酸溶液</w:t>
            </w:r>
            <w:r>
              <w:rPr>
                <w:rFonts w:ascii="Times New Roman" w:hAnsi="Times New Roman" w:eastAsia="宋体"/>
                <w:kern w:val="0"/>
                <w:szCs w:val="21"/>
                <w:lang w:bidi="ar"/>
              </w:rPr>
              <w:t>/</w:t>
            </w:r>
            <w:r>
              <w:rPr>
                <w:rFonts w:hint="default" w:ascii="Times New Roman" w:hAnsi="Times New Roman" w:eastAsia="宋体"/>
                <w:kern w:val="0"/>
                <w:szCs w:val="21"/>
                <w:lang w:bidi="ar"/>
              </w:rPr>
              <w:t>碳酸氢钠浸提－钼锑抗比色法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7</w:t>
            </w:r>
            <w:r>
              <w:rPr>
                <w:rFonts w:hint="default" w:ascii="Times New Roman" w:hAnsi="Times New Roman" w:eastAsia="宋体"/>
                <w:kern w:val="0"/>
                <w:szCs w:val="21"/>
                <w:lang w:bidi="ar"/>
              </w:rPr>
              <w:t>部分：土壤有效磷的测定》（</w:t>
            </w:r>
            <w:r>
              <w:rPr>
                <w:rFonts w:ascii="Times New Roman" w:hAnsi="Times New Roman" w:eastAsia="宋体"/>
                <w:kern w:val="0"/>
                <w:szCs w:val="21"/>
                <w:lang w:bidi="ar"/>
              </w:rPr>
              <w:t>NY/T 1121.7</w:t>
            </w:r>
            <w:r>
              <w:rPr>
                <w:rFonts w:hint="default" w:ascii="Times New Roman" w:hAnsi="Times New Roman" w:eastAsia="宋体"/>
                <w:kern w:val="0"/>
                <w:szCs w:val="21"/>
                <w:lang w:bidi="ar"/>
              </w:rPr>
              <w:t>－</w:t>
            </w:r>
            <w:r>
              <w:rPr>
                <w:rFonts w:ascii="Times New Roman" w:hAnsi="Times New Roman" w:eastAsia="宋体"/>
                <w:kern w:val="0"/>
                <w:szCs w:val="21"/>
                <w:lang w:bidi="ar"/>
              </w:rPr>
              <w:t>2014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30</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速效钾</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30-1  </w:t>
            </w:r>
            <w:r>
              <w:rPr>
                <w:rFonts w:hint="default" w:ascii="Times New Roman" w:hAnsi="Times New Roman" w:eastAsia="宋体"/>
                <w:kern w:val="0"/>
                <w:szCs w:val="21"/>
                <w:lang w:bidi="ar"/>
              </w:rPr>
              <w:t>乙酸铵浸提－火焰光度法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《土壤速效钾和缓效钾的测定》（</w:t>
            </w:r>
            <w:r>
              <w:rPr>
                <w:rFonts w:ascii="Times New Roman" w:hAnsi="Times New Roman" w:eastAsia="宋体"/>
                <w:kern w:val="0"/>
                <w:szCs w:val="21"/>
                <w:lang w:bidi="ar"/>
              </w:rPr>
              <w:t>NY/T 889</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缓效钾</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31-1  </w:t>
            </w:r>
            <w:r>
              <w:rPr>
                <w:rFonts w:hint="default" w:ascii="Times New Roman" w:hAnsi="Times New Roman" w:eastAsia="宋体"/>
                <w:kern w:val="0"/>
                <w:szCs w:val="21"/>
                <w:lang w:bidi="ar"/>
              </w:rPr>
              <w:t>热硝酸浸提－火焰光度法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《土壤速效钾和缓效钾的测定》（</w:t>
            </w:r>
            <w:r>
              <w:rPr>
                <w:rFonts w:ascii="Times New Roman" w:hAnsi="Times New Roman" w:eastAsia="宋体"/>
                <w:kern w:val="0"/>
                <w:szCs w:val="21"/>
                <w:lang w:bidi="ar"/>
              </w:rPr>
              <w:t>NY/T 889</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有效硫</w:t>
            </w:r>
          </w:p>
        </w:tc>
        <w:tc>
          <w:tcPr>
            <w:tcW w:w="4569" w:type="dxa"/>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32-1  </w:t>
            </w:r>
            <w:r>
              <w:rPr>
                <w:rFonts w:hint="default" w:ascii="Times New Roman" w:hAnsi="Times New Roman" w:eastAsia="宋体"/>
                <w:kern w:val="0"/>
                <w:szCs w:val="21"/>
                <w:lang w:bidi="ar"/>
              </w:rPr>
              <w:t>磷酸盐－乙酸溶液</w:t>
            </w:r>
            <w:r>
              <w:rPr>
                <w:rFonts w:ascii="Times New Roman" w:hAnsi="Times New Roman" w:eastAsia="宋体"/>
                <w:kern w:val="0"/>
                <w:szCs w:val="21"/>
                <w:lang w:bidi="ar"/>
              </w:rPr>
              <w:t>/</w:t>
            </w:r>
            <w:r>
              <w:rPr>
                <w:rFonts w:hint="default" w:ascii="Times New Roman" w:hAnsi="Times New Roman" w:eastAsia="宋体"/>
                <w:kern w:val="0"/>
                <w:szCs w:val="21"/>
                <w:lang w:bidi="ar"/>
              </w:rPr>
              <w:t>氯化钙浸提－电感耦合等离子体发射光谱法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14</w:t>
            </w:r>
            <w:r>
              <w:rPr>
                <w:rFonts w:hint="default" w:ascii="Times New Roman" w:hAnsi="Times New Roman" w:eastAsia="宋体"/>
                <w:kern w:val="0"/>
                <w:szCs w:val="21"/>
                <w:lang w:bidi="ar"/>
              </w:rPr>
              <w:t>部分：土壤有效硫的测定》（</w:t>
            </w:r>
            <w:r>
              <w:rPr>
                <w:rFonts w:ascii="Times New Roman" w:hAnsi="Times New Roman" w:eastAsia="宋体"/>
                <w:kern w:val="0"/>
                <w:szCs w:val="21"/>
                <w:lang w:bidi="ar"/>
              </w:rPr>
              <w:t xml:space="preserve">NY/T 1121.14 </w:t>
            </w:r>
            <w:r>
              <w:rPr>
                <w:rFonts w:hint="default" w:ascii="Times New Roman" w:hAnsi="Times New Roman" w:eastAsia="宋体"/>
                <w:kern w:val="0"/>
                <w:szCs w:val="21"/>
                <w:lang w:bidi="ar"/>
              </w:rPr>
              <w:t>报批稿）</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有效硅</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33-1  </w:t>
            </w:r>
            <w:r>
              <w:rPr>
                <w:rFonts w:hint="default" w:ascii="Times New Roman" w:hAnsi="Times New Roman" w:eastAsia="宋体"/>
                <w:kern w:val="0"/>
                <w:szCs w:val="21"/>
                <w:lang w:bidi="ar"/>
              </w:rPr>
              <w:t>柠檬酸浸提－硅钼蓝比色法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default" w:ascii="Times New Roman" w:hAnsi="Times New Roman" w:eastAsia="宋体"/>
                <w:szCs w:val="21"/>
                <w:lang w:eastAsia="zh-CN"/>
              </w:rPr>
            </w:pPr>
            <w:r>
              <w:rPr>
                <w:rFonts w:hint="default" w:ascii="Times New Roman" w:hAnsi="Times New Roman" w:eastAsia="宋体"/>
                <w:kern w:val="0"/>
                <w:szCs w:val="21"/>
                <w:lang w:bidi="ar"/>
              </w:rPr>
              <w:t>《土壤检测 第15部分：土壤有效硅的测定》</w:t>
            </w:r>
            <w:r>
              <w:rPr>
                <w:rFonts w:hint="default" w:ascii="Times New Roman" w:hAnsi="Times New Roman" w:eastAsia="宋体"/>
                <w:kern w:val="0"/>
                <w:szCs w:val="21"/>
                <w:lang w:eastAsia="zh-CN" w:bidi="ar"/>
              </w:rPr>
              <w:t>（NY/T</w:t>
            </w:r>
            <w:r>
              <w:rPr>
                <w:rFonts w:hint="default" w:ascii="Times New Roman" w:hAnsi="Times New Roman" w:eastAsia="宋体"/>
                <w:kern w:val="0"/>
                <w:szCs w:val="21"/>
                <w:lang w:val="en-US" w:eastAsia="zh-CN" w:bidi="ar"/>
              </w:rPr>
              <w:t xml:space="preserve"> </w:t>
            </w:r>
            <w:r>
              <w:rPr>
                <w:rFonts w:hint="default" w:ascii="Times New Roman" w:hAnsi="Times New Roman" w:eastAsia="宋体"/>
                <w:kern w:val="0"/>
                <w:szCs w:val="21"/>
                <w:lang w:eastAsia="zh-CN" w:bidi="ar"/>
              </w:rPr>
              <w:t>1121.15</w:t>
            </w:r>
            <w:r>
              <w:rPr>
                <w:rFonts w:hint="default" w:ascii="Times New Roman" w:hAnsi="Times New Roman" w:eastAsia="宋体"/>
                <w:kern w:val="0"/>
                <w:szCs w:val="21"/>
                <w:lang w:bidi="ar"/>
              </w:rPr>
              <w:t>－</w:t>
            </w:r>
            <w:r>
              <w:rPr>
                <w:rFonts w:hint="default" w:ascii="Times New Roman" w:hAnsi="Times New Roman" w:eastAsia="宋体"/>
                <w:kern w:val="0"/>
                <w:szCs w:val="21"/>
                <w:lang w:eastAsia="zh-CN" w:bidi="ar"/>
              </w:rPr>
              <w:t>2006）</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34</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有效铁</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34-1  DTPA</w:t>
            </w:r>
            <w:r>
              <w:rPr>
                <w:rFonts w:hint="default" w:ascii="Times New Roman" w:hAnsi="Times New Roman" w:eastAsia="宋体"/>
                <w:kern w:val="0"/>
                <w:szCs w:val="21"/>
                <w:lang w:bidi="ar"/>
              </w:rPr>
              <w:t>浸提－原子吸收分光光度法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《土壤有效态锌、锰、铁、铜含量的测定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二乙三胺五乙酸（</w:t>
            </w:r>
            <w:r>
              <w:rPr>
                <w:rFonts w:ascii="Times New Roman" w:hAnsi="Times New Roman" w:eastAsia="宋体"/>
                <w:kern w:val="0"/>
                <w:szCs w:val="21"/>
                <w:lang w:bidi="ar"/>
              </w:rPr>
              <w:t>DTPA</w:t>
            </w:r>
            <w:r>
              <w:rPr>
                <w:rFonts w:hint="default" w:ascii="Times New Roman" w:hAnsi="Times New Roman" w:eastAsia="宋体"/>
                <w:kern w:val="0"/>
                <w:szCs w:val="21"/>
                <w:lang w:bidi="ar"/>
              </w:rPr>
              <w:t>）浸提法》（</w:t>
            </w:r>
            <w:r>
              <w:rPr>
                <w:rFonts w:ascii="Times New Roman" w:hAnsi="Times New Roman" w:eastAsia="宋体"/>
                <w:kern w:val="0"/>
                <w:szCs w:val="21"/>
                <w:lang w:bidi="ar"/>
              </w:rPr>
              <w:t>NY/T 890</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34-2  DTPA</w:t>
            </w:r>
            <w:r>
              <w:rPr>
                <w:rFonts w:hint="default" w:ascii="Times New Roman" w:hAnsi="Times New Roman" w:eastAsia="宋体"/>
                <w:kern w:val="0"/>
                <w:szCs w:val="21"/>
                <w:lang w:bidi="ar"/>
              </w:rPr>
              <w:t>浸提－电感耦合等离子体发射光谱法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《土壤有效态锌、锰、铁、铜含量的测定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二乙三胺五乙酸（</w:t>
            </w:r>
            <w:r>
              <w:rPr>
                <w:rFonts w:ascii="Times New Roman" w:hAnsi="Times New Roman" w:eastAsia="宋体"/>
                <w:kern w:val="0"/>
                <w:szCs w:val="21"/>
                <w:lang w:bidi="ar"/>
              </w:rPr>
              <w:t>DTPA</w:t>
            </w:r>
            <w:r>
              <w:rPr>
                <w:rFonts w:hint="default" w:ascii="Times New Roman" w:hAnsi="Times New Roman" w:eastAsia="宋体"/>
                <w:kern w:val="0"/>
                <w:szCs w:val="21"/>
                <w:lang w:bidi="ar"/>
              </w:rPr>
              <w:t>）浸提法》（</w:t>
            </w:r>
            <w:r>
              <w:rPr>
                <w:rFonts w:ascii="Times New Roman" w:hAnsi="Times New Roman" w:eastAsia="宋体"/>
                <w:kern w:val="0"/>
                <w:szCs w:val="21"/>
                <w:lang w:bidi="ar"/>
              </w:rPr>
              <w:t>NY/T 890</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35</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有效锰</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35-1  DTPA</w:t>
            </w:r>
            <w:r>
              <w:rPr>
                <w:rFonts w:hint="default" w:ascii="Times New Roman" w:hAnsi="Times New Roman" w:eastAsia="宋体"/>
                <w:kern w:val="0"/>
                <w:szCs w:val="21"/>
                <w:lang w:bidi="ar"/>
              </w:rPr>
              <w:t>浸提－原子吸收分光光度法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《土壤有效态锌、锰、铁、铜含量的测定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二乙三胺五乙酸（</w:t>
            </w:r>
            <w:r>
              <w:rPr>
                <w:rFonts w:ascii="Times New Roman" w:hAnsi="Times New Roman" w:eastAsia="宋体"/>
                <w:kern w:val="0"/>
                <w:szCs w:val="21"/>
                <w:lang w:bidi="ar"/>
              </w:rPr>
              <w:t>DTPA</w:t>
            </w:r>
            <w:r>
              <w:rPr>
                <w:rFonts w:hint="default" w:ascii="Times New Roman" w:hAnsi="Times New Roman" w:eastAsia="宋体"/>
                <w:kern w:val="0"/>
                <w:szCs w:val="21"/>
                <w:lang w:bidi="ar"/>
              </w:rPr>
              <w:t>）浸提法》（</w:t>
            </w:r>
            <w:r>
              <w:rPr>
                <w:rFonts w:ascii="Times New Roman" w:hAnsi="Times New Roman" w:eastAsia="宋体"/>
                <w:kern w:val="0"/>
                <w:szCs w:val="21"/>
                <w:lang w:bidi="ar"/>
              </w:rPr>
              <w:t>NY/T 890</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35-2  DTPA</w:t>
            </w:r>
            <w:r>
              <w:rPr>
                <w:rFonts w:hint="default" w:ascii="Times New Roman" w:hAnsi="Times New Roman" w:eastAsia="宋体"/>
                <w:kern w:val="0"/>
                <w:szCs w:val="21"/>
                <w:lang w:bidi="ar"/>
              </w:rPr>
              <w:t>浸提－电感耦合等离子体发射光谱法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《土壤有效态锌、锰、铁、铜含量的测定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二乙三胺五乙酸（</w:t>
            </w:r>
            <w:r>
              <w:rPr>
                <w:rFonts w:ascii="Times New Roman" w:hAnsi="Times New Roman" w:eastAsia="宋体"/>
                <w:kern w:val="0"/>
                <w:szCs w:val="21"/>
                <w:lang w:bidi="ar"/>
              </w:rPr>
              <w:t>DTPA</w:t>
            </w:r>
            <w:r>
              <w:rPr>
                <w:rFonts w:hint="default" w:ascii="Times New Roman" w:hAnsi="Times New Roman" w:eastAsia="宋体"/>
                <w:kern w:val="0"/>
                <w:szCs w:val="21"/>
                <w:lang w:bidi="ar"/>
              </w:rPr>
              <w:t>）浸提法》（</w:t>
            </w:r>
            <w:r>
              <w:rPr>
                <w:rFonts w:ascii="Times New Roman" w:hAnsi="Times New Roman" w:eastAsia="宋体"/>
                <w:kern w:val="0"/>
                <w:szCs w:val="21"/>
                <w:lang w:bidi="ar"/>
              </w:rPr>
              <w:t>NY/T 890</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36</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有效铜</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36-1  DTPA</w:t>
            </w:r>
            <w:r>
              <w:rPr>
                <w:rFonts w:hint="default" w:ascii="Times New Roman" w:hAnsi="Times New Roman" w:eastAsia="宋体"/>
                <w:kern w:val="0"/>
                <w:szCs w:val="21"/>
                <w:lang w:bidi="ar"/>
              </w:rPr>
              <w:t>浸提－原子吸收分光光度法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《土壤有效态锌、锰、铁、铜含量的测定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二乙三胺五乙酸（</w:t>
            </w:r>
            <w:r>
              <w:rPr>
                <w:rFonts w:ascii="Times New Roman" w:hAnsi="Times New Roman" w:eastAsia="宋体"/>
                <w:kern w:val="0"/>
                <w:szCs w:val="21"/>
                <w:lang w:bidi="ar"/>
              </w:rPr>
              <w:t>DTPA</w:t>
            </w:r>
            <w:r>
              <w:rPr>
                <w:rFonts w:hint="default" w:ascii="Times New Roman" w:hAnsi="Times New Roman" w:eastAsia="宋体"/>
                <w:kern w:val="0"/>
                <w:szCs w:val="21"/>
                <w:lang w:bidi="ar"/>
              </w:rPr>
              <w:t>）浸提法》（</w:t>
            </w:r>
            <w:r>
              <w:rPr>
                <w:rFonts w:ascii="Times New Roman" w:hAnsi="Times New Roman" w:eastAsia="宋体"/>
                <w:kern w:val="0"/>
                <w:szCs w:val="21"/>
                <w:lang w:bidi="ar"/>
              </w:rPr>
              <w:t>NY/T 890</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36-2  DTPA</w:t>
            </w:r>
            <w:r>
              <w:rPr>
                <w:rFonts w:hint="default" w:ascii="Times New Roman" w:hAnsi="Times New Roman" w:eastAsia="宋体"/>
                <w:kern w:val="0"/>
                <w:szCs w:val="21"/>
                <w:lang w:bidi="ar"/>
              </w:rPr>
              <w:t>浸提－电感耦合等离子体发射光谱法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《土壤有效态锌、锰、铁、铜含量的测定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二乙三胺五乙酸（</w:t>
            </w:r>
            <w:r>
              <w:rPr>
                <w:rFonts w:ascii="Times New Roman" w:hAnsi="Times New Roman" w:eastAsia="宋体"/>
                <w:kern w:val="0"/>
                <w:szCs w:val="21"/>
                <w:lang w:bidi="ar"/>
              </w:rPr>
              <w:t>DTPA</w:t>
            </w:r>
            <w:r>
              <w:rPr>
                <w:rFonts w:hint="default" w:ascii="Times New Roman" w:hAnsi="Times New Roman" w:eastAsia="宋体"/>
                <w:kern w:val="0"/>
                <w:szCs w:val="21"/>
                <w:lang w:bidi="ar"/>
              </w:rPr>
              <w:t>）浸提法》（</w:t>
            </w:r>
            <w:r>
              <w:rPr>
                <w:rFonts w:ascii="Times New Roman" w:hAnsi="Times New Roman" w:eastAsia="宋体"/>
                <w:kern w:val="0"/>
                <w:szCs w:val="21"/>
                <w:lang w:bidi="ar"/>
              </w:rPr>
              <w:t>NY/T 890</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37</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有效锌</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37-1  DTPA</w:t>
            </w:r>
            <w:r>
              <w:rPr>
                <w:rFonts w:hint="default" w:ascii="Times New Roman" w:hAnsi="Times New Roman" w:eastAsia="宋体"/>
                <w:kern w:val="0"/>
                <w:szCs w:val="21"/>
                <w:lang w:bidi="ar"/>
              </w:rPr>
              <w:t>浸提－原子吸收分光光度法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《土壤有效态锌、锰、铁、铜含量的测定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二乙三胺五乙酸（</w:t>
            </w:r>
            <w:r>
              <w:rPr>
                <w:rFonts w:ascii="Times New Roman" w:hAnsi="Times New Roman" w:eastAsia="宋体"/>
                <w:kern w:val="0"/>
                <w:szCs w:val="21"/>
                <w:lang w:bidi="ar"/>
              </w:rPr>
              <w:t>DTPA</w:t>
            </w:r>
            <w:r>
              <w:rPr>
                <w:rFonts w:hint="default" w:ascii="Times New Roman" w:hAnsi="Times New Roman" w:eastAsia="宋体"/>
                <w:kern w:val="0"/>
                <w:szCs w:val="21"/>
                <w:lang w:bidi="ar"/>
              </w:rPr>
              <w:t>）浸提法》（</w:t>
            </w:r>
            <w:r>
              <w:rPr>
                <w:rFonts w:ascii="Times New Roman" w:hAnsi="Times New Roman" w:eastAsia="宋体"/>
                <w:kern w:val="0"/>
                <w:szCs w:val="21"/>
                <w:lang w:bidi="ar"/>
              </w:rPr>
              <w:t>NY/T 890</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37-2  DTPA</w:t>
            </w:r>
            <w:r>
              <w:rPr>
                <w:rFonts w:hint="default" w:ascii="Times New Roman" w:hAnsi="Times New Roman" w:eastAsia="宋体"/>
                <w:kern w:val="0"/>
                <w:szCs w:val="21"/>
                <w:lang w:bidi="ar"/>
              </w:rPr>
              <w:t>浸提－电感耦合等离子体发射光谱法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《土壤有效态锌、锰、铁、铜含量的测定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二乙三胺五乙酸（</w:t>
            </w:r>
            <w:r>
              <w:rPr>
                <w:rFonts w:ascii="Times New Roman" w:hAnsi="Times New Roman" w:eastAsia="宋体"/>
                <w:kern w:val="0"/>
                <w:szCs w:val="21"/>
                <w:lang w:bidi="ar"/>
              </w:rPr>
              <w:t>DTPA</w:t>
            </w:r>
            <w:r>
              <w:rPr>
                <w:rFonts w:hint="default" w:ascii="Times New Roman" w:hAnsi="Times New Roman" w:eastAsia="宋体"/>
                <w:kern w:val="0"/>
                <w:szCs w:val="21"/>
                <w:lang w:bidi="ar"/>
              </w:rPr>
              <w:t>）浸提法》（</w:t>
            </w:r>
            <w:r>
              <w:rPr>
                <w:rFonts w:ascii="Times New Roman" w:hAnsi="Times New Roman" w:eastAsia="宋体"/>
                <w:kern w:val="0"/>
                <w:szCs w:val="21"/>
                <w:lang w:bidi="ar"/>
              </w:rPr>
              <w:t>NY/T 890</w:t>
            </w:r>
            <w:r>
              <w:rPr>
                <w:rFonts w:hint="default" w:ascii="Times New Roman" w:hAnsi="Times New Roman" w:eastAsia="宋体"/>
                <w:kern w:val="0"/>
                <w:szCs w:val="21"/>
                <w:lang w:bidi="ar"/>
              </w:rPr>
              <w:t>－</w:t>
            </w:r>
            <w:r>
              <w:rPr>
                <w:rFonts w:ascii="Times New Roman" w:hAnsi="Times New Roman" w:eastAsia="宋体"/>
                <w:kern w:val="0"/>
                <w:szCs w:val="21"/>
                <w:lang w:bidi="ar"/>
              </w:rPr>
              <w:t>2004</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38</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有效硼</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38-1  </w:t>
            </w:r>
            <w:r>
              <w:rPr>
                <w:rFonts w:hint="default" w:ascii="Times New Roman" w:hAnsi="Times New Roman" w:eastAsia="宋体"/>
                <w:kern w:val="0"/>
                <w:szCs w:val="21"/>
                <w:lang w:bidi="ar"/>
              </w:rPr>
              <w:t>沸水提取－甲亚胺－</w:t>
            </w:r>
            <w:r>
              <w:rPr>
                <w:rFonts w:ascii="Times New Roman" w:hAnsi="Times New Roman" w:eastAsia="宋体"/>
                <w:kern w:val="0"/>
                <w:szCs w:val="21"/>
                <w:lang w:bidi="ar"/>
              </w:rPr>
              <w:t>H</w:t>
            </w:r>
            <w:r>
              <w:rPr>
                <w:rFonts w:hint="default" w:ascii="Times New Roman" w:hAnsi="Times New Roman" w:eastAsia="宋体"/>
                <w:kern w:val="0"/>
                <w:szCs w:val="21"/>
                <w:lang w:bidi="ar"/>
              </w:rPr>
              <w:t>比色法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18.2</w:t>
            </w:r>
            <w:r>
              <w:rPr>
                <w:rFonts w:hint="default" w:ascii="Times New Roman" w:hAnsi="Times New Roman" w:eastAsia="宋体"/>
                <w:kern w:val="0"/>
                <w:szCs w:val="21"/>
                <w:lang w:bidi="ar"/>
              </w:rPr>
              <w:t>土壤有效硼的测定</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38-2  </w:t>
            </w:r>
            <w:r>
              <w:rPr>
                <w:rFonts w:hint="default" w:ascii="Times New Roman" w:hAnsi="Times New Roman" w:eastAsia="宋体"/>
                <w:kern w:val="0"/>
                <w:szCs w:val="21"/>
                <w:lang w:bidi="ar"/>
              </w:rPr>
              <w:t>沸水提取－姜黄素－比色法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18.2</w:t>
            </w:r>
            <w:r>
              <w:rPr>
                <w:rFonts w:hint="default" w:ascii="Times New Roman" w:hAnsi="Times New Roman" w:eastAsia="宋体"/>
                <w:kern w:val="0"/>
                <w:szCs w:val="21"/>
                <w:lang w:bidi="ar"/>
              </w:rPr>
              <w:t>土壤有效硼的测定</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39</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有效钼</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39-1  </w:t>
            </w:r>
            <w:r>
              <w:rPr>
                <w:rFonts w:hint="default" w:ascii="Times New Roman" w:hAnsi="Times New Roman" w:eastAsia="宋体"/>
                <w:kern w:val="0"/>
                <w:szCs w:val="21"/>
                <w:lang w:bidi="ar"/>
              </w:rPr>
              <w:t>草酸－草酸铵浸提－示波极谱法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9</w:t>
            </w:r>
            <w:r>
              <w:rPr>
                <w:rFonts w:hint="default" w:ascii="Times New Roman" w:hAnsi="Times New Roman" w:eastAsia="宋体"/>
                <w:kern w:val="0"/>
                <w:szCs w:val="21"/>
                <w:lang w:bidi="ar"/>
              </w:rPr>
              <w:t>部分：土壤有效钼的测定》（</w:t>
            </w:r>
            <w:r>
              <w:rPr>
                <w:rFonts w:ascii="Times New Roman" w:hAnsi="Times New Roman" w:eastAsia="宋体"/>
                <w:kern w:val="0"/>
                <w:szCs w:val="21"/>
                <w:lang w:bidi="ar"/>
              </w:rPr>
              <w:t>NY/T 1121.9</w:t>
            </w:r>
            <w:r>
              <w:rPr>
                <w:rFonts w:hint="default" w:ascii="Times New Roman" w:hAnsi="Times New Roman" w:eastAsia="宋体"/>
                <w:kern w:val="0"/>
                <w:szCs w:val="21"/>
                <w:lang w:bidi="ar"/>
              </w:rPr>
              <w:t>－</w:t>
            </w:r>
            <w:r>
              <w:rPr>
                <w:rFonts w:ascii="Times New Roman" w:hAnsi="Times New Roman" w:eastAsia="宋体"/>
                <w:kern w:val="0"/>
                <w:szCs w:val="21"/>
                <w:lang w:bidi="ar"/>
              </w:rPr>
              <w:t>2012</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39-2  </w:t>
            </w:r>
            <w:r>
              <w:rPr>
                <w:rFonts w:hint="default" w:ascii="Times New Roman" w:hAnsi="Times New Roman" w:eastAsia="宋体"/>
                <w:kern w:val="0"/>
                <w:szCs w:val="21"/>
                <w:lang w:bidi="ar"/>
              </w:rPr>
              <w:t>草酸－草酸铵浸提－电感耦合等离子体质谱法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《土壤检测</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9</w:t>
            </w:r>
            <w:r>
              <w:rPr>
                <w:rFonts w:hint="default" w:ascii="Times New Roman" w:hAnsi="Times New Roman" w:eastAsia="宋体"/>
                <w:kern w:val="0"/>
                <w:szCs w:val="21"/>
                <w:lang w:bidi="ar"/>
              </w:rPr>
              <w:t>部分：土壤有效钼的测定》（</w:t>
            </w:r>
            <w:r>
              <w:rPr>
                <w:rFonts w:ascii="Times New Roman" w:hAnsi="Times New Roman" w:eastAsia="宋体"/>
                <w:kern w:val="0"/>
                <w:szCs w:val="21"/>
                <w:lang w:bidi="ar"/>
              </w:rPr>
              <w:t>NY/T 1121.9</w:t>
            </w:r>
            <w:r>
              <w:rPr>
                <w:rFonts w:hint="default" w:ascii="Times New Roman" w:hAnsi="Times New Roman" w:eastAsia="宋体"/>
                <w:kern w:val="0"/>
                <w:szCs w:val="21"/>
                <w:lang w:bidi="ar"/>
              </w:rPr>
              <w:t>报批稿）</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40</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游离铁</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40-1  </w:t>
            </w:r>
            <w:r>
              <w:rPr>
                <w:rFonts w:hint="default" w:ascii="Times New Roman" w:hAnsi="Times New Roman" w:eastAsia="宋体"/>
                <w:kern w:val="0"/>
                <w:szCs w:val="21"/>
                <w:lang w:bidi="ar"/>
              </w:rPr>
              <w:t>连二亚硫酸钠－柠檬酸钠－重碳酸钠浸提－邻菲罗啉比色法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19.1</w:t>
            </w:r>
            <w:r>
              <w:rPr>
                <w:rFonts w:hint="default" w:ascii="Times New Roman" w:hAnsi="Times New Roman" w:eastAsia="宋体"/>
                <w:kern w:val="0"/>
                <w:szCs w:val="21"/>
                <w:lang w:bidi="ar"/>
              </w:rPr>
              <w:t>游离铁（</w:t>
            </w:r>
            <w:r>
              <w:rPr>
                <w:rFonts w:ascii="Times New Roman" w:hAnsi="Times New Roman" w:eastAsia="宋体"/>
                <w:kern w:val="0"/>
                <w:szCs w:val="21"/>
                <w:lang w:bidi="ar"/>
              </w:rPr>
              <w:t>Fed</w:t>
            </w:r>
            <w:r>
              <w:rPr>
                <w:rFonts w:hint="default" w:ascii="Times New Roman" w:hAnsi="Times New Roman" w:eastAsia="宋体"/>
                <w:kern w:val="0"/>
                <w:szCs w:val="21"/>
                <w:lang w:bidi="ar"/>
              </w:rPr>
              <w:t>）的测定（</w:t>
            </w:r>
            <w:r>
              <w:rPr>
                <w:rFonts w:ascii="Times New Roman" w:hAnsi="Times New Roman" w:eastAsia="宋体"/>
                <w:kern w:val="0"/>
                <w:szCs w:val="21"/>
                <w:lang w:bidi="ar"/>
              </w:rPr>
              <w:t>DCB</w:t>
            </w:r>
            <w:r>
              <w:rPr>
                <w:rFonts w:hint="default" w:ascii="Times New Roman" w:hAnsi="Times New Roman" w:eastAsia="宋体"/>
                <w:kern w:val="0"/>
                <w:szCs w:val="21"/>
                <w:lang w:bidi="ar"/>
              </w:rPr>
              <w:t>法）</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41</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总汞</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41-1  </w:t>
            </w:r>
            <w:r>
              <w:rPr>
                <w:rFonts w:hint="default" w:ascii="Times New Roman" w:hAnsi="Times New Roman" w:eastAsia="宋体"/>
                <w:kern w:val="0"/>
                <w:szCs w:val="21"/>
                <w:lang w:bidi="ar"/>
              </w:rPr>
              <w:t>原子荧光法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《土壤质量</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总汞、总砷、总铅的测定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原子荧光法</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1</w:t>
            </w:r>
            <w:r>
              <w:rPr>
                <w:rFonts w:hint="default" w:ascii="Times New Roman" w:hAnsi="Times New Roman" w:eastAsia="宋体"/>
                <w:kern w:val="0"/>
                <w:szCs w:val="21"/>
                <w:lang w:bidi="ar"/>
              </w:rPr>
              <w:t>部分：土壤中总汞的测定》（</w:t>
            </w:r>
            <w:r>
              <w:rPr>
                <w:rFonts w:ascii="Times New Roman" w:hAnsi="Times New Roman" w:eastAsia="宋体"/>
                <w:kern w:val="0"/>
                <w:szCs w:val="21"/>
                <w:lang w:bidi="ar"/>
              </w:rPr>
              <w:t>GB/T 22105.1</w:t>
            </w:r>
            <w:r>
              <w:rPr>
                <w:rFonts w:hint="default" w:ascii="Times New Roman" w:hAnsi="Times New Roman" w:eastAsia="宋体"/>
                <w:kern w:val="0"/>
                <w:szCs w:val="21"/>
                <w:lang w:bidi="ar"/>
              </w:rPr>
              <w:t>－</w:t>
            </w:r>
            <w:r>
              <w:rPr>
                <w:rFonts w:ascii="Times New Roman" w:hAnsi="Times New Roman" w:eastAsia="宋体"/>
                <w:kern w:val="0"/>
                <w:szCs w:val="21"/>
                <w:lang w:bidi="ar"/>
              </w:rPr>
              <w:t>2008</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41-2  </w:t>
            </w:r>
            <w:r>
              <w:rPr>
                <w:rFonts w:hint="default" w:ascii="Times New Roman" w:hAnsi="Times New Roman" w:eastAsia="宋体"/>
                <w:kern w:val="0"/>
                <w:szCs w:val="21"/>
                <w:lang w:bidi="ar"/>
              </w:rPr>
              <w:t>催化热解－冷原子吸收分光光度法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总汞的测定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催化热解</w:t>
            </w:r>
            <w:r>
              <w:rPr>
                <w:rFonts w:ascii="Times New Roman" w:hAnsi="Times New Roman" w:eastAsia="宋体"/>
                <w:kern w:val="0"/>
                <w:szCs w:val="21"/>
                <w:lang w:bidi="ar"/>
              </w:rPr>
              <w:t>/</w:t>
            </w:r>
            <w:r>
              <w:rPr>
                <w:rFonts w:hint="default" w:ascii="Times New Roman" w:hAnsi="Times New Roman" w:eastAsia="宋体"/>
                <w:kern w:val="0"/>
                <w:szCs w:val="21"/>
                <w:lang w:bidi="ar"/>
              </w:rPr>
              <w:t>冷原子吸收分光光度法》（</w:t>
            </w:r>
            <w:r>
              <w:rPr>
                <w:rFonts w:ascii="Times New Roman" w:hAnsi="Times New Roman" w:eastAsia="宋体"/>
                <w:kern w:val="0"/>
                <w:szCs w:val="21"/>
                <w:lang w:bidi="ar"/>
              </w:rPr>
              <w:t>HJ 923</w:t>
            </w:r>
            <w:r>
              <w:rPr>
                <w:rFonts w:hint="default" w:ascii="Times New Roman" w:hAnsi="Times New Roman" w:eastAsia="宋体"/>
                <w:kern w:val="0"/>
                <w:szCs w:val="21"/>
                <w:lang w:bidi="ar"/>
              </w:rPr>
              <w:t>－</w:t>
            </w:r>
            <w:r>
              <w:rPr>
                <w:rFonts w:ascii="Times New Roman" w:hAnsi="Times New Roman" w:eastAsia="宋体"/>
                <w:kern w:val="0"/>
                <w:szCs w:val="21"/>
                <w:lang w:bidi="ar"/>
              </w:rPr>
              <w:t>2017</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42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总砷</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42-1  </w:t>
            </w:r>
            <w:r>
              <w:rPr>
                <w:rFonts w:hint="default" w:ascii="Times New Roman" w:hAnsi="Times New Roman" w:eastAsia="宋体"/>
                <w:kern w:val="0"/>
                <w:szCs w:val="21"/>
                <w:lang w:bidi="ar"/>
              </w:rPr>
              <w:t>原子荧光法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《土壤质量</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总汞、总砷、总铅的测定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原子荧光法</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第</w:t>
            </w:r>
            <w:r>
              <w:rPr>
                <w:rFonts w:ascii="Times New Roman" w:hAnsi="Times New Roman" w:eastAsia="宋体"/>
                <w:kern w:val="0"/>
                <w:szCs w:val="21"/>
                <w:lang w:bidi="ar"/>
              </w:rPr>
              <w:t>2</w:t>
            </w:r>
            <w:r>
              <w:rPr>
                <w:rFonts w:hint="default" w:ascii="Times New Roman" w:hAnsi="Times New Roman" w:eastAsia="宋体"/>
                <w:kern w:val="0"/>
                <w:szCs w:val="21"/>
                <w:lang w:bidi="ar"/>
              </w:rPr>
              <w:t>部分：土壤中总砷的测定》（</w:t>
            </w:r>
            <w:r>
              <w:rPr>
                <w:rFonts w:ascii="Times New Roman" w:hAnsi="Times New Roman" w:eastAsia="宋体"/>
                <w:kern w:val="0"/>
                <w:szCs w:val="21"/>
                <w:lang w:bidi="ar"/>
              </w:rPr>
              <w:t>GB/T 22105.2</w:t>
            </w:r>
            <w:r>
              <w:rPr>
                <w:rFonts w:hint="default" w:ascii="Times New Roman" w:hAnsi="Times New Roman" w:eastAsia="宋体"/>
                <w:kern w:val="0"/>
                <w:szCs w:val="21"/>
                <w:lang w:bidi="ar"/>
              </w:rPr>
              <w:t>－</w:t>
            </w:r>
            <w:r>
              <w:rPr>
                <w:rFonts w:ascii="Times New Roman" w:hAnsi="Times New Roman" w:eastAsia="宋体"/>
                <w:kern w:val="0"/>
                <w:szCs w:val="21"/>
                <w:lang w:bidi="ar"/>
              </w:rPr>
              <w:t>2008</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43</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总铅</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43-1  </w:t>
            </w:r>
            <w:r>
              <w:rPr>
                <w:rFonts w:hint="default" w:ascii="Times New Roman" w:hAnsi="Times New Roman" w:eastAsia="宋体"/>
                <w:kern w:val="0"/>
                <w:szCs w:val="21"/>
                <w:lang w:bidi="ar"/>
              </w:rPr>
              <w:t>电感耦合等离子体质谱法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电感耦合等离子体质谱法》（</w:t>
            </w:r>
            <w:r>
              <w:rPr>
                <w:rFonts w:ascii="Times New Roman" w:hAnsi="Times New Roman" w:eastAsia="宋体"/>
                <w:kern w:val="0"/>
                <w:szCs w:val="21"/>
                <w:lang w:bidi="ar"/>
              </w:rPr>
              <w:t>HJ 766</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43-2  </w:t>
            </w:r>
            <w:r>
              <w:rPr>
                <w:rFonts w:hint="default" w:ascii="Times New Roman" w:hAnsi="Times New Roman" w:eastAsia="宋体"/>
                <w:kern w:val="0"/>
                <w:szCs w:val="21"/>
                <w:lang w:bidi="ar"/>
              </w:rPr>
              <w:t>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43-3  </w:t>
            </w:r>
            <w:r>
              <w:rPr>
                <w:rFonts w:hint="default" w:ascii="Times New Roman" w:hAnsi="Times New Roman" w:eastAsia="宋体"/>
                <w:kern w:val="0"/>
                <w:szCs w:val="21"/>
                <w:lang w:bidi="ar"/>
              </w:rPr>
              <w:t>石墨炉原子吸收分光光度法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《土壤质量</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铅、镉的测定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石墨炉原子吸收分光光度法》（</w:t>
            </w:r>
            <w:r>
              <w:rPr>
                <w:rFonts w:ascii="Times New Roman" w:hAnsi="Times New Roman" w:eastAsia="宋体"/>
                <w:kern w:val="0"/>
                <w:szCs w:val="21"/>
                <w:lang w:bidi="ar"/>
              </w:rPr>
              <w:t>GB/T 17141</w:t>
            </w:r>
            <w:r>
              <w:rPr>
                <w:rFonts w:hint="default" w:ascii="Times New Roman" w:hAnsi="Times New Roman" w:eastAsia="宋体"/>
                <w:kern w:val="0"/>
                <w:szCs w:val="21"/>
                <w:lang w:bidi="ar"/>
              </w:rPr>
              <w:t>－</w:t>
            </w:r>
            <w:r>
              <w:rPr>
                <w:rFonts w:ascii="Times New Roman" w:hAnsi="Times New Roman" w:eastAsia="宋体"/>
                <w:kern w:val="0"/>
                <w:szCs w:val="21"/>
                <w:lang w:bidi="ar"/>
              </w:rPr>
              <w:t>1997</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43-4  </w:t>
            </w:r>
            <w:r>
              <w:rPr>
                <w:rFonts w:hint="default" w:ascii="Times New Roman" w:hAnsi="Times New Roman" w:eastAsia="宋体"/>
                <w:kern w:val="0"/>
                <w:szCs w:val="21"/>
                <w:lang w:bidi="ar"/>
              </w:rPr>
              <w:t>火焰原子吸收分光光度法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铜、锌、铅、镍、铬的测定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火焰原子吸收分光光度法》（</w:t>
            </w:r>
            <w:r>
              <w:rPr>
                <w:rFonts w:ascii="Times New Roman" w:hAnsi="Times New Roman" w:eastAsia="宋体"/>
                <w:kern w:val="0"/>
                <w:szCs w:val="21"/>
                <w:lang w:bidi="ar"/>
              </w:rPr>
              <w:t>HJ 491</w:t>
            </w:r>
            <w:r>
              <w:rPr>
                <w:rFonts w:hint="default" w:ascii="Times New Roman" w:hAnsi="Times New Roman" w:eastAsia="宋体"/>
                <w:kern w:val="0"/>
                <w:szCs w:val="21"/>
                <w:lang w:bidi="ar"/>
              </w:rPr>
              <w:t>－</w:t>
            </w:r>
            <w:r>
              <w:rPr>
                <w:rFonts w:ascii="Times New Roman" w:hAnsi="Times New Roman" w:eastAsia="宋体"/>
                <w:kern w:val="0"/>
                <w:szCs w:val="21"/>
                <w:lang w:bidi="ar"/>
              </w:rPr>
              <w:t>2019</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44</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总镉</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44-1  </w:t>
            </w:r>
            <w:r>
              <w:rPr>
                <w:rFonts w:hint="default" w:ascii="Times New Roman" w:hAnsi="Times New Roman" w:eastAsia="宋体"/>
                <w:kern w:val="0"/>
                <w:szCs w:val="21"/>
                <w:lang w:bidi="ar"/>
              </w:rPr>
              <w:t>石墨炉原子吸收分光光度法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《土壤质量</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铅、镉的测定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石墨炉原子吸收分光光度法》（</w:t>
            </w:r>
            <w:r>
              <w:rPr>
                <w:rFonts w:ascii="Times New Roman" w:hAnsi="Times New Roman" w:eastAsia="宋体"/>
                <w:kern w:val="0"/>
                <w:szCs w:val="21"/>
                <w:lang w:bidi="ar"/>
              </w:rPr>
              <w:t>GB/T 17141</w:t>
            </w:r>
            <w:r>
              <w:rPr>
                <w:rFonts w:hint="default" w:ascii="Times New Roman" w:hAnsi="Times New Roman" w:eastAsia="宋体"/>
                <w:kern w:val="0"/>
                <w:szCs w:val="21"/>
                <w:lang w:bidi="ar"/>
              </w:rPr>
              <w:t>－</w:t>
            </w:r>
            <w:r>
              <w:rPr>
                <w:rFonts w:ascii="Times New Roman" w:hAnsi="Times New Roman" w:eastAsia="宋体"/>
                <w:kern w:val="0"/>
                <w:szCs w:val="21"/>
                <w:lang w:bidi="ar"/>
              </w:rPr>
              <w:t>1997</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44-2  </w:t>
            </w:r>
            <w:r>
              <w:rPr>
                <w:rFonts w:hint="default" w:ascii="Times New Roman" w:hAnsi="Times New Roman" w:eastAsia="宋体"/>
                <w:kern w:val="0"/>
                <w:szCs w:val="21"/>
                <w:lang w:bidi="ar"/>
              </w:rPr>
              <w:t>电感耦合等离子体质谱法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电感耦合等离子体质谱法》（</w:t>
            </w:r>
            <w:r>
              <w:rPr>
                <w:rFonts w:ascii="Times New Roman" w:hAnsi="Times New Roman" w:eastAsia="宋体"/>
                <w:kern w:val="0"/>
                <w:szCs w:val="21"/>
                <w:lang w:bidi="ar"/>
              </w:rPr>
              <w:t>HJ 766</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45</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总铬</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45-1  </w:t>
            </w:r>
            <w:r>
              <w:rPr>
                <w:rFonts w:hint="default" w:ascii="Times New Roman" w:hAnsi="Times New Roman" w:eastAsia="宋体"/>
                <w:kern w:val="0"/>
                <w:szCs w:val="21"/>
                <w:lang w:bidi="ar"/>
              </w:rPr>
              <w:t>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45-2  </w:t>
            </w:r>
            <w:r>
              <w:rPr>
                <w:rFonts w:hint="default" w:ascii="Times New Roman" w:hAnsi="Times New Roman" w:eastAsia="宋体"/>
                <w:kern w:val="0"/>
                <w:szCs w:val="21"/>
                <w:lang w:bidi="ar"/>
              </w:rPr>
              <w:t>电感耦合等离子体质谱法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电感耦合等离子体质谱法》（</w:t>
            </w:r>
            <w:r>
              <w:rPr>
                <w:rFonts w:ascii="Times New Roman" w:hAnsi="Times New Roman" w:eastAsia="宋体"/>
                <w:kern w:val="0"/>
                <w:szCs w:val="21"/>
                <w:lang w:bidi="ar"/>
              </w:rPr>
              <w:t>HJ 766</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45-3  </w:t>
            </w:r>
            <w:r>
              <w:rPr>
                <w:rFonts w:hint="default" w:ascii="Times New Roman" w:hAnsi="Times New Roman" w:eastAsia="宋体"/>
                <w:kern w:val="0"/>
                <w:szCs w:val="21"/>
                <w:lang w:bidi="ar"/>
              </w:rPr>
              <w:t>火焰原子吸收分光光度法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铜、锌、铅、镍、铬的测定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火焰原子吸收分光光度法》（</w:t>
            </w:r>
            <w:r>
              <w:rPr>
                <w:rFonts w:ascii="Times New Roman" w:hAnsi="Times New Roman" w:eastAsia="宋体"/>
                <w:kern w:val="0"/>
                <w:szCs w:val="21"/>
                <w:lang w:bidi="ar"/>
              </w:rPr>
              <w:t>HJ 491</w:t>
            </w:r>
            <w:r>
              <w:rPr>
                <w:rFonts w:hint="default" w:ascii="Times New Roman" w:hAnsi="Times New Roman" w:eastAsia="宋体"/>
                <w:kern w:val="0"/>
                <w:szCs w:val="21"/>
                <w:lang w:bidi="ar"/>
              </w:rPr>
              <w:t>－</w:t>
            </w:r>
            <w:r>
              <w:rPr>
                <w:rFonts w:ascii="Times New Roman" w:hAnsi="Times New Roman" w:eastAsia="宋体"/>
                <w:kern w:val="0"/>
                <w:szCs w:val="21"/>
                <w:lang w:bidi="ar"/>
              </w:rPr>
              <w:t>2019</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ascii="Times New Roman" w:hAnsi="Times New Roman" w:eastAsia="宋体"/>
                <w:kern w:val="0"/>
                <w:szCs w:val="21"/>
                <w:lang w:bidi="ar"/>
              </w:rPr>
              <w:t>46</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szCs w:val="21"/>
              </w:rPr>
            </w:pPr>
            <w:r>
              <w:rPr>
                <w:rFonts w:hint="default" w:ascii="Times New Roman" w:hAnsi="Times New Roman" w:eastAsia="宋体"/>
                <w:kern w:val="0"/>
                <w:szCs w:val="21"/>
                <w:lang w:bidi="ar"/>
              </w:rPr>
              <w:t>总镍</w:t>
            </w: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46-1  </w:t>
            </w:r>
            <w:r>
              <w:rPr>
                <w:rFonts w:hint="default" w:ascii="Times New Roman" w:hAnsi="Times New Roman" w:eastAsia="宋体"/>
                <w:kern w:val="0"/>
                <w:szCs w:val="21"/>
                <w:lang w:bidi="ar"/>
              </w:rPr>
              <w:t>电感耦合等离子体发射光谱法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46-2  </w:t>
            </w:r>
            <w:r>
              <w:rPr>
                <w:rFonts w:hint="default" w:ascii="Times New Roman" w:hAnsi="Times New Roman" w:eastAsia="宋体"/>
                <w:kern w:val="0"/>
                <w:szCs w:val="21"/>
                <w:lang w:bidi="ar"/>
              </w:rPr>
              <w:t>电感耦合等离子体质谱法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电感耦合等离子体质谱法》（</w:t>
            </w:r>
            <w:r>
              <w:rPr>
                <w:rFonts w:ascii="Times New Roman" w:hAnsi="Times New Roman" w:eastAsia="宋体"/>
                <w:kern w:val="0"/>
                <w:szCs w:val="21"/>
                <w:lang w:bidi="ar"/>
              </w:rPr>
              <w:t>HJ 766</w:t>
            </w:r>
            <w:r>
              <w:rPr>
                <w:rFonts w:hint="default" w:ascii="Times New Roman" w:hAnsi="Times New Roman" w:eastAsia="宋体"/>
                <w:kern w:val="0"/>
                <w:szCs w:val="21"/>
                <w:lang w:bidi="ar"/>
              </w:rPr>
              <w:t>－</w:t>
            </w:r>
            <w:r>
              <w:rPr>
                <w:rFonts w:ascii="Times New Roman" w:hAnsi="Times New Roman" w:eastAsia="宋体"/>
                <w:kern w:val="0"/>
                <w:szCs w:val="21"/>
                <w:lang w:bidi="ar"/>
              </w:rPr>
              <w:t>2015</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90" w:hRule="atLeast"/>
        </w:trPr>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szCs w:val="21"/>
              </w:rPr>
            </w:pPr>
          </w:p>
        </w:tc>
        <w:tc>
          <w:tcPr>
            <w:tcW w:w="45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ascii="Times New Roman" w:hAnsi="Times New Roman" w:eastAsia="宋体"/>
                <w:kern w:val="0"/>
                <w:szCs w:val="21"/>
                <w:lang w:bidi="ar"/>
              </w:rPr>
              <w:t xml:space="preserve">46-3  </w:t>
            </w:r>
            <w:r>
              <w:rPr>
                <w:rFonts w:hint="default" w:ascii="Times New Roman" w:hAnsi="Times New Roman" w:eastAsia="宋体"/>
                <w:kern w:val="0"/>
                <w:szCs w:val="21"/>
                <w:lang w:bidi="ar"/>
              </w:rPr>
              <w:t>火焰原子吸收分光光度法</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铜、锌、铅、镍、铬的测定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火焰原子吸收分光光度法》（</w:t>
            </w:r>
            <w:r>
              <w:rPr>
                <w:rFonts w:ascii="Times New Roman" w:hAnsi="Times New Roman" w:eastAsia="宋体"/>
                <w:kern w:val="0"/>
                <w:szCs w:val="21"/>
                <w:lang w:bidi="ar"/>
              </w:rPr>
              <w:t>HJ 491</w:t>
            </w:r>
            <w:r>
              <w:rPr>
                <w:rFonts w:hint="default" w:ascii="Times New Roman" w:hAnsi="Times New Roman" w:eastAsia="宋体"/>
                <w:kern w:val="0"/>
                <w:szCs w:val="21"/>
                <w:lang w:bidi="ar"/>
              </w:rPr>
              <w:t>－</w:t>
            </w:r>
            <w:r>
              <w:rPr>
                <w:rFonts w:ascii="Times New Roman" w:hAnsi="Times New Roman" w:eastAsia="宋体"/>
                <w:kern w:val="0"/>
                <w:szCs w:val="21"/>
                <w:lang w:bidi="ar"/>
              </w:rPr>
              <w:t>2019</w:t>
            </w:r>
            <w:r>
              <w:rPr>
                <w:rFonts w:hint="default" w:ascii="Times New Roman" w:hAnsi="Times New Roman" w:eastAsia="宋体"/>
                <w:kern w:val="0"/>
                <w:szCs w:val="21"/>
                <w:lang w:bidi="ar"/>
              </w:rPr>
              <w:t>）</w:t>
            </w:r>
          </w:p>
        </w:tc>
      </w:tr>
    </w:tbl>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sz w:val="28"/>
          <w:szCs w:val="28"/>
          <w:lang w:val="en-US" w:eastAsia="zh-CN"/>
        </w:rPr>
      </w:pPr>
      <w:r>
        <w:rPr>
          <w:rFonts w:hint="eastAsia"/>
          <w:sz w:val="28"/>
          <w:szCs w:val="28"/>
          <w:lang w:val="en-US" w:eastAsia="zh-CN"/>
        </w:rPr>
        <w:t>2、林地草地土壤理化性状检测指标及方法</w:t>
      </w:r>
    </w:p>
    <w:tbl>
      <w:tblPr>
        <w:tblStyle w:val="38"/>
        <w:tblW w:w="0" w:type="auto"/>
        <w:tblInd w:w="0" w:type="dxa"/>
        <w:tblLayout w:type="fixed"/>
        <w:tblCellMar>
          <w:top w:w="0" w:type="dxa"/>
          <w:left w:w="108" w:type="dxa"/>
          <w:bottom w:w="0" w:type="dxa"/>
          <w:right w:w="108" w:type="dxa"/>
        </w:tblCellMar>
      </w:tblPr>
      <w:tblGrid>
        <w:gridCol w:w="1121"/>
        <w:gridCol w:w="2639"/>
        <w:gridCol w:w="4382"/>
        <w:gridCol w:w="6026"/>
      </w:tblGrid>
      <w:tr>
        <w:tblPrEx>
          <w:tblCellMar>
            <w:top w:w="0" w:type="dxa"/>
            <w:left w:w="108" w:type="dxa"/>
            <w:bottom w:w="0" w:type="dxa"/>
            <w:right w:w="108" w:type="dxa"/>
          </w:tblCellMar>
        </w:tblPrEx>
        <w:trPr>
          <w:trHeight w:val="381" w:hRule="atLeast"/>
          <w:tblHeader/>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s="Times New Roman"/>
                <w:bCs/>
                <w:color w:val="000000"/>
                <w:szCs w:val="21"/>
              </w:rPr>
            </w:pPr>
            <w:r>
              <w:rPr>
                <w:rFonts w:hint="default" w:ascii="Times New Roman" w:hAnsi="Times New Roman" w:eastAsia="宋体" w:cs="Times New Roman"/>
                <w:bCs/>
                <w:color w:val="000000"/>
                <w:kern w:val="0"/>
                <w:szCs w:val="21"/>
                <w:lang w:bidi="ar"/>
              </w:rPr>
              <w:t>序号</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s="Times New Roman"/>
                <w:bCs/>
                <w:color w:val="000000"/>
                <w:szCs w:val="21"/>
              </w:rPr>
            </w:pPr>
            <w:r>
              <w:rPr>
                <w:rFonts w:hint="default" w:ascii="Times New Roman" w:hAnsi="Times New Roman" w:eastAsia="宋体" w:cs="Times New Roman"/>
                <w:bCs/>
                <w:color w:val="000000"/>
                <w:kern w:val="0"/>
                <w:szCs w:val="21"/>
                <w:lang w:bidi="ar"/>
              </w:rPr>
              <w:t>指标</w:t>
            </w:r>
          </w:p>
        </w:tc>
        <w:tc>
          <w:tcPr>
            <w:tcW w:w="43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s="Times New Roman"/>
                <w:bCs/>
                <w:color w:val="000000"/>
                <w:szCs w:val="21"/>
              </w:rPr>
            </w:pPr>
            <w:r>
              <w:rPr>
                <w:rFonts w:hint="default" w:ascii="Times New Roman" w:hAnsi="Times New Roman" w:eastAsia="宋体" w:cs="Times New Roman"/>
                <w:bCs/>
                <w:color w:val="000000"/>
                <w:kern w:val="0"/>
                <w:szCs w:val="21"/>
                <w:lang w:bidi="ar"/>
              </w:rPr>
              <w:t>方法</w:t>
            </w:r>
          </w:p>
        </w:tc>
        <w:tc>
          <w:tcPr>
            <w:tcW w:w="60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s="Times New Roman"/>
                <w:bCs/>
                <w:color w:val="000000"/>
                <w:szCs w:val="21"/>
              </w:rPr>
            </w:pPr>
            <w:r>
              <w:rPr>
                <w:rFonts w:hint="default" w:ascii="Times New Roman" w:hAnsi="Times New Roman" w:eastAsia="宋体" w:cs="Times New Roman"/>
                <w:bCs/>
                <w:color w:val="000000"/>
                <w:kern w:val="0"/>
                <w:szCs w:val="21"/>
                <w:lang w:bidi="ar"/>
              </w:rPr>
              <w:t>标准或规范</w:t>
            </w:r>
          </w:p>
        </w:tc>
      </w:tr>
      <w:tr>
        <w:tblPrEx>
          <w:tblCellMar>
            <w:top w:w="0" w:type="dxa"/>
            <w:left w:w="108" w:type="dxa"/>
            <w:bottom w:w="0" w:type="dxa"/>
            <w:right w:w="108" w:type="dxa"/>
          </w:tblCellMar>
        </w:tblPrEx>
        <w:trPr>
          <w:trHeight w:val="381" w:hRule="atLeast"/>
          <w:tblHeader/>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s="Times New Roman"/>
                <w:b/>
                <w:bCs/>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s="Times New Roman"/>
                <w:b/>
                <w:bCs/>
                <w:color w:val="000000"/>
                <w:szCs w:val="21"/>
              </w:rPr>
            </w:pPr>
          </w:p>
        </w:tc>
        <w:tc>
          <w:tcPr>
            <w:tcW w:w="438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s="Times New Roman"/>
                <w:b/>
                <w:bCs/>
                <w:color w:val="000000"/>
                <w:szCs w:val="21"/>
              </w:rPr>
            </w:pPr>
          </w:p>
        </w:tc>
        <w:tc>
          <w:tcPr>
            <w:tcW w:w="60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s="Times New Roman"/>
                <w:b/>
                <w:bCs/>
                <w:color w:val="000000"/>
                <w:szCs w:val="21"/>
              </w:rPr>
            </w:pPr>
          </w:p>
        </w:tc>
      </w:tr>
      <w:tr>
        <w:tblPrEx>
          <w:tblCellMar>
            <w:top w:w="0" w:type="dxa"/>
            <w:left w:w="108" w:type="dxa"/>
            <w:bottom w:w="0" w:type="dxa"/>
            <w:right w:w="108" w:type="dxa"/>
          </w:tblCellMar>
        </w:tblPrEx>
        <w:trPr>
          <w:trHeight w:val="624"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土壤容重</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1-1  </w:t>
            </w:r>
            <w:r>
              <w:rPr>
                <w:rFonts w:hint="default" w:ascii="Times New Roman" w:hAnsi="Times New Roman" w:eastAsia="宋体"/>
                <w:color w:val="000000"/>
                <w:kern w:val="0"/>
                <w:szCs w:val="21"/>
                <w:lang w:bidi="ar"/>
              </w:rPr>
              <w:t>环刀法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《土壤检测</w:t>
            </w:r>
            <w:r>
              <w:rPr>
                <w:rFonts w:ascii="Times New Roman" w:hAnsi="Times New Roman" w:eastAsia="宋体"/>
                <w:color w:val="000000"/>
                <w:kern w:val="0"/>
                <w:szCs w:val="21"/>
                <w:lang w:bidi="ar"/>
              </w:rPr>
              <w:t xml:space="preserve"> </w:t>
            </w:r>
            <w:r>
              <w:rPr>
                <w:rFonts w:hint="default" w:ascii="Times New Roman" w:hAnsi="Times New Roman" w:eastAsia="宋体"/>
                <w:color w:val="000000"/>
                <w:kern w:val="0"/>
                <w:szCs w:val="21"/>
                <w:lang w:bidi="ar"/>
              </w:rPr>
              <w:t>第</w:t>
            </w:r>
            <w:r>
              <w:rPr>
                <w:rFonts w:ascii="Times New Roman" w:hAnsi="Times New Roman" w:eastAsia="宋体"/>
                <w:color w:val="000000"/>
                <w:kern w:val="0"/>
                <w:szCs w:val="21"/>
                <w:lang w:bidi="ar"/>
              </w:rPr>
              <w:t>4</w:t>
            </w:r>
            <w:r>
              <w:rPr>
                <w:rFonts w:hint="default" w:ascii="Times New Roman" w:hAnsi="Times New Roman" w:eastAsia="宋体"/>
                <w:color w:val="000000"/>
                <w:kern w:val="0"/>
                <w:szCs w:val="21"/>
                <w:lang w:bidi="ar"/>
              </w:rPr>
              <w:t>部分：土壤容重的测定》（</w:t>
            </w:r>
            <w:r>
              <w:rPr>
                <w:rFonts w:ascii="Times New Roman" w:hAnsi="Times New Roman" w:eastAsia="宋体"/>
                <w:color w:val="000000"/>
                <w:kern w:val="0"/>
                <w:szCs w:val="21"/>
                <w:lang w:bidi="ar"/>
              </w:rPr>
              <w:t>NY/T 1121.4</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2006</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2</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机械组成</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kern w:val="0"/>
                <w:szCs w:val="21"/>
                <w:lang w:bidi="ar"/>
              </w:rPr>
            </w:pPr>
            <w:r>
              <w:rPr>
                <w:rFonts w:ascii="Times New Roman" w:hAnsi="Times New Roman" w:eastAsia="宋体"/>
                <w:color w:val="000000"/>
                <w:kern w:val="0"/>
                <w:szCs w:val="21"/>
                <w:lang w:bidi="ar"/>
              </w:rPr>
              <w:t>2-1  吸管法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kern w:val="0"/>
                <w:szCs w:val="21"/>
                <w:lang w:bidi="ar"/>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5.1</w:t>
            </w:r>
            <w:r>
              <w:rPr>
                <w:rFonts w:hint="default" w:ascii="Times New Roman" w:hAnsi="Times New Roman" w:eastAsia="宋体"/>
                <w:kern w:val="0"/>
                <w:szCs w:val="21"/>
                <w:lang w:bidi="ar"/>
              </w:rPr>
              <w:t>吸管法</w:t>
            </w:r>
          </w:p>
        </w:tc>
      </w:tr>
      <w:tr>
        <w:tblPrEx>
          <w:tblCellMar>
            <w:top w:w="0" w:type="dxa"/>
            <w:left w:w="108" w:type="dxa"/>
            <w:bottom w:w="0" w:type="dxa"/>
            <w:right w:w="108" w:type="dxa"/>
          </w:tblCellMar>
        </w:tblPrEx>
        <w:trPr>
          <w:trHeight w:val="624"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kern w:val="0"/>
                <w:szCs w:val="21"/>
                <w:lang w:bidi="ar"/>
              </w:rPr>
            </w:pPr>
            <w:r>
              <w:rPr>
                <w:rFonts w:ascii="Times New Roman" w:hAnsi="Times New Roman" w:eastAsia="宋体"/>
                <w:color w:val="000000"/>
                <w:kern w:val="0"/>
                <w:szCs w:val="21"/>
                <w:lang w:bidi="ar"/>
              </w:rPr>
              <w:t xml:space="preserve">2-2  </w:t>
            </w:r>
            <w:r>
              <w:rPr>
                <w:rFonts w:hint="default" w:ascii="Times New Roman" w:hAnsi="Times New Roman" w:eastAsia="宋体"/>
                <w:color w:val="000000"/>
                <w:kern w:val="0"/>
                <w:szCs w:val="21"/>
                <w:lang w:bidi="ar"/>
              </w:rPr>
              <w:t>比重计法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kern w:val="0"/>
                <w:szCs w:val="21"/>
                <w:lang w:bidi="ar"/>
              </w:rPr>
            </w:pPr>
            <w:r>
              <w:rPr>
                <w:rFonts w:hint="default" w:ascii="Times New Roman" w:hAnsi="Times New Roman" w:eastAsia="宋体"/>
                <w:kern w:val="0"/>
                <w:szCs w:val="21"/>
                <w:lang w:bidi="ar"/>
              </w:rPr>
              <w:t>《土壤分析技术规范》（第二版），</w:t>
            </w:r>
            <w:r>
              <w:rPr>
                <w:rFonts w:ascii="Times New Roman" w:hAnsi="Times New Roman" w:eastAsia="宋体"/>
                <w:kern w:val="0"/>
                <w:szCs w:val="21"/>
                <w:lang w:bidi="ar"/>
              </w:rPr>
              <w:t>5.2</w:t>
            </w:r>
            <w:r>
              <w:rPr>
                <w:rFonts w:hint="default" w:ascii="Times New Roman" w:hAnsi="Times New Roman" w:eastAsia="宋体"/>
                <w:kern w:val="0"/>
                <w:szCs w:val="21"/>
                <w:lang w:bidi="ar"/>
              </w:rPr>
              <w:t>比重计法</w:t>
            </w:r>
          </w:p>
        </w:tc>
      </w:tr>
      <w:tr>
        <w:tblPrEx>
          <w:tblCellMar>
            <w:top w:w="0" w:type="dxa"/>
            <w:left w:w="108" w:type="dxa"/>
            <w:bottom w:w="0" w:type="dxa"/>
            <w:right w:w="108" w:type="dxa"/>
          </w:tblCellMar>
        </w:tblPrEx>
        <w:trPr>
          <w:trHeight w:val="624"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3</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土壤水稳性大团聚体</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3-1  </w:t>
            </w:r>
            <w:r>
              <w:rPr>
                <w:rFonts w:hint="default" w:ascii="Times New Roman" w:hAnsi="Times New Roman" w:eastAsia="宋体"/>
                <w:color w:val="000000"/>
                <w:kern w:val="0"/>
                <w:szCs w:val="21"/>
                <w:lang w:bidi="ar"/>
              </w:rPr>
              <w:t>机械筛选法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《森林土壤大团聚体组成的测定》（</w:t>
            </w:r>
            <w:r>
              <w:rPr>
                <w:rFonts w:ascii="Times New Roman" w:hAnsi="Times New Roman" w:eastAsia="宋体"/>
                <w:color w:val="000000"/>
                <w:kern w:val="0"/>
                <w:szCs w:val="21"/>
                <w:lang w:bidi="ar"/>
              </w:rPr>
              <w:t>LY/T 1227</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578"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矿物组成</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4-1  X-</w:t>
            </w:r>
            <w:r>
              <w:rPr>
                <w:rFonts w:hint="default" w:ascii="Times New Roman" w:hAnsi="Times New Roman" w:eastAsia="宋体"/>
                <w:color w:val="000000"/>
                <w:kern w:val="0"/>
                <w:szCs w:val="21"/>
                <w:lang w:bidi="ar"/>
              </w:rPr>
              <w:t>射线衍射仪</w:t>
            </w:r>
            <w:r>
              <w:rPr>
                <w:rFonts w:ascii="Times New Roman" w:hAnsi="Times New Roman" w:eastAsia="宋体"/>
                <w:color w:val="000000"/>
                <w:kern w:val="0"/>
                <w:szCs w:val="21"/>
                <w:lang w:bidi="ar"/>
              </w:rPr>
              <w:t>XRD</w:t>
            </w:r>
            <w:r>
              <w:rPr>
                <w:rFonts w:hint="default" w:ascii="Times New Roman" w:hAnsi="Times New Roman" w:eastAsia="宋体"/>
                <w:color w:val="000000"/>
                <w:kern w:val="0"/>
                <w:szCs w:val="21"/>
                <w:lang w:bidi="ar"/>
              </w:rPr>
              <w:t>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《土壤矿物测定</w:t>
            </w:r>
            <w:r>
              <w:rPr>
                <w:rFonts w:ascii="Times New Roman" w:hAnsi="Times New Roman" w:eastAsia="宋体"/>
                <w:color w:val="000000"/>
                <w:kern w:val="0"/>
                <w:szCs w:val="21"/>
                <w:lang w:bidi="ar"/>
              </w:rPr>
              <w:t xml:space="preserve"> X</w:t>
            </w:r>
            <w:r>
              <w:rPr>
                <w:rFonts w:hint="default" w:ascii="Times New Roman" w:hAnsi="Times New Roman" w:eastAsia="宋体"/>
                <w:color w:val="000000"/>
                <w:kern w:val="0"/>
                <w:szCs w:val="21"/>
                <w:lang w:bidi="ar"/>
              </w:rPr>
              <w:t>射线衍射法》</w:t>
            </w:r>
          </w:p>
        </w:tc>
      </w:tr>
      <w:tr>
        <w:tblPrEx>
          <w:tblCellMar>
            <w:top w:w="0" w:type="dxa"/>
            <w:left w:w="108" w:type="dxa"/>
            <w:bottom w:w="0" w:type="dxa"/>
            <w:right w:w="108" w:type="dxa"/>
          </w:tblCellMar>
        </w:tblPrEx>
        <w:trPr>
          <w:trHeight w:val="70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5</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pH</w:t>
            </w:r>
            <w:r>
              <w:rPr>
                <w:rFonts w:hint="default" w:ascii="Times New Roman" w:hAnsi="Times New Roman" w:eastAsia="宋体"/>
                <w:color w:val="000000"/>
                <w:kern w:val="0"/>
                <w:szCs w:val="21"/>
                <w:lang w:bidi="ar"/>
              </w:rPr>
              <w:t>值</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5-1  </w:t>
            </w:r>
            <w:r>
              <w:rPr>
                <w:rFonts w:hint="default" w:ascii="Times New Roman" w:hAnsi="Times New Roman" w:eastAsia="宋体"/>
                <w:color w:val="000000"/>
                <w:kern w:val="0"/>
                <w:szCs w:val="21"/>
                <w:lang w:bidi="ar"/>
              </w:rPr>
              <w:t>电位法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w:t>
            </w:r>
            <w:r>
              <w:rPr>
                <w:rFonts w:ascii="Times New Roman" w:hAnsi="Times New Roman" w:eastAsia="宋体"/>
                <w:color w:val="000000"/>
                <w:kern w:val="0"/>
                <w:szCs w:val="21"/>
                <w:lang w:bidi="ar"/>
              </w:rPr>
              <w:t xml:space="preserve"> pH</w:t>
            </w:r>
            <w:r>
              <w:rPr>
                <w:rFonts w:hint="default" w:ascii="Times New Roman" w:hAnsi="Times New Roman" w:eastAsia="宋体"/>
                <w:color w:val="000000"/>
                <w:kern w:val="0"/>
                <w:szCs w:val="21"/>
                <w:lang w:bidi="ar"/>
              </w:rPr>
              <w:t>值的测定》（</w:t>
            </w:r>
            <w:r>
              <w:rPr>
                <w:rFonts w:ascii="Times New Roman" w:hAnsi="Times New Roman" w:eastAsia="宋体"/>
                <w:color w:val="000000"/>
                <w:kern w:val="0"/>
                <w:szCs w:val="21"/>
                <w:lang w:bidi="ar"/>
              </w:rPr>
              <w:t>LY/T 1239</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6</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可交换酸度</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6-1  </w:t>
            </w:r>
            <w:r>
              <w:rPr>
                <w:rFonts w:hint="default" w:ascii="Times New Roman" w:hAnsi="Times New Roman" w:eastAsia="宋体"/>
                <w:color w:val="000000"/>
                <w:kern w:val="0"/>
                <w:szCs w:val="21"/>
                <w:lang w:bidi="ar"/>
              </w:rPr>
              <w:t>氯化钾交换－中和滴定法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《森林土壤交换性酸度的测定》（</w:t>
            </w:r>
            <w:r>
              <w:rPr>
                <w:rFonts w:ascii="Times New Roman" w:hAnsi="Times New Roman" w:eastAsia="宋体"/>
                <w:color w:val="000000"/>
                <w:kern w:val="0"/>
                <w:szCs w:val="21"/>
                <w:lang w:bidi="ar"/>
              </w:rPr>
              <w:t>LY/T 1240</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7</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水解性酸度</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7-1  </w:t>
            </w:r>
            <w:r>
              <w:rPr>
                <w:rFonts w:hint="default" w:ascii="Times New Roman" w:hAnsi="Times New Roman" w:eastAsia="宋体"/>
                <w:color w:val="000000"/>
                <w:kern w:val="0"/>
                <w:szCs w:val="21"/>
                <w:lang w:bidi="ar"/>
              </w:rPr>
              <w:t>乙酸钠水解－中和滴定法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《森林土壤水解性总酸度的测定》（</w:t>
            </w:r>
            <w:r>
              <w:rPr>
                <w:rFonts w:ascii="Times New Roman" w:hAnsi="Times New Roman" w:eastAsia="宋体"/>
                <w:color w:val="000000"/>
                <w:kern w:val="0"/>
                <w:szCs w:val="21"/>
                <w:lang w:bidi="ar"/>
              </w:rPr>
              <w:t>LY/T 1241</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8</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阳离子交换量</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8-1  </w:t>
            </w:r>
            <w:r>
              <w:rPr>
                <w:rFonts w:hint="default" w:ascii="Times New Roman" w:hAnsi="Times New Roman" w:eastAsia="宋体"/>
                <w:color w:val="000000"/>
                <w:kern w:val="0"/>
                <w:szCs w:val="21"/>
                <w:lang w:bidi="ar"/>
              </w:rPr>
              <w:t>氯化铵－乙酸铵交换－容量法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《森林土壤阳离子交换量的测定》（</w:t>
            </w:r>
            <w:r>
              <w:rPr>
                <w:rFonts w:ascii="Times New Roman" w:hAnsi="Times New Roman" w:eastAsia="宋体"/>
                <w:color w:val="000000"/>
                <w:kern w:val="0"/>
                <w:szCs w:val="21"/>
                <w:lang w:bidi="ar"/>
              </w:rPr>
              <w:t>LY/T 1243</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8-2  </w:t>
            </w:r>
            <w:r>
              <w:rPr>
                <w:rFonts w:hint="default" w:ascii="Times New Roman" w:hAnsi="Times New Roman" w:eastAsia="宋体"/>
                <w:color w:val="000000"/>
                <w:kern w:val="0"/>
                <w:szCs w:val="21"/>
                <w:lang w:bidi="ar"/>
              </w:rPr>
              <w:t>乙酸铵交换－容量法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《森林土壤阳离子交换量的测定》（</w:t>
            </w:r>
            <w:r>
              <w:rPr>
                <w:rFonts w:ascii="Times New Roman" w:hAnsi="Times New Roman" w:eastAsia="宋体"/>
                <w:color w:val="000000"/>
                <w:kern w:val="0"/>
                <w:szCs w:val="21"/>
                <w:lang w:bidi="ar"/>
              </w:rPr>
              <w:t>LY/T 1243</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9</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交换性盐基总量</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9-1  </w:t>
            </w:r>
            <w:r>
              <w:rPr>
                <w:rFonts w:hint="default" w:ascii="Times New Roman" w:hAnsi="Times New Roman" w:eastAsia="宋体"/>
                <w:color w:val="000000"/>
                <w:kern w:val="0"/>
                <w:szCs w:val="21"/>
                <w:lang w:bidi="ar"/>
              </w:rPr>
              <w:t>乙酸铵交换－中和滴定法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《森林土壤交换性盐基总量的测定》（</w:t>
            </w:r>
            <w:r>
              <w:rPr>
                <w:rFonts w:ascii="Times New Roman" w:hAnsi="Times New Roman" w:eastAsia="宋体"/>
                <w:color w:val="000000"/>
                <w:kern w:val="0"/>
                <w:szCs w:val="21"/>
                <w:lang w:bidi="ar"/>
              </w:rPr>
              <w:t>LY/T 1244</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10</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有机质</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10-1  </w:t>
            </w:r>
            <w:r>
              <w:rPr>
                <w:rFonts w:hint="default" w:ascii="Times New Roman" w:hAnsi="Times New Roman" w:eastAsia="宋体"/>
                <w:color w:val="000000"/>
                <w:kern w:val="0"/>
                <w:szCs w:val="21"/>
                <w:lang w:bidi="ar"/>
              </w:rPr>
              <w:t>重铬酸钾氧化－外加热法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《森林土壤有机质的测定及碳氮比的计算》（</w:t>
            </w:r>
            <w:r>
              <w:rPr>
                <w:rFonts w:ascii="Times New Roman" w:hAnsi="Times New Roman" w:eastAsia="宋体"/>
                <w:color w:val="000000"/>
                <w:kern w:val="0"/>
                <w:szCs w:val="21"/>
                <w:lang w:bidi="ar"/>
              </w:rPr>
              <w:t>LY/T 1237</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11</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碳酸钙</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11-1  </w:t>
            </w:r>
            <w:r>
              <w:rPr>
                <w:rFonts w:hint="default" w:ascii="Times New Roman" w:hAnsi="Times New Roman" w:eastAsia="宋体"/>
                <w:color w:val="000000"/>
                <w:kern w:val="0"/>
                <w:szCs w:val="21"/>
                <w:lang w:bidi="ar"/>
              </w:rPr>
              <w:t>气量法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《土壤分析技术规范》（第二版），</w:t>
            </w:r>
            <w:r>
              <w:rPr>
                <w:rFonts w:ascii="Times New Roman" w:hAnsi="Times New Roman" w:eastAsia="宋体"/>
                <w:color w:val="000000"/>
                <w:kern w:val="0"/>
                <w:szCs w:val="21"/>
                <w:lang w:bidi="ar"/>
              </w:rPr>
              <w:t>15.1</w:t>
            </w:r>
            <w:r>
              <w:rPr>
                <w:rFonts w:hint="default" w:ascii="Times New Roman" w:hAnsi="Times New Roman" w:eastAsia="宋体"/>
                <w:color w:val="000000"/>
                <w:kern w:val="0"/>
                <w:szCs w:val="21"/>
                <w:lang w:bidi="ar"/>
              </w:rPr>
              <w:t>土壤碳酸盐的测定</w:t>
            </w:r>
          </w:p>
        </w:tc>
      </w:tr>
      <w:tr>
        <w:tblPrEx>
          <w:tblCellMar>
            <w:top w:w="0" w:type="dxa"/>
            <w:left w:w="108" w:type="dxa"/>
            <w:bottom w:w="0" w:type="dxa"/>
            <w:right w:w="108" w:type="dxa"/>
          </w:tblCellMar>
        </w:tblPrEx>
        <w:trPr>
          <w:trHeight w:val="624"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11-2  </w:t>
            </w:r>
            <w:r>
              <w:rPr>
                <w:rFonts w:hint="default" w:ascii="Times New Roman" w:hAnsi="Times New Roman" w:eastAsia="宋体"/>
                <w:color w:val="000000"/>
                <w:kern w:val="0"/>
                <w:szCs w:val="21"/>
                <w:lang w:bidi="ar"/>
              </w:rPr>
              <w:t>非水滴定法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《土壤分析技术规范》（第二版），</w:t>
            </w:r>
            <w:r>
              <w:rPr>
                <w:rFonts w:ascii="Times New Roman" w:hAnsi="Times New Roman" w:eastAsia="宋体"/>
                <w:color w:val="000000"/>
                <w:kern w:val="0"/>
                <w:szCs w:val="21"/>
                <w:lang w:bidi="ar"/>
              </w:rPr>
              <w:t>15.1</w:t>
            </w:r>
            <w:r>
              <w:rPr>
                <w:rFonts w:hint="default" w:ascii="Times New Roman" w:hAnsi="Times New Roman" w:eastAsia="宋体"/>
                <w:color w:val="000000"/>
                <w:kern w:val="0"/>
                <w:szCs w:val="21"/>
                <w:lang w:bidi="ar"/>
              </w:rPr>
              <w:t>土壤碳酸盐的测定</w:t>
            </w:r>
          </w:p>
        </w:tc>
      </w:tr>
      <w:tr>
        <w:tblPrEx>
          <w:tblCellMar>
            <w:top w:w="0" w:type="dxa"/>
            <w:left w:w="108" w:type="dxa"/>
            <w:bottom w:w="0" w:type="dxa"/>
            <w:right w:w="108" w:type="dxa"/>
          </w:tblCellMar>
        </w:tblPrEx>
        <w:trPr>
          <w:trHeight w:val="312" w:hRule="atLeas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12</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全氮</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12-1  </w:t>
            </w:r>
            <w:r>
              <w:rPr>
                <w:rFonts w:hint="default" w:ascii="Times New Roman" w:hAnsi="Times New Roman" w:eastAsia="宋体"/>
                <w:color w:val="000000"/>
                <w:kern w:val="0"/>
                <w:szCs w:val="21"/>
                <w:lang w:bidi="ar"/>
              </w:rPr>
              <w:t>凯氏定氮法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《森林土壤氮的测定》（</w:t>
            </w:r>
            <w:r>
              <w:rPr>
                <w:rFonts w:ascii="Times New Roman" w:hAnsi="Times New Roman" w:eastAsia="宋体"/>
                <w:color w:val="000000"/>
                <w:kern w:val="0"/>
                <w:szCs w:val="21"/>
                <w:lang w:bidi="ar"/>
              </w:rPr>
              <w:t>LY/T 1228</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312"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12-2  </w:t>
            </w:r>
            <w:r>
              <w:rPr>
                <w:rFonts w:hint="default" w:ascii="Times New Roman" w:hAnsi="Times New Roman" w:eastAsia="宋体"/>
                <w:color w:val="000000"/>
                <w:kern w:val="0"/>
                <w:szCs w:val="21"/>
                <w:lang w:bidi="ar"/>
              </w:rPr>
              <w:t>连续流动分析仪法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《森林土壤氮的测定》（</w:t>
            </w:r>
            <w:r>
              <w:rPr>
                <w:rFonts w:ascii="Times New Roman" w:hAnsi="Times New Roman" w:eastAsia="宋体"/>
                <w:color w:val="000000"/>
                <w:kern w:val="0"/>
                <w:szCs w:val="21"/>
                <w:lang w:bidi="ar"/>
              </w:rPr>
              <w:t>LY/T 1228</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312"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12-3  </w:t>
            </w:r>
            <w:r>
              <w:rPr>
                <w:rFonts w:hint="default" w:ascii="Times New Roman" w:hAnsi="Times New Roman" w:eastAsia="宋体"/>
                <w:color w:val="000000"/>
                <w:kern w:val="0"/>
                <w:szCs w:val="21"/>
                <w:lang w:bidi="ar"/>
              </w:rPr>
              <w:t>元素分析仪法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《森林土壤氮的测定》（</w:t>
            </w:r>
            <w:r>
              <w:rPr>
                <w:rFonts w:ascii="Times New Roman" w:hAnsi="Times New Roman" w:eastAsia="宋体"/>
                <w:color w:val="000000"/>
                <w:kern w:val="0"/>
                <w:szCs w:val="21"/>
                <w:lang w:bidi="ar"/>
              </w:rPr>
              <w:t>LY/T 1228</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00" w:hRule="atLeas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13</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全磷</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13-1  </w:t>
            </w:r>
            <w:r>
              <w:rPr>
                <w:rFonts w:hint="default" w:ascii="Times New Roman" w:hAnsi="Times New Roman" w:eastAsia="宋体"/>
                <w:color w:val="000000"/>
                <w:kern w:val="0"/>
                <w:szCs w:val="21"/>
                <w:lang w:bidi="ar"/>
              </w:rPr>
              <w:t>酸溶－钼锑抗比色法</w:t>
            </w:r>
            <w:r>
              <w:rPr>
                <w:rFonts w:ascii="Times New Roman" w:hAnsi="Times New Roman" w:eastAsia="宋体"/>
                <w:color w:val="000000"/>
                <w:kern w:val="0"/>
                <w:szCs w:val="21"/>
                <w:lang w:bidi="ar"/>
              </w:rPr>
              <w:t>/</w:t>
            </w:r>
            <w:r>
              <w:rPr>
                <w:rFonts w:hint="default" w:ascii="Times New Roman" w:hAnsi="Times New Roman" w:eastAsia="宋体"/>
                <w:color w:val="000000"/>
                <w:kern w:val="0"/>
                <w:szCs w:val="21"/>
                <w:lang w:bidi="ar"/>
              </w:rPr>
              <w:t>电感耦合等离子体发射光谱法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《森林土壤磷的测定》（</w:t>
            </w:r>
            <w:r>
              <w:rPr>
                <w:rFonts w:ascii="Times New Roman" w:hAnsi="Times New Roman" w:eastAsia="宋体"/>
                <w:color w:val="000000"/>
                <w:kern w:val="0"/>
                <w:szCs w:val="21"/>
                <w:lang w:bidi="ar"/>
              </w:rPr>
              <w:t>LY/T 1232</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00"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13-2  </w:t>
            </w:r>
            <w:r>
              <w:rPr>
                <w:rFonts w:hint="default" w:ascii="Times New Roman" w:hAnsi="Times New Roman" w:eastAsia="宋体"/>
                <w:color w:val="000000"/>
                <w:kern w:val="0"/>
                <w:szCs w:val="21"/>
                <w:lang w:bidi="ar"/>
              </w:rPr>
              <w:t>碱熔－钼锑抗比色法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《森林土壤磷的测定》（</w:t>
            </w:r>
            <w:r>
              <w:rPr>
                <w:rFonts w:ascii="Times New Roman" w:hAnsi="Times New Roman" w:eastAsia="宋体"/>
                <w:color w:val="000000"/>
                <w:kern w:val="0"/>
                <w:szCs w:val="21"/>
                <w:lang w:bidi="ar"/>
              </w:rPr>
              <w:t>LY/T 1232</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00" w:hRule="atLeas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14</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全钾</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14-1  </w:t>
            </w:r>
            <w:r>
              <w:rPr>
                <w:rStyle w:val="150"/>
                <w:rFonts w:hint="default" w:ascii="Times New Roman" w:hAnsi="Times New Roman" w:eastAsia="宋体" w:cs="Times New Roman"/>
                <w:lang w:bidi="ar"/>
              </w:rPr>
              <w:t>酸溶－火焰光度法</w:t>
            </w:r>
            <w:r>
              <w:rPr>
                <w:rFonts w:ascii="Times New Roman" w:hAnsi="Times New Roman" w:eastAsia="宋体"/>
                <w:color w:val="000000"/>
                <w:kern w:val="0"/>
                <w:szCs w:val="21"/>
                <w:lang w:bidi="ar"/>
              </w:rPr>
              <w:t>/</w:t>
            </w:r>
            <w:r>
              <w:rPr>
                <w:rStyle w:val="150"/>
                <w:rFonts w:hint="default" w:ascii="Times New Roman" w:hAnsi="Times New Roman" w:eastAsia="宋体" w:cs="Times New Roman"/>
                <w:lang w:bidi="ar"/>
              </w:rPr>
              <w:t>原子吸收分光光度法</w:t>
            </w:r>
            <w:r>
              <w:rPr>
                <w:rFonts w:ascii="Times New Roman" w:hAnsi="Times New Roman" w:eastAsia="宋体"/>
                <w:color w:val="000000"/>
                <w:kern w:val="0"/>
                <w:szCs w:val="21"/>
                <w:lang w:bidi="ar"/>
              </w:rPr>
              <w:t>/</w:t>
            </w:r>
            <w:r>
              <w:rPr>
                <w:rStyle w:val="150"/>
                <w:rFonts w:hint="default" w:ascii="Times New Roman" w:hAnsi="Times New Roman" w:eastAsia="宋体" w:cs="Times New Roman"/>
                <w:lang w:bidi="ar"/>
              </w:rPr>
              <w:t>电感耦合等离子体发射光谱法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《森林土壤钾的测定》（</w:t>
            </w:r>
            <w:r>
              <w:rPr>
                <w:rFonts w:ascii="Times New Roman" w:hAnsi="Times New Roman" w:eastAsia="宋体"/>
                <w:color w:val="000000"/>
                <w:kern w:val="0"/>
                <w:szCs w:val="21"/>
                <w:lang w:bidi="ar"/>
              </w:rPr>
              <w:t>LY/T 1234</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00"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14-2  </w:t>
            </w:r>
            <w:r>
              <w:rPr>
                <w:rStyle w:val="150"/>
                <w:rFonts w:hint="default" w:ascii="Times New Roman" w:hAnsi="Times New Roman" w:eastAsia="宋体" w:cs="Times New Roman"/>
                <w:lang w:bidi="ar"/>
              </w:rPr>
              <w:t>碱熔－火焰光度法</w:t>
            </w:r>
            <w:r>
              <w:rPr>
                <w:rFonts w:ascii="Times New Roman" w:hAnsi="Times New Roman" w:eastAsia="宋体"/>
                <w:color w:val="000000"/>
                <w:kern w:val="0"/>
                <w:szCs w:val="21"/>
                <w:lang w:bidi="ar"/>
              </w:rPr>
              <w:t>/</w:t>
            </w:r>
            <w:r>
              <w:rPr>
                <w:rStyle w:val="150"/>
                <w:rFonts w:hint="default" w:ascii="Times New Roman" w:hAnsi="Times New Roman" w:eastAsia="宋体" w:cs="Times New Roman"/>
                <w:lang w:bidi="ar"/>
              </w:rPr>
              <w:t>原子吸收分光光度法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《森林土壤钾的测定》（</w:t>
            </w:r>
            <w:r>
              <w:rPr>
                <w:rFonts w:ascii="Times New Roman" w:hAnsi="Times New Roman" w:eastAsia="宋体"/>
                <w:color w:val="000000"/>
                <w:kern w:val="0"/>
                <w:szCs w:val="21"/>
                <w:lang w:bidi="ar"/>
              </w:rPr>
              <w:t>LY/T 1234</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15</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全铁</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kern w:val="0"/>
                <w:szCs w:val="21"/>
                <w:lang w:bidi="ar"/>
              </w:rPr>
              <w:t xml:space="preserve">15-1  </w:t>
            </w:r>
            <w:r>
              <w:rPr>
                <w:rFonts w:hint="default" w:ascii="Times New Roman" w:hAnsi="Times New Roman" w:eastAsia="宋体"/>
                <w:kern w:val="0"/>
                <w:szCs w:val="21"/>
                <w:lang w:bidi="ar"/>
              </w:rPr>
              <w:t>酸消解－电感耦合等离子体发射光谱法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kern w:val="0"/>
                <w:szCs w:val="21"/>
                <w:lang w:bidi="ar"/>
              </w:rPr>
              <w:t>《固体废物</w:t>
            </w:r>
            <w:r>
              <w:rPr>
                <w:rFonts w:ascii="Times New Roman" w:hAnsi="Times New Roman" w:eastAsia="宋体"/>
                <w:kern w:val="0"/>
                <w:szCs w:val="21"/>
                <w:lang w:bidi="ar"/>
              </w:rPr>
              <w:t xml:space="preserve"> 22</w:t>
            </w:r>
            <w:r>
              <w:rPr>
                <w:rFonts w:hint="default" w:ascii="Times New Roman" w:hAnsi="Times New Roman" w:eastAsia="宋体"/>
                <w:kern w:val="0"/>
                <w:szCs w:val="21"/>
                <w:lang w:bidi="ar"/>
              </w:rPr>
              <w:t>种金属元素的测定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电感耦合等离子体发射光谱法》（</w:t>
            </w:r>
            <w:r>
              <w:rPr>
                <w:rFonts w:ascii="Times New Roman" w:hAnsi="Times New Roman" w:eastAsia="宋体"/>
                <w:kern w:val="0"/>
                <w:szCs w:val="21"/>
                <w:lang w:bidi="ar"/>
              </w:rPr>
              <w:t>HJ 781</w:t>
            </w:r>
            <w:r>
              <w:rPr>
                <w:rFonts w:hint="default" w:ascii="Times New Roman" w:hAnsi="Times New Roman" w:eastAsia="宋体"/>
                <w:kern w:val="0"/>
                <w:szCs w:val="21"/>
                <w:lang w:bidi="ar"/>
              </w:rPr>
              <w:t>－</w:t>
            </w:r>
            <w:r>
              <w:rPr>
                <w:rFonts w:ascii="Times New Roman" w:hAnsi="Times New Roman" w:eastAsia="宋体"/>
                <w:kern w:val="0"/>
                <w:szCs w:val="21"/>
                <w:lang w:bidi="ar"/>
              </w:rPr>
              <w:t>2016</w:t>
            </w:r>
            <w:r>
              <w:rPr>
                <w:rFonts w:hint="default" w:ascii="Times New Roman" w:hAnsi="Times New Roman" w:eastAsia="宋体"/>
                <w:kern w:val="0"/>
                <w:szCs w:val="21"/>
                <w:lang w:bidi="ar"/>
              </w:rPr>
              <w:t>）</w:t>
            </w:r>
          </w:p>
        </w:tc>
      </w:tr>
      <w:tr>
        <w:tblPrEx>
          <w:tblCellMar>
            <w:top w:w="0" w:type="dxa"/>
            <w:left w:w="108" w:type="dxa"/>
            <w:bottom w:w="0" w:type="dxa"/>
            <w:right w:w="108" w:type="dxa"/>
          </w:tblCellMar>
        </w:tblPrEx>
        <w:trPr>
          <w:trHeight w:val="624"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kern w:val="0"/>
                <w:szCs w:val="21"/>
                <w:lang w:bidi="ar"/>
              </w:rPr>
              <w:t xml:space="preserve">15-2  </w:t>
            </w:r>
            <w:r>
              <w:rPr>
                <w:rFonts w:hint="default" w:ascii="Times New Roman" w:hAnsi="Times New Roman" w:eastAsia="宋体"/>
                <w:kern w:val="0"/>
                <w:szCs w:val="21"/>
                <w:lang w:bidi="ar"/>
              </w:rPr>
              <w:t>碱熔－电感耦合等离子体发射光谱法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kern w:val="0"/>
                <w:szCs w:val="21"/>
                <w:lang w:bidi="ar"/>
              </w:rPr>
              <w:t>《土壤和沉积物</w:t>
            </w:r>
            <w:r>
              <w:rPr>
                <w:rFonts w:ascii="Times New Roman" w:hAnsi="Times New Roman" w:eastAsia="宋体"/>
                <w:kern w:val="0"/>
                <w:szCs w:val="21"/>
                <w:lang w:bidi="ar"/>
              </w:rPr>
              <w:t xml:space="preserve"> 11</w:t>
            </w:r>
            <w:r>
              <w:rPr>
                <w:rFonts w:hint="default" w:ascii="Times New Roman" w:hAnsi="Times New Roman" w:eastAsia="宋体"/>
                <w:kern w:val="0"/>
                <w:szCs w:val="21"/>
                <w:lang w:bidi="ar"/>
              </w:rPr>
              <w:t>种元素的测定</w:t>
            </w:r>
            <w:r>
              <w:rPr>
                <w:rFonts w:ascii="Times New Roman" w:hAnsi="Times New Roman" w:eastAsia="宋体"/>
                <w:kern w:val="0"/>
                <w:szCs w:val="21"/>
                <w:lang w:bidi="ar"/>
              </w:rPr>
              <w:t xml:space="preserve"> </w:t>
            </w:r>
            <w:r>
              <w:rPr>
                <w:rFonts w:hint="default" w:ascii="Times New Roman" w:hAnsi="Times New Roman" w:eastAsia="宋体"/>
                <w:kern w:val="0"/>
                <w:szCs w:val="21"/>
                <w:lang w:bidi="ar"/>
              </w:rPr>
              <w:t>碱熔－电感耦合等离子体发射光谱法》</w:t>
            </w:r>
            <w:r>
              <w:rPr>
                <w:rFonts w:ascii="Times New Roman" w:hAnsi="Times New Roman" w:eastAsia="宋体"/>
                <w:kern w:val="0"/>
                <w:szCs w:val="21"/>
                <w:lang w:bidi="ar"/>
              </w:rPr>
              <w:t>(HJ 974</w:t>
            </w:r>
            <w:r>
              <w:rPr>
                <w:rFonts w:hint="default" w:ascii="Times New Roman" w:hAnsi="Times New Roman" w:eastAsia="宋体"/>
                <w:kern w:val="0"/>
                <w:szCs w:val="21"/>
                <w:lang w:bidi="ar"/>
              </w:rPr>
              <w:t>－</w:t>
            </w:r>
            <w:r>
              <w:rPr>
                <w:rFonts w:ascii="Times New Roman" w:hAnsi="Times New Roman" w:eastAsia="宋体"/>
                <w:kern w:val="0"/>
                <w:szCs w:val="21"/>
                <w:lang w:bidi="ar"/>
              </w:rPr>
              <w:t>2018)</w:t>
            </w:r>
          </w:p>
        </w:tc>
      </w:tr>
      <w:tr>
        <w:tblPrEx>
          <w:tblCellMar>
            <w:top w:w="0" w:type="dxa"/>
            <w:left w:w="108" w:type="dxa"/>
            <w:bottom w:w="0" w:type="dxa"/>
            <w:right w:w="108" w:type="dxa"/>
          </w:tblCellMar>
        </w:tblPrEx>
        <w:trPr>
          <w:trHeight w:val="312" w:hRule="atLeas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16</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全硫</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16-1  </w:t>
            </w:r>
            <w:r>
              <w:rPr>
                <w:rFonts w:hint="default" w:ascii="Times New Roman" w:hAnsi="Times New Roman" w:eastAsia="宋体"/>
                <w:color w:val="000000"/>
                <w:kern w:val="0"/>
                <w:szCs w:val="21"/>
                <w:lang w:bidi="ar"/>
              </w:rPr>
              <w:t>燃烧碘量法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《森林土壤全硫的测定》（</w:t>
            </w:r>
            <w:r>
              <w:rPr>
                <w:rFonts w:ascii="Times New Roman" w:hAnsi="Times New Roman" w:eastAsia="宋体"/>
                <w:color w:val="000000"/>
                <w:kern w:val="0"/>
                <w:szCs w:val="21"/>
                <w:lang w:bidi="ar"/>
              </w:rPr>
              <w:t>LY/T 1255</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312"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16-2  EDTA</w:t>
            </w:r>
            <w:r>
              <w:rPr>
                <w:rFonts w:hint="default" w:ascii="Times New Roman" w:hAnsi="Times New Roman" w:eastAsia="宋体"/>
                <w:color w:val="000000"/>
                <w:kern w:val="0"/>
                <w:szCs w:val="21"/>
                <w:lang w:bidi="ar"/>
              </w:rPr>
              <w:t>间接滴定法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《森林土壤全硫的测定》（</w:t>
            </w:r>
            <w:r>
              <w:rPr>
                <w:rFonts w:ascii="Times New Roman" w:hAnsi="Times New Roman" w:eastAsia="宋体"/>
                <w:color w:val="000000"/>
                <w:kern w:val="0"/>
                <w:szCs w:val="21"/>
                <w:lang w:bidi="ar"/>
              </w:rPr>
              <w:t>LY/T 1255</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1999</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17</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有效磷</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17-1  </w:t>
            </w:r>
            <w:r>
              <w:rPr>
                <w:rFonts w:hint="default" w:ascii="Times New Roman" w:hAnsi="Times New Roman" w:eastAsia="宋体"/>
                <w:color w:val="000000"/>
                <w:kern w:val="0"/>
                <w:szCs w:val="21"/>
                <w:lang w:bidi="ar"/>
              </w:rPr>
              <w:t>盐酸－硫酸</w:t>
            </w:r>
            <w:r>
              <w:rPr>
                <w:rFonts w:ascii="Times New Roman" w:hAnsi="Times New Roman" w:eastAsia="宋体"/>
                <w:color w:val="000000"/>
                <w:kern w:val="0"/>
                <w:szCs w:val="21"/>
                <w:lang w:bidi="ar"/>
              </w:rPr>
              <w:t>/</w:t>
            </w:r>
            <w:r>
              <w:rPr>
                <w:rFonts w:hint="default" w:ascii="Times New Roman" w:hAnsi="Times New Roman" w:eastAsia="宋体"/>
                <w:color w:val="000000"/>
                <w:kern w:val="0"/>
                <w:szCs w:val="21"/>
                <w:lang w:bidi="ar"/>
              </w:rPr>
              <w:t>氟化铵－盐酸溶液</w:t>
            </w:r>
            <w:r>
              <w:rPr>
                <w:rFonts w:ascii="Times New Roman" w:hAnsi="Times New Roman" w:eastAsia="宋体"/>
                <w:color w:val="000000"/>
                <w:kern w:val="0"/>
                <w:szCs w:val="21"/>
                <w:lang w:bidi="ar"/>
              </w:rPr>
              <w:t>/</w:t>
            </w:r>
            <w:r>
              <w:rPr>
                <w:rFonts w:hint="default" w:ascii="Times New Roman" w:hAnsi="Times New Roman" w:eastAsia="宋体"/>
                <w:color w:val="000000"/>
                <w:kern w:val="0"/>
                <w:szCs w:val="21"/>
                <w:lang w:eastAsia="zh-CN" w:bidi="ar"/>
              </w:rPr>
              <w:t>碳酸氢钠</w:t>
            </w:r>
            <w:r>
              <w:rPr>
                <w:rFonts w:hint="default" w:ascii="Times New Roman" w:hAnsi="Times New Roman" w:eastAsia="宋体"/>
                <w:color w:val="000000"/>
                <w:kern w:val="0"/>
                <w:szCs w:val="21"/>
                <w:lang w:bidi="ar"/>
              </w:rPr>
              <w:t>浸提－钼锑抗比色法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《森林土壤磷的测定》（</w:t>
            </w:r>
            <w:r>
              <w:rPr>
                <w:rFonts w:ascii="Times New Roman" w:hAnsi="Times New Roman" w:eastAsia="宋体"/>
                <w:color w:val="000000"/>
                <w:kern w:val="0"/>
                <w:szCs w:val="21"/>
                <w:lang w:bidi="ar"/>
              </w:rPr>
              <w:t>LY/T 1232</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936"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17-2  </w:t>
            </w:r>
            <w:r>
              <w:rPr>
                <w:rFonts w:hint="default" w:ascii="Times New Roman" w:hAnsi="Times New Roman" w:eastAsia="宋体"/>
                <w:color w:val="000000"/>
                <w:kern w:val="0"/>
                <w:szCs w:val="21"/>
                <w:lang w:bidi="ar"/>
              </w:rPr>
              <w:t>盐酸－硫酸</w:t>
            </w:r>
            <w:r>
              <w:rPr>
                <w:rFonts w:ascii="Times New Roman" w:hAnsi="Times New Roman" w:eastAsia="宋体"/>
                <w:color w:val="000000"/>
                <w:kern w:val="0"/>
                <w:szCs w:val="21"/>
                <w:lang w:bidi="ar"/>
              </w:rPr>
              <w:t>/</w:t>
            </w:r>
            <w:r>
              <w:rPr>
                <w:rFonts w:hint="default" w:ascii="Times New Roman" w:hAnsi="Times New Roman" w:eastAsia="宋体"/>
                <w:color w:val="000000"/>
                <w:kern w:val="0"/>
                <w:szCs w:val="21"/>
                <w:lang w:bidi="ar"/>
              </w:rPr>
              <w:t>氟化铵－盐酸溶液浸提－电感耦合等离子体发射光谱法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《森林土壤磷的测定》（</w:t>
            </w:r>
            <w:r>
              <w:rPr>
                <w:rFonts w:ascii="Times New Roman" w:hAnsi="Times New Roman" w:eastAsia="宋体"/>
                <w:color w:val="000000"/>
                <w:kern w:val="0"/>
                <w:szCs w:val="21"/>
                <w:lang w:bidi="ar"/>
              </w:rPr>
              <w:t>LY/T 1232</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Times New Roman" w:hAnsi="Times New Roman" w:eastAsia="宋体"/>
                <w:color w:val="000000"/>
                <w:szCs w:val="21"/>
              </w:rPr>
            </w:pP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17-3  </w:t>
            </w:r>
            <w:r>
              <w:rPr>
                <w:rFonts w:hint="default" w:ascii="Times New Roman" w:hAnsi="Times New Roman" w:eastAsia="宋体"/>
                <w:color w:val="000000"/>
                <w:kern w:val="0"/>
                <w:szCs w:val="21"/>
                <w:lang w:bidi="ar"/>
              </w:rPr>
              <w:t>氟化铵－盐酸</w:t>
            </w:r>
            <w:r>
              <w:rPr>
                <w:rFonts w:ascii="Times New Roman" w:hAnsi="Times New Roman" w:eastAsia="宋体"/>
                <w:color w:val="000000"/>
                <w:kern w:val="0"/>
                <w:szCs w:val="21"/>
                <w:lang w:bidi="ar"/>
              </w:rPr>
              <w:t>/</w:t>
            </w:r>
            <w:r>
              <w:rPr>
                <w:rFonts w:hint="default" w:ascii="Times New Roman" w:hAnsi="Times New Roman" w:eastAsia="宋体"/>
                <w:color w:val="000000"/>
                <w:kern w:val="0"/>
                <w:szCs w:val="21"/>
                <w:lang w:bidi="ar"/>
              </w:rPr>
              <w:t>碳酸氢钠浸提－连续流动分析仪法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《森林土壤磷的测定》（</w:t>
            </w:r>
            <w:r>
              <w:rPr>
                <w:rFonts w:ascii="Times New Roman" w:hAnsi="Times New Roman" w:eastAsia="宋体"/>
                <w:color w:val="000000"/>
                <w:kern w:val="0"/>
                <w:szCs w:val="21"/>
                <w:lang w:bidi="ar"/>
              </w:rPr>
              <w:t>LY/T 1232</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936"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18</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速效钾</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18-1  </w:t>
            </w:r>
            <w:r>
              <w:rPr>
                <w:rFonts w:hint="default" w:ascii="Times New Roman" w:hAnsi="Times New Roman" w:eastAsia="宋体"/>
                <w:color w:val="000000"/>
                <w:kern w:val="0"/>
                <w:szCs w:val="21"/>
                <w:lang w:bidi="ar"/>
              </w:rPr>
              <w:t>乙酸铵浸提－火焰光度法</w:t>
            </w:r>
            <w:r>
              <w:rPr>
                <w:rFonts w:ascii="Times New Roman" w:hAnsi="Times New Roman" w:eastAsia="宋体"/>
                <w:color w:val="000000"/>
                <w:kern w:val="0"/>
                <w:szCs w:val="21"/>
                <w:lang w:bidi="ar"/>
              </w:rPr>
              <w:t>/</w:t>
            </w:r>
            <w:r>
              <w:rPr>
                <w:rFonts w:hint="default" w:ascii="Times New Roman" w:hAnsi="Times New Roman" w:eastAsia="宋体"/>
                <w:color w:val="000000"/>
                <w:kern w:val="0"/>
                <w:szCs w:val="21"/>
                <w:lang w:bidi="ar"/>
              </w:rPr>
              <w:t>原子吸收分光光度法</w:t>
            </w:r>
            <w:r>
              <w:rPr>
                <w:rFonts w:ascii="Times New Roman" w:hAnsi="Times New Roman" w:eastAsia="宋体"/>
                <w:color w:val="000000"/>
                <w:kern w:val="0"/>
                <w:szCs w:val="21"/>
                <w:lang w:bidi="ar"/>
              </w:rPr>
              <w:t>/</w:t>
            </w:r>
            <w:r>
              <w:rPr>
                <w:rFonts w:hint="default" w:ascii="Times New Roman" w:hAnsi="Times New Roman" w:eastAsia="宋体"/>
                <w:color w:val="000000"/>
                <w:kern w:val="0"/>
                <w:szCs w:val="21"/>
                <w:lang w:bidi="ar"/>
              </w:rPr>
              <w:t>电感耦合等离子体发射光谱法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《森林土壤钾的测定》（</w:t>
            </w:r>
            <w:r>
              <w:rPr>
                <w:rFonts w:ascii="Times New Roman" w:hAnsi="Times New Roman" w:eastAsia="宋体"/>
                <w:color w:val="000000"/>
                <w:kern w:val="0"/>
                <w:szCs w:val="21"/>
                <w:lang w:bidi="ar"/>
              </w:rPr>
              <w:t>LY/T 1234</w:t>
            </w:r>
            <w:r>
              <w:rPr>
                <w:rFonts w:hint="default" w:ascii="Times New Roman" w:hAnsi="Times New Roman" w:eastAsia="宋体"/>
                <w:color w:val="000000"/>
                <w:kern w:val="0"/>
                <w:szCs w:val="21"/>
                <w:lang w:bidi="ar"/>
              </w:rPr>
              <w:t>－</w:t>
            </w:r>
            <w:r>
              <w:rPr>
                <w:rFonts w:ascii="Times New Roman" w:hAnsi="Times New Roman" w:eastAsia="宋体"/>
                <w:color w:val="000000"/>
                <w:kern w:val="0"/>
                <w:szCs w:val="21"/>
                <w:lang w:bidi="ar"/>
              </w:rPr>
              <w:t>2015</w:t>
            </w:r>
            <w:r>
              <w:rPr>
                <w:rFonts w:hint="default" w:ascii="Times New Roman" w:hAnsi="Times New Roman" w:eastAsia="宋体"/>
                <w:color w:val="000000"/>
                <w:kern w:val="0"/>
                <w:szCs w:val="21"/>
                <w:lang w:bidi="ar"/>
              </w:rPr>
              <w:t>）</w:t>
            </w:r>
          </w:p>
        </w:tc>
      </w:tr>
      <w:tr>
        <w:tblPrEx>
          <w:tblCellMar>
            <w:top w:w="0" w:type="dxa"/>
            <w:left w:w="108" w:type="dxa"/>
            <w:bottom w:w="0" w:type="dxa"/>
            <w:right w:w="108" w:type="dxa"/>
          </w:tblCellMar>
        </w:tblPrEx>
        <w:trPr>
          <w:trHeight w:val="624"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19</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游离铁</w:t>
            </w:r>
          </w:p>
        </w:tc>
        <w:tc>
          <w:tcPr>
            <w:tcW w:w="43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ascii="Times New Roman" w:hAnsi="Times New Roman" w:eastAsia="宋体"/>
                <w:color w:val="000000"/>
                <w:kern w:val="0"/>
                <w:szCs w:val="21"/>
                <w:lang w:bidi="ar"/>
              </w:rPr>
              <w:t xml:space="preserve">19-1  </w:t>
            </w:r>
            <w:r>
              <w:rPr>
                <w:rFonts w:hint="default" w:ascii="Times New Roman" w:hAnsi="Times New Roman" w:eastAsia="宋体"/>
                <w:color w:val="000000"/>
                <w:kern w:val="0"/>
                <w:szCs w:val="21"/>
                <w:lang w:bidi="ar"/>
              </w:rPr>
              <w:t>连二亚硫酸钠－柠檬酸钠－重碳酸钠浸提－邻菲罗啉比色法</w:t>
            </w:r>
          </w:p>
        </w:tc>
        <w:tc>
          <w:tcPr>
            <w:tcW w:w="6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ascii="Times New Roman" w:hAnsi="Times New Roman" w:eastAsia="宋体"/>
                <w:color w:val="000000"/>
                <w:szCs w:val="21"/>
              </w:rPr>
            </w:pPr>
            <w:r>
              <w:rPr>
                <w:rFonts w:hint="default" w:ascii="Times New Roman" w:hAnsi="Times New Roman" w:eastAsia="宋体"/>
                <w:color w:val="000000"/>
                <w:kern w:val="0"/>
                <w:szCs w:val="21"/>
                <w:lang w:bidi="ar"/>
              </w:rPr>
              <w:t>《土壤分析技术规范》（第二版），</w:t>
            </w:r>
            <w:r>
              <w:rPr>
                <w:rFonts w:ascii="Times New Roman" w:hAnsi="Times New Roman" w:eastAsia="宋体"/>
                <w:color w:val="000000"/>
                <w:kern w:val="0"/>
                <w:szCs w:val="21"/>
                <w:lang w:bidi="ar"/>
              </w:rPr>
              <w:t>19.1</w:t>
            </w:r>
            <w:r>
              <w:rPr>
                <w:rFonts w:hint="default" w:ascii="Times New Roman" w:hAnsi="Times New Roman" w:eastAsia="宋体"/>
                <w:color w:val="000000"/>
                <w:kern w:val="0"/>
                <w:szCs w:val="21"/>
                <w:lang w:bidi="ar"/>
              </w:rPr>
              <w:t>游离铁（</w:t>
            </w:r>
            <w:r>
              <w:rPr>
                <w:rFonts w:ascii="Times New Roman" w:hAnsi="Times New Roman" w:eastAsia="宋体"/>
                <w:color w:val="000000"/>
                <w:kern w:val="0"/>
                <w:szCs w:val="21"/>
                <w:lang w:bidi="ar"/>
              </w:rPr>
              <w:t>Fed</w:t>
            </w:r>
            <w:r>
              <w:rPr>
                <w:rFonts w:hint="default" w:ascii="Times New Roman" w:hAnsi="Times New Roman" w:eastAsia="宋体"/>
                <w:color w:val="000000"/>
                <w:kern w:val="0"/>
                <w:szCs w:val="21"/>
                <w:lang w:bidi="ar"/>
              </w:rPr>
              <w:t>）的测定（</w:t>
            </w:r>
            <w:r>
              <w:rPr>
                <w:rFonts w:ascii="Times New Roman" w:hAnsi="Times New Roman" w:eastAsia="宋体"/>
                <w:color w:val="000000"/>
                <w:kern w:val="0"/>
                <w:szCs w:val="21"/>
                <w:lang w:bidi="ar"/>
              </w:rPr>
              <w:t>DCB</w:t>
            </w:r>
            <w:r>
              <w:rPr>
                <w:rFonts w:hint="default" w:ascii="Times New Roman" w:hAnsi="Times New Roman" w:eastAsia="宋体"/>
                <w:color w:val="000000"/>
                <w:kern w:val="0"/>
                <w:szCs w:val="21"/>
                <w:lang w:bidi="ar"/>
              </w:rPr>
              <w:t>法）</w:t>
            </w:r>
          </w:p>
        </w:tc>
      </w:tr>
    </w:tbl>
    <w:p>
      <w:pPr>
        <w:ind w:firstLine="0" w:firstLineChars="0"/>
        <w:rPr>
          <w:rFonts w:ascii="Times New Roman" w:hAnsi="Times New Roman" w:cs="Times New Roman"/>
        </w:rPr>
        <w:sectPr>
          <w:footerReference r:id="rId7" w:type="default"/>
          <w:pgSz w:w="16838" w:h="11906" w:orient="landscape"/>
          <w:pgMar w:top="1800" w:right="1440" w:bottom="1519" w:left="1440" w:header="851" w:footer="992" w:gutter="0"/>
          <w:pgNumType w:fmt="decimal"/>
          <w:cols w:space="720" w:num="1"/>
          <w:docGrid w:type="lines" w:linePitch="381" w:charSpace="0"/>
        </w:sectPr>
      </w:pPr>
    </w:p>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sz w:val="28"/>
          <w:szCs w:val="28"/>
          <w:lang w:val="en-US" w:eastAsia="zh-CN"/>
        </w:rPr>
      </w:pPr>
      <w:r>
        <w:rPr>
          <w:rFonts w:hint="eastAsia"/>
          <w:b w:val="0"/>
          <w:bCs/>
          <w:sz w:val="28"/>
          <w:szCs w:val="28"/>
          <w:lang w:val="en-US" w:eastAsia="zh-CN"/>
        </w:rPr>
        <w:t>（三）成果汇总</w:t>
      </w:r>
    </w:p>
    <w:p>
      <w:pPr>
        <w:pStyle w:val="11"/>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lang w:eastAsia="zh-CN"/>
        </w:rPr>
        <w:tab/>
      </w:r>
      <w:r>
        <w:rPr>
          <w:sz w:val="24"/>
          <w:szCs w:val="24"/>
        </w:rPr>
        <w:t>数据与数据库成果要求数据完整、准确，无缺漏项，数据项之间逻辑关系合理，格式符合国家相关规范要求。数字化图件成果要求基础数据可靠、制图和评价方法科学、制图结果可靠，图面要素齐全规范，符合国家相关规范等要求。文字报告成果要求格式规范，内容齐全，表达清晰、流畅，逻辑性、条理性强，前后表述一致，各种报告之间相关数据、结论等要一致；技术报告中对土壤普查的各个环节技术方法表述清楚，报告中各种数据表述规范，表格内数据科学，引述一致。</w:t>
      </w:r>
    </w:p>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cs="Times New Roman"/>
          <w:b w:val="0"/>
          <w:bCs/>
          <w:sz w:val="28"/>
          <w:szCs w:val="28"/>
          <w:lang w:val="en-US" w:eastAsia="zh-CN"/>
        </w:rPr>
      </w:pPr>
      <w:r>
        <w:rPr>
          <w:rFonts w:hint="eastAsia" w:cs="Times New Roman"/>
          <w:b w:val="0"/>
          <w:bCs/>
          <w:sz w:val="28"/>
          <w:szCs w:val="28"/>
          <w:lang w:val="en-US" w:eastAsia="zh-CN"/>
        </w:rPr>
        <w:t>三、采购需求清单</w:t>
      </w:r>
    </w:p>
    <w:p>
      <w:pPr>
        <w:pStyle w:val="55"/>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cs="Times New Roman"/>
          <w:b w:val="0"/>
          <w:bCs/>
          <w:sz w:val="28"/>
          <w:szCs w:val="28"/>
          <w:lang w:val="zh-CN" w:eastAsia="zh-CN"/>
        </w:rPr>
      </w:pPr>
      <w:r>
        <w:rPr>
          <w:rFonts w:hint="eastAsia" w:cs="Times New Roman"/>
          <w:b w:val="0"/>
          <w:bCs/>
          <w:sz w:val="28"/>
          <w:szCs w:val="28"/>
          <w:lang w:val="zh-CN" w:eastAsia="zh-CN"/>
        </w:rPr>
        <w:t>内业检测和成果汇总</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1、塔城市</w:t>
      </w:r>
      <w:r>
        <w:rPr>
          <w:rFonts w:hint="eastAsia" w:ascii="仿宋" w:hAnsi="仿宋" w:eastAsia="仿宋" w:cs="仿宋"/>
          <w:b/>
          <w:bCs/>
          <w:sz w:val="28"/>
          <w:szCs w:val="28"/>
          <w:lang w:val="zh-CN"/>
        </w:rPr>
        <w:t>第三次全国土壤普查内业检测</w:t>
      </w:r>
      <w:r>
        <w:rPr>
          <w:rFonts w:hint="eastAsia" w:ascii="仿宋" w:hAnsi="仿宋" w:eastAsia="仿宋" w:cs="仿宋"/>
          <w:b/>
          <w:bCs/>
          <w:sz w:val="28"/>
          <w:szCs w:val="28"/>
        </w:rPr>
        <w:t>任务清单</w:t>
      </w:r>
    </w:p>
    <w:tbl>
      <w:tblPr>
        <w:tblStyle w:val="38"/>
        <w:tblW w:w="11095" w:type="dxa"/>
        <w:jc w:val="center"/>
        <w:tblLayout w:type="fixed"/>
        <w:tblCellMar>
          <w:top w:w="0" w:type="dxa"/>
          <w:left w:w="108" w:type="dxa"/>
          <w:bottom w:w="0" w:type="dxa"/>
          <w:right w:w="108" w:type="dxa"/>
        </w:tblCellMar>
      </w:tblPr>
      <w:tblGrid>
        <w:gridCol w:w="1146"/>
        <w:gridCol w:w="1154"/>
        <w:gridCol w:w="1152"/>
        <w:gridCol w:w="1153"/>
        <w:gridCol w:w="1152"/>
        <w:gridCol w:w="1245"/>
        <w:gridCol w:w="1167"/>
        <w:gridCol w:w="1374"/>
        <w:gridCol w:w="1552"/>
      </w:tblGrid>
      <w:tr>
        <w:tblPrEx>
          <w:tblCellMar>
            <w:top w:w="0" w:type="dxa"/>
            <w:left w:w="108" w:type="dxa"/>
            <w:bottom w:w="0" w:type="dxa"/>
            <w:right w:w="108" w:type="dxa"/>
          </w:tblCellMar>
        </w:tblPrEx>
        <w:trPr>
          <w:trHeight w:val="3371"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 w:val="24"/>
              </w:rPr>
            </w:pPr>
            <w:r>
              <w:rPr>
                <w:rFonts w:hint="eastAsia" w:ascii="宋体" w:hAnsi="宋体" w:cs="宋体"/>
                <w:b/>
                <w:bCs/>
                <w:sz w:val="24"/>
              </w:rPr>
              <w:t>区域</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sz w:val="24"/>
                <w:lang w:eastAsia="zh-CN"/>
              </w:rPr>
            </w:pPr>
            <w:r>
              <w:rPr>
                <w:rFonts w:hint="eastAsia" w:ascii="宋体" w:hAnsi="宋体" w:cs="宋体"/>
                <w:b/>
                <w:bCs/>
                <w:sz w:val="24"/>
              </w:rPr>
              <w:t>耕地</w:t>
            </w:r>
            <w:r>
              <w:rPr>
                <w:rFonts w:hint="eastAsia" w:ascii="宋体" w:hAnsi="宋体" w:cs="宋体"/>
                <w:b/>
                <w:bCs/>
                <w:sz w:val="24"/>
                <w:lang w:eastAsia="zh-CN"/>
              </w:rPr>
              <w:t>（表层）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sz w:val="24"/>
                <w:lang w:eastAsia="zh-CN"/>
              </w:rPr>
              <w:t>园地（表层）</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sz w:val="24"/>
                <w:lang w:eastAsia="zh-CN"/>
              </w:rPr>
              <w:t>林地（表层）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4"/>
              </w:rPr>
            </w:pPr>
            <w:r>
              <w:rPr>
                <w:rFonts w:hint="eastAsia" w:ascii="宋体" w:hAnsi="宋体" w:cs="宋体"/>
                <w:b/>
                <w:bCs/>
                <w:sz w:val="24"/>
              </w:rPr>
              <w:t>草地</w:t>
            </w:r>
            <w:r>
              <w:rPr>
                <w:rFonts w:hint="eastAsia" w:ascii="宋体" w:hAnsi="宋体" w:cs="宋体"/>
                <w:b/>
                <w:bCs/>
                <w:sz w:val="24"/>
                <w:lang w:eastAsia="zh-CN"/>
              </w:rPr>
              <w:t>（表层）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4"/>
              </w:rPr>
            </w:pPr>
            <w:r>
              <w:rPr>
                <w:rFonts w:hint="eastAsia" w:ascii="宋体" w:hAnsi="宋体" w:cs="宋体"/>
                <w:b/>
                <w:bCs/>
                <w:sz w:val="24"/>
              </w:rPr>
              <w:t>耕地</w:t>
            </w:r>
            <w:r>
              <w:rPr>
                <w:rFonts w:hint="eastAsia" w:ascii="宋体" w:hAnsi="宋体" w:cs="宋体"/>
                <w:b/>
                <w:bCs/>
                <w:sz w:val="24"/>
                <w:lang w:eastAsia="zh-CN"/>
              </w:rPr>
              <w:t>（剖面）</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4"/>
              </w:rPr>
            </w:pPr>
            <w:r>
              <w:rPr>
                <w:rFonts w:hint="eastAsia" w:ascii="宋体" w:hAnsi="宋体" w:cs="宋体"/>
                <w:b/>
                <w:bCs/>
                <w:sz w:val="24"/>
                <w:lang w:eastAsia="zh-CN"/>
              </w:rPr>
              <w:t>园地（剖面）</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4"/>
              </w:rPr>
            </w:pPr>
            <w:r>
              <w:rPr>
                <w:rFonts w:hint="eastAsia" w:ascii="宋体" w:hAnsi="宋体" w:cs="宋体"/>
                <w:b/>
                <w:bCs/>
                <w:sz w:val="24"/>
                <w:lang w:eastAsia="zh-CN"/>
              </w:rPr>
              <w:t>林地（剖面）</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4"/>
              </w:rPr>
            </w:pPr>
            <w:r>
              <w:rPr>
                <w:rFonts w:hint="eastAsia" w:ascii="宋体" w:hAnsi="宋体" w:cs="宋体"/>
                <w:b/>
                <w:bCs/>
                <w:sz w:val="24"/>
              </w:rPr>
              <w:t>草地</w:t>
            </w:r>
            <w:r>
              <w:rPr>
                <w:rFonts w:hint="eastAsia" w:ascii="宋体" w:hAnsi="宋体" w:cs="宋体"/>
                <w:b/>
                <w:bCs/>
                <w:sz w:val="24"/>
                <w:lang w:eastAsia="zh-CN"/>
              </w:rPr>
              <w:t>（剖面）</w:t>
            </w:r>
          </w:p>
        </w:tc>
      </w:tr>
      <w:tr>
        <w:tblPrEx>
          <w:tblCellMar>
            <w:top w:w="0" w:type="dxa"/>
            <w:left w:w="108" w:type="dxa"/>
            <w:bottom w:w="0" w:type="dxa"/>
            <w:right w:w="108" w:type="dxa"/>
          </w:tblCellMar>
        </w:tblPrEx>
        <w:trPr>
          <w:trHeight w:val="2347"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val="en-US" w:eastAsia="zh-CN" w:bidi="ar"/>
              </w:rPr>
              <w:t>塔城市</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sz w:val="22"/>
                <w:szCs w:val="22"/>
                <w:lang w:val="en-US" w:eastAsia="zh-CN"/>
              </w:rPr>
            </w:pPr>
            <w:r>
              <w:rPr>
                <w:rFonts w:hint="eastAsia" w:ascii="宋体" w:hAnsi="宋体" w:cs="宋体"/>
                <w:b/>
                <w:bCs/>
                <w:sz w:val="22"/>
                <w:szCs w:val="22"/>
                <w:lang w:val="en-US" w:eastAsia="zh-CN"/>
              </w:rPr>
              <w:t>1733</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sz w:val="22"/>
                <w:szCs w:val="22"/>
                <w:lang w:val="en-US" w:eastAsia="zh-CN"/>
              </w:rPr>
            </w:pPr>
            <w:r>
              <w:rPr>
                <w:rFonts w:hint="eastAsia" w:ascii="宋体" w:hAnsi="宋体" w:cs="宋体"/>
                <w:b/>
                <w:bCs/>
                <w:sz w:val="22"/>
                <w:szCs w:val="22"/>
                <w:lang w:val="en-US" w:eastAsia="zh-CN"/>
              </w:rPr>
              <w:t>23</w:t>
            </w:r>
          </w:p>
        </w:tc>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sz w:val="22"/>
                <w:szCs w:val="22"/>
                <w:lang w:val="en-US" w:eastAsia="zh-CN"/>
              </w:rPr>
            </w:pPr>
            <w:r>
              <w:rPr>
                <w:rFonts w:hint="eastAsia" w:ascii="宋体" w:hAnsi="宋体" w:cs="宋体"/>
                <w:b/>
                <w:bCs/>
                <w:sz w:val="22"/>
                <w:szCs w:val="22"/>
                <w:lang w:val="en-US" w:eastAsia="zh-CN"/>
              </w:rPr>
              <w:t>43</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133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26</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8</w:t>
            </w: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11</w:t>
            </w:r>
          </w:p>
        </w:tc>
      </w:tr>
    </w:tbl>
    <w:p>
      <w:pPr>
        <w:ind w:firstLine="843" w:firstLineChars="300"/>
        <w:jc w:val="left"/>
        <w:rPr>
          <w:rFonts w:ascii="仿宋" w:hAnsi="仿宋" w:eastAsia="仿宋" w:cs="仿宋"/>
          <w:b/>
          <w:bCs/>
          <w:sz w:val="28"/>
          <w:szCs w:val="28"/>
        </w:rPr>
      </w:pPr>
      <w:r>
        <w:rPr>
          <w:rFonts w:hint="eastAsia" w:ascii="仿宋" w:hAnsi="仿宋" w:eastAsia="仿宋" w:cs="仿宋"/>
          <w:b/>
          <w:bCs/>
          <w:sz w:val="28"/>
          <w:szCs w:val="28"/>
          <w:lang w:val="en-US" w:eastAsia="zh-CN"/>
        </w:rPr>
        <w:t>2、塔城市</w:t>
      </w:r>
      <w:r>
        <w:rPr>
          <w:rFonts w:hint="eastAsia" w:ascii="仿宋" w:hAnsi="仿宋" w:eastAsia="仿宋" w:cs="仿宋"/>
          <w:b/>
          <w:bCs/>
          <w:sz w:val="28"/>
          <w:szCs w:val="28"/>
          <w:lang w:val="zh-CN"/>
        </w:rPr>
        <w:t>第三次全国土壤普查</w:t>
      </w:r>
      <w:r>
        <w:rPr>
          <w:rFonts w:hint="eastAsia" w:ascii="仿宋" w:hAnsi="仿宋" w:eastAsia="仿宋" w:cs="仿宋"/>
          <w:b/>
          <w:bCs/>
          <w:sz w:val="28"/>
          <w:szCs w:val="28"/>
          <w:lang w:val="en-US" w:eastAsia="zh-CN"/>
        </w:rPr>
        <w:t>成果汇总任</w:t>
      </w:r>
      <w:r>
        <w:rPr>
          <w:rFonts w:hint="eastAsia" w:ascii="仿宋" w:hAnsi="仿宋" w:eastAsia="仿宋" w:cs="仿宋"/>
          <w:b/>
          <w:bCs/>
          <w:sz w:val="28"/>
          <w:szCs w:val="28"/>
        </w:rPr>
        <w:t>务清单</w:t>
      </w:r>
    </w:p>
    <w:p>
      <w:pPr>
        <w:pStyle w:val="11"/>
        <w:keepNext w:val="0"/>
        <w:keepLines w:val="0"/>
        <w:pageBreakBefore w:val="0"/>
        <w:widowControl w:val="0"/>
        <w:kinsoku/>
        <w:wordWrap/>
        <w:overflowPunct/>
        <w:topLinePunct w:val="0"/>
        <w:autoSpaceDE/>
        <w:autoSpaceDN/>
        <w:bidi w:val="0"/>
        <w:adjustRightInd/>
        <w:snapToGrid/>
        <w:ind w:firstLine="562" w:firstLineChars="200"/>
        <w:textAlignment w:val="auto"/>
        <w:rPr>
          <w:sz w:val="24"/>
          <w:szCs w:val="24"/>
        </w:rPr>
      </w:pPr>
      <w:r>
        <w:rPr>
          <w:rFonts w:hint="eastAsia" w:ascii="Arial" w:hAnsi="Arial" w:eastAsia="黑体" w:cs="Times New Roman"/>
          <w:b/>
          <w:kern w:val="2"/>
          <w:sz w:val="28"/>
          <w:szCs w:val="28"/>
          <w:lang w:val="en-US" w:eastAsia="zh-CN" w:bidi="ar-SA"/>
        </w:rPr>
        <w:t>（1）数据与数据库成果，</w:t>
      </w:r>
      <w:r>
        <w:rPr>
          <w:sz w:val="24"/>
          <w:szCs w:val="24"/>
        </w:rPr>
        <w:t>包括①基础数据、②过程数据、③成果数据、④数据库。</w:t>
      </w:r>
    </w:p>
    <w:p>
      <w:pPr>
        <w:pStyle w:val="11"/>
        <w:ind w:firstLine="562" w:firstLineChars="200"/>
        <w:rPr>
          <w:rFonts w:hAnsi="Times New Roman" w:cs="Times New Roman"/>
          <w:sz w:val="24"/>
          <w:szCs w:val="24"/>
        </w:rPr>
      </w:pPr>
      <w:r>
        <w:rPr>
          <w:rFonts w:hint="eastAsia" w:ascii="Arial" w:hAnsi="Arial" w:eastAsia="黑体" w:cs="Times New Roman"/>
          <w:b/>
          <w:kern w:val="2"/>
          <w:sz w:val="28"/>
          <w:szCs w:val="28"/>
          <w:lang w:val="en-US" w:eastAsia="zh-CN" w:bidi="ar-SA"/>
        </w:rPr>
        <w:t>（2）数字化图件成果，</w:t>
      </w:r>
      <w:r>
        <w:rPr>
          <w:rFonts w:hAnsi="Times New Roman" w:cs="Times New Roman"/>
          <w:sz w:val="24"/>
          <w:szCs w:val="24"/>
        </w:rPr>
        <w:t>包括①土壤类型图、②土壤属性图、③土壤农业利用适宜性评价图、④耕地质量等级图、⑤县级土壤采样点分布图、⑥土壤盐碱化分布图。</w:t>
      </w:r>
    </w:p>
    <w:p>
      <w:pPr>
        <w:pStyle w:val="11"/>
        <w:ind w:firstLine="562" w:firstLineChars="200"/>
        <w:rPr>
          <w:rFonts w:hAnsi="Times New Roman" w:cs="Times New Roman"/>
          <w:sz w:val="24"/>
          <w:szCs w:val="24"/>
        </w:rPr>
      </w:pPr>
      <w:r>
        <w:rPr>
          <w:rFonts w:hint="eastAsia" w:ascii="Arial" w:hAnsi="Arial" w:eastAsia="黑体" w:cs="Times New Roman"/>
          <w:b/>
          <w:kern w:val="2"/>
          <w:sz w:val="28"/>
          <w:szCs w:val="28"/>
          <w:lang w:val="en-US" w:eastAsia="zh-CN" w:bidi="ar-SA"/>
        </w:rPr>
        <w:t>（3）文字成果，</w:t>
      </w:r>
      <w:r>
        <w:rPr>
          <w:rFonts w:hAnsi="Times New Roman" w:cs="Times New Roman"/>
          <w:sz w:val="24"/>
          <w:szCs w:val="24"/>
        </w:rPr>
        <w:t>包括①土壤三普工作报告、②土壤三普技术报告、③数据专题分析报告、④土壤农业利用适宜性评价报告、⑤耕地质量等级评价报告、⑥</w:t>
      </w:r>
      <w:r>
        <w:rPr>
          <w:rFonts w:hint="eastAsia" w:hAnsi="Times New Roman" w:cs="Times New Roman"/>
          <w:sz w:val="24"/>
          <w:szCs w:val="24"/>
          <w:lang w:eastAsia="zh-CN"/>
        </w:rPr>
        <w:t>塔城市</w:t>
      </w:r>
      <w:r>
        <w:rPr>
          <w:rFonts w:hAnsi="Times New Roman" w:cs="Times New Roman"/>
          <w:sz w:val="24"/>
          <w:szCs w:val="24"/>
        </w:rPr>
        <w:t>土壤（含土属志和土种志）。</w:t>
      </w:r>
    </w:p>
    <w:p>
      <w:pPr>
        <w:pStyle w:val="8"/>
      </w:pPr>
    </w:p>
    <w:p>
      <w:pPr>
        <w:tabs>
          <w:tab w:val="left" w:pos="889"/>
        </w:tabs>
        <w:rPr>
          <w:rFonts w:hint="eastAsia" w:eastAsia="宋体"/>
          <w:lang w:eastAsia="zh-CN"/>
        </w:rPr>
      </w:pPr>
    </w:p>
    <w:p>
      <w:pPr>
        <w:rPr>
          <w:rFonts w:hint="eastAsia" w:ascii="宋体" w:hAnsi="宋体" w:eastAsia="宋体" w:cs="宋体"/>
          <w:b/>
          <w:sz w:val="24"/>
          <w:szCs w:val="24"/>
        </w:rPr>
      </w:pPr>
    </w:p>
    <w:p>
      <w:pPr>
        <w:rPr>
          <w:rFonts w:hint="eastAsia" w:ascii="宋体" w:hAnsi="宋体" w:eastAsia="宋体" w:cs="宋体"/>
          <w:b/>
          <w:sz w:val="24"/>
          <w:szCs w:val="24"/>
        </w:rPr>
      </w:pPr>
      <w:bookmarkStart w:id="68" w:name="_Toc1588"/>
      <w:r>
        <w:rPr>
          <w:rFonts w:hint="eastAsia" w:ascii="宋体" w:hAnsi="宋体" w:eastAsia="宋体" w:cs="宋体"/>
          <w:b/>
          <w:sz w:val="24"/>
          <w:szCs w:val="24"/>
        </w:rPr>
        <w:br w:type="page"/>
      </w:r>
    </w:p>
    <w:p>
      <w:pPr>
        <w:pStyle w:val="3"/>
        <w:bidi w:val="0"/>
        <w:rPr>
          <w:rFonts w:hint="eastAsia"/>
        </w:rPr>
      </w:pPr>
      <w:r>
        <w:rPr>
          <w:rFonts w:hint="eastAsia"/>
        </w:rPr>
        <w:t>第五章投标文件格式</w:t>
      </w:r>
      <w:bookmarkEnd w:id="68"/>
    </w:p>
    <w:p>
      <w:pPr>
        <w:adjustRightInd w:val="0"/>
        <w:snapToGrid w:val="0"/>
        <w:spacing w:line="480" w:lineRule="exact"/>
        <w:jc w:val="center"/>
        <w:rPr>
          <w:rFonts w:hint="eastAsia" w:ascii="宋体" w:hAnsi="宋体" w:eastAsia="宋体" w:cs="宋体"/>
          <w:b/>
          <w:sz w:val="48"/>
          <w:szCs w:val="48"/>
          <w:lang w:eastAsia="zh-CN"/>
        </w:rPr>
      </w:pPr>
      <w:bookmarkStart w:id="69" w:name="_Toc12570"/>
      <w:r>
        <w:rPr>
          <w:rFonts w:hint="eastAsia" w:ascii="宋体" w:hAnsi="宋体" w:cs="宋体"/>
          <w:b/>
          <w:sz w:val="48"/>
          <w:szCs w:val="48"/>
          <w:lang w:eastAsia="zh-CN"/>
        </w:rPr>
        <w:t>塔城市第三次全国土壤普查项目（内业检测和成果汇总）</w:t>
      </w:r>
    </w:p>
    <w:p>
      <w:pPr>
        <w:spacing w:line="360" w:lineRule="auto"/>
        <w:jc w:val="center"/>
        <w:rPr>
          <w:rFonts w:hint="eastAsia" w:ascii="宋体" w:eastAsia="宋体"/>
          <w:b/>
          <w:sz w:val="28"/>
          <w:szCs w:val="16"/>
          <w:lang w:val="en-US" w:eastAsia="zh-CN"/>
        </w:rPr>
      </w:pPr>
      <w:r>
        <w:rPr>
          <w:rFonts w:hint="eastAsia" w:ascii="宋体"/>
          <w:b/>
          <w:sz w:val="28"/>
          <w:szCs w:val="16"/>
          <w:lang w:val="en-US" w:eastAsia="zh-CN"/>
        </w:rPr>
        <w:t>项目编号：</w:t>
      </w:r>
    </w:p>
    <w:p>
      <w:pPr>
        <w:pStyle w:val="25"/>
        <w:rPr>
          <w:rFonts w:hint="eastAsia"/>
        </w:rPr>
      </w:pPr>
    </w:p>
    <w:p>
      <w:pPr>
        <w:spacing w:line="360" w:lineRule="auto"/>
        <w:jc w:val="center"/>
        <w:rPr>
          <w:rFonts w:hint="eastAsia" w:ascii="宋体"/>
          <w:b/>
          <w:sz w:val="44"/>
        </w:rPr>
      </w:pPr>
    </w:p>
    <w:p>
      <w:pPr>
        <w:spacing w:line="360" w:lineRule="auto"/>
        <w:jc w:val="center"/>
        <w:rPr>
          <w:rFonts w:hint="eastAsia" w:ascii="宋体"/>
          <w:b/>
          <w:sz w:val="84"/>
          <w:szCs w:val="84"/>
        </w:rPr>
      </w:pPr>
      <w:r>
        <w:rPr>
          <w:rFonts w:hint="eastAsia" w:ascii="宋体"/>
          <w:b/>
          <w:sz w:val="84"/>
          <w:szCs w:val="84"/>
        </w:rPr>
        <w:t>投 标 文 件</w:t>
      </w:r>
    </w:p>
    <w:p>
      <w:pPr>
        <w:spacing w:line="600" w:lineRule="auto"/>
        <w:rPr>
          <w:rFonts w:hint="eastAsia" w:ascii="宋体"/>
          <w:b/>
          <w:sz w:val="30"/>
          <w:szCs w:val="30"/>
          <w:lang w:eastAsia="zh-CN"/>
        </w:rPr>
      </w:pPr>
    </w:p>
    <w:p>
      <w:pPr>
        <w:spacing w:line="600" w:lineRule="auto"/>
        <w:rPr>
          <w:rFonts w:hint="eastAsia" w:ascii="宋体"/>
          <w:b/>
          <w:sz w:val="30"/>
          <w:szCs w:val="30"/>
        </w:rPr>
      </w:pPr>
      <w:r>
        <w:rPr>
          <w:rFonts w:hint="eastAsia" w:ascii="宋体"/>
          <w:b/>
          <w:sz w:val="30"/>
          <w:szCs w:val="30"/>
          <w:lang w:eastAsia="zh-CN"/>
        </w:rPr>
        <w:t>投标人</w:t>
      </w:r>
      <w:r>
        <w:rPr>
          <w:rFonts w:hint="eastAsia" w:ascii="宋体"/>
          <w:b/>
          <w:sz w:val="30"/>
          <w:szCs w:val="30"/>
        </w:rPr>
        <w:t>单位名称：</w:t>
      </w:r>
      <w:r>
        <w:rPr>
          <w:rFonts w:hint="eastAsia" w:ascii="宋体"/>
          <w:b/>
          <w:sz w:val="30"/>
          <w:szCs w:val="30"/>
          <w:u w:val="single"/>
        </w:rPr>
        <w:t xml:space="preserve">                                  </w:t>
      </w:r>
      <w:r>
        <w:rPr>
          <w:rFonts w:hint="eastAsia" w:ascii="宋体"/>
          <w:b/>
          <w:sz w:val="30"/>
          <w:szCs w:val="30"/>
        </w:rPr>
        <w:t>（盖公章）</w:t>
      </w:r>
    </w:p>
    <w:p>
      <w:pPr>
        <w:spacing w:line="600" w:lineRule="auto"/>
        <w:rPr>
          <w:rFonts w:hint="eastAsia" w:ascii="宋体"/>
          <w:b/>
          <w:sz w:val="30"/>
          <w:szCs w:val="30"/>
        </w:rPr>
      </w:pPr>
      <w:r>
        <w:rPr>
          <w:rFonts w:hint="eastAsia" w:ascii="宋体"/>
          <w:b/>
          <w:sz w:val="30"/>
          <w:szCs w:val="30"/>
        </w:rPr>
        <w:t>法定代表人或委托代理人：</w:t>
      </w:r>
      <w:r>
        <w:rPr>
          <w:rFonts w:hint="eastAsia" w:ascii="宋体"/>
          <w:b/>
          <w:sz w:val="30"/>
          <w:szCs w:val="30"/>
          <w:u w:val="single"/>
        </w:rPr>
        <w:t xml:space="preserve">                        </w:t>
      </w:r>
      <w:r>
        <w:rPr>
          <w:rFonts w:hint="eastAsia" w:ascii="宋体"/>
          <w:b/>
          <w:sz w:val="30"/>
          <w:szCs w:val="30"/>
        </w:rPr>
        <w:t>（签字或盖章）</w:t>
      </w:r>
    </w:p>
    <w:p>
      <w:pPr>
        <w:pStyle w:val="11"/>
        <w:rPr>
          <w:rFonts w:hint="default" w:ascii="宋体" w:eastAsia="宋体"/>
          <w:b/>
          <w:sz w:val="30"/>
          <w:szCs w:val="30"/>
          <w:lang w:val="en-US" w:eastAsia="zh-CN"/>
        </w:rPr>
      </w:pPr>
      <w:r>
        <w:rPr>
          <w:rFonts w:hint="eastAsia"/>
          <w:b/>
          <w:sz w:val="30"/>
          <w:szCs w:val="30"/>
          <w:lang w:eastAsia="zh-CN"/>
        </w:rPr>
        <w:t>联系人及联系电话：</w:t>
      </w:r>
      <w:r>
        <w:rPr>
          <w:rFonts w:hint="eastAsia" w:ascii="宋体"/>
          <w:b/>
          <w:sz w:val="30"/>
          <w:szCs w:val="30"/>
          <w:u w:val="single"/>
        </w:rPr>
        <w:t xml:space="preserve">              </w:t>
      </w:r>
      <w:r>
        <w:rPr>
          <w:rFonts w:hint="eastAsia" w:ascii="宋体"/>
          <w:b/>
          <w:sz w:val="30"/>
          <w:szCs w:val="30"/>
          <w:u w:val="single"/>
          <w:lang w:val="en-US" w:eastAsia="zh-CN"/>
        </w:rPr>
        <w:t xml:space="preserve">                    </w:t>
      </w:r>
    </w:p>
    <w:p>
      <w:pPr>
        <w:spacing w:line="360" w:lineRule="auto"/>
        <w:jc w:val="center"/>
        <w:rPr>
          <w:rFonts w:hint="eastAsia" w:ascii="宋体"/>
          <w:b/>
          <w:sz w:val="30"/>
          <w:szCs w:val="30"/>
        </w:rPr>
      </w:pPr>
    </w:p>
    <w:p>
      <w:pPr>
        <w:spacing w:line="360" w:lineRule="auto"/>
        <w:ind w:firstLine="3012" w:firstLineChars="1000"/>
        <w:jc w:val="left"/>
        <w:rPr>
          <w:rFonts w:hint="eastAsia" w:ascii="宋体" w:eastAsia="宋体"/>
          <w:b/>
          <w:sz w:val="30"/>
          <w:szCs w:val="30"/>
          <w:lang w:eastAsia="zh-CN"/>
        </w:rPr>
      </w:pPr>
      <w:r>
        <w:rPr>
          <w:rFonts w:hint="eastAsia" w:ascii="宋体"/>
          <w:b/>
          <w:sz w:val="30"/>
          <w:szCs w:val="30"/>
        </w:rPr>
        <w:t>二O二</w:t>
      </w:r>
      <w:r>
        <w:rPr>
          <w:rFonts w:hint="eastAsia" w:ascii="宋体"/>
          <w:b/>
          <w:sz w:val="30"/>
          <w:szCs w:val="30"/>
          <w:lang w:eastAsia="zh-CN"/>
        </w:rPr>
        <w:t>三</w:t>
      </w:r>
      <w:r>
        <w:rPr>
          <w:rFonts w:hint="eastAsia" w:ascii="宋体"/>
          <w:b/>
          <w:sz w:val="30"/>
          <w:szCs w:val="30"/>
        </w:rPr>
        <w:t>年   月   日</w:t>
      </w:r>
    </w:p>
    <w:p>
      <w:pPr>
        <w:rPr>
          <w:rFonts w:hint="eastAsia" w:ascii="宋体" w:hAnsi="宋体" w:eastAsia="宋体" w:cs="宋体"/>
          <w:b/>
          <w:sz w:val="24"/>
          <w:szCs w:val="24"/>
        </w:rPr>
      </w:pPr>
      <w:r>
        <w:rPr>
          <w:rFonts w:hint="eastAsia" w:ascii="宋体" w:hAnsi="宋体" w:eastAsia="宋体" w:cs="宋体"/>
          <w:b/>
          <w:sz w:val="24"/>
          <w:szCs w:val="24"/>
        </w:rPr>
        <w:br w:type="page"/>
      </w:r>
    </w:p>
    <w:p>
      <w:pPr>
        <w:pStyle w:val="57"/>
        <w:rPr>
          <w:rFonts w:hint="eastAsia"/>
        </w:rPr>
      </w:pPr>
    </w:p>
    <w:p>
      <w:pPr>
        <w:tabs>
          <w:tab w:val="center" w:pos="4832"/>
          <w:tab w:val="left" w:pos="7140"/>
        </w:tabs>
        <w:outlineLvl w:val="1"/>
        <w:rPr>
          <w:rFonts w:hint="eastAsia" w:ascii="宋体" w:hAnsi="宋体" w:eastAsia="宋体" w:cs="宋体"/>
          <w:b/>
          <w:sz w:val="24"/>
          <w:szCs w:val="24"/>
        </w:rPr>
      </w:pPr>
      <w:r>
        <w:rPr>
          <w:rFonts w:hint="eastAsia" w:ascii="宋体" w:hAnsi="宋体" w:eastAsia="宋体" w:cs="宋体"/>
          <w:b/>
          <w:sz w:val="24"/>
          <w:szCs w:val="24"/>
        </w:rPr>
        <w:t>目录</w:t>
      </w:r>
      <w:bookmarkEnd w:id="69"/>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、投标函</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、法定代表人身份证明书</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、法定代表人授权委托书</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、供应商概况</w:t>
      </w:r>
      <w:r>
        <w:rPr>
          <w:rFonts w:hint="eastAsia" w:ascii="宋体" w:hAnsi="宋体" w:cs="宋体"/>
          <w:bCs/>
          <w:sz w:val="24"/>
          <w:szCs w:val="24"/>
          <w:lang w:eastAsia="zh-CN"/>
        </w:rPr>
        <w:t>（后附特定资格证明文件）</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、具有独立承担民事责任的能力</w:t>
      </w:r>
      <w:r>
        <w:rPr>
          <w:rFonts w:hint="eastAsia" w:ascii="宋体" w:hAnsi="宋体" w:eastAsia="宋体" w:cs="宋体"/>
          <w:bCs/>
          <w:sz w:val="24"/>
          <w:szCs w:val="24"/>
          <w:lang w:val="en-US" w:eastAsia="zh-CN"/>
        </w:rPr>
        <w:t>证明材料</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、具有良好的商业信誉和健全的财务会计制度</w:t>
      </w:r>
      <w:r>
        <w:rPr>
          <w:rFonts w:hint="eastAsia" w:ascii="宋体" w:hAnsi="宋体" w:eastAsia="宋体" w:cs="宋体"/>
          <w:bCs/>
          <w:sz w:val="24"/>
          <w:szCs w:val="24"/>
          <w:lang w:val="en-US" w:eastAsia="zh-CN"/>
        </w:rPr>
        <w:t>证明材料</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、具有履行合同所必需的设备和专业技术能力</w:t>
      </w:r>
      <w:r>
        <w:rPr>
          <w:rFonts w:hint="eastAsia" w:ascii="宋体" w:hAnsi="宋体" w:eastAsia="宋体" w:cs="宋体"/>
          <w:bCs/>
          <w:sz w:val="24"/>
          <w:szCs w:val="24"/>
          <w:lang w:val="en-US" w:eastAsia="zh-CN"/>
        </w:rPr>
        <w:t>证明材料或声明</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、有依法缴纳税收和社会保障资金的良好记录的</w:t>
      </w:r>
      <w:r>
        <w:rPr>
          <w:rFonts w:hint="eastAsia" w:ascii="宋体" w:hAnsi="宋体" w:eastAsia="宋体" w:cs="宋体"/>
          <w:bCs/>
          <w:sz w:val="24"/>
          <w:szCs w:val="24"/>
          <w:lang w:val="en-US" w:eastAsia="zh-CN"/>
        </w:rPr>
        <w:t>证明材料</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、参加政府采购活动前三年内，在经营活动中没有重大违法记录的</w:t>
      </w:r>
      <w:r>
        <w:rPr>
          <w:rFonts w:hint="eastAsia" w:ascii="宋体" w:hAnsi="宋体" w:eastAsia="宋体" w:cs="宋体"/>
          <w:bCs/>
          <w:sz w:val="24"/>
          <w:szCs w:val="24"/>
          <w:lang w:val="en-US" w:eastAsia="zh-CN"/>
        </w:rPr>
        <w:t>声明</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10</w:t>
      </w:r>
      <w:r>
        <w:rPr>
          <w:rFonts w:hint="eastAsia" w:ascii="宋体" w:hAnsi="宋体" w:eastAsia="宋体" w:cs="宋体"/>
          <w:bCs/>
          <w:sz w:val="24"/>
          <w:szCs w:val="24"/>
        </w:rPr>
        <w:t>、开标一览表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10</w:t>
      </w:r>
      <w:r>
        <w:rPr>
          <w:rFonts w:hint="eastAsia" w:ascii="宋体" w:hAnsi="宋体" w:eastAsia="宋体" w:cs="宋体"/>
          <w:bCs/>
          <w:sz w:val="24"/>
          <w:szCs w:val="24"/>
        </w:rPr>
        <w:t>.1投标</w:t>
      </w:r>
      <w:r>
        <w:rPr>
          <w:rFonts w:hint="eastAsia" w:ascii="宋体" w:hAnsi="宋体" w:eastAsia="宋体" w:cs="宋体"/>
          <w:kern w:val="0"/>
          <w:sz w:val="24"/>
          <w:szCs w:val="24"/>
        </w:rPr>
        <w:t>价格</w:t>
      </w:r>
      <w:r>
        <w:rPr>
          <w:rFonts w:hint="eastAsia" w:ascii="宋体" w:hAnsi="宋体" w:eastAsia="宋体" w:cs="宋体"/>
          <w:bCs/>
          <w:sz w:val="24"/>
          <w:szCs w:val="24"/>
        </w:rPr>
        <w:t>分类明细表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、技术条款偏离表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12</w:t>
      </w:r>
      <w:r>
        <w:rPr>
          <w:rFonts w:hint="eastAsia" w:ascii="宋体" w:hAnsi="宋体" w:eastAsia="宋体" w:cs="宋体"/>
          <w:bCs/>
          <w:sz w:val="24"/>
          <w:szCs w:val="24"/>
        </w:rPr>
        <w:t>、商务条款偏离表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13</w:t>
      </w:r>
      <w:r>
        <w:rPr>
          <w:rFonts w:hint="eastAsia" w:ascii="宋体" w:hAnsi="宋体" w:eastAsia="宋体" w:cs="宋体"/>
          <w:bCs/>
          <w:sz w:val="24"/>
          <w:szCs w:val="24"/>
        </w:rPr>
        <w:t>、企业类似项目业绩表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14</w:t>
      </w:r>
      <w:r>
        <w:rPr>
          <w:rFonts w:hint="eastAsia" w:ascii="宋体" w:hAnsi="宋体" w:eastAsia="宋体" w:cs="宋体"/>
          <w:bCs/>
          <w:sz w:val="24"/>
          <w:szCs w:val="24"/>
        </w:rPr>
        <w:t>、拟派项目负责人（项目经理）简历表</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15</w:t>
      </w:r>
      <w:r>
        <w:rPr>
          <w:rFonts w:hint="eastAsia" w:ascii="宋体" w:hAnsi="宋体" w:eastAsia="宋体" w:cs="宋体"/>
          <w:bCs/>
          <w:sz w:val="24"/>
          <w:szCs w:val="24"/>
        </w:rPr>
        <w:t>、拟派项目</w:t>
      </w:r>
      <w:r>
        <w:rPr>
          <w:rFonts w:hint="eastAsia" w:ascii="宋体" w:hAnsi="宋体" w:eastAsia="宋体" w:cs="宋体"/>
          <w:bCs/>
          <w:sz w:val="24"/>
          <w:szCs w:val="24"/>
          <w:lang w:eastAsia="zh-CN"/>
        </w:rPr>
        <w:t>组成员</w:t>
      </w:r>
      <w:r>
        <w:rPr>
          <w:rFonts w:hint="eastAsia" w:ascii="宋体" w:hAnsi="宋体" w:eastAsia="宋体" w:cs="宋体"/>
          <w:bCs/>
          <w:sz w:val="24"/>
          <w:szCs w:val="24"/>
        </w:rPr>
        <w:t>情况</w:t>
      </w:r>
    </w:p>
    <w:p>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lang w:val="en-US" w:eastAsia="zh-CN"/>
        </w:rPr>
        <w:t>16</w:t>
      </w:r>
      <w:r>
        <w:rPr>
          <w:rFonts w:hint="eastAsia" w:ascii="宋体" w:hAnsi="宋体" w:eastAsia="宋体" w:cs="宋体"/>
          <w:bCs/>
          <w:sz w:val="24"/>
          <w:szCs w:val="24"/>
        </w:rPr>
        <w:t>、</w:t>
      </w:r>
      <w:r>
        <w:rPr>
          <w:rFonts w:hint="eastAsia" w:ascii="宋体" w:hAnsi="宋体" w:cs="宋体"/>
          <w:bCs/>
          <w:sz w:val="24"/>
          <w:szCs w:val="24"/>
          <w:lang w:eastAsia="zh-CN"/>
        </w:rPr>
        <w:t>总体技术方案</w:t>
      </w:r>
      <w:r>
        <w:rPr>
          <w:rFonts w:hint="eastAsia" w:ascii="宋体" w:hAnsi="宋体" w:eastAsia="宋体" w:cs="宋体"/>
          <w:bCs/>
          <w:sz w:val="24"/>
          <w:szCs w:val="24"/>
        </w:rPr>
        <w:t xml:space="preserve"> </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17</w:t>
      </w:r>
      <w:r>
        <w:rPr>
          <w:rFonts w:hint="eastAsia" w:ascii="宋体" w:hAnsi="宋体" w:eastAsia="宋体" w:cs="宋体"/>
          <w:bCs/>
          <w:sz w:val="24"/>
          <w:szCs w:val="24"/>
        </w:rPr>
        <w:t>、</w:t>
      </w:r>
      <w:r>
        <w:rPr>
          <w:rFonts w:hint="eastAsia" w:ascii="宋体" w:hAnsi="宋体" w:cs="宋体"/>
          <w:bCs/>
          <w:sz w:val="24"/>
          <w:szCs w:val="24"/>
          <w:lang w:eastAsia="zh-CN"/>
        </w:rPr>
        <w:t>业务理解与需求分析</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18</w:t>
      </w:r>
      <w:r>
        <w:rPr>
          <w:rFonts w:hint="eastAsia" w:ascii="宋体" w:hAnsi="宋体" w:eastAsia="宋体" w:cs="宋体"/>
          <w:bCs/>
          <w:sz w:val="24"/>
          <w:szCs w:val="24"/>
        </w:rPr>
        <w:t>、</w:t>
      </w:r>
      <w:r>
        <w:rPr>
          <w:rFonts w:hint="eastAsia" w:ascii="宋体" w:hAnsi="宋体" w:cs="宋体"/>
          <w:bCs/>
          <w:sz w:val="24"/>
          <w:szCs w:val="24"/>
          <w:lang w:eastAsia="zh-CN"/>
        </w:rPr>
        <w:t>实施方案</w:t>
      </w:r>
    </w:p>
    <w:p>
      <w:pPr>
        <w:spacing w:line="360" w:lineRule="auto"/>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cs="宋体"/>
          <w:bCs/>
          <w:sz w:val="24"/>
          <w:szCs w:val="24"/>
          <w:lang w:eastAsia="zh-CN"/>
        </w:rPr>
        <w:t>质量安全方案</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w:t>
      </w:r>
      <w:r>
        <w:rPr>
          <w:rFonts w:hint="eastAsia" w:ascii="宋体" w:hAnsi="宋体" w:eastAsia="宋体" w:cs="宋体"/>
          <w:bCs/>
          <w:sz w:val="24"/>
          <w:szCs w:val="24"/>
        </w:rPr>
        <w:t>、</w:t>
      </w:r>
      <w:r>
        <w:rPr>
          <w:rFonts w:hint="eastAsia" w:ascii="宋体" w:hAnsi="宋体" w:cs="宋体"/>
          <w:bCs/>
          <w:sz w:val="24"/>
          <w:szCs w:val="24"/>
          <w:lang w:val="en-US" w:eastAsia="zh-CN"/>
        </w:rPr>
        <w:t>培训方案</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w:t>
      </w:r>
      <w:r>
        <w:rPr>
          <w:rFonts w:hint="eastAsia" w:ascii="宋体" w:hAnsi="宋体" w:cs="宋体"/>
          <w:bCs/>
          <w:sz w:val="24"/>
          <w:szCs w:val="24"/>
          <w:lang w:val="en-US" w:eastAsia="zh-CN"/>
        </w:rPr>
        <w:t>售后服务方案</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22、投标保证金缴纳凭证</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23、中小企业声明函</w:t>
      </w:r>
    </w:p>
    <w:p>
      <w:pPr>
        <w:spacing w:line="360" w:lineRule="auto"/>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24、其他需要提交的资料</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注：为了便于查找，请按上述顺序编制投标文件内容，并在目录中标明每项内容的起始页码。</w:t>
      </w:r>
    </w:p>
    <w:p>
      <w:pPr>
        <w:tabs>
          <w:tab w:val="center" w:pos="4832"/>
          <w:tab w:val="left" w:pos="7140"/>
        </w:tabs>
        <w:spacing w:line="360" w:lineRule="auto"/>
        <w:jc w:val="center"/>
        <w:outlineLvl w:val="1"/>
        <w:rPr>
          <w:rFonts w:hint="eastAsia" w:ascii="宋体" w:hAnsi="宋体" w:eastAsia="宋体" w:cs="宋体"/>
          <w:b/>
          <w:sz w:val="24"/>
          <w:szCs w:val="24"/>
        </w:rPr>
      </w:pPr>
      <w:bookmarkStart w:id="70" w:name="_Toc533503181"/>
      <w:bookmarkStart w:id="71" w:name="_Toc507586166"/>
      <w:r>
        <w:rPr>
          <w:rFonts w:hint="eastAsia" w:ascii="宋体" w:hAnsi="宋体" w:eastAsia="宋体" w:cs="宋体"/>
          <w:b/>
          <w:sz w:val="24"/>
          <w:szCs w:val="24"/>
        </w:rPr>
        <w:br w:type="page"/>
      </w:r>
      <w:r>
        <w:rPr>
          <w:rFonts w:hint="eastAsia" w:ascii="宋体" w:hAnsi="宋体" w:eastAsia="宋体" w:cs="宋体"/>
          <w:b/>
          <w:sz w:val="24"/>
          <w:szCs w:val="24"/>
          <w:lang w:val="en-US" w:eastAsia="zh-CN"/>
        </w:rPr>
        <w:t>一</w:t>
      </w:r>
      <w:r>
        <w:rPr>
          <w:rFonts w:hint="eastAsia" w:ascii="宋体" w:hAnsi="宋体" w:eastAsia="宋体" w:cs="宋体"/>
          <w:b/>
          <w:sz w:val="24"/>
          <w:szCs w:val="24"/>
        </w:rPr>
        <w:t>、投标函</w:t>
      </w:r>
    </w:p>
    <w:p>
      <w:pPr>
        <w:widowControl/>
        <w:shd w:val="clear" w:color="auto" w:fill="FFFFFF"/>
        <w:snapToGrid w:val="0"/>
        <w:spacing w:line="360" w:lineRule="auto"/>
        <w:jc w:val="left"/>
        <w:rPr>
          <w:rFonts w:hint="eastAsia" w:ascii="宋体" w:hAnsi="宋体" w:eastAsia="宋体" w:cs="宋体"/>
          <w:kern w:val="0"/>
          <w:sz w:val="24"/>
          <w:szCs w:val="24"/>
        </w:rPr>
      </w:pP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（采购人名称）</w:t>
      </w:r>
    </w:p>
    <w:p>
      <w:pPr>
        <w:widowControl/>
        <w:shd w:val="clear" w:color="auto" w:fill="FFFFFF"/>
        <w:snapToGrid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根据已收到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的项目的招标文件，遵照《中华人民共和国</w:t>
      </w:r>
      <w:r>
        <w:rPr>
          <w:rFonts w:hint="eastAsia" w:ascii="宋体" w:hAnsi="宋体" w:eastAsia="宋体" w:cs="宋体"/>
        </w:rPr>
        <w:fldChar w:fldCharType="begin"/>
      </w:r>
      <w:r>
        <w:rPr>
          <w:rFonts w:hint="eastAsia" w:ascii="宋体" w:hAnsi="宋体" w:eastAsia="宋体" w:cs="宋体"/>
        </w:rPr>
        <w:instrText xml:space="preserve"> HYPERLINK "https://baike.baidu.com/item/%E6%8B%9B%E6%A0%87/230370" \t "_blank" </w:instrText>
      </w:r>
      <w:r>
        <w:rPr>
          <w:rFonts w:hint="eastAsia" w:ascii="宋体" w:hAnsi="宋体" w:eastAsia="宋体" w:cs="宋体"/>
        </w:rPr>
        <w:fldChar w:fldCharType="separate"/>
      </w:r>
      <w:r>
        <w:rPr>
          <w:rFonts w:hint="eastAsia" w:ascii="宋体" w:hAnsi="宋体" w:eastAsia="宋体" w:cs="宋体"/>
          <w:kern w:val="0"/>
          <w:sz w:val="24"/>
          <w:szCs w:val="24"/>
        </w:rPr>
        <w:t>招标</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投标法》、《中华人民共和国政府采购法》等有关法律法规的规定，经考察现场和充分研究贵方的招标文件的全部内容后，我方郑重承诺如下：</w:t>
      </w:r>
    </w:p>
    <w:p>
      <w:pPr>
        <w:widowControl/>
        <w:shd w:val="clear" w:color="auto" w:fill="FFFFFF"/>
        <w:snapToGrid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1.我方投标价格为人民币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cs="宋体"/>
          <w:kern w:val="0"/>
          <w:sz w:val="24"/>
          <w:szCs w:val="24"/>
          <w:lang w:eastAsia="zh-CN"/>
        </w:rPr>
        <w:t>合同履约期限</w:t>
      </w:r>
      <w:r>
        <w:rPr>
          <w:rFonts w:hint="eastAsia" w:ascii="宋体" w:hAnsi="宋体" w:eastAsia="宋体" w:cs="宋体"/>
          <w:kern w:val="0"/>
          <w:sz w:val="24"/>
          <w:szCs w:val="24"/>
        </w:rPr>
        <w:t>为</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widowControl/>
        <w:shd w:val="clear" w:color="auto" w:fill="FFFFFF"/>
        <w:snapToGrid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2.如果我方中标，我方将在招标文件规定的时间内签订合同。如果我方违约，贵方有权终止我方中标并选择其它中标单位。</w:t>
      </w:r>
    </w:p>
    <w:p>
      <w:pPr>
        <w:widowControl/>
        <w:shd w:val="clear" w:color="auto" w:fill="FFFFFF"/>
        <w:snapToGrid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3.本投标文件在招标文件规定的投标有效期内对我方具有约束力。</w:t>
      </w:r>
    </w:p>
    <w:p>
      <w:pPr>
        <w:widowControl/>
        <w:shd w:val="clear" w:color="auto" w:fill="FFFFFF"/>
        <w:snapToGrid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4.我方已详细阅读招标文件全部内容且完全理解，同意放弃对这方面有不明及误解的权力。若有违反，同意被废除投标资格并接受处罚。</w:t>
      </w:r>
    </w:p>
    <w:p>
      <w:pPr>
        <w:widowControl/>
        <w:shd w:val="clear" w:color="auto" w:fill="FFFFFF"/>
        <w:snapToGrid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5.我方保证投标文件内容无任何虚假、未侵犯他人知识产权。如有虚假，同意废除中标资格并被没收投标担保，承担因侵犯他人知识产权而由此引起的全部法律责任和经济责任。</w:t>
      </w:r>
    </w:p>
    <w:p>
      <w:pPr>
        <w:widowControl/>
        <w:shd w:val="clear" w:color="auto" w:fill="FFFFFF"/>
        <w:snapToGrid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6.我方愿意提供贵方可能要求的与投标有关的一切数据或资料，完全理解贵方不一定接受最低投标报价的投标或收到的任何投标。</w:t>
      </w:r>
    </w:p>
    <w:p>
      <w:pPr>
        <w:widowControl/>
        <w:shd w:val="clear" w:color="auto" w:fill="FFFFFF"/>
        <w:snapToGrid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7.我方派法定代表人或其授权委托人作为我方代表，负责按时参加开标会并签署与投标有关的相关文件等。</w:t>
      </w:r>
    </w:p>
    <w:p>
      <w:pPr>
        <w:widowControl/>
        <w:shd w:val="clear" w:color="auto" w:fill="FFFFFF"/>
        <w:snapToGrid w:val="0"/>
        <w:spacing w:line="360" w:lineRule="auto"/>
        <w:ind w:firstLine="420"/>
        <w:jc w:val="left"/>
        <w:rPr>
          <w:rFonts w:hint="eastAsia" w:ascii="宋体" w:hAnsi="宋体" w:eastAsia="宋体" w:cs="宋体"/>
          <w:sz w:val="24"/>
        </w:rPr>
      </w:pPr>
      <w:r>
        <w:rPr>
          <w:rFonts w:hint="eastAsia" w:ascii="宋体" w:hAnsi="宋体" w:eastAsia="宋体" w:cs="宋体"/>
          <w:kern w:val="0"/>
          <w:sz w:val="24"/>
          <w:szCs w:val="24"/>
        </w:rPr>
        <w:t>8.我方</w:t>
      </w:r>
      <w:r>
        <w:rPr>
          <w:rFonts w:hint="eastAsia" w:ascii="宋体" w:hAnsi="宋体" w:eastAsia="宋体" w:cs="宋体"/>
          <w:sz w:val="24"/>
        </w:rPr>
        <w:t>保证按招标文件及合同约定原则处理因采购人原因增加或调整的工作量及其他事宜。</w:t>
      </w:r>
    </w:p>
    <w:p>
      <w:pPr>
        <w:widowControl/>
        <w:shd w:val="clear" w:color="auto" w:fill="FFFFFF"/>
        <w:snapToGrid w:val="0"/>
        <w:spacing w:line="384"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9.如我方中标，在合同签订后3个工作日内向采购代理机构提供采购合同原件一份用于采购资料备案工作。</w:t>
      </w: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投标人：（盖章）</w:t>
      </w:r>
    </w:p>
    <w:p>
      <w:pPr>
        <w:widowControl/>
        <w:shd w:val="clear" w:color="auto" w:fill="FFFFFF"/>
        <w:snapToGrid w:val="0"/>
        <w:spacing w:line="360" w:lineRule="auto"/>
        <w:jc w:val="left"/>
        <w:rPr>
          <w:rFonts w:hint="eastAsia" w:ascii="宋体" w:hAnsi="宋体" w:eastAsia="宋体" w:cs="宋体"/>
          <w:kern w:val="0"/>
          <w:sz w:val="24"/>
          <w:szCs w:val="24"/>
        </w:rPr>
      </w:pP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法定代表人或被授权委托人：（签字或盖章）</w:t>
      </w:r>
    </w:p>
    <w:p>
      <w:pPr>
        <w:widowControl/>
        <w:shd w:val="clear" w:color="auto" w:fill="FFFFFF"/>
        <w:snapToGrid w:val="0"/>
        <w:spacing w:line="360" w:lineRule="auto"/>
        <w:jc w:val="left"/>
        <w:rPr>
          <w:rFonts w:hint="eastAsia" w:ascii="宋体" w:hAnsi="宋体" w:eastAsia="宋体" w:cs="宋体"/>
          <w:kern w:val="0"/>
          <w:sz w:val="24"/>
          <w:szCs w:val="24"/>
        </w:rPr>
      </w:pP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日期：年月日</w:t>
      </w:r>
    </w:p>
    <w:p>
      <w:pPr>
        <w:rPr>
          <w:rFonts w:hint="eastAsia" w:ascii="宋体" w:hAnsi="宋体" w:eastAsia="宋体" w:cs="宋体"/>
          <w:kern w:val="0"/>
          <w:sz w:val="24"/>
          <w:szCs w:val="24"/>
        </w:rPr>
      </w:pPr>
      <w:r>
        <w:rPr>
          <w:rFonts w:hint="eastAsia" w:ascii="宋体" w:hAnsi="宋体" w:eastAsia="宋体" w:cs="宋体"/>
          <w:kern w:val="0"/>
          <w:sz w:val="24"/>
          <w:szCs w:val="24"/>
        </w:rPr>
        <w:br w:type="page"/>
      </w:r>
    </w:p>
    <w:p>
      <w:pPr>
        <w:spacing w:line="400" w:lineRule="atLeast"/>
        <w:jc w:val="center"/>
        <w:rPr>
          <w:rFonts w:ascii="Arial" w:hAnsi="Arial" w:cs="Arial"/>
          <w:b/>
          <w:bCs/>
          <w:sz w:val="24"/>
        </w:rPr>
      </w:pPr>
      <w:r>
        <w:rPr>
          <w:rFonts w:hint="eastAsia" w:ascii="Arial" w:hAnsi="Arial" w:cs="Arial"/>
          <w:b/>
          <w:bCs/>
          <w:sz w:val="24"/>
        </w:rPr>
        <w:t>联合体协议书</w:t>
      </w:r>
    </w:p>
    <w:p>
      <w:pPr>
        <w:spacing w:line="360" w:lineRule="auto"/>
        <w:jc w:val="center"/>
        <w:rPr>
          <w:rFonts w:ascii="宋体"/>
          <w:b/>
        </w:rPr>
      </w:pPr>
    </w:p>
    <w:p>
      <w:pPr>
        <w:spacing w:line="360" w:lineRule="auto"/>
        <w:rPr>
          <w:rFonts w:ascii="宋体"/>
        </w:rPr>
      </w:pPr>
    </w:p>
    <w:p>
      <w:pPr>
        <w:topLinePunct/>
        <w:spacing w:line="440" w:lineRule="exact"/>
        <w:ind w:firstLine="480" w:firstLineChars="200"/>
        <w:rPr>
          <w:sz w:val="24"/>
        </w:rPr>
      </w:pPr>
      <w:r>
        <w:rPr>
          <w:sz w:val="24"/>
          <w:u w:val="single"/>
        </w:rPr>
        <w:t xml:space="preserve">          </w:t>
      </w:r>
      <w:r>
        <w:rPr>
          <w:rFonts w:hint="eastAsia"/>
          <w:sz w:val="24"/>
        </w:rPr>
        <w:t>（所有成员单位名称）自愿组成</w:t>
      </w:r>
      <w:r>
        <w:rPr>
          <w:sz w:val="24"/>
          <w:u w:val="single"/>
        </w:rPr>
        <w:t xml:space="preserve">         </w:t>
      </w:r>
      <w:r>
        <w:rPr>
          <w:rFonts w:hint="eastAsia"/>
          <w:sz w:val="24"/>
        </w:rPr>
        <w:t>（联合体名称）联合体，共同参加</w:t>
      </w:r>
      <w:r>
        <w:rPr>
          <w:sz w:val="24"/>
          <w:u w:val="single"/>
        </w:rPr>
        <w:t xml:space="preserve">                </w:t>
      </w:r>
      <w:r>
        <w:rPr>
          <w:rFonts w:hint="eastAsia"/>
          <w:sz w:val="24"/>
        </w:rPr>
        <w:t>（项目名称）投标。现就联合体投标事宜订立如下协议。</w:t>
      </w:r>
    </w:p>
    <w:p>
      <w:pPr>
        <w:topLinePunct/>
        <w:spacing w:line="440" w:lineRule="exact"/>
        <w:ind w:firstLine="480" w:firstLineChars="200"/>
        <w:rPr>
          <w:sz w:val="24"/>
        </w:rPr>
      </w:pPr>
      <w:r>
        <w:rPr>
          <w:sz w:val="24"/>
        </w:rPr>
        <w:t>1</w:t>
      </w:r>
      <w:r>
        <w:rPr>
          <w:rFonts w:hint="eastAsia"/>
          <w:sz w:val="24"/>
        </w:rPr>
        <w:t>、</w:t>
      </w:r>
      <w:r>
        <w:rPr>
          <w:sz w:val="24"/>
          <w:u w:val="single"/>
        </w:rPr>
        <w:t xml:space="preserve">       </w:t>
      </w:r>
      <w:r>
        <w:rPr>
          <w:rFonts w:hint="eastAsia"/>
          <w:sz w:val="24"/>
        </w:rPr>
        <w:t>（某成员单位名称）为</w:t>
      </w:r>
      <w:r>
        <w:rPr>
          <w:sz w:val="24"/>
          <w:u w:val="single"/>
        </w:rPr>
        <w:t xml:space="preserve">        </w:t>
      </w:r>
      <w:r>
        <w:rPr>
          <w:rFonts w:hint="eastAsia"/>
          <w:sz w:val="24"/>
        </w:rPr>
        <w:t>（联合体名称）牵头人。</w:t>
      </w:r>
    </w:p>
    <w:p>
      <w:pPr>
        <w:topLinePunct/>
        <w:spacing w:line="440" w:lineRule="exact"/>
        <w:ind w:firstLine="480" w:firstLineChars="200"/>
        <w:rPr>
          <w:sz w:val="24"/>
        </w:rPr>
      </w:pPr>
      <w:r>
        <w:rPr>
          <w:sz w:val="24"/>
        </w:rPr>
        <w:t>2</w:t>
      </w:r>
      <w:r>
        <w:rPr>
          <w:rFonts w:hint="eastAsia"/>
          <w:sz w:val="24"/>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80" w:firstLineChars="200"/>
        <w:rPr>
          <w:sz w:val="24"/>
        </w:rPr>
      </w:pPr>
      <w:r>
        <w:rPr>
          <w:sz w:val="24"/>
        </w:rPr>
        <w:t>3</w:t>
      </w:r>
      <w:r>
        <w:rPr>
          <w:rFonts w:hint="eastAsia"/>
          <w:sz w:val="24"/>
        </w:rPr>
        <w:t>、联合体将严格按照招标文件的各项要求，递交投标文件，履行合同，并对外承担连带责任。</w:t>
      </w:r>
    </w:p>
    <w:p>
      <w:pPr>
        <w:topLinePunct/>
        <w:spacing w:line="440" w:lineRule="exact"/>
        <w:ind w:firstLine="480" w:firstLineChars="200"/>
        <w:rPr>
          <w:sz w:val="24"/>
        </w:rPr>
      </w:pPr>
      <w:r>
        <w:rPr>
          <w:sz w:val="24"/>
        </w:rPr>
        <w:t>4</w:t>
      </w:r>
      <w:r>
        <w:rPr>
          <w:rFonts w:hint="eastAsia"/>
          <w:sz w:val="24"/>
        </w:rPr>
        <w:t>、联合体各成员单位内部的职责分工如下：</w:t>
      </w:r>
      <w:r>
        <w:rPr>
          <w:sz w:val="24"/>
          <w:u w:val="single"/>
        </w:rPr>
        <w:t xml:space="preserve">                 </w:t>
      </w:r>
      <w:r>
        <w:rPr>
          <w:sz w:val="24"/>
        </w:rPr>
        <w:t xml:space="preserve"> </w:t>
      </w:r>
      <w:r>
        <w:rPr>
          <w:rFonts w:hint="eastAsia"/>
          <w:sz w:val="24"/>
        </w:rPr>
        <w:t>。</w:t>
      </w:r>
    </w:p>
    <w:p>
      <w:pPr>
        <w:topLinePunct/>
        <w:spacing w:line="440" w:lineRule="exact"/>
        <w:ind w:firstLine="480" w:firstLineChars="200"/>
        <w:rPr>
          <w:sz w:val="24"/>
        </w:rPr>
      </w:pPr>
      <w:r>
        <w:rPr>
          <w:sz w:val="24"/>
        </w:rPr>
        <w:t>5</w:t>
      </w:r>
      <w:r>
        <w:rPr>
          <w:rFonts w:hint="eastAsia"/>
          <w:sz w:val="24"/>
        </w:rPr>
        <w:t>、本协议书自签署之日起生效，合同履行完毕后自动失效。</w:t>
      </w:r>
      <w:r>
        <w:rPr>
          <w:sz w:val="24"/>
        </w:rPr>
        <w:t xml:space="preserve"> </w:t>
      </w:r>
    </w:p>
    <w:p>
      <w:pPr>
        <w:topLinePunct/>
        <w:spacing w:line="440" w:lineRule="exact"/>
        <w:ind w:firstLine="480" w:firstLineChars="200"/>
        <w:rPr>
          <w:sz w:val="24"/>
        </w:rPr>
      </w:pPr>
      <w:r>
        <w:rPr>
          <w:sz w:val="24"/>
        </w:rPr>
        <w:t>6</w:t>
      </w:r>
      <w:r>
        <w:rPr>
          <w:rFonts w:hint="eastAsia"/>
          <w:sz w:val="24"/>
        </w:rPr>
        <w:t>、本协议书一式</w:t>
      </w:r>
      <w:r>
        <w:rPr>
          <w:sz w:val="24"/>
          <w:u w:val="single"/>
        </w:rPr>
        <w:t xml:space="preserve">     </w:t>
      </w:r>
      <w:r>
        <w:rPr>
          <w:rFonts w:hint="eastAsia"/>
          <w:sz w:val="24"/>
        </w:rPr>
        <w:t>份，联合体成员和招标人各执一份。</w:t>
      </w:r>
    </w:p>
    <w:p>
      <w:pPr>
        <w:topLinePunct/>
        <w:spacing w:line="440" w:lineRule="exact"/>
        <w:rPr>
          <w:sz w:val="24"/>
        </w:rPr>
      </w:pPr>
    </w:p>
    <w:p>
      <w:pPr>
        <w:topLinePunct/>
        <w:spacing w:line="440" w:lineRule="exact"/>
        <w:ind w:firstLine="480" w:firstLineChars="200"/>
        <w:rPr>
          <w:sz w:val="24"/>
        </w:rPr>
      </w:pPr>
      <w:r>
        <w:rPr>
          <w:rFonts w:hint="eastAsia"/>
          <w:sz w:val="24"/>
        </w:rPr>
        <w:t>注：本协议书由委托代理人签字的，应附法定代表人签字的授权委托书。</w:t>
      </w:r>
    </w:p>
    <w:p>
      <w:pPr>
        <w:topLinePunct/>
        <w:spacing w:line="440" w:lineRule="exact"/>
        <w:rPr>
          <w:b/>
          <w:bCs/>
          <w:sz w:val="24"/>
        </w:rPr>
      </w:pPr>
      <w:r>
        <w:rPr>
          <w:rFonts w:hint="eastAsia"/>
          <w:b/>
          <w:bCs/>
          <w:sz w:val="24"/>
        </w:rPr>
        <w:t>如果投标人认为有其他需要，可完善补充联合体协议（格式自拟）</w:t>
      </w:r>
    </w:p>
    <w:p>
      <w:pPr>
        <w:topLinePunct/>
        <w:spacing w:line="440" w:lineRule="exact"/>
        <w:rPr>
          <w:sz w:val="24"/>
        </w:rPr>
      </w:pPr>
    </w:p>
    <w:p>
      <w:pPr>
        <w:topLinePunct/>
        <w:spacing w:line="440" w:lineRule="exact"/>
        <w:rPr>
          <w:sz w:val="24"/>
        </w:rPr>
      </w:pPr>
      <w:r>
        <w:rPr>
          <w:rFonts w:hint="eastAsia"/>
          <w:sz w:val="24"/>
        </w:rPr>
        <w:t>牵头人名称：</w:t>
      </w:r>
      <w:r>
        <w:rPr>
          <w:sz w:val="24"/>
          <w:u w:val="single"/>
        </w:rPr>
        <w:t xml:space="preserve">                                 </w:t>
      </w:r>
      <w:r>
        <w:rPr>
          <w:rFonts w:hint="eastAsia"/>
          <w:sz w:val="24"/>
        </w:rPr>
        <w:t>（盖单位章）</w:t>
      </w:r>
    </w:p>
    <w:p>
      <w:pPr>
        <w:topLinePunct/>
        <w:spacing w:line="440" w:lineRule="exact"/>
        <w:rPr>
          <w:sz w:val="24"/>
        </w:rPr>
      </w:pPr>
      <w:r>
        <w:rPr>
          <w:rFonts w:hint="eastAsia"/>
          <w:sz w:val="24"/>
        </w:rPr>
        <w:t>法定代表人或其委托代理人：</w:t>
      </w:r>
      <w:r>
        <w:rPr>
          <w:sz w:val="24"/>
          <w:u w:val="single"/>
        </w:rPr>
        <w:t xml:space="preserve">                       </w:t>
      </w:r>
      <w:r>
        <w:rPr>
          <w:rFonts w:hint="eastAsia"/>
          <w:sz w:val="24"/>
        </w:rPr>
        <w:t>（签字</w:t>
      </w:r>
      <w:r>
        <w:rPr>
          <w:rFonts w:hint="eastAsia"/>
          <w:sz w:val="24"/>
          <w:lang w:eastAsia="zh-CN"/>
        </w:rPr>
        <w:t>或盖章</w:t>
      </w:r>
      <w:r>
        <w:rPr>
          <w:rFonts w:hint="eastAsia"/>
          <w:sz w:val="24"/>
        </w:rPr>
        <w:t>）</w:t>
      </w:r>
    </w:p>
    <w:p>
      <w:pPr>
        <w:topLinePunct/>
        <w:spacing w:line="440" w:lineRule="exact"/>
        <w:rPr>
          <w:sz w:val="24"/>
        </w:rPr>
      </w:pPr>
    </w:p>
    <w:p>
      <w:pPr>
        <w:topLinePunct/>
        <w:spacing w:line="440" w:lineRule="exact"/>
        <w:rPr>
          <w:sz w:val="24"/>
        </w:rPr>
      </w:pPr>
      <w:r>
        <w:rPr>
          <w:rFonts w:hint="eastAsia"/>
          <w:sz w:val="24"/>
        </w:rPr>
        <w:t>成员名称：</w:t>
      </w:r>
      <w:r>
        <w:rPr>
          <w:sz w:val="24"/>
          <w:u w:val="single"/>
        </w:rPr>
        <w:t xml:space="preserve">                                 </w:t>
      </w:r>
      <w:r>
        <w:rPr>
          <w:rFonts w:hint="eastAsia"/>
          <w:sz w:val="24"/>
        </w:rPr>
        <w:t>（盖单位章）</w:t>
      </w:r>
    </w:p>
    <w:p>
      <w:pPr>
        <w:topLinePunct/>
        <w:spacing w:line="440" w:lineRule="exact"/>
        <w:rPr>
          <w:sz w:val="24"/>
        </w:rPr>
      </w:pPr>
      <w:r>
        <w:rPr>
          <w:rFonts w:hint="eastAsia"/>
          <w:sz w:val="24"/>
        </w:rPr>
        <w:t>法定代表人或其委托代理人：</w:t>
      </w:r>
      <w:r>
        <w:rPr>
          <w:sz w:val="24"/>
          <w:u w:val="single"/>
        </w:rPr>
        <w:t xml:space="preserve">                       </w:t>
      </w:r>
      <w:r>
        <w:rPr>
          <w:rFonts w:hint="eastAsia"/>
          <w:sz w:val="24"/>
        </w:rPr>
        <w:t>（签字</w:t>
      </w:r>
      <w:r>
        <w:rPr>
          <w:rFonts w:hint="eastAsia"/>
          <w:sz w:val="24"/>
          <w:lang w:eastAsia="zh-CN"/>
        </w:rPr>
        <w:t>或盖章</w:t>
      </w:r>
      <w:r>
        <w:rPr>
          <w:rFonts w:hint="eastAsia"/>
          <w:sz w:val="24"/>
        </w:rPr>
        <w:t>）</w:t>
      </w:r>
    </w:p>
    <w:p>
      <w:pPr>
        <w:rPr>
          <w:rFonts w:ascii="Arial" w:hAnsi="Arial" w:cs="Arial"/>
          <w:b/>
          <w:bCs/>
          <w:sz w:val="24"/>
        </w:rPr>
      </w:pPr>
      <w:r>
        <w:rPr>
          <w:rFonts w:hint="eastAsia" w:ascii="Arial" w:hAnsi="Arial" w:cs="Arial"/>
          <w:b/>
          <w:bCs/>
          <w:sz w:val="24"/>
        </w:rPr>
        <w:br w:type="page"/>
      </w:r>
    </w:p>
    <w:p>
      <w:pPr>
        <w:spacing w:line="400" w:lineRule="atLeast"/>
        <w:jc w:val="center"/>
        <w:rPr>
          <w:rFonts w:ascii="Arial" w:hAnsi="Arial" w:cs="Arial"/>
          <w:b/>
          <w:bCs/>
          <w:sz w:val="24"/>
        </w:rPr>
      </w:pPr>
      <w:r>
        <w:rPr>
          <w:rFonts w:hint="eastAsia" w:ascii="Arial" w:hAnsi="Arial" w:cs="Arial"/>
          <w:b/>
          <w:bCs/>
          <w:sz w:val="24"/>
        </w:rPr>
        <w:t>联合体主办方证明书</w:t>
      </w:r>
    </w:p>
    <w:p>
      <w:pPr>
        <w:topLinePunct/>
        <w:spacing w:line="440" w:lineRule="exact"/>
        <w:ind w:firstLine="480" w:firstLineChars="200"/>
        <w:rPr>
          <w:sz w:val="24"/>
        </w:rPr>
      </w:pPr>
    </w:p>
    <w:p>
      <w:pPr>
        <w:topLinePunct/>
        <w:spacing w:line="440" w:lineRule="exact"/>
        <w:ind w:firstLine="480" w:firstLineChars="200"/>
        <w:rPr>
          <w:sz w:val="24"/>
        </w:rPr>
      </w:pPr>
      <w:r>
        <w:rPr>
          <w:rFonts w:hint="eastAsia"/>
          <w:sz w:val="24"/>
        </w:rPr>
        <w:t>采购人：</w:t>
      </w:r>
    </w:p>
    <w:p>
      <w:pPr>
        <w:topLinePunct/>
        <w:spacing w:line="440" w:lineRule="exact"/>
        <w:ind w:firstLine="480" w:firstLineChars="200"/>
        <w:rPr>
          <w:rFonts w:ascii="Times New Roman" w:hAnsi="Times New Roman" w:cs="Times New Roman"/>
          <w:sz w:val="24"/>
        </w:rPr>
      </w:pPr>
    </w:p>
    <w:p>
      <w:pPr>
        <w:autoSpaceDE w:val="0"/>
        <w:autoSpaceDN w:val="0"/>
        <w:adjustRightInd w:val="0"/>
        <w:spacing w:line="360" w:lineRule="auto"/>
        <w:rPr>
          <w:rFonts w:ascii="Times New Roman" w:hAnsi="Times New Roman" w:cs="Times New Roman"/>
          <w:sz w:val="24"/>
        </w:rPr>
      </w:pPr>
      <w:r>
        <w:rPr>
          <w:rFonts w:hint="eastAsia" w:ascii="Times New Roman" w:hAnsi="Times New Roman" w:cs="Times New Roman"/>
          <w:sz w:val="24"/>
        </w:rPr>
        <w:t xml:space="preserve">我公司       和          公司自愿组成联合体以一个投标人身份参与贵方此次服务招投标活动，联合体协议书我们已签订完毕，作为一个投标人经我们协商同意，特指派       </w:t>
      </w:r>
      <w:r>
        <w:rPr>
          <w:rFonts w:ascii="Times New Roman" w:hAnsi="Times New Roman" w:cs="Times New Roman"/>
          <w:sz w:val="24"/>
        </w:rPr>
        <w:t xml:space="preserve">    xxx</w:t>
      </w:r>
      <w:r>
        <w:rPr>
          <w:rFonts w:hint="eastAsia" w:ascii="Times New Roman" w:hAnsi="Times New Roman" w:cs="Times New Roman"/>
          <w:sz w:val="24"/>
        </w:rPr>
        <w:t>公司作为参与此次招投标活动的主办方，该公司和该公司法人代表人或委托代理人在招投标活动中所签署的一切文件和声明，我们中任何一方都将认可，特此证明。</w:t>
      </w:r>
    </w:p>
    <w:p/>
    <w:p/>
    <w:p/>
    <w:p/>
    <w:p>
      <w:pPr>
        <w:topLinePunct/>
        <w:spacing w:line="440" w:lineRule="exact"/>
        <w:rPr>
          <w:sz w:val="24"/>
        </w:rPr>
      </w:pPr>
      <w:r>
        <w:rPr>
          <w:rFonts w:hint="eastAsia"/>
          <w:sz w:val="24"/>
        </w:rPr>
        <w:t>牵头人名称：</w:t>
      </w:r>
      <w:r>
        <w:rPr>
          <w:sz w:val="24"/>
          <w:u w:val="single"/>
        </w:rPr>
        <w:t xml:space="preserve">                                 </w:t>
      </w:r>
      <w:r>
        <w:rPr>
          <w:rFonts w:hint="eastAsia"/>
          <w:sz w:val="24"/>
        </w:rPr>
        <w:t>（盖单位章）</w:t>
      </w:r>
    </w:p>
    <w:p>
      <w:pPr>
        <w:topLinePunct/>
        <w:spacing w:line="440" w:lineRule="exact"/>
        <w:rPr>
          <w:sz w:val="24"/>
        </w:rPr>
      </w:pPr>
      <w:r>
        <w:rPr>
          <w:rFonts w:hint="eastAsia"/>
          <w:sz w:val="24"/>
        </w:rPr>
        <w:t>法定代表人或其委托代理人：</w:t>
      </w:r>
      <w:r>
        <w:rPr>
          <w:sz w:val="24"/>
          <w:u w:val="single"/>
        </w:rPr>
        <w:t xml:space="preserve">                       </w:t>
      </w:r>
      <w:r>
        <w:rPr>
          <w:rFonts w:hint="eastAsia"/>
          <w:sz w:val="24"/>
        </w:rPr>
        <w:t>（签字</w:t>
      </w:r>
      <w:r>
        <w:rPr>
          <w:rFonts w:hint="eastAsia"/>
          <w:sz w:val="24"/>
          <w:lang w:eastAsia="zh-CN"/>
        </w:rPr>
        <w:t>或盖章</w:t>
      </w:r>
      <w:r>
        <w:rPr>
          <w:rFonts w:hint="eastAsia"/>
          <w:sz w:val="24"/>
        </w:rPr>
        <w:t>）</w:t>
      </w:r>
    </w:p>
    <w:p>
      <w:pPr>
        <w:topLinePunct/>
        <w:spacing w:line="440" w:lineRule="exact"/>
        <w:rPr>
          <w:sz w:val="24"/>
        </w:rPr>
      </w:pPr>
    </w:p>
    <w:p>
      <w:pPr>
        <w:topLinePunct/>
        <w:spacing w:line="440" w:lineRule="exact"/>
        <w:rPr>
          <w:sz w:val="24"/>
        </w:rPr>
      </w:pPr>
      <w:r>
        <w:rPr>
          <w:rFonts w:hint="eastAsia"/>
          <w:sz w:val="24"/>
        </w:rPr>
        <w:t>成员名称：</w:t>
      </w:r>
      <w:r>
        <w:rPr>
          <w:sz w:val="24"/>
          <w:u w:val="single"/>
        </w:rPr>
        <w:t xml:space="preserve">                                 </w:t>
      </w:r>
      <w:r>
        <w:rPr>
          <w:rFonts w:hint="eastAsia"/>
          <w:sz w:val="24"/>
        </w:rPr>
        <w:t>（盖单位章）</w:t>
      </w:r>
    </w:p>
    <w:p>
      <w:pPr>
        <w:widowControl/>
        <w:jc w:val="left"/>
        <w:rPr>
          <w:rFonts w:asciiTheme="minorEastAsia" w:hAnsiTheme="minorEastAsia" w:eastAsiaTheme="minorEastAsia"/>
          <w:b/>
          <w:sz w:val="24"/>
          <w:szCs w:val="24"/>
        </w:rPr>
      </w:pPr>
      <w:r>
        <w:rPr>
          <w:rFonts w:hint="eastAsia"/>
          <w:sz w:val="24"/>
        </w:rPr>
        <w:t>法定代表人或其委托代理人：</w:t>
      </w:r>
      <w:r>
        <w:rPr>
          <w:sz w:val="24"/>
          <w:u w:val="single"/>
        </w:rPr>
        <w:t xml:space="preserve">                       </w:t>
      </w:r>
      <w:r>
        <w:rPr>
          <w:rFonts w:hint="eastAsia"/>
          <w:sz w:val="24"/>
        </w:rPr>
        <w:t>（签字</w:t>
      </w:r>
      <w:r>
        <w:rPr>
          <w:rFonts w:hint="eastAsia"/>
          <w:sz w:val="24"/>
          <w:lang w:eastAsia="zh-CN"/>
        </w:rPr>
        <w:t>或盖章</w:t>
      </w:r>
      <w:r>
        <w:rPr>
          <w:rFonts w:hint="eastAsia"/>
          <w:sz w:val="24"/>
        </w:rPr>
        <w:t>）</w:t>
      </w:r>
    </w:p>
    <w:p>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pageBreakBefore/>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法定代表人身份证明书</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企业名称：</w:t>
      </w:r>
      <w:r>
        <w:rPr>
          <w:rFonts w:hint="eastAsia" w:ascii="宋体" w:hAnsi="宋体" w:eastAsia="宋体" w:cs="宋体"/>
          <w:bCs/>
          <w:sz w:val="24"/>
          <w:szCs w:val="24"/>
          <w:u w:val="single"/>
        </w:rPr>
        <w:t xml:space="preserve">                                                   </w:t>
      </w:r>
    </w:p>
    <w:p>
      <w:pPr>
        <w:spacing w:line="360" w:lineRule="auto"/>
        <w:rPr>
          <w:rFonts w:hint="eastAsia" w:ascii="宋体" w:hAnsi="宋体" w:eastAsia="宋体" w:cs="宋体"/>
          <w:bCs/>
          <w:sz w:val="24"/>
          <w:szCs w:val="24"/>
          <w:u w:val="single"/>
        </w:rPr>
      </w:pPr>
    </w:p>
    <w:p>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企业类型：</w:t>
      </w:r>
      <w:r>
        <w:rPr>
          <w:rFonts w:hint="eastAsia" w:ascii="宋体" w:hAnsi="宋体" w:eastAsia="宋体" w:cs="宋体"/>
          <w:bCs/>
          <w:sz w:val="24"/>
          <w:szCs w:val="24"/>
          <w:u w:val="single"/>
        </w:rPr>
        <w:t xml:space="preserve">                                                   </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地    址：</w:t>
      </w:r>
      <w:r>
        <w:rPr>
          <w:rFonts w:hint="eastAsia" w:ascii="宋体" w:hAnsi="宋体" w:eastAsia="宋体" w:cs="宋体"/>
          <w:bCs/>
          <w:sz w:val="24"/>
          <w:szCs w:val="24"/>
          <w:u w:val="single"/>
        </w:rPr>
        <w:t xml:space="preserve">                                                   </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营业期限：</w:t>
      </w:r>
      <w:r>
        <w:rPr>
          <w:rFonts w:hint="eastAsia" w:ascii="宋体" w:hAnsi="宋体" w:eastAsia="宋体" w:cs="宋体"/>
          <w:bCs/>
          <w:sz w:val="24"/>
          <w:szCs w:val="24"/>
          <w:u w:val="single"/>
        </w:rPr>
        <w:t xml:space="preserve">                                                   </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成立时间：</w:t>
      </w:r>
      <w:r>
        <w:rPr>
          <w:rFonts w:hint="eastAsia" w:ascii="宋体" w:hAnsi="宋体" w:eastAsia="宋体" w:cs="宋体"/>
          <w:bCs/>
          <w:sz w:val="24"/>
          <w:szCs w:val="24"/>
          <w:u w:val="single"/>
        </w:rPr>
        <w:t xml:space="preserve">                                                   </w:t>
      </w:r>
    </w:p>
    <w:p>
      <w:pPr>
        <w:spacing w:line="360" w:lineRule="auto"/>
        <w:rPr>
          <w:rFonts w:hint="eastAsia" w:ascii="宋体" w:hAnsi="宋体" w:eastAsia="宋体" w:cs="宋体"/>
          <w:bCs/>
          <w:sz w:val="24"/>
          <w:szCs w:val="24"/>
          <w:u w:val="single"/>
        </w:rPr>
      </w:pPr>
    </w:p>
    <w:p>
      <w:pPr>
        <w:spacing w:line="360" w:lineRule="auto"/>
        <w:rPr>
          <w:rFonts w:hint="eastAsia" w:ascii="宋体" w:hAnsi="宋体" w:eastAsia="宋体" w:cs="宋体"/>
          <w:bCs/>
          <w:sz w:val="24"/>
          <w:szCs w:val="24"/>
          <w:u w:val="single"/>
        </w:rPr>
      </w:pPr>
    </w:p>
    <w:p>
      <w:pPr>
        <w:spacing w:line="360" w:lineRule="auto"/>
        <w:rPr>
          <w:rFonts w:hint="eastAsia" w:ascii="宋体" w:hAnsi="宋体" w:eastAsia="宋体" w:cs="宋体"/>
          <w:bCs/>
          <w:sz w:val="24"/>
          <w:szCs w:val="24"/>
          <w:u w:val="single"/>
        </w:rPr>
      </w:pPr>
    </w:p>
    <w:p>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姓名：</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性别：</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年龄：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职务：</w:t>
      </w:r>
      <w:r>
        <w:rPr>
          <w:rFonts w:hint="eastAsia" w:ascii="宋体" w:hAnsi="宋体" w:eastAsia="宋体" w:cs="宋体"/>
          <w:bCs/>
          <w:sz w:val="24"/>
          <w:szCs w:val="24"/>
          <w:u w:val="single"/>
        </w:rPr>
        <w:t xml:space="preserve">               </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系 </w:t>
      </w:r>
      <w:r>
        <w:rPr>
          <w:rFonts w:hint="eastAsia" w:ascii="宋体" w:hAnsi="宋体" w:eastAsia="宋体" w:cs="宋体"/>
          <w:bCs/>
          <w:sz w:val="24"/>
          <w:szCs w:val="24"/>
          <w:u w:val="single"/>
        </w:rPr>
        <w:t xml:space="preserve">         （供应商名称）               </w:t>
      </w:r>
      <w:r>
        <w:rPr>
          <w:rFonts w:hint="eastAsia" w:ascii="宋体" w:hAnsi="宋体" w:eastAsia="宋体" w:cs="宋体"/>
          <w:bCs/>
          <w:sz w:val="24"/>
          <w:szCs w:val="24"/>
        </w:rPr>
        <w:t>的法定代表人。</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特此证明。</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wordWrap w:val="0"/>
        <w:spacing w:line="360" w:lineRule="auto"/>
        <w:jc w:val="right"/>
        <w:rPr>
          <w:rFonts w:hint="eastAsia" w:ascii="宋体" w:hAnsi="宋体" w:eastAsia="宋体" w:cs="宋体"/>
          <w:bCs/>
          <w:sz w:val="24"/>
          <w:szCs w:val="24"/>
          <w:u w:val="single"/>
        </w:rPr>
      </w:pPr>
      <w:r>
        <w:rPr>
          <w:rFonts w:hint="eastAsia" w:ascii="宋体" w:hAnsi="宋体" w:eastAsia="宋体" w:cs="宋体"/>
          <w:bCs/>
          <w:sz w:val="24"/>
          <w:szCs w:val="24"/>
        </w:rPr>
        <w:t>供应商：</w:t>
      </w:r>
      <w:r>
        <w:rPr>
          <w:rFonts w:hint="eastAsia" w:ascii="宋体" w:hAnsi="宋体" w:eastAsia="宋体" w:cs="宋体"/>
          <w:bCs/>
          <w:sz w:val="24"/>
          <w:szCs w:val="24"/>
          <w:u w:val="single"/>
        </w:rPr>
        <w:t xml:space="preserve">                      （盖章）</w:t>
      </w:r>
    </w:p>
    <w:p>
      <w:pPr>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日  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pageBreakBefore/>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、法定代表人授权委托书</w:t>
      </w:r>
    </w:p>
    <w:p>
      <w:pPr>
        <w:spacing w:line="360" w:lineRule="auto"/>
        <w:jc w:val="center"/>
        <w:rPr>
          <w:rFonts w:hint="eastAsia" w:ascii="宋体" w:hAnsi="宋体" w:eastAsia="宋体" w:cs="宋体"/>
          <w:b/>
          <w:sz w:val="24"/>
          <w:szCs w:val="24"/>
        </w:rPr>
      </w:pPr>
    </w:p>
    <w:p>
      <w:pPr>
        <w:spacing w:line="360" w:lineRule="auto"/>
        <w:rPr>
          <w:rFonts w:hint="eastAsia" w:ascii="宋体" w:hAnsi="宋体" w:eastAsia="宋体" w:cs="宋体"/>
          <w:sz w:val="24"/>
          <w:szCs w:val="24"/>
        </w:rPr>
      </w:pPr>
    </w:p>
    <w:p>
      <w:pPr>
        <w:spacing w:line="360" w:lineRule="auto"/>
        <w:ind w:firstLine="63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（姓名）为我公司代理人，以本公司的名义参加</w:t>
      </w:r>
      <w:r>
        <w:rPr>
          <w:rFonts w:hint="eastAsia" w:ascii="宋体" w:hAnsi="宋体" w:eastAsia="宋体" w:cs="宋体"/>
          <w:sz w:val="24"/>
          <w:szCs w:val="24"/>
          <w:u w:val="single"/>
        </w:rPr>
        <w:t xml:space="preserve">          </w:t>
      </w:r>
      <w:r>
        <w:rPr>
          <w:rFonts w:hint="eastAsia" w:ascii="宋体" w:hAnsi="宋体" w:eastAsia="宋体" w:cs="宋体"/>
          <w:sz w:val="24"/>
          <w:szCs w:val="24"/>
        </w:rPr>
        <w:t>（采购人）的</w:t>
      </w:r>
      <w:r>
        <w:rPr>
          <w:rFonts w:hint="eastAsia" w:ascii="宋体" w:hAnsi="宋体" w:eastAsia="宋体" w:cs="宋体"/>
          <w:sz w:val="24"/>
          <w:szCs w:val="24"/>
          <w:u w:val="single"/>
        </w:rPr>
        <w:t xml:space="preserve">                 </w:t>
      </w:r>
      <w:r>
        <w:rPr>
          <w:rFonts w:hint="eastAsia" w:ascii="宋体" w:hAnsi="宋体" w:eastAsia="宋体" w:cs="宋体"/>
          <w:sz w:val="24"/>
          <w:szCs w:val="24"/>
        </w:rPr>
        <w:t>招标工程的投标活动。代理人签署的磋商响应文件和参加整个工程招标投标活动中所签署的一切文件和处理与之有关的一切事物，我均予以承认。</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代理人：</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单  位：</w:t>
      </w:r>
      <w:r>
        <w:rPr>
          <w:rFonts w:hint="eastAsia" w:ascii="宋体" w:hAnsi="宋体" w:eastAsia="宋体" w:cs="宋体"/>
          <w:sz w:val="24"/>
          <w:szCs w:val="24"/>
          <w:u w:val="single"/>
        </w:rPr>
        <w:t xml:space="preserve">              </w:t>
      </w:r>
      <w:r>
        <w:rPr>
          <w:rFonts w:hint="eastAsia" w:ascii="宋体" w:hAnsi="宋体" w:eastAsia="宋体" w:cs="宋体"/>
          <w:sz w:val="24"/>
          <w:szCs w:val="24"/>
        </w:rPr>
        <w:t>部门：</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代理人无转委权。特此委托。</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供应商：（盖章）</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签字或</w:t>
      </w:r>
      <w:r>
        <w:rPr>
          <w:rFonts w:hint="eastAsia" w:ascii="宋体" w:hAnsi="宋体" w:eastAsia="宋体" w:cs="宋体"/>
          <w:sz w:val="24"/>
          <w:szCs w:val="24"/>
        </w:rPr>
        <w:t>盖章）</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b/>
          <w:sz w:val="24"/>
          <w:szCs w:val="24"/>
        </w:rPr>
      </w:pPr>
    </w:p>
    <w:p>
      <w:pPr>
        <w:spacing w:line="360" w:lineRule="auto"/>
        <w:jc w:val="right"/>
        <w:rPr>
          <w:rFonts w:hint="eastAsia" w:ascii="宋体" w:hAnsi="宋体" w:eastAsia="宋体" w:cs="宋体"/>
          <w:b/>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ageBreakBefore/>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、供应商概况表</w:t>
      </w:r>
    </w:p>
    <w:p>
      <w:pPr>
        <w:ind w:left="424" w:leftChars="202"/>
        <w:jc w:val="center"/>
        <w:rPr>
          <w:rFonts w:hint="eastAsia" w:ascii="宋体" w:hAnsi="宋体" w:eastAsia="宋体" w:cs="宋体"/>
          <w:b/>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51"/>
        <w:gridCol w:w="779"/>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732" w:type="dxa"/>
            <w:gridSpan w:val="9"/>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101" w:type="dxa"/>
            <w:gridSpan w:val="5"/>
            <w:noWrap w:val="0"/>
            <w:vAlign w:val="center"/>
          </w:tcPr>
          <w:p>
            <w:pPr>
              <w:jc w:val="center"/>
              <w:rPr>
                <w:rFonts w:hint="eastAsia" w:ascii="宋体" w:hAnsi="宋体" w:eastAsia="宋体" w:cs="宋体"/>
                <w:sz w:val="24"/>
                <w:szCs w:val="24"/>
              </w:rPr>
            </w:pPr>
          </w:p>
        </w:tc>
        <w:tc>
          <w:tcPr>
            <w:tcW w:w="124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邮政编码</w:t>
            </w:r>
          </w:p>
        </w:tc>
        <w:tc>
          <w:tcPr>
            <w:tcW w:w="2385"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851"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联系人</w:t>
            </w:r>
          </w:p>
        </w:tc>
        <w:tc>
          <w:tcPr>
            <w:tcW w:w="2250" w:type="dxa"/>
            <w:gridSpan w:val="4"/>
            <w:noWrap w:val="0"/>
            <w:vAlign w:val="center"/>
          </w:tcPr>
          <w:p>
            <w:pPr>
              <w:jc w:val="center"/>
              <w:rPr>
                <w:rFonts w:hint="eastAsia" w:ascii="宋体" w:hAnsi="宋体" w:eastAsia="宋体" w:cs="宋体"/>
                <w:sz w:val="24"/>
                <w:szCs w:val="24"/>
              </w:rPr>
            </w:pPr>
          </w:p>
        </w:tc>
        <w:tc>
          <w:tcPr>
            <w:tcW w:w="124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电  话</w:t>
            </w:r>
          </w:p>
        </w:tc>
        <w:tc>
          <w:tcPr>
            <w:tcW w:w="2385"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vMerge w:val="continue"/>
            <w:noWrap w:val="0"/>
            <w:vAlign w:val="center"/>
          </w:tcPr>
          <w:p>
            <w:pPr>
              <w:jc w:val="center"/>
              <w:rPr>
                <w:rFonts w:hint="eastAsia" w:ascii="宋体" w:hAnsi="宋体" w:eastAsia="宋体" w:cs="宋体"/>
                <w:sz w:val="24"/>
                <w:szCs w:val="24"/>
              </w:rPr>
            </w:pPr>
          </w:p>
        </w:tc>
        <w:tc>
          <w:tcPr>
            <w:tcW w:w="851"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传  真</w:t>
            </w:r>
          </w:p>
        </w:tc>
        <w:tc>
          <w:tcPr>
            <w:tcW w:w="2250" w:type="dxa"/>
            <w:gridSpan w:val="4"/>
            <w:noWrap w:val="0"/>
            <w:vAlign w:val="center"/>
          </w:tcPr>
          <w:p>
            <w:pPr>
              <w:jc w:val="center"/>
              <w:rPr>
                <w:rFonts w:hint="eastAsia" w:ascii="宋体" w:hAnsi="宋体" w:eastAsia="宋体" w:cs="宋体"/>
                <w:sz w:val="24"/>
                <w:szCs w:val="24"/>
              </w:rPr>
            </w:pPr>
          </w:p>
        </w:tc>
        <w:tc>
          <w:tcPr>
            <w:tcW w:w="124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网  址</w:t>
            </w:r>
          </w:p>
        </w:tc>
        <w:tc>
          <w:tcPr>
            <w:tcW w:w="2385"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6732" w:type="dxa"/>
            <w:gridSpan w:val="9"/>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51"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姓名</w:t>
            </w:r>
          </w:p>
        </w:tc>
        <w:tc>
          <w:tcPr>
            <w:tcW w:w="779" w:type="dxa"/>
            <w:noWrap w:val="0"/>
            <w:vAlign w:val="center"/>
          </w:tcPr>
          <w:p>
            <w:pPr>
              <w:jc w:val="center"/>
              <w:rPr>
                <w:rFonts w:hint="eastAsia" w:ascii="宋体" w:hAnsi="宋体" w:eastAsia="宋体" w:cs="宋体"/>
                <w:sz w:val="24"/>
                <w:szCs w:val="24"/>
              </w:rPr>
            </w:pPr>
          </w:p>
        </w:tc>
        <w:tc>
          <w:tcPr>
            <w:tcW w:w="1276" w:type="dxa"/>
            <w:gridSpan w:val="2"/>
            <w:noWrap w:val="0"/>
            <w:vAlign w:val="center"/>
          </w:tcPr>
          <w:p>
            <w:pP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gridSpan w:val="3"/>
            <w:noWrap w:val="0"/>
            <w:vAlign w:val="center"/>
          </w:tcPr>
          <w:p>
            <w:pPr>
              <w:jc w:val="center"/>
              <w:rPr>
                <w:rFonts w:hint="eastAsia" w:ascii="宋体" w:hAnsi="宋体" w:eastAsia="宋体" w:cs="宋体"/>
                <w:sz w:val="24"/>
                <w:szCs w:val="24"/>
              </w:rPr>
            </w:pPr>
          </w:p>
        </w:tc>
        <w:tc>
          <w:tcPr>
            <w:tcW w:w="7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电话</w:t>
            </w:r>
          </w:p>
        </w:tc>
        <w:tc>
          <w:tcPr>
            <w:tcW w:w="1416"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51"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姓名</w:t>
            </w:r>
          </w:p>
        </w:tc>
        <w:tc>
          <w:tcPr>
            <w:tcW w:w="779" w:type="dxa"/>
            <w:noWrap w:val="0"/>
            <w:vAlign w:val="center"/>
          </w:tcPr>
          <w:p>
            <w:pPr>
              <w:jc w:val="center"/>
              <w:rPr>
                <w:rFonts w:hint="eastAsia" w:ascii="宋体" w:hAnsi="宋体" w:eastAsia="宋体" w:cs="宋体"/>
                <w:sz w:val="24"/>
                <w:szCs w:val="24"/>
              </w:rPr>
            </w:pPr>
          </w:p>
        </w:tc>
        <w:tc>
          <w:tcPr>
            <w:tcW w:w="1276" w:type="dxa"/>
            <w:gridSpan w:val="2"/>
            <w:noWrap w:val="0"/>
            <w:vAlign w:val="center"/>
          </w:tcPr>
          <w:p>
            <w:pP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gridSpan w:val="3"/>
            <w:noWrap w:val="0"/>
            <w:vAlign w:val="center"/>
          </w:tcPr>
          <w:p>
            <w:pPr>
              <w:jc w:val="center"/>
              <w:rPr>
                <w:rFonts w:hint="eastAsia" w:ascii="宋体" w:hAnsi="宋体" w:eastAsia="宋体" w:cs="宋体"/>
                <w:sz w:val="24"/>
                <w:szCs w:val="24"/>
              </w:rPr>
            </w:pPr>
          </w:p>
        </w:tc>
        <w:tc>
          <w:tcPr>
            <w:tcW w:w="7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电话</w:t>
            </w:r>
          </w:p>
        </w:tc>
        <w:tc>
          <w:tcPr>
            <w:tcW w:w="1416"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1630" w:type="dxa"/>
            <w:gridSpan w:val="2"/>
            <w:noWrap w:val="0"/>
            <w:vAlign w:val="center"/>
          </w:tcPr>
          <w:p>
            <w:pPr>
              <w:jc w:val="center"/>
              <w:rPr>
                <w:rFonts w:hint="eastAsia" w:ascii="宋体" w:hAnsi="宋体" w:eastAsia="宋体" w:cs="宋体"/>
                <w:sz w:val="24"/>
                <w:szCs w:val="24"/>
              </w:rPr>
            </w:pPr>
          </w:p>
        </w:tc>
        <w:tc>
          <w:tcPr>
            <w:tcW w:w="5102" w:type="dxa"/>
            <w:gridSpan w:val="7"/>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1630" w:type="dxa"/>
            <w:gridSpan w:val="2"/>
            <w:noWrap w:val="0"/>
            <w:vAlign w:val="center"/>
          </w:tcPr>
          <w:p>
            <w:pPr>
              <w:jc w:val="center"/>
              <w:rPr>
                <w:rFonts w:hint="eastAsia" w:ascii="宋体" w:hAnsi="宋体" w:eastAsia="宋体" w:cs="宋体"/>
                <w:sz w:val="24"/>
                <w:szCs w:val="24"/>
              </w:rPr>
            </w:pPr>
          </w:p>
        </w:tc>
        <w:tc>
          <w:tcPr>
            <w:tcW w:w="993"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其中</w:t>
            </w:r>
          </w:p>
        </w:tc>
        <w:tc>
          <w:tcPr>
            <w:tcW w:w="1984"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2125"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1630" w:type="dxa"/>
            <w:gridSpan w:val="2"/>
            <w:noWrap w:val="0"/>
            <w:vAlign w:val="center"/>
          </w:tcPr>
          <w:p>
            <w:pPr>
              <w:jc w:val="center"/>
              <w:rPr>
                <w:rFonts w:hint="eastAsia" w:ascii="宋体" w:hAnsi="宋体" w:eastAsia="宋体" w:cs="宋体"/>
                <w:sz w:val="24"/>
                <w:szCs w:val="24"/>
              </w:rPr>
            </w:pPr>
          </w:p>
        </w:tc>
        <w:tc>
          <w:tcPr>
            <w:tcW w:w="993" w:type="dxa"/>
            <w:vMerge w:val="continue"/>
            <w:noWrap w:val="0"/>
            <w:vAlign w:val="center"/>
          </w:tcPr>
          <w:p>
            <w:pPr>
              <w:jc w:val="center"/>
              <w:rPr>
                <w:rFonts w:hint="eastAsia" w:ascii="宋体" w:hAnsi="宋体" w:eastAsia="宋体" w:cs="宋体"/>
                <w:sz w:val="24"/>
                <w:szCs w:val="24"/>
              </w:rPr>
            </w:pPr>
          </w:p>
        </w:tc>
        <w:tc>
          <w:tcPr>
            <w:tcW w:w="1984"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125"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1630" w:type="dxa"/>
            <w:gridSpan w:val="2"/>
            <w:noWrap w:val="0"/>
            <w:vAlign w:val="center"/>
          </w:tcPr>
          <w:p>
            <w:pPr>
              <w:jc w:val="center"/>
              <w:rPr>
                <w:rFonts w:hint="eastAsia" w:ascii="宋体" w:hAnsi="宋体" w:eastAsia="宋体" w:cs="宋体"/>
                <w:sz w:val="24"/>
                <w:szCs w:val="24"/>
              </w:rPr>
            </w:pPr>
          </w:p>
        </w:tc>
        <w:tc>
          <w:tcPr>
            <w:tcW w:w="993" w:type="dxa"/>
            <w:vMerge w:val="continue"/>
            <w:noWrap w:val="0"/>
            <w:vAlign w:val="center"/>
          </w:tcPr>
          <w:p>
            <w:pPr>
              <w:jc w:val="center"/>
              <w:rPr>
                <w:rFonts w:hint="eastAsia" w:ascii="宋体" w:hAnsi="宋体" w:eastAsia="宋体" w:cs="宋体"/>
                <w:sz w:val="24"/>
                <w:szCs w:val="24"/>
              </w:rPr>
            </w:pPr>
          </w:p>
        </w:tc>
        <w:tc>
          <w:tcPr>
            <w:tcW w:w="1984"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125"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630" w:type="dxa"/>
            <w:gridSpan w:val="2"/>
            <w:noWrap w:val="0"/>
            <w:vAlign w:val="center"/>
          </w:tcPr>
          <w:p>
            <w:pPr>
              <w:jc w:val="center"/>
              <w:rPr>
                <w:rFonts w:hint="eastAsia" w:ascii="宋体" w:hAnsi="宋体" w:eastAsia="宋体" w:cs="宋体"/>
                <w:sz w:val="24"/>
                <w:szCs w:val="24"/>
              </w:rPr>
            </w:pPr>
          </w:p>
        </w:tc>
        <w:tc>
          <w:tcPr>
            <w:tcW w:w="993" w:type="dxa"/>
            <w:vMerge w:val="continue"/>
            <w:noWrap w:val="0"/>
            <w:vAlign w:val="center"/>
          </w:tcPr>
          <w:p>
            <w:pPr>
              <w:jc w:val="center"/>
              <w:rPr>
                <w:rFonts w:hint="eastAsia" w:ascii="宋体" w:hAnsi="宋体" w:eastAsia="宋体" w:cs="宋体"/>
                <w:sz w:val="24"/>
                <w:szCs w:val="24"/>
              </w:rPr>
            </w:pPr>
          </w:p>
        </w:tc>
        <w:tc>
          <w:tcPr>
            <w:tcW w:w="1984"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125"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账号</w:t>
            </w:r>
          </w:p>
        </w:tc>
        <w:tc>
          <w:tcPr>
            <w:tcW w:w="1630" w:type="dxa"/>
            <w:gridSpan w:val="2"/>
            <w:noWrap w:val="0"/>
            <w:vAlign w:val="center"/>
          </w:tcPr>
          <w:p>
            <w:pPr>
              <w:jc w:val="center"/>
              <w:rPr>
                <w:rFonts w:hint="eastAsia" w:ascii="宋体" w:hAnsi="宋体" w:eastAsia="宋体" w:cs="宋体"/>
                <w:sz w:val="24"/>
                <w:szCs w:val="24"/>
              </w:rPr>
            </w:pPr>
          </w:p>
        </w:tc>
        <w:tc>
          <w:tcPr>
            <w:tcW w:w="993" w:type="dxa"/>
            <w:vMerge w:val="continue"/>
            <w:noWrap w:val="0"/>
            <w:vAlign w:val="center"/>
          </w:tcPr>
          <w:p>
            <w:pPr>
              <w:jc w:val="center"/>
              <w:rPr>
                <w:rFonts w:hint="eastAsia" w:ascii="宋体" w:hAnsi="宋体" w:eastAsia="宋体" w:cs="宋体"/>
                <w:sz w:val="24"/>
                <w:szCs w:val="24"/>
              </w:rPr>
            </w:pPr>
          </w:p>
        </w:tc>
        <w:tc>
          <w:tcPr>
            <w:tcW w:w="1984"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  工</w:t>
            </w:r>
          </w:p>
        </w:tc>
        <w:tc>
          <w:tcPr>
            <w:tcW w:w="2125"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6732" w:type="dxa"/>
            <w:gridSpan w:val="9"/>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1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6732" w:type="dxa"/>
            <w:gridSpan w:val="9"/>
            <w:noWrap w:val="0"/>
            <w:vAlign w:val="center"/>
          </w:tcPr>
          <w:p>
            <w:pPr>
              <w:jc w:val="center"/>
              <w:rPr>
                <w:rFonts w:hint="eastAsia" w:ascii="宋体" w:hAnsi="宋体" w:eastAsia="宋体" w:cs="宋体"/>
                <w:sz w:val="24"/>
                <w:szCs w:val="24"/>
              </w:rPr>
            </w:pPr>
          </w:p>
        </w:tc>
      </w:tr>
    </w:tbl>
    <w:p>
      <w:pPr>
        <w:topLinePunct/>
        <w:spacing w:line="440" w:lineRule="exact"/>
        <w:ind w:firstLine="600" w:firstLineChars="250"/>
        <w:rPr>
          <w:rFonts w:hint="eastAsia" w:ascii="宋体" w:hAnsi="宋体" w:eastAsia="宋体" w:cs="宋体"/>
          <w:sz w:val="24"/>
          <w:szCs w:val="24"/>
        </w:rPr>
      </w:pP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sz w:val="22"/>
          <w:szCs w:val="22"/>
          <w:u w:val="none"/>
          <w:lang w:eastAsia="zh-CN"/>
        </w:rPr>
        <w:t>注：后附特定资格证明条件：</w:t>
      </w:r>
      <w:r>
        <w:rPr>
          <w:rFonts w:hint="eastAsia" w:ascii="宋体" w:hAnsi="宋体" w:eastAsia="宋体" w:cs="宋体"/>
          <w:color w:val="auto"/>
          <w:sz w:val="22"/>
          <w:szCs w:val="22"/>
          <w:highlight w:val="none"/>
        </w:rPr>
        <w:t>1、具备检验检测机构资质认定证书 (CMA)；</w:t>
      </w:r>
      <w:r>
        <w:rPr>
          <w:rFonts w:hint="eastAsia" w:ascii="宋体" w:hAnsi="宋体" w:cs="宋体"/>
          <w:color w:val="auto"/>
          <w:sz w:val="22"/>
          <w:szCs w:val="22"/>
          <w:highlight w:val="none"/>
          <w:lang w:eastAsia="zh-CN"/>
        </w:rPr>
        <w:t>（以联合体形式参与投标的，联合体一方须具备</w:t>
      </w:r>
      <w:r>
        <w:rPr>
          <w:rFonts w:hint="eastAsia" w:ascii="宋体" w:hAnsi="宋体" w:eastAsia="宋体" w:cs="宋体"/>
          <w:color w:val="auto"/>
          <w:sz w:val="22"/>
          <w:szCs w:val="22"/>
          <w:highlight w:val="none"/>
        </w:rPr>
        <w:t>检验检测机构资质认定证书 (CMA)</w:t>
      </w:r>
      <w:r>
        <w:rPr>
          <w:rFonts w:hint="eastAsia" w:ascii="宋体" w:hAnsi="宋体" w:cs="宋体"/>
          <w:color w:val="auto"/>
          <w:sz w:val="22"/>
          <w:szCs w:val="22"/>
          <w:highlight w:val="none"/>
          <w:lang w:eastAsia="zh-CN"/>
        </w:rPr>
        <w:t>）</w:t>
      </w:r>
    </w:p>
    <w:p>
      <w:pPr>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供应商需在国务院第三次全国土壤普查领导小组办公室公布的“第三次全国土壤普查检测实验室"名录内或“新疆维吾尔自治区第三全国土壤普查领导小组办公室”审核通过的实验室名录之内</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eastAsia="zh-CN"/>
        </w:rPr>
        <w:t>（以联合体形式参与投标的，联合体一方须在名录内）</w:t>
      </w:r>
    </w:p>
    <w:p>
      <w:pPr>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2"/>
          <w:szCs w:val="22"/>
          <w:highlight w:val="none"/>
          <w:lang w:val="en-US" w:eastAsia="zh-CN"/>
        </w:rPr>
        <w:t>3.供应商具有乙级及以上测绘资质</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eastAsia="zh-CN"/>
        </w:rPr>
        <w:t>（以联合体形式参与投标的，联合体一方须具备</w:t>
      </w:r>
      <w:r>
        <w:rPr>
          <w:rFonts w:hint="eastAsia" w:ascii="宋体" w:hAnsi="宋体" w:eastAsia="宋体" w:cs="宋体"/>
          <w:color w:val="auto"/>
          <w:sz w:val="22"/>
          <w:szCs w:val="22"/>
          <w:highlight w:val="none"/>
          <w:lang w:val="en-US" w:eastAsia="zh-CN"/>
        </w:rPr>
        <w:t>乙级及以上测绘资质</w:t>
      </w:r>
      <w:r>
        <w:rPr>
          <w:rFonts w:hint="eastAsia" w:ascii="宋体" w:hAnsi="宋体" w:cs="宋体"/>
          <w:color w:val="auto"/>
          <w:sz w:val="22"/>
          <w:szCs w:val="22"/>
          <w:highlight w:val="none"/>
          <w:lang w:eastAsia="zh-CN"/>
        </w:rPr>
        <w:t>）</w:t>
      </w:r>
      <w:r>
        <w:rPr>
          <w:rFonts w:hint="eastAsia" w:ascii="宋体" w:hAnsi="宋体" w:eastAsia="宋体" w:cs="宋体"/>
          <w:sz w:val="24"/>
          <w:szCs w:val="24"/>
          <w:u w:val="single"/>
        </w:rPr>
        <w:br w:type="page"/>
      </w:r>
      <w:r>
        <w:rPr>
          <w:rFonts w:hint="eastAsia" w:ascii="宋体" w:hAnsi="宋体" w:eastAsia="宋体" w:cs="宋体"/>
          <w:sz w:val="24"/>
          <w:szCs w:val="24"/>
          <w:u w:val="single"/>
          <w:lang w:val="en-US" w:eastAsia="zh-CN"/>
        </w:rPr>
        <w:t>5</w:t>
      </w:r>
      <w:r>
        <w:rPr>
          <w:rFonts w:hint="eastAsia" w:ascii="宋体" w:hAnsi="宋体" w:eastAsia="宋体" w:cs="宋体"/>
          <w:b/>
          <w:sz w:val="24"/>
          <w:szCs w:val="24"/>
        </w:rPr>
        <w:t>、具有独立承担民事责任的能力的</w:t>
      </w:r>
      <w:r>
        <w:rPr>
          <w:rFonts w:hint="eastAsia" w:ascii="宋体" w:hAnsi="宋体" w:eastAsia="宋体" w:cs="宋体"/>
          <w:b/>
          <w:sz w:val="24"/>
          <w:szCs w:val="24"/>
          <w:lang w:val="en-US" w:eastAsia="zh-CN"/>
        </w:rPr>
        <w:t>证明材料</w:t>
      </w:r>
    </w:p>
    <w:p>
      <w:pPr>
        <w:spacing w:line="360" w:lineRule="auto"/>
        <w:jc w:val="center"/>
        <w:rPr>
          <w:rFonts w:hint="eastAsia" w:ascii="宋体" w:hAnsi="宋体" w:eastAsia="宋体" w:cs="宋体"/>
          <w:b/>
          <w:szCs w:val="21"/>
        </w:rPr>
      </w:pPr>
      <w:r>
        <w:rPr>
          <w:rFonts w:hint="eastAsia" w:ascii="宋体" w:hAnsi="宋体" w:eastAsia="宋体" w:cs="宋体"/>
          <w:b/>
          <w:szCs w:val="21"/>
        </w:rPr>
        <w:t>注：提供法人或者非法人组织的营业执照等证明文件</w:t>
      </w:r>
    </w:p>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sz w:val="24"/>
          <w:szCs w:val="24"/>
          <w:u w:val="single"/>
        </w:rPr>
        <w:br w:type="page"/>
      </w:r>
      <w:r>
        <w:rPr>
          <w:rFonts w:hint="eastAsia" w:ascii="宋体" w:hAnsi="宋体" w:eastAsia="宋体" w:cs="宋体"/>
          <w:sz w:val="24"/>
          <w:szCs w:val="24"/>
          <w:u w:val="single"/>
          <w:lang w:val="en-US" w:eastAsia="zh-CN"/>
        </w:rPr>
        <w:t>6</w:t>
      </w:r>
      <w:r>
        <w:rPr>
          <w:rFonts w:hint="eastAsia" w:ascii="宋体" w:hAnsi="宋体" w:eastAsia="宋体" w:cs="宋体"/>
          <w:b/>
          <w:sz w:val="24"/>
          <w:szCs w:val="24"/>
        </w:rPr>
        <w:t>、具有良好的商业信誉和健全的财务会计制度</w:t>
      </w:r>
      <w:r>
        <w:rPr>
          <w:rFonts w:hint="eastAsia" w:ascii="宋体" w:hAnsi="宋体" w:eastAsia="宋体" w:cs="宋体"/>
          <w:b/>
          <w:sz w:val="24"/>
          <w:szCs w:val="24"/>
          <w:lang w:val="en-US" w:eastAsia="zh-CN"/>
        </w:rPr>
        <w:t>证明材料</w:t>
      </w:r>
    </w:p>
    <w:p>
      <w:pPr>
        <w:spacing w:line="360" w:lineRule="auto"/>
        <w:ind w:firstLine="420" w:firstLineChars="200"/>
        <w:jc w:val="center"/>
        <w:rPr>
          <w:rFonts w:hint="eastAsia" w:ascii="宋体" w:hAnsi="宋体" w:eastAsia="宋体" w:cs="宋体"/>
          <w:sz w:val="24"/>
          <w:szCs w:val="24"/>
          <w:lang w:val="en-US" w:eastAsia="zh-CN"/>
        </w:rPr>
      </w:pPr>
      <w:r>
        <w:rPr>
          <w:rFonts w:hint="eastAsia" w:ascii="宋体" w:hAnsi="宋体" w:eastAsia="宋体" w:cs="宋体"/>
        </w:rPr>
        <w:br w:type="page"/>
      </w:r>
      <w:r>
        <w:rPr>
          <w:rFonts w:hint="eastAsia" w:ascii="宋体" w:hAnsi="宋体" w:eastAsia="宋体" w:cs="宋体"/>
          <w:lang w:val="en-US" w:eastAsia="zh-CN"/>
        </w:rPr>
        <w:t>7</w:t>
      </w:r>
      <w:r>
        <w:rPr>
          <w:rFonts w:hint="eastAsia" w:ascii="宋体" w:hAnsi="宋体" w:eastAsia="宋体" w:cs="宋体"/>
          <w:b/>
          <w:sz w:val="24"/>
          <w:szCs w:val="24"/>
        </w:rPr>
        <w:t>、具有履行合同所必需的设备和专业技术能力</w:t>
      </w:r>
      <w:r>
        <w:rPr>
          <w:rFonts w:hint="eastAsia" w:ascii="宋体" w:hAnsi="宋体" w:eastAsia="宋体" w:cs="宋体"/>
          <w:b/>
          <w:sz w:val="24"/>
          <w:szCs w:val="24"/>
          <w:lang w:val="en-US" w:eastAsia="zh-CN"/>
        </w:rPr>
        <w:t>证明材料或声明</w:t>
      </w:r>
    </w:p>
    <w:p>
      <w:pPr>
        <w:pStyle w:val="37"/>
        <w:rPr>
          <w:rFonts w:hint="eastAsia" w:ascii="宋体" w:hAnsi="宋体" w:eastAsia="宋体" w:cs="宋体"/>
        </w:rPr>
      </w:pPr>
      <w:r>
        <w:rPr>
          <w:rFonts w:hint="eastAsia" w:ascii="宋体" w:hAnsi="宋体" w:eastAsia="宋体" w:cs="宋体"/>
        </w:rPr>
        <w:br w:type="page"/>
      </w:r>
    </w:p>
    <w:p>
      <w:pPr>
        <w:spacing w:line="360" w:lineRule="auto"/>
        <w:ind w:firstLine="482" w:firstLineChars="200"/>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8</w:t>
      </w:r>
      <w:r>
        <w:rPr>
          <w:rFonts w:hint="eastAsia" w:ascii="宋体" w:hAnsi="宋体" w:eastAsia="宋体" w:cs="宋体"/>
          <w:b/>
          <w:sz w:val="24"/>
          <w:szCs w:val="24"/>
        </w:rPr>
        <w:t>、有依法缴纳税收和社会保障资金的良好记录</w:t>
      </w:r>
      <w:r>
        <w:rPr>
          <w:rFonts w:hint="eastAsia" w:ascii="宋体" w:hAnsi="宋体" w:eastAsia="宋体" w:cs="宋体"/>
          <w:b/>
          <w:sz w:val="24"/>
          <w:szCs w:val="24"/>
          <w:lang w:val="en-US" w:eastAsia="zh-CN"/>
        </w:rPr>
        <w:t>证明材料</w:t>
      </w:r>
    </w:p>
    <w:p>
      <w:pPr>
        <w:pStyle w:val="37"/>
        <w:rPr>
          <w:rFonts w:hint="eastAsia" w:ascii="宋体" w:hAnsi="宋体" w:eastAsia="宋体" w:cs="宋体"/>
        </w:rPr>
      </w:pPr>
      <w:r>
        <w:rPr>
          <w:rFonts w:hint="eastAsia" w:ascii="宋体" w:hAnsi="宋体" w:eastAsia="宋体" w:cs="宋体"/>
        </w:rPr>
        <w:br w:type="page"/>
      </w:r>
    </w:p>
    <w:p>
      <w:pPr>
        <w:spacing w:line="360" w:lineRule="auto"/>
        <w:ind w:firstLine="482" w:firstLineChars="200"/>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9</w:t>
      </w:r>
      <w:r>
        <w:rPr>
          <w:rFonts w:hint="eastAsia" w:ascii="宋体" w:hAnsi="宋体" w:eastAsia="宋体" w:cs="宋体"/>
          <w:b/>
          <w:sz w:val="24"/>
          <w:szCs w:val="24"/>
        </w:rPr>
        <w:t>、参加政府采购活动前三年内，在经营活动中没有重大违法记录的</w:t>
      </w:r>
      <w:r>
        <w:rPr>
          <w:rFonts w:hint="eastAsia" w:ascii="宋体" w:hAnsi="宋体" w:eastAsia="宋体" w:cs="宋体"/>
          <w:b/>
          <w:sz w:val="24"/>
          <w:szCs w:val="24"/>
          <w:lang w:val="en-US" w:eastAsia="zh-CN"/>
        </w:rPr>
        <w:t>声明</w:t>
      </w:r>
    </w:p>
    <w:p>
      <w:pPr>
        <w:rPr>
          <w:rFonts w:hint="eastAsia" w:ascii="宋体" w:hAnsi="宋体" w:eastAsia="宋体" w:cs="宋体"/>
          <w:u w:val="single"/>
        </w:rPr>
      </w:pPr>
      <w:r>
        <w:rPr>
          <w:rFonts w:hint="eastAsia" w:ascii="宋体" w:hAnsi="宋体" w:eastAsia="宋体" w:cs="宋体"/>
          <w:u w:val="single"/>
        </w:rPr>
        <w:br w:type="page"/>
      </w:r>
    </w:p>
    <w:p>
      <w:pPr>
        <w:tabs>
          <w:tab w:val="center" w:pos="4832"/>
          <w:tab w:val="left" w:pos="7140"/>
        </w:tabs>
        <w:spacing w:line="360" w:lineRule="auto"/>
        <w:jc w:val="center"/>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开标一览表</w:t>
      </w:r>
    </w:p>
    <w:p>
      <w:pPr>
        <w:autoSpaceDE w:val="0"/>
        <w:autoSpaceDN w:val="0"/>
        <w:adjustRightInd w:val="0"/>
        <w:spacing w:line="360" w:lineRule="auto"/>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tbl>
      <w:tblPr>
        <w:tblStyle w:val="3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20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205" w:type="dxa"/>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5880" w:type="dxa"/>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05" w:type="dxa"/>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投标总报价（元）</w:t>
            </w:r>
          </w:p>
        </w:tc>
        <w:tc>
          <w:tcPr>
            <w:tcW w:w="5880" w:type="dxa"/>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38" w:type="dxa"/>
            <w:gridSpan w:val="3"/>
            <w:vAlign w:val="center"/>
          </w:tcPr>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cs="宋体"/>
                <w:kern w:val="0"/>
                <w:sz w:val="24"/>
                <w:szCs w:val="24"/>
                <w:lang w:eastAsia="zh-CN"/>
              </w:rPr>
              <w:t>合同履约期限</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8" w:type="dxa"/>
            <w:gridSpan w:val="3"/>
            <w:vAlign w:val="center"/>
          </w:tcPr>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备注： </w:t>
            </w:r>
          </w:p>
        </w:tc>
      </w:tr>
    </w:tbl>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注：1.表中大小写不一致时，以大写为准。</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2.投标报价为完成本次采购项目内的所有内容的一切相关费用。可根据需要附报价明细。</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3.本表中“投标总报价”必须与《投标函》中的“投标总报价”均保持一致，如不一致，以《开标一览表》为准。</w:t>
      </w: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（全称）（盖章）</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法定代表人或被授权委托人：（签字或盖章）</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日期：  年  月  日</w:t>
      </w:r>
    </w:p>
    <w:p>
      <w:pPr>
        <w:jc w:val="center"/>
        <w:rPr>
          <w:rFonts w:hint="eastAsia" w:ascii="宋体" w:hAnsi="宋体" w:eastAsia="宋体" w:cs="宋体"/>
          <w:b/>
          <w:sz w:val="30"/>
          <w:szCs w:val="30"/>
        </w:rPr>
      </w:pPr>
      <w:r>
        <w:rPr>
          <w:rFonts w:hint="eastAsia" w:ascii="宋体" w:hAnsi="宋体" w:eastAsia="宋体" w:cs="宋体"/>
        </w:rPr>
        <w:br w:type="page"/>
      </w:r>
      <w:r>
        <w:rPr>
          <w:rFonts w:hint="eastAsia" w:ascii="宋体" w:hAnsi="宋体" w:eastAsia="宋体" w:cs="宋体"/>
          <w:b/>
          <w:sz w:val="30"/>
          <w:szCs w:val="30"/>
          <w:lang w:val="en-US" w:eastAsia="zh-CN"/>
        </w:rPr>
        <w:t>10.1</w:t>
      </w:r>
      <w:r>
        <w:rPr>
          <w:rFonts w:hint="eastAsia" w:ascii="宋体" w:hAnsi="宋体" w:eastAsia="宋体" w:cs="宋体"/>
          <w:b/>
          <w:sz w:val="30"/>
          <w:szCs w:val="30"/>
        </w:rPr>
        <w:t>投标报价明细表</w:t>
      </w:r>
    </w:p>
    <w:p>
      <w:pPr>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项目编号</w:t>
      </w:r>
      <w:r>
        <w:rPr>
          <w:rFonts w:hint="eastAsia" w:ascii="宋体" w:hAnsi="宋体" w:eastAsia="宋体" w:cs="宋体"/>
          <w:sz w:val="24"/>
          <w:lang w:val="en-US" w:eastAsia="zh-CN"/>
        </w:rPr>
        <w:t>/包号</w:t>
      </w:r>
      <w:r>
        <w:rPr>
          <w:rFonts w:hint="eastAsia" w:ascii="宋体" w:hAnsi="宋体" w:eastAsia="宋体" w:cs="宋体"/>
          <w:sz w:val="24"/>
        </w:rPr>
        <w:t>：</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tbl>
      <w:tblPr>
        <w:tblStyle w:val="38"/>
        <w:tblW w:w="95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2449"/>
        <w:gridCol w:w="2415"/>
        <w:gridCol w:w="1237"/>
        <w:gridCol w:w="156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标的名称</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服务期</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单价</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数量</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zh-CN" w:eastAsia="zh-CN"/>
              </w:rPr>
              <w:t>内业检测（</w:t>
            </w:r>
            <w:r>
              <w:rPr>
                <w:rFonts w:hint="eastAsia" w:ascii="宋体" w:hAnsi="宋体" w:cs="宋体"/>
                <w:sz w:val="24"/>
                <w:lang w:eastAsia="zh-CN"/>
              </w:rPr>
              <w:t>表层样）</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zh-CN" w:eastAsia="zh-CN"/>
              </w:rPr>
              <w:t>内业检测（</w:t>
            </w:r>
            <w:r>
              <w:rPr>
                <w:rFonts w:hint="eastAsia" w:ascii="宋体" w:hAnsi="宋体" w:cs="宋体"/>
                <w:sz w:val="24"/>
                <w:lang w:eastAsia="zh-CN"/>
              </w:rPr>
              <w:t>剖面样）</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成果汇总</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521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总计</w:t>
            </w:r>
          </w:p>
        </w:tc>
        <w:tc>
          <w:tcPr>
            <w:tcW w:w="922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小写:</w:t>
            </w:r>
          </w:p>
          <w:p>
            <w:pPr>
              <w:spacing w:line="360" w:lineRule="auto"/>
              <w:rPr>
                <w:rFonts w:hint="eastAsia" w:ascii="宋体" w:hAnsi="宋体" w:eastAsia="宋体" w:cs="宋体"/>
                <w:sz w:val="24"/>
              </w:rPr>
            </w:pPr>
            <w:r>
              <w:rPr>
                <w:rFonts w:hint="eastAsia" w:ascii="宋体" w:hAnsi="宋体" w:eastAsia="宋体" w:cs="宋体"/>
                <w:sz w:val="24"/>
              </w:rPr>
              <w:t>大写：</w:t>
            </w: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法定代表人或授权委托人（</w:t>
      </w:r>
      <w:r>
        <w:rPr>
          <w:rFonts w:hint="eastAsia" w:ascii="宋体" w:hAnsi="宋体" w:eastAsia="宋体" w:cs="宋体"/>
          <w:sz w:val="24"/>
          <w:szCs w:val="24"/>
          <w:lang w:val="en-US" w:eastAsia="zh-CN"/>
        </w:rPr>
        <w:t>签字或盖章</w:t>
      </w:r>
      <w:r>
        <w:rPr>
          <w:rFonts w:hint="eastAsia" w:ascii="宋体" w:hAnsi="宋体" w:eastAsia="宋体" w:cs="宋体"/>
          <w:sz w:val="24"/>
        </w:rPr>
        <w:t>）：</w:t>
      </w:r>
    </w:p>
    <w:p>
      <w:pPr>
        <w:spacing w:line="360" w:lineRule="auto"/>
        <w:ind w:firstLine="570"/>
        <w:rPr>
          <w:rFonts w:hint="eastAsia" w:ascii="宋体" w:hAnsi="宋体" w:eastAsia="宋体" w:cs="宋体"/>
          <w:sz w:val="24"/>
        </w:rPr>
      </w:pPr>
      <w:r>
        <w:rPr>
          <w:rFonts w:hint="eastAsia" w:ascii="宋体" w:hAnsi="宋体" w:eastAsia="宋体" w:cs="宋体"/>
          <w:sz w:val="24"/>
        </w:rPr>
        <w:t xml:space="preserve">投标人盖章：                                     </w:t>
      </w:r>
    </w:p>
    <w:p>
      <w:pPr>
        <w:spacing w:line="360" w:lineRule="auto"/>
        <w:ind w:firstLine="570"/>
        <w:jc w:val="center"/>
        <w:rPr>
          <w:rFonts w:hint="eastAsia" w:ascii="宋体" w:hAnsi="宋体" w:eastAsia="宋体" w:cs="宋体"/>
          <w:sz w:val="24"/>
        </w:rPr>
      </w:pPr>
      <w:r>
        <w:rPr>
          <w:rFonts w:hint="eastAsia" w:ascii="宋体" w:hAnsi="宋体" w:eastAsia="宋体" w:cs="宋体"/>
          <w:sz w:val="24"/>
        </w:rPr>
        <w:t xml:space="preserve">                                      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firstLine="570"/>
        <w:jc w:val="center"/>
        <w:rPr>
          <w:rFonts w:hint="eastAsia" w:ascii="宋体" w:hAnsi="宋体" w:eastAsia="宋体" w:cs="宋体"/>
          <w:sz w:val="24"/>
        </w:rPr>
      </w:pPr>
    </w:p>
    <w:p>
      <w:pPr>
        <w:spacing w:line="360" w:lineRule="auto"/>
        <w:rPr>
          <w:rFonts w:hint="eastAsia" w:ascii="宋体" w:hAnsi="宋体" w:eastAsia="宋体" w:cs="宋体"/>
          <w:b/>
          <w:sz w:val="24"/>
        </w:rPr>
      </w:pPr>
      <w:r>
        <w:rPr>
          <w:rFonts w:hint="eastAsia" w:ascii="宋体" w:hAnsi="宋体" w:eastAsia="宋体" w:cs="宋体"/>
          <w:b/>
          <w:sz w:val="24"/>
        </w:rPr>
        <w:t>注：</w:t>
      </w:r>
      <w:r>
        <w:rPr>
          <w:rFonts w:hint="eastAsia" w:ascii="宋体" w:hAnsi="宋体" w:eastAsia="宋体" w:cs="宋体"/>
          <w:b/>
          <w:sz w:val="24"/>
          <w:lang w:val="en-US" w:eastAsia="zh-CN"/>
        </w:rPr>
        <w:t>1.</w:t>
      </w:r>
      <w:r>
        <w:rPr>
          <w:rFonts w:hint="eastAsia" w:ascii="宋体" w:hAnsi="宋体" w:eastAsia="宋体" w:cs="宋体"/>
          <w:b/>
          <w:sz w:val="24"/>
        </w:rPr>
        <w:t>上述报价包含一切由</w:t>
      </w:r>
      <w:r>
        <w:rPr>
          <w:rFonts w:hint="eastAsia" w:ascii="宋体" w:hAnsi="宋体" w:eastAsia="宋体" w:cs="宋体"/>
          <w:b/>
          <w:sz w:val="24"/>
          <w:lang w:val="en-US" w:eastAsia="zh-CN"/>
        </w:rPr>
        <w:t>供应商</w:t>
      </w:r>
      <w:r>
        <w:rPr>
          <w:rFonts w:hint="eastAsia" w:ascii="宋体" w:hAnsi="宋体" w:eastAsia="宋体" w:cs="宋体"/>
          <w:b/>
          <w:sz w:val="24"/>
        </w:rPr>
        <w:t>承担的费用；</w:t>
      </w:r>
    </w:p>
    <w:p>
      <w:pPr>
        <w:rPr>
          <w:rFonts w:hint="eastAsia" w:ascii="宋体" w:hAnsi="宋体" w:eastAsia="宋体" w:cs="宋体"/>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tabs>
          <w:tab w:val="center" w:pos="4832"/>
          <w:tab w:val="left" w:pos="7140"/>
        </w:tabs>
        <w:spacing w:line="360" w:lineRule="auto"/>
        <w:jc w:val="center"/>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技术条款偏离表</w:t>
      </w:r>
    </w:p>
    <w:tbl>
      <w:tblPr>
        <w:tblStyle w:val="38"/>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357"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服务内容</w:t>
            </w:r>
          </w:p>
        </w:tc>
        <w:tc>
          <w:tcPr>
            <w:tcW w:w="1326"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招标文件条目号</w:t>
            </w:r>
          </w:p>
        </w:tc>
        <w:tc>
          <w:tcPr>
            <w:tcW w:w="1326"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招标文件要求规格</w:t>
            </w:r>
          </w:p>
        </w:tc>
        <w:tc>
          <w:tcPr>
            <w:tcW w:w="1326"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投标规格</w:t>
            </w:r>
          </w:p>
        </w:tc>
        <w:tc>
          <w:tcPr>
            <w:tcW w:w="1327"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偏离</w:t>
            </w:r>
          </w:p>
        </w:tc>
        <w:tc>
          <w:tcPr>
            <w:tcW w:w="1327"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spacing w:line="360" w:lineRule="auto"/>
              <w:jc w:val="center"/>
              <w:rPr>
                <w:rFonts w:hint="eastAsia" w:ascii="宋体" w:hAnsi="宋体" w:eastAsia="宋体" w:cs="宋体"/>
                <w:b/>
                <w:bCs/>
                <w:sz w:val="24"/>
                <w:szCs w:val="24"/>
              </w:rPr>
            </w:pPr>
          </w:p>
        </w:tc>
        <w:tc>
          <w:tcPr>
            <w:tcW w:w="1357"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spacing w:line="360" w:lineRule="auto"/>
              <w:jc w:val="center"/>
              <w:rPr>
                <w:rFonts w:hint="eastAsia" w:ascii="宋体" w:hAnsi="宋体" w:eastAsia="宋体" w:cs="宋体"/>
                <w:b/>
                <w:bCs/>
                <w:sz w:val="24"/>
                <w:szCs w:val="24"/>
              </w:rPr>
            </w:pPr>
          </w:p>
        </w:tc>
        <w:tc>
          <w:tcPr>
            <w:tcW w:w="1357"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spacing w:line="360" w:lineRule="auto"/>
              <w:jc w:val="center"/>
              <w:rPr>
                <w:rFonts w:hint="eastAsia" w:ascii="宋体" w:hAnsi="宋体" w:eastAsia="宋体" w:cs="宋体"/>
                <w:b/>
                <w:bCs/>
                <w:sz w:val="24"/>
                <w:szCs w:val="24"/>
              </w:rPr>
            </w:pPr>
          </w:p>
        </w:tc>
        <w:tc>
          <w:tcPr>
            <w:tcW w:w="1357"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spacing w:line="360" w:lineRule="auto"/>
              <w:jc w:val="center"/>
              <w:rPr>
                <w:rFonts w:hint="eastAsia" w:ascii="宋体" w:hAnsi="宋体" w:eastAsia="宋体" w:cs="宋体"/>
                <w:b/>
                <w:bCs/>
                <w:sz w:val="24"/>
                <w:szCs w:val="24"/>
              </w:rPr>
            </w:pPr>
          </w:p>
        </w:tc>
        <w:tc>
          <w:tcPr>
            <w:tcW w:w="1357"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spacing w:line="360" w:lineRule="auto"/>
              <w:jc w:val="center"/>
              <w:rPr>
                <w:rFonts w:hint="eastAsia" w:ascii="宋体" w:hAnsi="宋体" w:eastAsia="宋体" w:cs="宋体"/>
                <w:b/>
                <w:bCs/>
                <w:sz w:val="24"/>
                <w:szCs w:val="24"/>
              </w:rPr>
            </w:pPr>
          </w:p>
        </w:tc>
        <w:tc>
          <w:tcPr>
            <w:tcW w:w="1357"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6"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c>
          <w:tcPr>
            <w:tcW w:w="1327" w:type="dxa"/>
          </w:tcPr>
          <w:p>
            <w:pPr>
              <w:spacing w:line="360" w:lineRule="auto"/>
              <w:jc w:val="center"/>
              <w:rPr>
                <w:rFonts w:hint="eastAsia" w:ascii="宋体" w:hAnsi="宋体" w:eastAsia="宋体" w:cs="宋体"/>
                <w:b/>
                <w:bCs/>
                <w:sz w:val="24"/>
                <w:szCs w:val="24"/>
              </w:rPr>
            </w:pPr>
          </w:p>
        </w:tc>
      </w:tr>
    </w:tbl>
    <w:p>
      <w:pPr>
        <w:spacing w:line="360" w:lineRule="auto"/>
        <w:ind w:firstLine="475" w:firstLineChars="198"/>
        <w:jc w:val="left"/>
        <w:rPr>
          <w:rFonts w:hint="eastAsia" w:ascii="宋体" w:hAnsi="宋体" w:eastAsia="宋体" w:cs="宋体"/>
          <w:sz w:val="24"/>
          <w:szCs w:val="24"/>
        </w:rPr>
      </w:pPr>
      <w:r>
        <w:rPr>
          <w:rFonts w:hint="eastAsia" w:ascii="宋体" w:hAnsi="宋体" w:eastAsia="宋体" w:cs="宋体"/>
          <w:sz w:val="24"/>
          <w:szCs w:val="24"/>
        </w:rPr>
        <w:t>备注：投标人应根据其提供的服务，对照招标文件第四章“服务标准和要求”中的要求，有差异的，则在此表中列明实际响应的内容提要并加以说明，以便查对。本表包括所有的技术响应及差异。无差异说明表示完全响应。</w:t>
      </w:r>
    </w:p>
    <w:p>
      <w:pPr>
        <w:widowControl/>
        <w:shd w:val="clear" w:color="auto" w:fill="FFFFFF"/>
        <w:snapToGrid w:val="0"/>
        <w:spacing w:line="360" w:lineRule="auto"/>
        <w:jc w:val="left"/>
        <w:rPr>
          <w:rFonts w:hint="eastAsia" w:ascii="宋体" w:hAnsi="宋体" w:eastAsia="宋体" w:cs="宋体"/>
          <w:kern w:val="0"/>
          <w:sz w:val="24"/>
          <w:szCs w:val="24"/>
        </w:rPr>
      </w:pPr>
    </w:p>
    <w:p>
      <w:pPr>
        <w:widowControl/>
        <w:shd w:val="clear" w:color="auto" w:fill="FFFFFF"/>
        <w:snapToGrid w:val="0"/>
        <w:spacing w:line="360" w:lineRule="auto"/>
        <w:jc w:val="left"/>
        <w:rPr>
          <w:rFonts w:hint="eastAsia" w:ascii="宋体" w:hAnsi="宋体" w:eastAsia="宋体" w:cs="宋体"/>
          <w:kern w:val="0"/>
          <w:sz w:val="24"/>
          <w:szCs w:val="24"/>
        </w:rPr>
      </w:pP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投标人：（盖章）</w:t>
      </w: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法定代表人或被授权委托人：（签字或盖章）</w:t>
      </w: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日期：年月日</w:t>
      </w:r>
    </w:p>
    <w:p>
      <w:pPr>
        <w:tabs>
          <w:tab w:val="center" w:pos="4832"/>
          <w:tab w:val="left" w:pos="7140"/>
        </w:tabs>
        <w:spacing w:line="360" w:lineRule="auto"/>
        <w:jc w:val="center"/>
        <w:outlineLvl w:val="1"/>
        <w:rPr>
          <w:rFonts w:hint="eastAsia" w:ascii="宋体" w:hAnsi="宋体" w:eastAsia="宋体" w:cs="宋体"/>
          <w:b/>
          <w:sz w:val="24"/>
          <w:szCs w:val="24"/>
        </w:rPr>
      </w:pPr>
      <w:r>
        <w:rPr>
          <w:rFonts w:hint="eastAsia" w:ascii="宋体" w:hAnsi="宋体" w:eastAsia="宋体" w:cs="宋体"/>
          <w:b/>
          <w:bCs/>
          <w:kern w:val="36"/>
          <w:sz w:val="24"/>
          <w:szCs w:val="24"/>
        </w:rPr>
        <w:br w:type="page"/>
      </w:r>
      <w:r>
        <w:rPr>
          <w:rFonts w:hint="eastAsia" w:ascii="宋体" w:hAnsi="宋体" w:eastAsia="宋体" w:cs="宋体"/>
          <w:b/>
          <w:sz w:val="24"/>
          <w:szCs w:val="24"/>
          <w:lang w:val="en-US" w:eastAsia="zh-CN"/>
        </w:rPr>
        <w:t>12</w:t>
      </w:r>
      <w:r>
        <w:rPr>
          <w:rFonts w:hint="eastAsia" w:ascii="宋体" w:hAnsi="宋体" w:eastAsia="宋体" w:cs="宋体"/>
          <w:b/>
          <w:sz w:val="24"/>
          <w:szCs w:val="24"/>
        </w:rPr>
        <w:t>、商务条款偏离表</w:t>
      </w: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070"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招标文件条目号</w:t>
            </w:r>
          </w:p>
        </w:tc>
        <w:tc>
          <w:tcPr>
            <w:tcW w:w="2052"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招标文件的商务条款</w:t>
            </w:r>
          </w:p>
        </w:tc>
        <w:tc>
          <w:tcPr>
            <w:tcW w:w="2126"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投标文件的商务条款</w:t>
            </w:r>
          </w:p>
        </w:tc>
        <w:tc>
          <w:tcPr>
            <w:tcW w:w="1985"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spacing w:line="360" w:lineRule="auto"/>
              <w:jc w:val="center"/>
              <w:rPr>
                <w:rFonts w:hint="eastAsia" w:ascii="宋体" w:hAnsi="宋体" w:eastAsia="宋体" w:cs="宋体"/>
                <w:b/>
                <w:bCs/>
                <w:sz w:val="24"/>
                <w:szCs w:val="24"/>
              </w:rPr>
            </w:pPr>
          </w:p>
        </w:tc>
        <w:tc>
          <w:tcPr>
            <w:tcW w:w="2070" w:type="dxa"/>
          </w:tcPr>
          <w:p>
            <w:pPr>
              <w:spacing w:line="360" w:lineRule="auto"/>
              <w:jc w:val="center"/>
              <w:rPr>
                <w:rFonts w:hint="eastAsia" w:ascii="宋体" w:hAnsi="宋体" w:eastAsia="宋体" w:cs="宋体"/>
                <w:b/>
                <w:bCs/>
                <w:sz w:val="24"/>
                <w:szCs w:val="24"/>
              </w:rPr>
            </w:pPr>
          </w:p>
        </w:tc>
        <w:tc>
          <w:tcPr>
            <w:tcW w:w="2052" w:type="dxa"/>
          </w:tcPr>
          <w:p>
            <w:pPr>
              <w:spacing w:line="360" w:lineRule="auto"/>
              <w:jc w:val="center"/>
              <w:rPr>
                <w:rFonts w:hint="eastAsia" w:ascii="宋体" w:hAnsi="宋体" w:eastAsia="宋体" w:cs="宋体"/>
                <w:b/>
                <w:bCs/>
                <w:sz w:val="24"/>
                <w:szCs w:val="24"/>
              </w:rPr>
            </w:pPr>
          </w:p>
        </w:tc>
        <w:tc>
          <w:tcPr>
            <w:tcW w:w="2126" w:type="dxa"/>
          </w:tcPr>
          <w:p>
            <w:pPr>
              <w:spacing w:line="360" w:lineRule="auto"/>
              <w:jc w:val="center"/>
              <w:rPr>
                <w:rFonts w:hint="eastAsia" w:ascii="宋体" w:hAnsi="宋体" w:eastAsia="宋体" w:cs="宋体"/>
                <w:b/>
                <w:bCs/>
                <w:sz w:val="24"/>
                <w:szCs w:val="24"/>
              </w:rPr>
            </w:pPr>
          </w:p>
        </w:tc>
        <w:tc>
          <w:tcPr>
            <w:tcW w:w="1985" w:type="dxa"/>
          </w:tcPr>
          <w:p>
            <w:pPr>
              <w:spacing w:line="360" w:lineRule="auto"/>
              <w:jc w:val="center"/>
              <w:rPr>
                <w:rFonts w:hint="eastAsia" w:ascii="宋体" w:hAnsi="宋体" w:eastAsia="宋体" w:cs="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spacing w:line="360" w:lineRule="auto"/>
              <w:jc w:val="center"/>
              <w:rPr>
                <w:rFonts w:hint="eastAsia" w:ascii="宋体" w:hAnsi="宋体" w:eastAsia="宋体" w:cs="宋体"/>
                <w:b/>
                <w:bCs/>
                <w:sz w:val="24"/>
                <w:szCs w:val="24"/>
              </w:rPr>
            </w:pPr>
          </w:p>
        </w:tc>
        <w:tc>
          <w:tcPr>
            <w:tcW w:w="2070" w:type="dxa"/>
          </w:tcPr>
          <w:p>
            <w:pPr>
              <w:spacing w:line="360" w:lineRule="auto"/>
              <w:jc w:val="center"/>
              <w:rPr>
                <w:rFonts w:hint="eastAsia" w:ascii="宋体" w:hAnsi="宋体" w:eastAsia="宋体" w:cs="宋体"/>
                <w:b/>
                <w:bCs/>
                <w:sz w:val="24"/>
                <w:szCs w:val="24"/>
              </w:rPr>
            </w:pPr>
          </w:p>
        </w:tc>
        <w:tc>
          <w:tcPr>
            <w:tcW w:w="2052" w:type="dxa"/>
          </w:tcPr>
          <w:p>
            <w:pPr>
              <w:spacing w:line="360" w:lineRule="auto"/>
              <w:jc w:val="center"/>
              <w:rPr>
                <w:rFonts w:hint="eastAsia" w:ascii="宋体" w:hAnsi="宋体" w:eastAsia="宋体" w:cs="宋体"/>
                <w:b/>
                <w:bCs/>
                <w:sz w:val="24"/>
                <w:szCs w:val="24"/>
              </w:rPr>
            </w:pPr>
          </w:p>
        </w:tc>
        <w:tc>
          <w:tcPr>
            <w:tcW w:w="2126" w:type="dxa"/>
          </w:tcPr>
          <w:p>
            <w:pPr>
              <w:spacing w:line="360" w:lineRule="auto"/>
              <w:jc w:val="center"/>
              <w:rPr>
                <w:rFonts w:hint="eastAsia" w:ascii="宋体" w:hAnsi="宋体" w:eastAsia="宋体" w:cs="宋体"/>
                <w:b/>
                <w:bCs/>
                <w:sz w:val="24"/>
                <w:szCs w:val="24"/>
              </w:rPr>
            </w:pPr>
          </w:p>
        </w:tc>
        <w:tc>
          <w:tcPr>
            <w:tcW w:w="1985" w:type="dxa"/>
          </w:tcPr>
          <w:p>
            <w:pPr>
              <w:spacing w:line="360" w:lineRule="auto"/>
              <w:jc w:val="center"/>
              <w:rPr>
                <w:rFonts w:hint="eastAsia" w:ascii="宋体" w:hAnsi="宋体" w:eastAsia="宋体" w:cs="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spacing w:line="360" w:lineRule="auto"/>
              <w:jc w:val="center"/>
              <w:rPr>
                <w:rFonts w:hint="eastAsia" w:ascii="宋体" w:hAnsi="宋体" w:eastAsia="宋体" w:cs="宋体"/>
                <w:b/>
                <w:bCs/>
                <w:sz w:val="24"/>
                <w:szCs w:val="24"/>
              </w:rPr>
            </w:pPr>
          </w:p>
        </w:tc>
        <w:tc>
          <w:tcPr>
            <w:tcW w:w="2070" w:type="dxa"/>
          </w:tcPr>
          <w:p>
            <w:pPr>
              <w:spacing w:line="360" w:lineRule="auto"/>
              <w:jc w:val="center"/>
              <w:rPr>
                <w:rFonts w:hint="eastAsia" w:ascii="宋体" w:hAnsi="宋体" w:eastAsia="宋体" w:cs="宋体"/>
                <w:b/>
                <w:bCs/>
                <w:sz w:val="24"/>
                <w:szCs w:val="24"/>
              </w:rPr>
            </w:pPr>
          </w:p>
        </w:tc>
        <w:tc>
          <w:tcPr>
            <w:tcW w:w="2052" w:type="dxa"/>
          </w:tcPr>
          <w:p>
            <w:pPr>
              <w:spacing w:line="360" w:lineRule="auto"/>
              <w:jc w:val="center"/>
              <w:rPr>
                <w:rFonts w:hint="eastAsia" w:ascii="宋体" w:hAnsi="宋体" w:eastAsia="宋体" w:cs="宋体"/>
                <w:b/>
                <w:bCs/>
                <w:sz w:val="24"/>
                <w:szCs w:val="24"/>
              </w:rPr>
            </w:pPr>
          </w:p>
        </w:tc>
        <w:tc>
          <w:tcPr>
            <w:tcW w:w="2126" w:type="dxa"/>
          </w:tcPr>
          <w:p>
            <w:pPr>
              <w:spacing w:line="360" w:lineRule="auto"/>
              <w:jc w:val="center"/>
              <w:rPr>
                <w:rFonts w:hint="eastAsia" w:ascii="宋体" w:hAnsi="宋体" w:eastAsia="宋体" w:cs="宋体"/>
                <w:b/>
                <w:bCs/>
                <w:sz w:val="24"/>
                <w:szCs w:val="24"/>
              </w:rPr>
            </w:pPr>
          </w:p>
        </w:tc>
        <w:tc>
          <w:tcPr>
            <w:tcW w:w="1985" w:type="dxa"/>
          </w:tcPr>
          <w:p>
            <w:pPr>
              <w:spacing w:line="360" w:lineRule="auto"/>
              <w:jc w:val="center"/>
              <w:rPr>
                <w:rFonts w:hint="eastAsia" w:ascii="宋体" w:hAnsi="宋体" w:eastAsia="宋体" w:cs="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spacing w:line="360" w:lineRule="auto"/>
              <w:jc w:val="center"/>
              <w:rPr>
                <w:rFonts w:hint="eastAsia" w:ascii="宋体" w:hAnsi="宋体" w:eastAsia="宋体" w:cs="宋体"/>
                <w:b/>
                <w:bCs/>
                <w:sz w:val="24"/>
                <w:szCs w:val="24"/>
              </w:rPr>
            </w:pPr>
          </w:p>
        </w:tc>
        <w:tc>
          <w:tcPr>
            <w:tcW w:w="2070" w:type="dxa"/>
          </w:tcPr>
          <w:p>
            <w:pPr>
              <w:spacing w:line="360" w:lineRule="auto"/>
              <w:jc w:val="center"/>
              <w:rPr>
                <w:rFonts w:hint="eastAsia" w:ascii="宋体" w:hAnsi="宋体" w:eastAsia="宋体" w:cs="宋体"/>
                <w:b/>
                <w:bCs/>
                <w:sz w:val="24"/>
                <w:szCs w:val="24"/>
              </w:rPr>
            </w:pPr>
          </w:p>
        </w:tc>
        <w:tc>
          <w:tcPr>
            <w:tcW w:w="2052" w:type="dxa"/>
          </w:tcPr>
          <w:p>
            <w:pPr>
              <w:spacing w:line="360" w:lineRule="auto"/>
              <w:jc w:val="center"/>
              <w:rPr>
                <w:rFonts w:hint="eastAsia" w:ascii="宋体" w:hAnsi="宋体" w:eastAsia="宋体" w:cs="宋体"/>
                <w:b/>
                <w:bCs/>
                <w:sz w:val="24"/>
                <w:szCs w:val="24"/>
              </w:rPr>
            </w:pPr>
          </w:p>
        </w:tc>
        <w:tc>
          <w:tcPr>
            <w:tcW w:w="2126" w:type="dxa"/>
          </w:tcPr>
          <w:p>
            <w:pPr>
              <w:spacing w:line="360" w:lineRule="auto"/>
              <w:jc w:val="center"/>
              <w:rPr>
                <w:rFonts w:hint="eastAsia" w:ascii="宋体" w:hAnsi="宋体" w:eastAsia="宋体" w:cs="宋体"/>
                <w:b/>
                <w:bCs/>
                <w:sz w:val="24"/>
                <w:szCs w:val="24"/>
              </w:rPr>
            </w:pPr>
          </w:p>
        </w:tc>
        <w:tc>
          <w:tcPr>
            <w:tcW w:w="1985" w:type="dxa"/>
          </w:tcPr>
          <w:p>
            <w:pPr>
              <w:spacing w:line="360" w:lineRule="auto"/>
              <w:jc w:val="center"/>
              <w:rPr>
                <w:rFonts w:hint="eastAsia" w:ascii="宋体" w:hAnsi="宋体" w:eastAsia="宋体" w:cs="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spacing w:line="360" w:lineRule="auto"/>
              <w:jc w:val="center"/>
              <w:rPr>
                <w:rFonts w:hint="eastAsia" w:ascii="宋体" w:hAnsi="宋体" w:eastAsia="宋体" w:cs="宋体"/>
                <w:b/>
                <w:bCs/>
                <w:sz w:val="24"/>
                <w:szCs w:val="24"/>
              </w:rPr>
            </w:pPr>
          </w:p>
        </w:tc>
        <w:tc>
          <w:tcPr>
            <w:tcW w:w="2070" w:type="dxa"/>
          </w:tcPr>
          <w:p>
            <w:pPr>
              <w:spacing w:line="360" w:lineRule="auto"/>
              <w:jc w:val="center"/>
              <w:rPr>
                <w:rFonts w:hint="eastAsia" w:ascii="宋体" w:hAnsi="宋体" w:eastAsia="宋体" w:cs="宋体"/>
                <w:b/>
                <w:bCs/>
                <w:sz w:val="24"/>
                <w:szCs w:val="24"/>
              </w:rPr>
            </w:pPr>
          </w:p>
        </w:tc>
        <w:tc>
          <w:tcPr>
            <w:tcW w:w="2052" w:type="dxa"/>
          </w:tcPr>
          <w:p>
            <w:pPr>
              <w:spacing w:line="360" w:lineRule="auto"/>
              <w:jc w:val="center"/>
              <w:rPr>
                <w:rFonts w:hint="eastAsia" w:ascii="宋体" w:hAnsi="宋体" w:eastAsia="宋体" w:cs="宋体"/>
                <w:b/>
                <w:bCs/>
                <w:sz w:val="24"/>
                <w:szCs w:val="24"/>
              </w:rPr>
            </w:pPr>
          </w:p>
        </w:tc>
        <w:tc>
          <w:tcPr>
            <w:tcW w:w="2126" w:type="dxa"/>
          </w:tcPr>
          <w:p>
            <w:pPr>
              <w:spacing w:line="360" w:lineRule="auto"/>
              <w:jc w:val="center"/>
              <w:rPr>
                <w:rFonts w:hint="eastAsia" w:ascii="宋体" w:hAnsi="宋体" w:eastAsia="宋体" w:cs="宋体"/>
                <w:b/>
                <w:bCs/>
                <w:sz w:val="24"/>
                <w:szCs w:val="24"/>
              </w:rPr>
            </w:pPr>
          </w:p>
        </w:tc>
        <w:tc>
          <w:tcPr>
            <w:tcW w:w="1985" w:type="dxa"/>
          </w:tcPr>
          <w:p>
            <w:pPr>
              <w:spacing w:line="360" w:lineRule="auto"/>
              <w:jc w:val="center"/>
              <w:rPr>
                <w:rFonts w:hint="eastAsia" w:ascii="宋体" w:hAnsi="宋体" w:eastAsia="宋体" w:cs="宋体"/>
                <w:b/>
                <w:bCs/>
                <w:sz w:val="24"/>
                <w:szCs w:val="24"/>
              </w:rPr>
            </w:pPr>
          </w:p>
        </w:tc>
      </w:tr>
    </w:tbl>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备注：投标人商务条款有差异的，则在此表中列明实际响应的内容提要并加以说明，以便查对。无差异说明表示完全响应。</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投标人：（盖章）</w:t>
      </w: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法定代表人或被授权委托人：（签字或盖章）</w:t>
      </w:r>
    </w:p>
    <w:p>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日期：年月日</w:t>
      </w:r>
    </w:p>
    <w:p>
      <w:pPr>
        <w:tabs>
          <w:tab w:val="center" w:pos="4832"/>
          <w:tab w:val="left" w:pos="7140"/>
        </w:tabs>
        <w:spacing w:line="360" w:lineRule="auto"/>
        <w:jc w:val="center"/>
        <w:outlineLvl w:val="1"/>
        <w:rPr>
          <w:rFonts w:hint="eastAsia" w:ascii="宋体" w:hAnsi="宋体" w:eastAsia="宋体" w:cs="宋体"/>
          <w:b/>
          <w:bCs/>
          <w:sz w:val="24"/>
          <w:szCs w:val="24"/>
        </w:rPr>
      </w:pPr>
      <w:r>
        <w:rPr>
          <w:rFonts w:hint="eastAsia" w:ascii="宋体" w:hAnsi="宋体" w:eastAsia="宋体" w:cs="宋体"/>
          <w:b/>
          <w:bCs/>
          <w:kern w:val="36"/>
          <w:sz w:val="24"/>
          <w:szCs w:val="24"/>
        </w:rPr>
        <w:br w:type="page"/>
      </w:r>
      <w:r>
        <w:rPr>
          <w:rFonts w:hint="eastAsia" w:ascii="宋体" w:hAnsi="宋体" w:eastAsia="宋体" w:cs="宋体"/>
          <w:b/>
          <w:sz w:val="24"/>
          <w:szCs w:val="24"/>
          <w:lang w:val="en-US" w:eastAsia="zh-CN"/>
        </w:rPr>
        <w:t>13</w:t>
      </w:r>
      <w:r>
        <w:rPr>
          <w:rFonts w:hint="eastAsia" w:ascii="宋体" w:hAnsi="宋体" w:eastAsia="宋体" w:cs="宋体"/>
          <w:b/>
          <w:sz w:val="24"/>
          <w:szCs w:val="24"/>
        </w:rPr>
        <w:t>、</w:t>
      </w:r>
      <w:r>
        <w:rPr>
          <w:rFonts w:hint="eastAsia" w:ascii="宋体" w:hAnsi="宋体" w:eastAsia="宋体" w:cs="宋体"/>
          <w:b/>
          <w:bCs/>
          <w:sz w:val="24"/>
          <w:szCs w:val="24"/>
        </w:rPr>
        <w:t>企业类似项目业绩表</w:t>
      </w:r>
    </w:p>
    <w:tbl>
      <w:tblPr>
        <w:tblStyle w:val="3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32"/>
        <w:gridCol w:w="61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303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148" w:type="dxa"/>
            <w:vAlign w:val="center"/>
          </w:tcPr>
          <w:p>
            <w:pPr>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303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采购人名称</w:t>
            </w:r>
          </w:p>
        </w:tc>
        <w:tc>
          <w:tcPr>
            <w:tcW w:w="6148" w:type="dxa"/>
            <w:vAlign w:val="center"/>
          </w:tcPr>
          <w:p>
            <w:pPr>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303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采购人地址</w:t>
            </w:r>
          </w:p>
        </w:tc>
        <w:tc>
          <w:tcPr>
            <w:tcW w:w="6148" w:type="dxa"/>
            <w:vAlign w:val="center"/>
          </w:tcPr>
          <w:p>
            <w:pPr>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303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采购人联系人及电话</w:t>
            </w:r>
          </w:p>
        </w:tc>
        <w:tc>
          <w:tcPr>
            <w:tcW w:w="6148" w:type="dxa"/>
            <w:vAlign w:val="center"/>
          </w:tcPr>
          <w:p>
            <w:pPr>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303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6148" w:type="dxa"/>
            <w:vAlign w:val="center"/>
          </w:tcPr>
          <w:p>
            <w:pPr>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303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合同期限</w:t>
            </w:r>
          </w:p>
        </w:tc>
        <w:tc>
          <w:tcPr>
            <w:tcW w:w="6148" w:type="dxa"/>
            <w:vAlign w:val="center"/>
          </w:tcPr>
          <w:p>
            <w:pPr>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303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合同价格</w:t>
            </w:r>
          </w:p>
        </w:tc>
        <w:tc>
          <w:tcPr>
            <w:tcW w:w="6148" w:type="dxa"/>
            <w:vAlign w:val="center"/>
          </w:tcPr>
          <w:p>
            <w:pPr>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303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6148" w:type="dxa"/>
            <w:vAlign w:val="center"/>
          </w:tcPr>
          <w:p>
            <w:pPr>
              <w:spacing w:line="360" w:lineRule="auto"/>
              <w:jc w:val="center"/>
              <w:rPr>
                <w:rFonts w:hint="eastAsia" w:ascii="宋体" w:hAnsi="宋体" w:eastAsia="宋体" w:cs="宋体"/>
                <w:sz w:val="24"/>
                <w:szCs w:val="24"/>
              </w:rPr>
            </w:pPr>
          </w:p>
        </w:tc>
      </w:tr>
    </w:tbl>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1、本表后须附类似业绩的证明资料（合同或中标通知书或成交通知书复印件）</w:t>
      </w:r>
    </w:p>
    <w:p>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2、具体年份要求：</w:t>
      </w: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年1月1日--至今</w:t>
      </w:r>
    </w:p>
    <w:p>
      <w:pPr>
        <w:spacing w:line="360" w:lineRule="auto"/>
        <w:rPr>
          <w:rFonts w:hint="eastAsia" w:ascii="宋体" w:hAnsi="宋体" w:eastAsia="宋体" w:cs="宋体"/>
          <w:sz w:val="24"/>
          <w:szCs w:val="24"/>
        </w:rPr>
      </w:pPr>
      <w:r>
        <w:rPr>
          <w:rFonts w:hint="eastAsia" w:ascii="宋体" w:hAnsi="宋体" w:eastAsia="宋体" w:cs="宋体"/>
          <w:sz w:val="24"/>
          <w:szCs w:val="24"/>
        </w:rPr>
        <w:t>3、每张表格只填写一个项目的信息，并注明序号。</w:t>
      </w:r>
    </w:p>
    <w:p>
      <w:pPr>
        <w:rPr>
          <w:rFonts w:hint="eastAsia" w:ascii="宋体" w:hAnsi="宋体" w:eastAsia="宋体" w:cs="宋体"/>
          <w:u w:val="single"/>
        </w:rPr>
      </w:pPr>
      <w:r>
        <w:rPr>
          <w:rFonts w:hint="eastAsia" w:ascii="宋体" w:hAnsi="宋体" w:eastAsia="宋体" w:cs="宋体"/>
          <w:u w:val="single"/>
        </w:rPr>
        <w:br w:type="page"/>
      </w:r>
    </w:p>
    <w:p>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lang w:val="en-US" w:eastAsia="zh-CN"/>
        </w:rPr>
        <w:t>14、拟派项目负责人（项目经理）简历表</w:t>
      </w:r>
    </w:p>
    <w:tbl>
      <w:tblPr>
        <w:tblStyle w:val="38"/>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177"/>
        <w:gridCol w:w="1076"/>
        <w:gridCol w:w="1196"/>
        <w:gridCol w:w="2659"/>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332"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77" w:type="dxa"/>
            <w:noWrap w:val="0"/>
            <w:vAlign w:val="center"/>
          </w:tcPr>
          <w:p>
            <w:pPr>
              <w:spacing w:line="440" w:lineRule="exact"/>
              <w:jc w:val="center"/>
              <w:rPr>
                <w:rFonts w:hint="eastAsia" w:ascii="宋体" w:hAnsi="宋体" w:eastAsia="宋体" w:cs="宋体"/>
                <w:sz w:val="24"/>
                <w:szCs w:val="24"/>
              </w:rPr>
            </w:pPr>
          </w:p>
        </w:tc>
        <w:tc>
          <w:tcPr>
            <w:tcW w:w="1076"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1196" w:type="dxa"/>
            <w:noWrap w:val="0"/>
            <w:vAlign w:val="center"/>
          </w:tcPr>
          <w:p>
            <w:pPr>
              <w:spacing w:line="440" w:lineRule="exact"/>
              <w:jc w:val="center"/>
              <w:rPr>
                <w:rFonts w:hint="eastAsia" w:ascii="宋体" w:hAnsi="宋体" w:eastAsia="宋体" w:cs="宋体"/>
                <w:sz w:val="24"/>
                <w:szCs w:val="24"/>
              </w:rPr>
            </w:pPr>
          </w:p>
        </w:tc>
        <w:tc>
          <w:tcPr>
            <w:tcW w:w="2659" w:type="dxa"/>
            <w:noWrap w:val="0"/>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身份证号码</w:t>
            </w:r>
          </w:p>
        </w:tc>
        <w:tc>
          <w:tcPr>
            <w:tcW w:w="2590"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32"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177" w:type="dxa"/>
            <w:noWrap w:val="0"/>
            <w:vAlign w:val="center"/>
          </w:tcPr>
          <w:p>
            <w:pPr>
              <w:spacing w:line="440" w:lineRule="exact"/>
              <w:jc w:val="center"/>
              <w:rPr>
                <w:rFonts w:hint="eastAsia" w:ascii="宋体" w:hAnsi="宋体" w:eastAsia="宋体" w:cs="宋体"/>
                <w:sz w:val="24"/>
                <w:szCs w:val="24"/>
              </w:rPr>
            </w:pPr>
          </w:p>
        </w:tc>
        <w:tc>
          <w:tcPr>
            <w:tcW w:w="1076" w:type="dxa"/>
            <w:noWrap w:val="0"/>
            <w:vAlign w:val="center"/>
          </w:tcPr>
          <w:p>
            <w:pPr>
              <w:spacing w:before="100" w:beforeLines="0" w:beforeAutospacing="1" w:after="100" w:afterLines="0" w:afterAutospacing="1"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职务</w:t>
            </w:r>
          </w:p>
        </w:tc>
        <w:tc>
          <w:tcPr>
            <w:tcW w:w="1196" w:type="dxa"/>
            <w:noWrap w:val="0"/>
            <w:vAlign w:val="center"/>
          </w:tcPr>
          <w:p>
            <w:pPr>
              <w:spacing w:line="440" w:lineRule="exact"/>
              <w:jc w:val="center"/>
              <w:rPr>
                <w:rFonts w:hint="eastAsia" w:ascii="宋体" w:hAnsi="宋体" w:eastAsia="宋体" w:cs="宋体"/>
                <w:sz w:val="24"/>
                <w:szCs w:val="24"/>
              </w:rPr>
            </w:pPr>
          </w:p>
        </w:tc>
        <w:tc>
          <w:tcPr>
            <w:tcW w:w="2659" w:type="dxa"/>
            <w:noWrap w:val="0"/>
            <w:vAlign w:val="center"/>
          </w:tcPr>
          <w:p>
            <w:pPr>
              <w:spacing w:before="100" w:beforeLines="0" w:beforeAutospacing="1" w:after="100" w:afterLines="0" w:afterAutospacing="1"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590"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332" w:type="dxa"/>
            <w:noWrap w:val="0"/>
            <w:vAlign w:val="center"/>
          </w:tcPr>
          <w:p>
            <w:pPr>
              <w:spacing w:before="100" w:beforeLines="0" w:beforeAutospacing="1" w:after="100" w:afterLines="0" w:afterAutospacing="1"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证书编号</w:t>
            </w:r>
          </w:p>
        </w:tc>
        <w:tc>
          <w:tcPr>
            <w:tcW w:w="3449" w:type="dxa"/>
            <w:gridSpan w:val="3"/>
            <w:noWrap w:val="0"/>
            <w:vAlign w:val="center"/>
          </w:tcPr>
          <w:p>
            <w:pPr>
              <w:spacing w:line="440" w:lineRule="exact"/>
              <w:jc w:val="center"/>
              <w:rPr>
                <w:rFonts w:hint="eastAsia" w:ascii="宋体" w:hAnsi="宋体" w:eastAsia="宋体" w:cs="宋体"/>
                <w:sz w:val="24"/>
                <w:szCs w:val="24"/>
              </w:rPr>
            </w:pPr>
          </w:p>
        </w:tc>
        <w:tc>
          <w:tcPr>
            <w:tcW w:w="2659" w:type="dxa"/>
            <w:noWrap w:val="0"/>
            <w:vAlign w:val="center"/>
          </w:tcPr>
          <w:p>
            <w:pPr>
              <w:spacing w:before="100" w:beforeLines="0" w:beforeAutospacing="1" w:after="100" w:afterLines="0" w:afterAutospacing="1" w:line="440" w:lineRule="exact"/>
              <w:jc w:val="center"/>
              <w:rPr>
                <w:rFonts w:hint="eastAsia" w:ascii="宋体" w:hAnsi="宋体" w:eastAsia="宋体" w:cs="宋体"/>
                <w:sz w:val="24"/>
                <w:szCs w:val="24"/>
              </w:rPr>
            </w:pPr>
            <w:r>
              <w:rPr>
                <w:rFonts w:hint="eastAsia" w:ascii="宋体" w:hAnsi="宋体" w:eastAsia="宋体" w:cs="宋体"/>
                <w:sz w:val="24"/>
                <w:szCs w:val="24"/>
                <w:lang w:eastAsia="zh-CN"/>
              </w:rPr>
              <w:t>相关</w:t>
            </w:r>
            <w:r>
              <w:rPr>
                <w:rFonts w:hint="eastAsia" w:ascii="宋体" w:hAnsi="宋体" w:eastAsia="宋体" w:cs="宋体"/>
                <w:sz w:val="24"/>
                <w:szCs w:val="24"/>
              </w:rPr>
              <w:t>工作年限</w:t>
            </w:r>
          </w:p>
        </w:tc>
        <w:tc>
          <w:tcPr>
            <w:tcW w:w="2590" w:type="dxa"/>
            <w:noWrap w:val="0"/>
            <w:vAlign w:val="center"/>
          </w:tcPr>
          <w:p>
            <w:pPr>
              <w:spacing w:line="440" w:lineRule="exact"/>
              <w:jc w:val="center"/>
              <w:rPr>
                <w:rFonts w:hint="eastAsia" w:ascii="宋体" w:hAnsi="宋体" w:eastAsia="宋体" w:cs="宋体"/>
                <w:sz w:val="24"/>
                <w:szCs w:val="24"/>
              </w:rPr>
            </w:pPr>
          </w:p>
        </w:tc>
      </w:tr>
    </w:tbl>
    <w:p>
      <w:pPr>
        <w:spacing w:line="360" w:lineRule="auto"/>
        <w:rPr>
          <w:rFonts w:hint="eastAsia" w:ascii="宋体" w:hAnsi="宋体" w:eastAsia="宋体" w:cs="宋体"/>
          <w:b/>
          <w:sz w:val="24"/>
          <w:szCs w:val="24"/>
        </w:rPr>
      </w:pPr>
    </w:p>
    <w:p>
      <w:pPr>
        <w:pStyle w:val="57"/>
        <w:rPr>
          <w:rFonts w:hint="eastAsia" w:ascii="宋体" w:hAnsi="宋体" w:eastAsia="宋体" w:cs="宋体"/>
          <w:b/>
          <w:sz w:val="24"/>
          <w:szCs w:val="24"/>
        </w:rPr>
      </w:pPr>
    </w:p>
    <w:p>
      <w:pPr>
        <w:pStyle w:val="57"/>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注：后附项目负责人相关证件。</w:t>
      </w:r>
    </w:p>
    <w:p>
      <w:pPr>
        <w:adjustRightInd w:val="0"/>
        <w:spacing w:line="360" w:lineRule="auto"/>
        <w:ind w:firstLine="420" w:firstLineChars="175"/>
        <w:jc w:val="left"/>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投标人</w:t>
      </w:r>
      <w:r>
        <w:rPr>
          <w:rFonts w:hint="eastAsia" w:ascii="宋体" w:hAnsi="宋体" w:eastAsia="宋体" w:cs="宋体"/>
          <w:bCs/>
          <w:color w:val="000000"/>
          <w:sz w:val="24"/>
        </w:rPr>
        <w:t>名称（盖章）</w:t>
      </w:r>
      <w:r>
        <w:rPr>
          <w:rFonts w:hint="eastAsia" w:ascii="宋体" w:hAnsi="宋体" w:eastAsia="宋体" w:cs="宋体"/>
          <w:bCs/>
          <w:color w:val="000000"/>
          <w:sz w:val="24"/>
          <w:lang w:eastAsia="zh-CN"/>
        </w:rPr>
        <w:t>：</w:t>
      </w:r>
    </w:p>
    <w:p>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color w:val="000000"/>
          <w:sz w:val="24"/>
          <w:lang w:val="en-US" w:eastAsia="zh-CN"/>
        </w:rPr>
        <w:t>法定代表人活</w:t>
      </w:r>
      <w:r>
        <w:rPr>
          <w:rFonts w:hint="eastAsia" w:ascii="宋体" w:hAnsi="宋体" w:eastAsia="宋体" w:cs="宋体"/>
          <w:color w:val="000000"/>
          <w:sz w:val="24"/>
        </w:rPr>
        <w:t>授权</w:t>
      </w:r>
      <w:r>
        <w:rPr>
          <w:rFonts w:hint="eastAsia" w:ascii="宋体" w:hAnsi="宋体" w:eastAsia="宋体" w:cs="宋体"/>
          <w:color w:val="000000"/>
          <w:sz w:val="24"/>
          <w:lang w:val="en-US" w:eastAsia="zh-CN"/>
        </w:rPr>
        <w:t>委托</w:t>
      </w:r>
      <w:r>
        <w:rPr>
          <w:rFonts w:hint="eastAsia" w:ascii="宋体" w:hAnsi="宋体" w:eastAsia="宋体" w:cs="宋体"/>
          <w:color w:val="000000"/>
          <w:sz w:val="24"/>
          <w:lang w:eastAsia="zh-CN"/>
        </w:rPr>
        <w:t>人</w:t>
      </w:r>
      <w:r>
        <w:rPr>
          <w:rFonts w:hint="eastAsia" w:ascii="宋体" w:hAnsi="宋体" w:eastAsia="宋体" w:cs="宋体"/>
          <w:sz w:val="24"/>
        </w:rPr>
        <w:t>（签字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bCs/>
          <w:sz w:val="24"/>
        </w:rPr>
        <w:t>：</w:t>
      </w:r>
    </w:p>
    <w:p>
      <w:pPr>
        <w:spacing w:line="360" w:lineRule="auto"/>
        <w:ind w:firstLine="480" w:firstLineChars="200"/>
        <w:outlineLvl w:val="1"/>
        <w:rPr>
          <w:rFonts w:hint="eastAsia" w:ascii="宋体" w:hAnsi="宋体" w:eastAsia="宋体" w:cs="宋体"/>
          <w:b/>
          <w:color w:val="000000"/>
          <w:sz w:val="24"/>
        </w:rPr>
      </w:pPr>
      <w:r>
        <w:rPr>
          <w:rFonts w:hint="eastAsia" w:ascii="宋体" w:hAnsi="宋体" w:eastAsia="宋体" w:cs="宋体"/>
          <w:bCs/>
          <w:color w:val="000000"/>
          <w:sz w:val="24"/>
        </w:rPr>
        <w:t xml:space="preserve">日 </w:t>
      </w:r>
      <w:r>
        <w:rPr>
          <w:rFonts w:hint="eastAsia" w:ascii="宋体" w:hAnsi="宋体" w:eastAsia="宋体" w:cs="宋体"/>
          <w:bCs/>
          <w:color w:val="000000"/>
          <w:sz w:val="24"/>
          <w:lang w:val="en-US" w:eastAsia="zh-CN"/>
        </w:rPr>
        <w:t xml:space="preserve"> </w:t>
      </w:r>
      <w:r>
        <w:rPr>
          <w:rFonts w:hint="eastAsia" w:ascii="宋体" w:hAnsi="宋体" w:eastAsia="宋体" w:cs="宋体"/>
          <w:bCs/>
          <w:color w:val="000000"/>
          <w:sz w:val="24"/>
        </w:rPr>
        <w:t>期:      年    月    日</w:t>
      </w:r>
    </w:p>
    <w:p>
      <w:pPr>
        <w:spacing w:line="360" w:lineRule="auto"/>
        <w:rPr>
          <w:rFonts w:hint="eastAsia" w:ascii="宋体" w:hAnsi="宋体" w:eastAsia="宋体" w:cs="宋体"/>
          <w:b/>
          <w:sz w:val="30"/>
          <w:szCs w:val="30"/>
        </w:rPr>
      </w:pPr>
    </w:p>
    <w:p>
      <w:pPr>
        <w:pStyle w:val="13"/>
        <w:rPr>
          <w:rFonts w:hint="eastAsia" w:ascii="宋体" w:hAnsi="宋体" w:eastAsia="宋体" w:cs="宋体"/>
          <w:b/>
          <w:sz w:val="30"/>
          <w:szCs w:val="30"/>
        </w:rPr>
      </w:pPr>
    </w:p>
    <w:p>
      <w:pPr>
        <w:pStyle w:val="14"/>
        <w:rPr>
          <w:rFonts w:hint="eastAsia" w:ascii="宋体" w:hAnsi="宋体" w:eastAsia="宋体" w:cs="宋体"/>
          <w:b/>
          <w:sz w:val="30"/>
          <w:szCs w:val="30"/>
        </w:rPr>
      </w:pPr>
    </w:p>
    <w:p>
      <w:pPr>
        <w:pStyle w:val="14"/>
        <w:rPr>
          <w:rFonts w:hint="eastAsia" w:ascii="宋体" w:hAnsi="宋体" w:eastAsia="宋体" w:cs="宋体"/>
          <w:b/>
          <w:sz w:val="30"/>
          <w:szCs w:val="30"/>
        </w:rPr>
      </w:pPr>
    </w:p>
    <w:p>
      <w:pPr>
        <w:pStyle w:val="14"/>
        <w:rPr>
          <w:rFonts w:hint="eastAsia" w:ascii="宋体" w:hAnsi="宋体" w:eastAsia="宋体" w:cs="宋体"/>
          <w:b/>
          <w:sz w:val="30"/>
          <w:szCs w:val="30"/>
        </w:rPr>
      </w:pPr>
    </w:p>
    <w:p>
      <w:pPr>
        <w:pStyle w:val="14"/>
        <w:rPr>
          <w:rFonts w:hint="eastAsia" w:ascii="宋体" w:hAnsi="宋体" w:eastAsia="宋体" w:cs="宋体"/>
          <w:b/>
          <w:sz w:val="30"/>
          <w:szCs w:val="30"/>
        </w:rPr>
      </w:pPr>
    </w:p>
    <w:p>
      <w:pPr>
        <w:pStyle w:val="14"/>
        <w:rPr>
          <w:rFonts w:hint="eastAsia" w:ascii="宋体" w:hAnsi="宋体" w:eastAsia="宋体" w:cs="宋体"/>
          <w:b/>
          <w:sz w:val="30"/>
          <w:szCs w:val="30"/>
        </w:rPr>
      </w:pPr>
    </w:p>
    <w:p>
      <w:pPr>
        <w:pStyle w:val="14"/>
        <w:rPr>
          <w:rFonts w:hint="eastAsia" w:ascii="宋体" w:hAnsi="宋体" w:eastAsia="宋体" w:cs="宋体"/>
          <w:b/>
          <w:sz w:val="30"/>
          <w:szCs w:val="30"/>
          <w:lang w:eastAsia="zh-CN"/>
        </w:rPr>
      </w:pPr>
    </w:p>
    <w:p>
      <w:pPr>
        <w:pStyle w:val="14"/>
        <w:rPr>
          <w:rFonts w:hint="eastAsia" w:ascii="宋体" w:hAnsi="宋体" w:eastAsia="宋体" w:cs="宋体"/>
          <w:b/>
          <w:sz w:val="30"/>
          <w:szCs w:val="30"/>
          <w:lang w:eastAsia="zh-CN"/>
        </w:rPr>
      </w:pPr>
    </w:p>
    <w:p>
      <w:pPr>
        <w:pStyle w:val="14"/>
        <w:rPr>
          <w:rFonts w:hint="eastAsia" w:ascii="宋体" w:hAnsi="宋体" w:eastAsia="宋体" w:cs="宋体"/>
          <w:b/>
          <w:sz w:val="30"/>
          <w:szCs w:val="30"/>
        </w:rPr>
      </w:pPr>
      <w:r>
        <w:rPr>
          <w:rFonts w:hint="eastAsia" w:ascii="宋体" w:hAnsi="宋体" w:eastAsia="宋体" w:cs="宋体"/>
          <w:b/>
          <w:sz w:val="30"/>
          <w:szCs w:val="30"/>
        </w:rPr>
        <w:br w:type="page"/>
      </w:r>
    </w:p>
    <w:p>
      <w:pPr>
        <w:pStyle w:val="14"/>
        <w:rPr>
          <w:rFonts w:hint="eastAsia" w:ascii="宋体" w:hAnsi="宋体" w:eastAsia="宋体" w:cs="宋体"/>
          <w:b/>
          <w:sz w:val="30"/>
          <w:szCs w:val="30"/>
        </w:rPr>
      </w:pPr>
    </w:p>
    <w:p>
      <w:pPr>
        <w:spacing w:line="500" w:lineRule="exact"/>
        <w:jc w:val="center"/>
        <w:rPr>
          <w:rFonts w:hint="eastAsia" w:ascii="宋体" w:hAnsi="宋体" w:eastAsia="宋体" w:cs="宋体"/>
          <w:b/>
          <w:sz w:val="30"/>
          <w:szCs w:val="30"/>
          <w:lang w:eastAsia="zh-CN"/>
        </w:rPr>
      </w:pPr>
      <w:r>
        <w:rPr>
          <w:rFonts w:hint="eastAsia" w:ascii="宋体" w:hAnsi="宋体" w:eastAsia="宋体" w:cs="宋体"/>
          <w:b/>
          <w:sz w:val="30"/>
          <w:szCs w:val="30"/>
          <w:lang w:val="en-US" w:eastAsia="zh-CN"/>
        </w:rPr>
        <w:t>15、拟派项目组成员情况</w:t>
      </w:r>
    </w:p>
    <w:p>
      <w:pPr>
        <w:spacing w:line="500" w:lineRule="exact"/>
        <w:rPr>
          <w:rFonts w:hint="eastAsia" w:ascii="宋体" w:hAnsi="宋体" w:eastAsia="宋体" w:cs="宋体"/>
          <w:sz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83"/>
        <w:gridCol w:w="936"/>
        <w:gridCol w:w="1052"/>
        <w:gridCol w:w="1052"/>
        <w:gridCol w:w="112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1283"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姓名</w:t>
            </w:r>
          </w:p>
        </w:tc>
        <w:tc>
          <w:tcPr>
            <w:tcW w:w="936"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性别</w:t>
            </w:r>
          </w:p>
        </w:tc>
        <w:tc>
          <w:tcPr>
            <w:tcW w:w="1052"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年龄</w:t>
            </w:r>
          </w:p>
        </w:tc>
        <w:tc>
          <w:tcPr>
            <w:tcW w:w="1052"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职称</w:t>
            </w:r>
          </w:p>
        </w:tc>
        <w:tc>
          <w:tcPr>
            <w:tcW w:w="1128"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 xml:space="preserve">专业 </w:t>
            </w:r>
          </w:p>
        </w:tc>
        <w:tc>
          <w:tcPr>
            <w:tcW w:w="1701" w:type="dxa"/>
            <w:noWrap w:val="0"/>
            <w:vAlign w:val="top"/>
          </w:tcPr>
          <w:p>
            <w:pPr>
              <w:spacing w:line="500" w:lineRule="exact"/>
              <w:jc w:val="center"/>
              <w:rPr>
                <w:rFonts w:hint="eastAsia" w:ascii="宋体" w:hAnsi="宋体" w:eastAsia="宋体" w:cs="宋体"/>
                <w:sz w:val="24"/>
              </w:rPr>
            </w:pPr>
            <w:r>
              <w:rPr>
                <w:rFonts w:hint="eastAsia" w:ascii="宋体" w:hAnsi="宋体" w:eastAsia="宋体" w:cs="宋体"/>
                <w:sz w:val="24"/>
              </w:rPr>
              <w:t>拟在本项目中</w:t>
            </w:r>
          </w:p>
          <w:p>
            <w:pPr>
              <w:spacing w:line="500" w:lineRule="exact"/>
              <w:jc w:val="center"/>
              <w:rPr>
                <w:rFonts w:hint="eastAsia" w:ascii="宋体" w:hAnsi="宋体" w:eastAsia="宋体" w:cs="宋体"/>
                <w:sz w:val="24"/>
              </w:rPr>
            </w:pPr>
            <w:r>
              <w:rPr>
                <w:rFonts w:hint="eastAsia" w:ascii="宋体" w:hAnsi="宋体" w:eastAsia="宋体" w:cs="宋体"/>
                <w:sz w:val="24"/>
              </w:rPr>
              <w:t>担任的工作</w:t>
            </w:r>
          </w:p>
        </w:tc>
        <w:tc>
          <w:tcPr>
            <w:tcW w:w="1701" w:type="dxa"/>
            <w:noWrap w:val="0"/>
            <w:vAlign w:val="center"/>
          </w:tcPr>
          <w:p>
            <w:pPr>
              <w:spacing w:line="5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p>
        </w:tc>
        <w:tc>
          <w:tcPr>
            <w:tcW w:w="1283" w:type="dxa"/>
            <w:noWrap w:val="0"/>
            <w:vAlign w:val="center"/>
          </w:tcPr>
          <w:p>
            <w:pPr>
              <w:spacing w:line="500" w:lineRule="exact"/>
              <w:jc w:val="center"/>
              <w:rPr>
                <w:rFonts w:hint="eastAsia" w:ascii="宋体" w:hAnsi="宋体" w:eastAsia="宋体" w:cs="宋体"/>
                <w:sz w:val="24"/>
              </w:rPr>
            </w:pPr>
          </w:p>
        </w:tc>
        <w:tc>
          <w:tcPr>
            <w:tcW w:w="936"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128" w:type="dxa"/>
            <w:noWrap w:val="0"/>
            <w:vAlign w:val="center"/>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p>
        </w:tc>
        <w:tc>
          <w:tcPr>
            <w:tcW w:w="1283" w:type="dxa"/>
            <w:noWrap w:val="0"/>
            <w:vAlign w:val="center"/>
          </w:tcPr>
          <w:p>
            <w:pPr>
              <w:spacing w:line="500" w:lineRule="exact"/>
              <w:jc w:val="center"/>
              <w:rPr>
                <w:rFonts w:hint="eastAsia" w:ascii="宋体" w:hAnsi="宋体" w:eastAsia="宋体" w:cs="宋体"/>
                <w:sz w:val="24"/>
              </w:rPr>
            </w:pPr>
          </w:p>
        </w:tc>
        <w:tc>
          <w:tcPr>
            <w:tcW w:w="936"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128" w:type="dxa"/>
            <w:noWrap w:val="0"/>
            <w:vAlign w:val="center"/>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p>
        </w:tc>
        <w:tc>
          <w:tcPr>
            <w:tcW w:w="1283" w:type="dxa"/>
            <w:noWrap w:val="0"/>
            <w:vAlign w:val="center"/>
          </w:tcPr>
          <w:p>
            <w:pPr>
              <w:spacing w:line="500" w:lineRule="exact"/>
              <w:jc w:val="center"/>
              <w:rPr>
                <w:rFonts w:hint="eastAsia" w:ascii="宋体" w:hAnsi="宋体" w:eastAsia="宋体" w:cs="宋体"/>
                <w:sz w:val="24"/>
              </w:rPr>
            </w:pPr>
          </w:p>
        </w:tc>
        <w:tc>
          <w:tcPr>
            <w:tcW w:w="936"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128" w:type="dxa"/>
            <w:noWrap w:val="0"/>
            <w:vAlign w:val="center"/>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p>
        </w:tc>
        <w:tc>
          <w:tcPr>
            <w:tcW w:w="1283" w:type="dxa"/>
            <w:noWrap w:val="0"/>
            <w:vAlign w:val="center"/>
          </w:tcPr>
          <w:p>
            <w:pPr>
              <w:spacing w:line="500" w:lineRule="exact"/>
              <w:jc w:val="center"/>
              <w:rPr>
                <w:rFonts w:hint="eastAsia" w:ascii="宋体" w:hAnsi="宋体" w:eastAsia="宋体" w:cs="宋体"/>
                <w:sz w:val="24"/>
              </w:rPr>
            </w:pPr>
          </w:p>
        </w:tc>
        <w:tc>
          <w:tcPr>
            <w:tcW w:w="936"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128" w:type="dxa"/>
            <w:noWrap w:val="0"/>
            <w:vAlign w:val="center"/>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p>
        </w:tc>
        <w:tc>
          <w:tcPr>
            <w:tcW w:w="1283" w:type="dxa"/>
            <w:noWrap w:val="0"/>
            <w:vAlign w:val="center"/>
          </w:tcPr>
          <w:p>
            <w:pPr>
              <w:spacing w:line="500" w:lineRule="exact"/>
              <w:jc w:val="center"/>
              <w:rPr>
                <w:rFonts w:hint="eastAsia" w:ascii="宋体" w:hAnsi="宋体" w:eastAsia="宋体" w:cs="宋体"/>
                <w:sz w:val="24"/>
              </w:rPr>
            </w:pPr>
          </w:p>
        </w:tc>
        <w:tc>
          <w:tcPr>
            <w:tcW w:w="936"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128" w:type="dxa"/>
            <w:noWrap w:val="0"/>
            <w:vAlign w:val="center"/>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p>
        </w:tc>
        <w:tc>
          <w:tcPr>
            <w:tcW w:w="1283" w:type="dxa"/>
            <w:noWrap w:val="0"/>
            <w:vAlign w:val="center"/>
          </w:tcPr>
          <w:p>
            <w:pPr>
              <w:spacing w:line="500" w:lineRule="exact"/>
              <w:jc w:val="center"/>
              <w:rPr>
                <w:rFonts w:hint="eastAsia" w:ascii="宋体" w:hAnsi="宋体" w:eastAsia="宋体" w:cs="宋体"/>
                <w:sz w:val="24"/>
              </w:rPr>
            </w:pPr>
          </w:p>
        </w:tc>
        <w:tc>
          <w:tcPr>
            <w:tcW w:w="936"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128" w:type="dxa"/>
            <w:noWrap w:val="0"/>
            <w:vAlign w:val="center"/>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p>
        </w:tc>
        <w:tc>
          <w:tcPr>
            <w:tcW w:w="1283" w:type="dxa"/>
            <w:noWrap w:val="0"/>
            <w:vAlign w:val="center"/>
          </w:tcPr>
          <w:p>
            <w:pPr>
              <w:spacing w:line="500" w:lineRule="exact"/>
              <w:jc w:val="center"/>
              <w:rPr>
                <w:rFonts w:hint="eastAsia" w:ascii="宋体" w:hAnsi="宋体" w:eastAsia="宋体" w:cs="宋体"/>
                <w:sz w:val="24"/>
              </w:rPr>
            </w:pPr>
          </w:p>
        </w:tc>
        <w:tc>
          <w:tcPr>
            <w:tcW w:w="936"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128" w:type="dxa"/>
            <w:noWrap w:val="0"/>
            <w:vAlign w:val="center"/>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p>
        </w:tc>
        <w:tc>
          <w:tcPr>
            <w:tcW w:w="1283" w:type="dxa"/>
            <w:noWrap w:val="0"/>
            <w:vAlign w:val="center"/>
          </w:tcPr>
          <w:p>
            <w:pPr>
              <w:spacing w:line="500" w:lineRule="exact"/>
              <w:jc w:val="center"/>
              <w:rPr>
                <w:rFonts w:hint="eastAsia" w:ascii="宋体" w:hAnsi="宋体" w:eastAsia="宋体" w:cs="宋体"/>
                <w:sz w:val="24"/>
              </w:rPr>
            </w:pPr>
          </w:p>
        </w:tc>
        <w:tc>
          <w:tcPr>
            <w:tcW w:w="936"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128" w:type="dxa"/>
            <w:noWrap w:val="0"/>
            <w:vAlign w:val="center"/>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pacing w:line="500" w:lineRule="exact"/>
              <w:jc w:val="center"/>
              <w:rPr>
                <w:rFonts w:hint="eastAsia" w:ascii="宋体" w:hAnsi="宋体" w:eastAsia="宋体" w:cs="宋体"/>
                <w:sz w:val="24"/>
              </w:rPr>
            </w:pPr>
          </w:p>
        </w:tc>
        <w:tc>
          <w:tcPr>
            <w:tcW w:w="1283" w:type="dxa"/>
            <w:noWrap w:val="0"/>
            <w:vAlign w:val="center"/>
          </w:tcPr>
          <w:p>
            <w:pPr>
              <w:spacing w:line="500" w:lineRule="exact"/>
              <w:jc w:val="center"/>
              <w:rPr>
                <w:rFonts w:hint="eastAsia" w:ascii="宋体" w:hAnsi="宋体" w:eastAsia="宋体" w:cs="宋体"/>
                <w:sz w:val="24"/>
              </w:rPr>
            </w:pPr>
          </w:p>
        </w:tc>
        <w:tc>
          <w:tcPr>
            <w:tcW w:w="936"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052" w:type="dxa"/>
            <w:noWrap w:val="0"/>
            <w:vAlign w:val="center"/>
          </w:tcPr>
          <w:p>
            <w:pPr>
              <w:spacing w:line="500" w:lineRule="exact"/>
              <w:jc w:val="center"/>
              <w:rPr>
                <w:rFonts w:hint="eastAsia" w:ascii="宋体" w:hAnsi="宋体" w:eastAsia="宋体" w:cs="宋体"/>
                <w:sz w:val="24"/>
              </w:rPr>
            </w:pPr>
          </w:p>
        </w:tc>
        <w:tc>
          <w:tcPr>
            <w:tcW w:w="1128" w:type="dxa"/>
            <w:noWrap w:val="0"/>
            <w:vAlign w:val="center"/>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c>
          <w:tcPr>
            <w:tcW w:w="1701" w:type="dxa"/>
            <w:noWrap w:val="0"/>
            <w:vAlign w:val="top"/>
          </w:tcPr>
          <w:p>
            <w:pPr>
              <w:spacing w:line="500" w:lineRule="exact"/>
              <w:jc w:val="center"/>
              <w:rPr>
                <w:rFonts w:hint="eastAsia" w:ascii="宋体" w:hAnsi="宋体" w:eastAsia="宋体" w:cs="宋体"/>
                <w:sz w:val="24"/>
              </w:rPr>
            </w:pPr>
          </w:p>
        </w:tc>
      </w:tr>
    </w:tbl>
    <w:p>
      <w:pPr>
        <w:spacing w:line="360" w:lineRule="auto"/>
        <w:rPr>
          <w:rFonts w:hint="eastAsia" w:ascii="宋体" w:hAnsi="宋体" w:eastAsia="宋体" w:cs="宋体"/>
          <w:sz w:val="24"/>
        </w:rPr>
      </w:pPr>
      <w:r>
        <w:rPr>
          <w:rFonts w:hint="eastAsia" w:ascii="宋体" w:hAnsi="宋体" w:eastAsia="宋体" w:cs="宋体"/>
          <w:sz w:val="24"/>
        </w:rPr>
        <w:t>注：后附证明材料。</w:t>
      </w:r>
    </w:p>
    <w:p>
      <w:pPr>
        <w:pStyle w:val="13"/>
        <w:rPr>
          <w:rFonts w:hint="eastAsia" w:ascii="宋体" w:hAnsi="宋体" w:eastAsia="宋体" w:cs="宋体"/>
        </w:rPr>
      </w:pPr>
    </w:p>
    <w:p>
      <w:pPr>
        <w:adjustRightInd w:val="0"/>
        <w:spacing w:line="360" w:lineRule="auto"/>
        <w:ind w:firstLine="420" w:firstLineChars="175"/>
        <w:jc w:val="left"/>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投标人</w:t>
      </w:r>
      <w:r>
        <w:rPr>
          <w:rFonts w:hint="eastAsia" w:ascii="宋体" w:hAnsi="宋体" w:eastAsia="宋体" w:cs="宋体"/>
          <w:bCs/>
          <w:color w:val="000000"/>
          <w:sz w:val="24"/>
        </w:rPr>
        <w:t>名称（盖章）</w:t>
      </w:r>
      <w:r>
        <w:rPr>
          <w:rFonts w:hint="eastAsia" w:ascii="宋体" w:hAnsi="宋体" w:eastAsia="宋体" w:cs="宋体"/>
          <w:bCs/>
          <w:color w:val="000000"/>
          <w:sz w:val="24"/>
          <w:lang w:eastAsia="zh-CN"/>
        </w:rPr>
        <w:t>：</w:t>
      </w:r>
    </w:p>
    <w:p>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color w:val="000000"/>
          <w:sz w:val="24"/>
          <w:lang w:val="en-US" w:eastAsia="zh-CN"/>
        </w:rPr>
        <w:t>法定代表人或</w:t>
      </w:r>
      <w:r>
        <w:rPr>
          <w:rFonts w:hint="eastAsia" w:ascii="宋体" w:hAnsi="宋体" w:eastAsia="宋体" w:cs="宋体"/>
          <w:color w:val="000000"/>
          <w:sz w:val="24"/>
        </w:rPr>
        <w:t>授权</w:t>
      </w:r>
      <w:r>
        <w:rPr>
          <w:rFonts w:hint="eastAsia" w:ascii="宋体" w:hAnsi="宋体" w:eastAsia="宋体" w:cs="宋体"/>
          <w:color w:val="000000"/>
          <w:sz w:val="24"/>
          <w:lang w:val="en-US" w:eastAsia="zh-CN"/>
        </w:rPr>
        <w:t>委托</w:t>
      </w:r>
      <w:r>
        <w:rPr>
          <w:rFonts w:hint="eastAsia" w:ascii="宋体" w:hAnsi="宋体" w:eastAsia="宋体" w:cs="宋体"/>
          <w:color w:val="000000"/>
          <w:sz w:val="24"/>
          <w:lang w:eastAsia="zh-CN"/>
        </w:rPr>
        <w:t>人</w:t>
      </w:r>
      <w:r>
        <w:rPr>
          <w:rFonts w:hint="eastAsia" w:ascii="宋体" w:hAnsi="宋体" w:eastAsia="宋体" w:cs="宋体"/>
          <w:sz w:val="24"/>
        </w:rPr>
        <w:t>（签字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bCs/>
          <w:sz w:val="24"/>
        </w:rPr>
        <w:t>：</w:t>
      </w:r>
    </w:p>
    <w:p>
      <w:pPr>
        <w:spacing w:line="360" w:lineRule="auto"/>
        <w:ind w:firstLine="480" w:firstLineChars="200"/>
        <w:outlineLvl w:val="1"/>
        <w:rPr>
          <w:rFonts w:hint="eastAsia" w:ascii="宋体" w:hAnsi="宋体" w:eastAsia="宋体" w:cs="宋体"/>
          <w:b/>
          <w:color w:val="000000"/>
          <w:sz w:val="24"/>
        </w:rPr>
      </w:pPr>
      <w:r>
        <w:rPr>
          <w:rFonts w:hint="eastAsia" w:ascii="宋体" w:hAnsi="宋体" w:eastAsia="宋体" w:cs="宋体"/>
          <w:bCs/>
          <w:color w:val="000000"/>
          <w:sz w:val="24"/>
        </w:rPr>
        <w:t xml:space="preserve">日 </w:t>
      </w:r>
      <w:r>
        <w:rPr>
          <w:rFonts w:hint="eastAsia" w:ascii="宋体" w:hAnsi="宋体" w:eastAsia="宋体" w:cs="宋体"/>
          <w:bCs/>
          <w:color w:val="000000"/>
          <w:sz w:val="24"/>
          <w:lang w:val="en-US" w:eastAsia="zh-CN"/>
        </w:rPr>
        <w:t xml:space="preserve"> </w:t>
      </w:r>
      <w:r>
        <w:rPr>
          <w:rFonts w:hint="eastAsia" w:ascii="宋体" w:hAnsi="宋体" w:eastAsia="宋体" w:cs="宋体"/>
          <w:bCs/>
          <w:color w:val="000000"/>
          <w:sz w:val="24"/>
        </w:rPr>
        <w:t>期:      年    月    日</w:t>
      </w:r>
    </w:p>
    <w:p>
      <w:pPr>
        <w:spacing w:line="360" w:lineRule="auto"/>
        <w:rPr>
          <w:rFonts w:hint="eastAsia" w:ascii="宋体" w:hAnsi="宋体" w:eastAsia="宋体" w:cs="宋体"/>
          <w:b/>
          <w:sz w:val="30"/>
          <w:szCs w:val="30"/>
        </w:rPr>
      </w:pPr>
    </w:p>
    <w:p>
      <w:pPr>
        <w:rPr>
          <w:rFonts w:hint="eastAsia" w:ascii="宋体" w:hAnsi="宋体" w:eastAsia="宋体" w:cs="宋体"/>
          <w:u w:val="single"/>
        </w:rPr>
      </w:pPr>
      <w:r>
        <w:rPr>
          <w:rFonts w:hint="eastAsia" w:ascii="宋体" w:hAnsi="宋体" w:eastAsia="宋体" w:cs="宋体"/>
          <w:u w:val="single"/>
        </w:rPr>
        <w:br w:type="page"/>
      </w:r>
    </w:p>
    <w:p>
      <w:pPr>
        <w:pStyle w:val="3"/>
        <w:bidi w:val="0"/>
        <w:jc w:val="center"/>
        <w:rPr>
          <w:rFonts w:hint="eastAsia" w:ascii="宋体" w:hAnsi="宋体" w:eastAsia="宋体" w:cs="宋体"/>
          <w:lang w:eastAsia="zh-CN"/>
        </w:rPr>
      </w:pPr>
      <w:r>
        <w:rPr>
          <w:rFonts w:hint="eastAsia" w:ascii="宋体" w:hAnsi="宋体" w:eastAsia="宋体" w:cs="宋体"/>
          <w:lang w:val="en-US" w:eastAsia="zh-CN"/>
        </w:rPr>
        <w:t>16</w:t>
      </w:r>
      <w:r>
        <w:rPr>
          <w:rFonts w:hint="eastAsia" w:ascii="宋体" w:hAnsi="宋体" w:eastAsia="宋体" w:cs="宋体"/>
        </w:rPr>
        <w:t>、</w:t>
      </w:r>
      <w:r>
        <w:rPr>
          <w:rFonts w:hint="eastAsia" w:ascii="宋体" w:hAnsi="宋体" w:cs="宋体"/>
          <w:lang w:eastAsia="zh-CN"/>
        </w:rPr>
        <w:t>总体技术方案</w:t>
      </w:r>
      <w:r>
        <w:rPr>
          <w:rFonts w:hint="eastAsia" w:ascii="宋体" w:hAnsi="宋体" w:eastAsia="宋体" w:cs="宋体"/>
          <w:lang w:eastAsia="zh-CN"/>
        </w:rPr>
        <w:t>（</w:t>
      </w:r>
      <w:r>
        <w:rPr>
          <w:rFonts w:hint="eastAsia" w:ascii="宋体" w:hAnsi="宋体" w:eastAsia="宋体" w:cs="宋体"/>
          <w:lang w:val="en-US" w:eastAsia="zh-CN"/>
        </w:rPr>
        <w:t>格式自拟</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lang w:eastAsia="zh-CN"/>
        </w:rPr>
        <w:br w:type="page"/>
      </w:r>
    </w:p>
    <w:p>
      <w:pPr>
        <w:pStyle w:val="3"/>
        <w:bidi w:val="0"/>
        <w:rPr>
          <w:rFonts w:hint="eastAsia" w:ascii="宋体" w:hAnsi="宋体" w:eastAsia="宋体" w:cs="宋体"/>
          <w:lang w:eastAsia="zh-CN"/>
        </w:rPr>
      </w:pPr>
      <w:r>
        <w:rPr>
          <w:rFonts w:hint="eastAsia" w:ascii="宋体" w:hAnsi="宋体" w:eastAsia="宋体" w:cs="宋体"/>
          <w:lang w:val="en-US" w:eastAsia="zh-CN"/>
        </w:rPr>
        <w:t>17</w:t>
      </w:r>
      <w:r>
        <w:rPr>
          <w:rFonts w:hint="eastAsia" w:ascii="宋体" w:hAnsi="宋体" w:eastAsia="宋体" w:cs="宋体"/>
        </w:rPr>
        <w:t>、</w:t>
      </w:r>
      <w:r>
        <w:rPr>
          <w:rFonts w:hint="eastAsia" w:ascii="宋体" w:hAnsi="宋体" w:cs="宋体"/>
          <w:lang w:eastAsia="zh-CN"/>
        </w:rPr>
        <w:t>业务理解与需求分析</w:t>
      </w:r>
      <w:r>
        <w:rPr>
          <w:rFonts w:hint="eastAsia" w:ascii="宋体" w:hAnsi="宋体" w:eastAsia="宋体" w:cs="宋体"/>
          <w:lang w:eastAsia="zh-CN"/>
        </w:rPr>
        <w:t>（</w:t>
      </w:r>
      <w:r>
        <w:rPr>
          <w:rFonts w:hint="eastAsia" w:ascii="宋体" w:hAnsi="宋体" w:eastAsia="宋体" w:cs="宋体"/>
          <w:lang w:val="en-US" w:eastAsia="zh-CN"/>
        </w:rPr>
        <w:t>格式自拟</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lang w:eastAsia="zh-CN"/>
        </w:rPr>
        <w:br w:type="page"/>
      </w:r>
    </w:p>
    <w:p>
      <w:pPr>
        <w:rPr>
          <w:rFonts w:hint="eastAsia" w:ascii="宋体" w:hAnsi="宋体" w:eastAsia="宋体" w:cs="宋体"/>
          <w:lang w:eastAsia="zh-CN"/>
        </w:rPr>
      </w:pPr>
    </w:p>
    <w:p>
      <w:pPr>
        <w:pStyle w:val="3"/>
        <w:bidi w:val="0"/>
        <w:rPr>
          <w:rFonts w:hint="eastAsia" w:ascii="宋体" w:hAnsi="宋体" w:eastAsia="宋体" w:cs="宋体"/>
          <w:lang w:eastAsia="zh-CN"/>
        </w:rPr>
      </w:pPr>
      <w:r>
        <w:rPr>
          <w:rFonts w:hint="eastAsia" w:ascii="宋体" w:hAnsi="宋体" w:eastAsia="宋体" w:cs="宋体"/>
          <w:lang w:val="en-US" w:eastAsia="zh-CN"/>
        </w:rPr>
        <w:t>18</w:t>
      </w:r>
      <w:r>
        <w:rPr>
          <w:rFonts w:hint="eastAsia" w:ascii="宋体" w:hAnsi="宋体" w:eastAsia="宋体" w:cs="宋体"/>
        </w:rPr>
        <w:t>、</w:t>
      </w:r>
      <w:r>
        <w:rPr>
          <w:rFonts w:hint="eastAsia" w:ascii="宋体" w:hAnsi="宋体" w:cs="宋体"/>
          <w:lang w:eastAsia="zh-CN"/>
        </w:rPr>
        <w:t>实施方案</w:t>
      </w:r>
      <w:r>
        <w:rPr>
          <w:rFonts w:hint="eastAsia" w:ascii="宋体" w:hAnsi="宋体" w:eastAsia="宋体" w:cs="宋体"/>
          <w:lang w:eastAsia="zh-CN"/>
        </w:rPr>
        <w:t>（</w:t>
      </w:r>
      <w:r>
        <w:rPr>
          <w:rFonts w:hint="eastAsia" w:ascii="宋体" w:hAnsi="宋体" w:eastAsia="宋体" w:cs="宋体"/>
          <w:lang w:val="en-US" w:eastAsia="zh-CN"/>
        </w:rPr>
        <w:t>格式自拟</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lang w:eastAsia="zh-CN"/>
        </w:rPr>
        <w:br w:type="page"/>
      </w:r>
    </w:p>
    <w:p>
      <w:pPr>
        <w:rPr>
          <w:rFonts w:hint="eastAsia" w:ascii="宋体" w:hAnsi="宋体" w:eastAsia="宋体" w:cs="宋体"/>
        </w:rPr>
      </w:pPr>
    </w:p>
    <w:p>
      <w:pPr>
        <w:pStyle w:val="3"/>
        <w:bidi w:val="0"/>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w:t>
      </w:r>
      <w:r>
        <w:rPr>
          <w:rFonts w:hint="eastAsia" w:ascii="宋体" w:hAnsi="宋体" w:cs="宋体"/>
          <w:lang w:eastAsia="zh-CN"/>
        </w:rPr>
        <w:t>质量安全方案</w:t>
      </w:r>
      <w:r>
        <w:rPr>
          <w:rFonts w:hint="eastAsia" w:ascii="宋体" w:hAnsi="宋体" w:eastAsia="宋体" w:cs="宋体"/>
          <w:lang w:eastAsia="zh-CN"/>
        </w:rPr>
        <w:t>（</w:t>
      </w:r>
      <w:r>
        <w:rPr>
          <w:rFonts w:hint="eastAsia" w:ascii="宋体" w:hAnsi="宋体" w:eastAsia="宋体" w:cs="宋体"/>
          <w:lang w:val="en-US" w:eastAsia="zh-CN"/>
        </w:rPr>
        <w:t>格式自拟</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lang w:eastAsia="zh-CN"/>
        </w:rPr>
        <w:br w:type="page"/>
      </w:r>
    </w:p>
    <w:p>
      <w:pPr>
        <w:rPr>
          <w:rFonts w:hint="eastAsia" w:ascii="宋体" w:hAnsi="宋体" w:eastAsia="宋体" w:cs="宋体"/>
        </w:rPr>
      </w:pPr>
    </w:p>
    <w:p>
      <w:pPr>
        <w:pStyle w:val="3"/>
        <w:bidi w:val="0"/>
        <w:rPr>
          <w:rFonts w:hint="eastAsia" w:ascii="宋体" w:hAnsi="宋体" w:eastAsia="宋体" w:cs="宋体"/>
          <w:lang w:eastAsia="zh-CN"/>
        </w:rPr>
      </w:pPr>
      <w:r>
        <w:rPr>
          <w:rFonts w:hint="eastAsia" w:ascii="宋体" w:hAnsi="宋体" w:eastAsia="宋体" w:cs="宋体"/>
          <w:lang w:val="en-US" w:eastAsia="zh-CN"/>
        </w:rPr>
        <w:t>20</w:t>
      </w:r>
      <w:r>
        <w:rPr>
          <w:rFonts w:hint="eastAsia" w:ascii="宋体" w:hAnsi="宋体" w:eastAsia="宋体" w:cs="宋体"/>
        </w:rPr>
        <w:t>、</w:t>
      </w:r>
      <w:r>
        <w:rPr>
          <w:rFonts w:hint="eastAsia" w:ascii="宋体" w:hAnsi="宋体" w:cs="宋体"/>
          <w:lang w:val="en-US" w:eastAsia="zh-CN"/>
        </w:rPr>
        <w:t>培训方案</w:t>
      </w:r>
      <w:r>
        <w:rPr>
          <w:rFonts w:hint="eastAsia" w:ascii="宋体" w:hAnsi="宋体" w:eastAsia="宋体" w:cs="宋体"/>
          <w:lang w:eastAsia="zh-CN"/>
        </w:rPr>
        <w:t>（</w:t>
      </w:r>
      <w:r>
        <w:rPr>
          <w:rFonts w:hint="eastAsia" w:ascii="宋体" w:hAnsi="宋体" w:eastAsia="宋体" w:cs="宋体"/>
          <w:lang w:val="en-US" w:eastAsia="zh-CN"/>
        </w:rPr>
        <w:t>格式自拟</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lang w:eastAsia="zh-CN"/>
        </w:rPr>
        <w:br w:type="page"/>
      </w:r>
    </w:p>
    <w:p>
      <w:pPr>
        <w:rPr>
          <w:rFonts w:hint="eastAsia" w:ascii="宋体" w:hAnsi="宋体" w:eastAsia="宋体" w:cs="宋体"/>
          <w:lang w:val="en-US" w:eastAsia="zh-CN"/>
        </w:rPr>
      </w:pPr>
    </w:p>
    <w:p>
      <w:pPr>
        <w:pStyle w:val="3"/>
        <w:bidi w:val="0"/>
        <w:rPr>
          <w:rFonts w:hint="eastAsia" w:ascii="宋体" w:hAnsi="宋体" w:eastAsia="宋体" w:cs="宋体"/>
          <w:lang w:eastAsia="zh-CN"/>
        </w:rPr>
      </w:pPr>
      <w:r>
        <w:rPr>
          <w:rFonts w:hint="eastAsia" w:ascii="宋体" w:hAnsi="宋体" w:eastAsia="宋体" w:cs="宋体"/>
          <w:lang w:val="en-US" w:eastAsia="zh-CN"/>
        </w:rPr>
        <w:t>21、</w:t>
      </w:r>
      <w:r>
        <w:rPr>
          <w:rFonts w:hint="eastAsia" w:ascii="宋体" w:hAnsi="宋体" w:cs="宋体"/>
          <w:lang w:val="en-US" w:eastAsia="zh-CN"/>
        </w:rPr>
        <w:t>售后服务方案</w:t>
      </w:r>
      <w:r>
        <w:rPr>
          <w:rFonts w:hint="eastAsia" w:ascii="宋体" w:hAnsi="宋体" w:eastAsia="宋体" w:cs="宋体"/>
          <w:lang w:eastAsia="zh-CN"/>
        </w:rPr>
        <w:t>（</w:t>
      </w:r>
      <w:r>
        <w:rPr>
          <w:rFonts w:hint="eastAsia" w:ascii="宋体" w:hAnsi="宋体" w:eastAsia="宋体" w:cs="宋体"/>
          <w:lang w:val="en-US" w:eastAsia="zh-CN"/>
        </w:rPr>
        <w:t>格式自拟</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lang w:eastAsia="zh-CN"/>
        </w:rPr>
        <w:br w:type="page"/>
      </w:r>
    </w:p>
    <w:p>
      <w:pPr>
        <w:rPr>
          <w:rFonts w:hint="eastAsia" w:ascii="宋体" w:hAnsi="宋体" w:eastAsia="宋体" w:cs="宋体"/>
          <w:lang w:val="en-US" w:eastAsia="zh-CN"/>
        </w:rPr>
      </w:pPr>
    </w:p>
    <w:p>
      <w:pPr>
        <w:pStyle w:val="3"/>
        <w:bidi w:val="0"/>
        <w:rPr>
          <w:rFonts w:hint="eastAsia" w:ascii="宋体" w:hAnsi="宋体" w:eastAsia="宋体" w:cs="宋体"/>
          <w:lang w:val="en-US" w:eastAsia="zh-CN"/>
        </w:rPr>
      </w:pPr>
      <w:r>
        <w:rPr>
          <w:rFonts w:hint="eastAsia" w:ascii="宋体" w:hAnsi="宋体" w:eastAsia="宋体" w:cs="宋体"/>
          <w:lang w:val="en-US" w:eastAsia="zh-CN"/>
        </w:rPr>
        <w:t>22、投标保证金缴纳凭证</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rPr>
          <w:rFonts w:hint="eastAsia" w:ascii="宋体" w:hAnsi="宋体" w:eastAsia="宋体" w:cs="宋体"/>
          <w:lang w:val="en-US" w:eastAsia="zh-CN"/>
        </w:rPr>
      </w:pPr>
    </w:p>
    <w:p>
      <w:pPr>
        <w:pStyle w:val="3"/>
        <w:numPr>
          <w:ilvl w:val="0"/>
          <w:numId w:val="4"/>
        </w:numPr>
        <w:bidi w:val="0"/>
        <w:rPr>
          <w:rFonts w:hint="eastAsia" w:ascii="宋体" w:hAnsi="宋体" w:eastAsia="宋体" w:cs="宋体"/>
          <w:lang w:val="en-US" w:eastAsia="zh-CN"/>
        </w:rPr>
      </w:pPr>
      <w:r>
        <w:rPr>
          <w:rFonts w:hint="eastAsia" w:ascii="宋体" w:hAnsi="宋体" w:eastAsia="宋体" w:cs="宋体"/>
          <w:lang w:val="en-US" w:eastAsia="zh-CN"/>
        </w:rPr>
        <w:t>中小企业声明函</w:t>
      </w:r>
    </w:p>
    <w:p>
      <w:pPr>
        <w:pStyle w:val="33"/>
        <w:keepNext w:val="0"/>
        <w:keepLines w:val="0"/>
        <w:widowControl/>
        <w:suppressLineNumbers w:val="0"/>
        <w:spacing w:line="420" w:lineRule="atLeast"/>
        <w:ind w:left="0" w:firstLine="420"/>
        <w:jc w:val="center"/>
        <w:rPr>
          <w:rFonts w:hint="eastAsia" w:ascii="宋体" w:hAnsi="宋体" w:eastAsia="宋体" w:cs="宋体"/>
          <w:i w:val="0"/>
          <w:iCs w:val="0"/>
          <w:caps w:val="0"/>
          <w:color w:val="000000"/>
          <w:spacing w:val="0"/>
          <w:sz w:val="27"/>
          <w:szCs w:val="27"/>
        </w:rPr>
      </w:pPr>
      <w:r>
        <w:rPr>
          <w:rStyle w:val="41"/>
          <w:rFonts w:hint="eastAsia" w:ascii="宋体" w:hAnsi="宋体" w:eastAsia="宋体" w:cs="宋体"/>
          <w:i w:val="0"/>
          <w:iCs w:val="0"/>
          <w:caps w:val="0"/>
          <w:color w:val="000000"/>
          <w:spacing w:val="0"/>
          <w:sz w:val="21"/>
          <w:szCs w:val="21"/>
        </w:rPr>
        <w:t>中小企业声明函(（工程、服务)）</w:t>
      </w:r>
    </w:p>
    <w:p>
      <w:pPr>
        <w:pStyle w:val="33"/>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 </w:t>
      </w:r>
    </w:p>
    <w:p>
      <w:pPr>
        <w:pStyle w:val="33"/>
        <w:keepNext w:val="0"/>
        <w:keepLines w:val="0"/>
        <w:widowControl/>
        <w:suppressLineNumbers w:val="0"/>
        <w:spacing w:line="420" w:lineRule="atLeast"/>
        <w:ind w:left="0" w:firstLine="720" w:firstLineChars="30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i/>
          <w:sz w:val="24"/>
          <w:u w:val="single"/>
        </w:rPr>
        <w:t>（标的名称）</w:t>
      </w:r>
      <w:r>
        <w:rPr>
          <w:rFonts w:hint="eastAsia" w:ascii="宋体" w:hAnsi="宋体" w:eastAsia="宋体" w:cs="宋体"/>
          <w:sz w:val="24"/>
        </w:rPr>
        <w:t>，属于</w:t>
      </w:r>
      <w:r>
        <w:rPr>
          <w:rFonts w:hint="eastAsia" w:ascii="宋体" w:hAnsi="宋体" w:eastAsia="宋体" w:cs="宋体"/>
          <w:i/>
          <w:sz w:val="24"/>
          <w:u w:val="single"/>
        </w:rPr>
        <w:t>（采购文件中明确的所属行业）</w:t>
      </w:r>
      <w:r>
        <w:rPr>
          <w:rFonts w:hint="eastAsia" w:ascii="宋体" w:hAnsi="宋体" w:eastAsia="宋体" w:cs="宋体"/>
          <w:sz w:val="24"/>
        </w:rPr>
        <w:t>；承接企业为</w:t>
      </w:r>
      <w:r>
        <w:rPr>
          <w:rFonts w:hint="eastAsia" w:ascii="宋体" w:hAnsi="宋体" w:eastAsia="宋体" w:cs="宋体"/>
          <w:i/>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i/>
          <w:sz w:val="24"/>
          <w:u w:val="single"/>
        </w:rPr>
        <w:t>（中型企业、小型企业、微型企业）</w:t>
      </w:r>
      <w:r>
        <w:rPr>
          <w:rFonts w:hint="eastAsia" w:ascii="宋体" w:hAnsi="宋体" w:eastAsia="宋体" w:cs="宋体"/>
          <w:sz w:val="24"/>
        </w:rPr>
        <w:t>；</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 xml:space="preserve">2. </w:t>
      </w:r>
      <w:r>
        <w:rPr>
          <w:rFonts w:hint="eastAsia" w:ascii="宋体" w:hAnsi="宋体" w:eastAsia="宋体" w:cs="宋体"/>
          <w:i/>
          <w:sz w:val="24"/>
          <w:u w:val="single"/>
        </w:rPr>
        <w:t>（标的名称）</w:t>
      </w:r>
      <w:r>
        <w:rPr>
          <w:rFonts w:hint="eastAsia" w:ascii="宋体" w:hAnsi="宋体" w:eastAsia="宋体" w:cs="宋体"/>
          <w:sz w:val="24"/>
        </w:rPr>
        <w:t>，属于</w:t>
      </w:r>
      <w:r>
        <w:rPr>
          <w:rFonts w:hint="eastAsia" w:ascii="宋体" w:hAnsi="宋体" w:eastAsia="宋体" w:cs="宋体"/>
          <w:i/>
          <w:sz w:val="24"/>
          <w:u w:val="single"/>
        </w:rPr>
        <w:t>（采购文件中明确的所属行业）</w:t>
      </w:r>
      <w:r>
        <w:rPr>
          <w:rFonts w:hint="eastAsia" w:ascii="宋体" w:hAnsi="宋体" w:eastAsia="宋体" w:cs="宋体"/>
          <w:sz w:val="24"/>
        </w:rPr>
        <w:t>；承接企业为</w:t>
      </w:r>
      <w:r>
        <w:rPr>
          <w:rFonts w:hint="eastAsia" w:ascii="宋体" w:hAnsi="宋体" w:eastAsia="宋体" w:cs="宋体"/>
          <w:i/>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i/>
          <w:sz w:val="24"/>
          <w:u w:val="single"/>
        </w:rPr>
        <w:t>（中型企业、小型企业、微型企业）</w:t>
      </w:r>
      <w:r>
        <w:rPr>
          <w:rFonts w:hint="eastAsia" w:ascii="宋体" w:hAnsi="宋体" w:eastAsia="宋体" w:cs="宋体"/>
          <w:sz w:val="24"/>
        </w:rPr>
        <w:t>；</w:t>
      </w:r>
    </w:p>
    <w:p>
      <w:pPr>
        <w:pStyle w:val="33"/>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w:t>
      </w:r>
    </w:p>
    <w:p>
      <w:pPr>
        <w:pStyle w:val="33"/>
        <w:keepNext w:val="0"/>
        <w:keepLines w:val="0"/>
        <w:widowControl/>
        <w:suppressLineNumbers w:val="0"/>
        <w:spacing w:line="420" w:lineRule="atLeast"/>
        <w:ind w:left="0" w:firstLine="42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以上企业，不属于大企业的分支机构，不存在控股股东为大企业的情形，也不存在与大企业的负责人为同一人的情形。</w:t>
      </w:r>
    </w:p>
    <w:p>
      <w:pPr>
        <w:pStyle w:val="33"/>
        <w:keepNext w:val="0"/>
        <w:keepLines w:val="0"/>
        <w:widowControl/>
        <w:suppressLineNumbers w:val="0"/>
        <w:spacing w:line="420" w:lineRule="atLeast"/>
        <w:ind w:left="0" w:firstLine="42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本企业对上述声明内容的真实性负责。如有虚假，将依法承担相应责任。</w:t>
      </w:r>
    </w:p>
    <w:p>
      <w:pPr>
        <w:pStyle w:val="33"/>
        <w:keepNext w:val="0"/>
        <w:keepLines w:val="0"/>
        <w:widowControl/>
        <w:suppressLineNumbers w:val="0"/>
        <w:spacing w:line="420" w:lineRule="atLeast"/>
        <w:ind w:left="0" w:firstLine="420"/>
        <w:jc w:val="righ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企业名称（盖章）：</w:t>
      </w:r>
    </w:p>
    <w:p>
      <w:pPr>
        <w:pStyle w:val="33"/>
        <w:keepNext w:val="0"/>
        <w:keepLines w:val="0"/>
        <w:widowControl/>
        <w:suppressLineNumbers w:val="0"/>
        <w:spacing w:line="420" w:lineRule="atLeast"/>
        <w:ind w:left="0" w:firstLine="420"/>
        <w:jc w:val="right"/>
        <w:rPr>
          <w:rFonts w:hint="eastAsia" w:ascii="宋体" w:hAnsi="宋体" w:eastAsia="宋体" w:cs="宋体"/>
          <w:i w:val="0"/>
          <w:iCs w:val="0"/>
          <w:caps w:val="0"/>
          <w:color w:val="000000"/>
          <w:spacing w:val="0"/>
          <w:sz w:val="27"/>
          <w:szCs w:val="27"/>
        </w:rPr>
      </w:pPr>
      <w:r>
        <w:rPr>
          <w:rFonts w:hint="eastAsia" w:ascii="宋体" w:hAnsi="宋体" w:eastAsia="宋体" w:cs="宋体"/>
          <w:kern w:val="2"/>
          <w:sz w:val="24"/>
          <w:szCs w:val="22"/>
          <w:lang w:val="en-US" w:eastAsia="zh-CN" w:bidi="ar-SA"/>
        </w:rPr>
        <w:t>                      日期： </w:t>
      </w:r>
      <w:r>
        <w:rPr>
          <w:rFonts w:hint="eastAsia" w:ascii="宋体" w:hAnsi="宋体" w:eastAsia="宋体" w:cs="宋体"/>
          <w:i w:val="0"/>
          <w:iCs w:val="0"/>
          <w:caps w:val="0"/>
          <w:color w:val="000000"/>
          <w:spacing w:val="0"/>
          <w:sz w:val="27"/>
          <w:szCs w:val="27"/>
        </w:rPr>
        <w:t xml:space="preserve">       </w:t>
      </w:r>
    </w:p>
    <w:p>
      <w:pPr>
        <w:snapToGrid w:val="0"/>
        <w:spacing w:line="336" w:lineRule="auto"/>
        <w:rPr>
          <w:rFonts w:hint="eastAsia" w:ascii="宋体" w:hAnsi="宋体" w:eastAsia="宋体" w:cs="宋体"/>
          <w:sz w:val="24"/>
        </w:rPr>
      </w:pPr>
    </w:p>
    <w:p>
      <w:pPr>
        <w:autoSpaceDE w:val="0"/>
        <w:autoSpaceDN w:val="0"/>
        <w:adjustRightInd w:val="0"/>
        <w:spacing w:line="360" w:lineRule="auto"/>
        <w:rPr>
          <w:rFonts w:hint="eastAsia" w:ascii="宋体" w:hAnsi="宋体" w:eastAsia="宋体" w:cs="宋体"/>
          <w:kern w:val="0"/>
          <w:sz w:val="24"/>
          <w:szCs w:val="24"/>
        </w:rPr>
      </w:pPr>
    </w:p>
    <w:p>
      <w:pPr>
        <w:pStyle w:val="33"/>
        <w:keepNext w:val="0"/>
        <w:keepLines w:val="0"/>
        <w:widowControl/>
        <w:suppressLineNumbers w:val="0"/>
        <w:spacing w:line="420" w:lineRule="atLeast"/>
        <w:ind w:left="0" w:firstLine="42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 xml:space="preserve">     </w:t>
      </w:r>
    </w:p>
    <w:p>
      <w:pPr>
        <w:numPr>
          <w:ilvl w:val="0"/>
          <w:numId w:val="0"/>
        </w:numPr>
        <w:rPr>
          <w:rFonts w:hint="eastAsia" w:ascii="宋体" w:hAnsi="宋体" w:eastAsia="宋体" w:cs="宋体"/>
          <w:lang w:val="en-US" w:eastAsia="zh-CN"/>
        </w:rPr>
      </w:pPr>
    </w:p>
    <w:p>
      <w:pPr>
        <w:pStyle w:val="3"/>
        <w:bidi w:val="0"/>
        <w:rPr>
          <w:rFonts w:hint="eastAsia" w:ascii="宋体" w:hAnsi="宋体" w:eastAsia="宋体" w:cs="宋体"/>
          <w:lang w:val="en-US" w:eastAsia="zh-CN"/>
        </w:rPr>
      </w:pPr>
      <w:r>
        <w:rPr>
          <w:rFonts w:hint="eastAsia" w:ascii="宋体" w:hAnsi="宋体" w:eastAsia="宋体" w:cs="宋体"/>
          <w:lang w:val="en-US" w:eastAsia="zh-CN"/>
        </w:rPr>
        <w:t>24、其他需要提交的资料</w:t>
      </w:r>
      <w:bookmarkEnd w:id="70"/>
      <w:bookmarkEnd w:id="71"/>
      <w:bookmarkStart w:id="72" w:name="_Toc502825832"/>
      <w:bookmarkEnd w:id="72"/>
    </w:p>
    <w:sectPr>
      <w:headerReference r:id="rId8" w:type="default"/>
      <w:footerReference r:id="rId9"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3"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90"/>
      <w:jc w:val="right"/>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宋体" w:hAnsi="宋体"/>
        <w:sz w:val="30"/>
        <w:szCs w:val="30"/>
      </w:rPr>
    </w:pPr>
    <w:r>
      <w:rPr>
        <w:rFonts w:ascii="宋体" w:hAnsi="宋体"/>
        <w:sz w:val="30"/>
        <w:szCs w:val="30"/>
      </w:rPr>
      <w:fldChar w:fldCharType="begin"/>
    </w:r>
    <w:r>
      <w:rPr>
        <w:rFonts w:ascii="宋体" w:hAnsi="宋体"/>
        <w:sz w:val="30"/>
        <w:szCs w:val="30"/>
      </w:rPr>
      <w:instrText xml:space="preserve">PAGE   \* MERGEFORMAT</w:instrText>
    </w:r>
    <w:r>
      <w:rPr>
        <w:rFonts w:ascii="宋体" w:hAnsi="宋体"/>
        <w:sz w:val="30"/>
        <w:szCs w:val="30"/>
      </w:rPr>
      <w:fldChar w:fldCharType="separate"/>
    </w:r>
    <w:r>
      <w:rPr>
        <w:rFonts w:ascii="宋体" w:hAnsi="宋体"/>
        <w:sz w:val="30"/>
        <w:szCs w:val="30"/>
        <w:lang w:val="zh-CN"/>
      </w:rPr>
      <w:t>1</w:t>
    </w:r>
    <w:r>
      <w:rPr>
        <w:rFonts w:ascii="宋体" w:hAnsi="宋体"/>
        <w:sz w:val="30"/>
        <w:szCs w:val="30"/>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9C0D"/>
    <w:multiLevelType w:val="singleLevel"/>
    <w:tmpl w:val="18539C0D"/>
    <w:lvl w:ilvl="0" w:tentative="0">
      <w:start w:val="23"/>
      <w:numFmt w:val="decimal"/>
      <w:suff w:val="nothing"/>
      <w:lvlText w:val="%1、"/>
      <w:lvlJc w:val="left"/>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4YjdlYWFlMDc2ODY5MjIyN2FmNDNmNGQ5NWFmZjEifQ=="/>
  </w:docVars>
  <w:rsids>
    <w:rsidRoot w:val="00EC05B2"/>
    <w:rsid w:val="000013C2"/>
    <w:rsid w:val="00002EC7"/>
    <w:rsid w:val="00004EA3"/>
    <w:rsid w:val="00005DA9"/>
    <w:rsid w:val="00012677"/>
    <w:rsid w:val="00013777"/>
    <w:rsid w:val="00015A50"/>
    <w:rsid w:val="000167A7"/>
    <w:rsid w:val="000252E0"/>
    <w:rsid w:val="00030B7B"/>
    <w:rsid w:val="000316B1"/>
    <w:rsid w:val="00032FBE"/>
    <w:rsid w:val="0003656D"/>
    <w:rsid w:val="00036E65"/>
    <w:rsid w:val="00046A3F"/>
    <w:rsid w:val="00047424"/>
    <w:rsid w:val="0005015D"/>
    <w:rsid w:val="000509B9"/>
    <w:rsid w:val="00050F07"/>
    <w:rsid w:val="00051ECC"/>
    <w:rsid w:val="000558F5"/>
    <w:rsid w:val="00063135"/>
    <w:rsid w:val="000658C8"/>
    <w:rsid w:val="0007263A"/>
    <w:rsid w:val="00085073"/>
    <w:rsid w:val="000926B0"/>
    <w:rsid w:val="00093EC5"/>
    <w:rsid w:val="000977C5"/>
    <w:rsid w:val="000A2413"/>
    <w:rsid w:val="000C1C35"/>
    <w:rsid w:val="000C4EDD"/>
    <w:rsid w:val="000C4EE5"/>
    <w:rsid w:val="000D3800"/>
    <w:rsid w:val="000E233D"/>
    <w:rsid w:val="000E3A00"/>
    <w:rsid w:val="000F4774"/>
    <w:rsid w:val="000F5D02"/>
    <w:rsid w:val="00104668"/>
    <w:rsid w:val="001051D3"/>
    <w:rsid w:val="00105641"/>
    <w:rsid w:val="00106CDF"/>
    <w:rsid w:val="00110AE6"/>
    <w:rsid w:val="00114588"/>
    <w:rsid w:val="001157AA"/>
    <w:rsid w:val="00115914"/>
    <w:rsid w:val="00120E3E"/>
    <w:rsid w:val="00122C51"/>
    <w:rsid w:val="00123716"/>
    <w:rsid w:val="00135B4A"/>
    <w:rsid w:val="00141B8F"/>
    <w:rsid w:val="0014566D"/>
    <w:rsid w:val="00146722"/>
    <w:rsid w:val="001470D6"/>
    <w:rsid w:val="00147F5D"/>
    <w:rsid w:val="00171EE8"/>
    <w:rsid w:val="0017602B"/>
    <w:rsid w:val="00177C98"/>
    <w:rsid w:val="00180143"/>
    <w:rsid w:val="00190F2D"/>
    <w:rsid w:val="00194130"/>
    <w:rsid w:val="001A671D"/>
    <w:rsid w:val="001A69E5"/>
    <w:rsid w:val="001B2AD3"/>
    <w:rsid w:val="001B425E"/>
    <w:rsid w:val="001B44B5"/>
    <w:rsid w:val="001B5269"/>
    <w:rsid w:val="001B710F"/>
    <w:rsid w:val="001B7ABB"/>
    <w:rsid w:val="001C5104"/>
    <w:rsid w:val="001D0F00"/>
    <w:rsid w:val="001D4764"/>
    <w:rsid w:val="001F0117"/>
    <w:rsid w:val="001F1592"/>
    <w:rsid w:val="001F1976"/>
    <w:rsid w:val="001F4AF4"/>
    <w:rsid w:val="00202C18"/>
    <w:rsid w:val="0020340E"/>
    <w:rsid w:val="00203CAD"/>
    <w:rsid w:val="00203E5E"/>
    <w:rsid w:val="0020606B"/>
    <w:rsid w:val="002120DD"/>
    <w:rsid w:val="00214597"/>
    <w:rsid w:val="00222F38"/>
    <w:rsid w:val="0022682E"/>
    <w:rsid w:val="00226DA4"/>
    <w:rsid w:val="00233ECF"/>
    <w:rsid w:val="002407C2"/>
    <w:rsid w:val="00240959"/>
    <w:rsid w:val="00246575"/>
    <w:rsid w:val="00253F64"/>
    <w:rsid w:val="00257B58"/>
    <w:rsid w:val="002611C4"/>
    <w:rsid w:val="00267E20"/>
    <w:rsid w:val="00282467"/>
    <w:rsid w:val="002861B1"/>
    <w:rsid w:val="00287213"/>
    <w:rsid w:val="002966A6"/>
    <w:rsid w:val="002A143A"/>
    <w:rsid w:val="002A2350"/>
    <w:rsid w:val="002A66CF"/>
    <w:rsid w:val="002B1AB4"/>
    <w:rsid w:val="002B561A"/>
    <w:rsid w:val="002B7600"/>
    <w:rsid w:val="002C3007"/>
    <w:rsid w:val="002C32F7"/>
    <w:rsid w:val="002C455B"/>
    <w:rsid w:val="002C6BB4"/>
    <w:rsid w:val="002C71E9"/>
    <w:rsid w:val="002D748A"/>
    <w:rsid w:val="002E22EB"/>
    <w:rsid w:val="002E7C45"/>
    <w:rsid w:val="002F0EBB"/>
    <w:rsid w:val="002F0F26"/>
    <w:rsid w:val="003018A9"/>
    <w:rsid w:val="00303B88"/>
    <w:rsid w:val="00304A87"/>
    <w:rsid w:val="00305391"/>
    <w:rsid w:val="0031074F"/>
    <w:rsid w:val="00312DA9"/>
    <w:rsid w:val="0032215A"/>
    <w:rsid w:val="00325A46"/>
    <w:rsid w:val="00325D7C"/>
    <w:rsid w:val="00335009"/>
    <w:rsid w:val="0033718A"/>
    <w:rsid w:val="0034279E"/>
    <w:rsid w:val="00343CA6"/>
    <w:rsid w:val="00344E9A"/>
    <w:rsid w:val="003463AE"/>
    <w:rsid w:val="00346876"/>
    <w:rsid w:val="00346EF0"/>
    <w:rsid w:val="003571D9"/>
    <w:rsid w:val="003630AA"/>
    <w:rsid w:val="00363396"/>
    <w:rsid w:val="00365092"/>
    <w:rsid w:val="00367110"/>
    <w:rsid w:val="00370875"/>
    <w:rsid w:val="003771D0"/>
    <w:rsid w:val="003831D0"/>
    <w:rsid w:val="003936F9"/>
    <w:rsid w:val="003A3474"/>
    <w:rsid w:val="003A3B0D"/>
    <w:rsid w:val="003A72B5"/>
    <w:rsid w:val="003C0470"/>
    <w:rsid w:val="003C1159"/>
    <w:rsid w:val="003C2E9C"/>
    <w:rsid w:val="003C3842"/>
    <w:rsid w:val="003C45D7"/>
    <w:rsid w:val="003D1FC7"/>
    <w:rsid w:val="003D7900"/>
    <w:rsid w:val="003D7D95"/>
    <w:rsid w:val="003F07D1"/>
    <w:rsid w:val="003F4BAD"/>
    <w:rsid w:val="00407147"/>
    <w:rsid w:val="00417260"/>
    <w:rsid w:val="00426884"/>
    <w:rsid w:val="00427563"/>
    <w:rsid w:val="004301C4"/>
    <w:rsid w:val="00436B5E"/>
    <w:rsid w:val="00444A7E"/>
    <w:rsid w:val="00444B1C"/>
    <w:rsid w:val="00445A85"/>
    <w:rsid w:val="0044642F"/>
    <w:rsid w:val="0044669C"/>
    <w:rsid w:val="0045094D"/>
    <w:rsid w:val="004509E5"/>
    <w:rsid w:val="004526E3"/>
    <w:rsid w:val="004533FC"/>
    <w:rsid w:val="00455CD7"/>
    <w:rsid w:val="00463542"/>
    <w:rsid w:val="004679A5"/>
    <w:rsid w:val="00476B49"/>
    <w:rsid w:val="0048069E"/>
    <w:rsid w:val="00480C39"/>
    <w:rsid w:val="004931E3"/>
    <w:rsid w:val="00494B52"/>
    <w:rsid w:val="004A25CB"/>
    <w:rsid w:val="004A392F"/>
    <w:rsid w:val="004B789F"/>
    <w:rsid w:val="004C41D6"/>
    <w:rsid w:val="004C7350"/>
    <w:rsid w:val="004D14F2"/>
    <w:rsid w:val="004E2684"/>
    <w:rsid w:val="004E4AA0"/>
    <w:rsid w:val="004F4992"/>
    <w:rsid w:val="004F6380"/>
    <w:rsid w:val="004F7979"/>
    <w:rsid w:val="004F7EE6"/>
    <w:rsid w:val="005136A9"/>
    <w:rsid w:val="00521610"/>
    <w:rsid w:val="00524664"/>
    <w:rsid w:val="00533384"/>
    <w:rsid w:val="00557AA0"/>
    <w:rsid w:val="00575009"/>
    <w:rsid w:val="0058128F"/>
    <w:rsid w:val="0059702D"/>
    <w:rsid w:val="005A1EDF"/>
    <w:rsid w:val="005A28AB"/>
    <w:rsid w:val="005A5819"/>
    <w:rsid w:val="005B0A16"/>
    <w:rsid w:val="005B1F40"/>
    <w:rsid w:val="005C2690"/>
    <w:rsid w:val="005C3351"/>
    <w:rsid w:val="005C42DE"/>
    <w:rsid w:val="005C5F2D"/>
    <w:rsid w:val="005D67E1"/>
    <w:rsid w:val="005E175D"/>
    <w:rsid w:val="005E739A"/>
    <w:rsid w:val="005E73D8"/>
    <w:rsid w:val="005F110D"/>
    <w:rsid w:val="005F4005"/>
    <w:rsid w:val="005F56BB"/>
    <w:rsid w:val="006027A6"/>
    <w:rsid w:val="00604DDC"/>
    <w:rsid w:val="00606035"/>
    <w:rsid w:val="00607B05"/>
    <w:rsid w:val="0061026B"/>
    <w:rsid w:val="00612958"/>
    <w:rsid w:val="006129DC"/>
    <w:rsid w:val="00612F2B"/>
    <w:rsid w:val="00621776"/>
    <w:rsid w:val="00624442"/>
    <w:rsid w:val="00631826"/>
    <w:rsid w:val="0063247E"/>
    <w:rsid w:val="006331AE"/>
    <w:rsid w:val="006346A7"/>
    <w:rsid w:val="00634E04"/>
    <w:rsid w:val="00640A40"/>
    <w:rsid w:val="00647730"/>
    <w:rsid w:val="00650766"/>
    <w:rsid w:val="00650DAA"/>
    <w:rsid w:val="006665CB"/>
    <w:rsid w:val="00676F90"/>
    <w:rsid w:val="00677975"/>
    <w:rsid w:val="00686DA7"/>
    <w:rsid w:val="0069602A"/>
    <w:rsid w:val="006A036A"/>
    <w:rsid w:val="006A1BEE"/>
    <w:rsid w:val="006A5097"/>
    <w:rsid w:val="006A65F8"/>
    <w:rsid w:val="006A7319"/>
    <w:rsid w:val="006B0667"/>
    <w:rsid w:val="006B35F0"/>
    <w:rsid w:val="006B6E07"/>
    <w:rsid w:val="006C17AD"/>
    <w:rsid w:val="006C2B33"/>
    <w:rsid w:val="006C7633"/>
    <w:rsid w:val="006C76C8"/>
    <w:rsid w:val="006D107F"/>
    <w:rsid w:val="006F1394"/>
    <w:rsid w:val="006F592D"/>
    <w:rsid w:val="007004DE"/>
    <w:rsid w:val="00705B5C"/>
    <w:rsid w:val="007077FC"/>
    <w:rsid w:val="00714922"/>
    <w:rsid w:val="00717D12"/>
    <w:rsid w:val="00720C44"/>
    <w:rsid w:val="007240D9"/>
    <w:rsid w:val="00724FD9"/>
    <w:rsid w:val="00734E94"/>
    <w:rsid w:val="00737E0F"/>
    <w:rsid w:val="00745362"/>
    <w:rsid w:val="00753A78"/>
    <w:rsid w:val="00755EC4"/>
    <w:rsid w:val="00756A32"/>
    <w:rsid w:val="00770669"/>
    <w:rsid w:val="00780174"/>
    <w:rsid w:val="00781C30"/>
    <w:rsid w:val="0078214F"/>
    <w:rsid w:val="00784469"/>
    <w:rsid w:val="00790CA9"/>
    <w:rsid w:val="007922E4"/>
    <w:rsid w:val="0079646A"/>
    <w:rsid w:val="007A35C1"/>
    <w:rsid w:val="007A62D2"/>
    <w:rsid w:val="007A797B"/>
    <w:rsid w:val="007A79CF"/>
    <w:rsid w:val="007B16CC"/>
    <w:rsid w:val="007B3C42"/>
    <w:rsid w:val="007C0807"/>
    <w:rsid w:val="007C20E6"/>
    <w:rsid w:val="007C7536"/>
    <w:rsid w:val="007D56C5"/>
    <w:rsid w:val="007D6BAB"/>
    <w:rsid w:val="007F6BE5"/>
    <w:rsid w:val="00804C30"/>
    <w:rsid w:val="00810CDD"/>
    <w:rsid w:val="008111D4"/>
    <w:rsid w:val="008158FD"/>
    <w:rsid w:val="008161A1"/>
    <w:rsid w:val="00821940"/>
    <w:rsid w:val="008229CD"/>
    <w:rsid w:val="00824CE2"/>
    <w:rsid w:val="00827EBB"/>
    <w:rsid w:val="0083079B"/>
    <w:rsid w:val="00835780"/>
    <w:rsid w:val="00842427"/>
    <w:rsid w:val="0085206D"/>
    <w:rsid w:val="00855DCD"/>
    <w:rsid w:val="00856DC9"/>
    <w:rsid w:val="0085782A"/>
    <w:rsid w:val="00863F0B"/>
    <w:rsid w:val="00865427"/>
    <w:rsid w:val="008655A4"/>
    <w:rsid w:val="00867546"/>
    <w:rsid w:val="008678A3"/>
    <w:rsid w:val="00873B55"/>
    <w:rsid w:val="00876362"/>
    <w:rsid w:val="00877AD7"/>
    <w:rsid w:val="00882775"/>
    <w:rsid w:val="008834DA"/>
    <w:rsid w:val="008931D0"/>
    <w:rsid w:val="008944F6"/>
    <w:rsid w:val="00897944"/>
    <w:rsid w:val="008A5F6B"/>
    <w:rsid w:val="008A6AE0"/>
    <w:rsid w:val="008A7035"/>
    <w:rsid w:val="008B0CE8"/>
    <w:rsid w:val="008B0DFE"/>
    <w:rsid w:val="008C07C9"/>
    <w:rsid w:val="008D13FB"/>
    <w:rsid w:val="008D2A0D"/>
    <w:rsid w:val="008D7214"/>
    <w:rsid w:val="008E135D"/>
    <w:rsid w:val="008E61AE"/>
    <w:rsid w:val="009004F3"/>
    <w:rsid w:val="0090085A"/>
    <w:rsid w:val="009017F4"/>
    <w:rsid w:val="009031D9"/>
    <w:rsid w:val="00912104"/>
    <w:rsid w:val="00912498"/>
    <w:rsid w:val="00915801"/>
    <w:rsid w:val="0092052E"/>
    <w:rsid w:val="009254B5"/>
    <w:rsid w:val="009309EF"/>
    <w:rsid w:val="00931FAF"/>
    <w:rsid w:val="009364AB"/>
    <w:rsid w:val="00945FA0"/>
    <w:rsid w:val="00956122"/>
    <w:rsid w:val="00956314"/>
    <w:rsid w:val="00957560"/>
    <w:rsid w:val="00962150"/>
    <w:rsid w:val="009654D4"/>
    <w:rsid w:val="009900E0"/>
    <w:rsid w:val="00992313"/>
    <w:rsid w:val="009974D6"/>
    <w:rsid w:val="009A0215"/>
    <w:rsid w:val="009A32BD"/>
    <w:rsid w:val="009A6852"/>
    <w:rsid w:val="009C14D1"/>
    <w:rsid w:val="009D006B"/>
    <w:rsid w:val="009D3BF8"/>
    <w:rsid w:val="009E3732"/>
    <w:rsid w:val="009F13B0"/>
    <w:rsid w:val="009F1A98"/>
    <w:rsid w:val="009F267F"/>
    <w:rsid w:val="009F2AE1"/>
    <w:rsid w:val="009F3736"/>
    <w:rsid w:val="009F6C3A"/>
    <w:rsid w:val="00A00812"/>
    <w:rsid w:val="00A00988"/>
    <w:rsid w:val="00A0569A"/>
    <w:rsid w:val="00A06B61"/>
    <w:rsid w:val="00A126D5"/>
    <w:rsid w:val="00A14CF3"/>
    <w:rsid w:val="00A200A9"/>
    <w:rsid w:val="00A268B0"/>
    <w:rsid w:val="00A320CC"/>
    <w:rsid w:val="00A332B2"/>
    <w:rsid w:val="00A34CE9"/>
    <w:rsid w:val="00A46A94"/>
    <w:rsid w:val="00A46F67"/>
    <w:rsid w:val="00A56161"/>
    <w:rsid w:val="00A60791"/>
    <w:rsid w:val="00A678EE"/>
    <w:rsid w:val="00A745A7"/>
    <w:rsid w:val="00A74E1E"/>
    <w:rsid w:val="00A7733B"/>
    <w:rsid w:val="00A83B41"/>
    <w:rsid w:val="00A84455"/>
    <w:rsid w:val="00A917F0"/>
    <w:rsid w:val="00A9395E"/>
    <w:rsid w:val="00A93D5C"/>
    <w:rsid w:val="00A95B5D"/>
    <w:rsid w:val="00AA0CDE"/>
    <w:rsid w:val="00AA512A"/>
    <w:rsid w:val="00AA58BC"/>
    <w:rsid w:val="00AA6FF9"/>
    <w:rsid w:val="00AC7094"/>
    <w:rsid w:val="00AC7220"/>
    <w:rsid w:val="00AC7E3C"/>
    <w:rsid w:val="00AD42B6"/>
    <w:rsid w:val="00AD5CC4"/>
    <w:rsid w:val="00AD74B2"/>
    <w:rsid w:val="00AD7E3E"/>
    <w:rsid w:val="00AE2856"/>
    <w:rsid w:val="00AE619B"/>
    <w:rsid w:val="00AF02D7"/>
    <w:rsid w:val="00AF1F1F"/>
    <w:rsid w:val="00AF2C2B"/>
    <w:rsid w:val="00AF4C24"/>
    <w:rsid w:val="00B03FF7"/>
    <w:rsid w:val="00B078B1"/>
    <w:rsid w:val="00B171B1"/>
    <w:rsid w:val="00B24C86"/>
    <w:rsid w:val="00B30545"/>
    <w:rsid w:val="00B310E3"/>
    <w:rsid w:val="00B3215E"/>
    <w:rsid w:val="00B34FA4"/>
    <w:rsid w:val="00B352D1"/>
    <w:rsid w:val="00B37BE7"/>
    <w:rsid w:val="00B46044"/>
    <w:rsid w:val="00B50DE8"/>
    <w:rsid w:val="00B55F3E"/>
    <w:rsid w:val="00B61FDD"/>
    <w:rsid w:val="00B622E4"/>
    <w:rsid w:val="00B63DAF"/>
    <w:rsid w:val="00B6568A"/>
    <w:rsid w:val="00B658C0"/>
    <w:rsid w:val="00B76C04"/>
    <w:rsid w:val="00B839DC"/>
    <w:rsid w:val="00BA1ECB"/>
    <w:rsid w:val="00BA37C5"/>
    <w:rsid w:val="00BB0583"/>
    <w:rsid w:val="00BB0C97"/>
    <w:rsid w:val="00BB65EF"/>
    <w:rsid w:val="00BC2A6C"/>
    <w:rsid w:val="00BC5280"/>
    <w:rsid w:val="00BC55B1"/>
    <w:rsid w:val="00BD1F99"/>
    <w:rsid w:val="00BE190D"/>
    <w:rsid w:val="00BE42B0"/>
    <w:rsid w:val="00BE66F9"/>
    <w:rsid w:val="00BF5446"/>
    <w:rsid w:val="00C04792"/>
    <w:rsid w:val="00C132C2"/>
    <w:rsid w:val="00C14BE7"/>
    <w:rsid w:val="00C1761C"/>
    <w:rsid w:val="00C17A45"/>
    <w:rsid w:val="00C4363F"/>
    <w:rsid w:val="00C557A5"/>
    <w:rsid w:val="00C61D56"/>
    <w:rsid w:val="00C62435"/>
    <w:rsid w:val="00C63342"/>
    <w:rsid w:val="00C810BA"/>
    <w:rsid w:val="00C8359E"/>
    <w:rsid w:val="00C93584"/>
    <w:rsid w:val="00CA0704"/>
    <w:rsid w:val="00CB6567"/>
    <w:rsid w:val="00CC1DAA"/>
    <w:rsid w:val="00CC4481"/>
    <w:rsid w:val="00CD2041"/>
    <w:rsid w:val="00CE3FE4"/>
    <w:rsid w:val="00CE5F72"/>
    <w:rsid w:val="00CF1213"/>
    <w:rsid w:val="00CF18FF"/>
    <w:rsid w:val="00CF2EAF"/>
    <w:rsid w:val="00CF6590"/>
    <w:rsid w:val="00D01F0A"/>
    <w:rsid w:val="00D024A7"/>
    <w:rsid w:val="00D14C4A"/>
    <w:rsid w:val="00D14F9C"/>
    <w:rsid w:val="00D20BCC"/>
    <w:rsid w:val="00D20CB5"/>
    <w:rsid w:val="00D24263"/>
    <w:rsid w:val="00D305F7"/>
    <w:rsid w:val="00D30627"/>
    <w:rsid w:val="00D3382B"/>
    <w:rsid w:val="00D353B1"/>
    <w:rsid w:val="00D42B37"/>
    <w:rsid w:val="00D43D5E"/>
    <w:rsid w:val="00D4471E"/>
    <w:rsid w:val="00D502C6"/>
    <w:rsid w:val="00D54D6A"/>
    <w:rsid w:val="00D56006"/>
    <w:rsid w:val="00D6103A"/>
    <w:rsid w:val="00D6661C"/>
    <w:rsid w:val="00D70D1C"/>
    <w:rsid w:val="00D7246B"/>
    <w:rsid w:val="00D7415C"/>
    <w:rsid w:val="00D76F07"/>
    <w:rsid w:val="00D77686"/>
    <w:rsid w:val="00D8122A"/>
    <w:rsid w:val="00D82EFC"/>
    <w:rsid w:val="00D838B6"/>
    <w:rsid w:val="00D87551"/>
    <w:rsid w:val="00D91BC7"/>
    <w:rsid w:val="00D93DBE"/>
    <w:rsid w:val="00D93ECF"/>
    <w:rsid w:val="00DA5876"/>
    <w:rsid w:val="00DA7BDA"/>
    <w:rsid w:val="00DB074A"/>
    <w:rsid w:val="00DB4774"/>
    <w:rsid w:val="00DC1D72"/>
    <w:rsid w:val="00DD15E9"/>
    <w:rsid w:val="00DD62D4"/>
    <w:rsid w:val="00DE1FBA"/>
    <w:rsid w:val="00DE7EBE"/>
    <w:rsid w:val="00DF3D12"/>
    <w:rsid w:val="00E028B8"/>
    <w:rsid w:val="00E03E13"/>
    <w:rsid w:val="00E05896"/>
    <w:rsid w:val="00E07FD5"/>
    <w:rsid w:val="00E114F8"/>
    <w:rsid w:val="00E12DB8"/>
    <w:rsid w:val="00E1558A"/>
    <w:rsid w:val="00E17C90"/>
    <w:rsid w:val="00E17E53"/>
    <w:rsid w:val="00E22BA3"/>
    <w:rsid w:val="00E35FA0"/>
    <w:rsid w:val="00E4126A"/>
    <w:rsid w:val="00E414DF"/>
    <w:rsid w:val="00E46646"/>
    <w:rsid w:val="00E47D36"/>
    <w:rsid w:val="00E51076"/>
    <w:rsid w:val="00E60BA6"/>
    <w:rsid w:val="00E62BDF"/>
    <w:rsid w:val="00E73FE9"/>
    <w:rsid w:val="00E76D0F"/>
    <w:rsid w:val="00E8124D"/>
    <w:rsid w:val="00E87445"/>
    <w:rsid w:val="00EC05B2"/>
    <w:rsid w:val="00ED1F68"/>
    <w:rsid w:val="00ED2574"/>
    <w:rsid w:val="00ED5871"/>
    <w:rsid w:val="00ED7E5E"/>
    <w:rsid w:val="00EE0037"/>
    <w:rsid w:val="00EE0901"/>
    <w:rsid w:val="00EE1B85"/>
    <w:rsid w:val="00EF3F73"/>
    <w:rsid w:val="00EF4F2A"/>
    <w:rsid w:val="00F0271A"/>
    <w:rsid w:val="00F05F63"/>
    <w:rsid w:val="00F07EA3"/>
    <w:rsid w:val="00F11272"/>
    <w:rsid w:val="00F12956"/>
    <w:rsid w:val="00F26CB8"/>
    <w:rsid w:val="00F32E12"/>
    <w:rsid w:val="00F44AB8"/>
    <w:rsid w:val="00F5160C"/>
    <w:rsid w:val="00F53B84"/>
    <w:rsid w:val="00F54D9C"/>
    <w:rsid w:val="00F57507"/>
    <w:rsid w:val="00F57B39"/>
    <w:rsid w:val="00F663F9"/>
    <w:rsid w:val="00F870B7"/>
    <w:rsid w:val="00FA2DE8"/>
    <w:rsid w:val="00FB0134"/>
    <w:rsid w:val="00FB0EB8"/>
    <w:rsid w:val="00FB2760"/>
    <w:rsid w:val="00FB2830"/>
    <w:rsid w:val="00FC0C3A"/>
    <w:rsid w:val="00FC1233"/>
    <w:rsid w:val="00FC62BD"/>
    <w:rsid w:val="00FC6B78"/>
    <w:rsid w:val="00FD304A"/>
    <w:rsid w:val="00FD319C"/>
    <w:rsid w:val="00FD5868"/>
    <w:rsid w:val="00FD622E"/>
    <w:rsid w:val="00FE2EDD"/>
    <w:rsid w:val="00FE3E64"/>
    <w:rsid w:val="00FE46FE"/>
    <w:rsid w:val="052170E9"/>
    <w:rsid w:val="06DC269B"/>
    <w:rsid w:val="0A1B0756"/>
    <w:rsid w:val="0A7A4939"/>
    <w:rsid w:val="0A9D4207"/>
    <w:rsid w:val="0AE762CA"/>
    <w:rsid w:val="0B566F4B"/>
    <w:rsid w:val="116F150F"/>
    <w:rsid w:val="13EB0318"/>
    <w:rsid w:val="189D3748"/>
    <w:rsid w:val="19003CC3"/>
    <w:rsid w:val="19CF6501"/>
    <w:rsid w:val="19F17E3E"/>
    <w:rsid w:val="1A2D54E1"/>
    <w:rsid w:val="1ACF1C00"/>
    <w:rsid w:val="1B8A492A"/>
    <w:rsid w:val="1BEF5711"/>
    <w:rsid w:val="1E2A25F0"/>
    <w:rsid w:val="1EE400DE"/>
    <w:rsid w:val="229D08F4"/>
    <w:rsid w:val="24C62C28"/>
    <w:rsid w:val="24EF5FDD"/>
    <w:rsid w:val="24F1241A"/>
    <w:rsid w:val="26396C33"/>
    <w:rsid w:val="26574260"/>
    <w:rsid w:val="27A163F2"/>
    <w:rsid w:val="27B23411"/>
    <w:rsid w:val="291B7C0C"/>
    <w:rsid w:val="2A6C5C4F"/>
    <w:rsid w:val="2AD227A4"/>
    <w:rsid w:val="2D431C45"/>
    <w:rsid w:val="2E935CBC"/>
    <w:rsid w:val="2F47086C"/>
    <w:rsid w:val="2F910000"/>
    <w:rsid w:val="33AD3D2D"/>
    <w:rsid w:val="35672EB1"/>
    <w:rsid w:val="39785EB2"/>
    <w:rsid w:val="397864DD"/>
    <w:rsid w:val="39BA69F0"/>
    <w:rsid w:val="39E93787"/>
    <w:rsid w:val="3A1C538F"/>
    <w:rsid w:val="3C1A0379"/>
    <w:rsid w:val="3C790F5A"/>
    <w:rsid w:val="3CD1409A"/>
    <w:rsid w:val="3D57783C"/>
    <w:rsid w:val="3DEC3DF5"/>
    <w:rsid w:val="3F73440F"/>
    <w:rsid w:val="3FC7326B"/>
    <w:rsid w:val="3FD53461"/>
    <w:rsid w:val="416C746D"/>
    <w:rsid w:val="455A3545"/>
    <w:rsid w:val="4832508A"/>
    <w:rsid w:val="48ED265B"/>
    <w:rsid w:val="49A543C7"/>
    <w:rsid w:val="4A0F2A72"/>
    <w:rsid w:val="4C5C1A26"/>
    <w:rsid w:val="4D6629E8"/>
    <w:rsid w:val="4DFD1224"/>
    <w:rsid w:val="4F4731B4"/>
    <w:rsid w:val="51807ED7"/>
    <w:rsid w:val="52791115"/>
    <w:rsid w:val="534837B2"/>
    <w:rsid w:val="53661A7C"/>
    <w:rsid w:val="56607BE1"/>
    <w:rsid w:val="57E2626D"/>
    <w:rsid w:val="5A5A0B0C"/>
    <w:rsid w:val="5AA03325"/>
    <w:rsid w:val="5AF653B9"/>
    <w:rsid w:val="5B3717DC"/>
    <w:rsid w:val="5BB31BC0"/>
    <w:rsid w:val="643A3EA5"/>
    <w:rsid w:val="67765091"/>
    <w:rsid w:val="6B4031EB"/>
    <w:rsid w:val="6F3B7EEC"/>
    <w:rsid w:val="6FBA23EA"/>
    <w:rsid w:val="6FCA008A"/>
    <w:rsid w:val="709020CD"/>
    <w:rsid w:val="721B74EB"/>
    <w:rsid w:val="74FC0CE6"/>
    <w:rsid w:val="75226749"/>
    <w:rsid w:val="75BB6C7B"/>
    <w:rsid w:val="77057A7D"/>
    <w:rsid w:val="77847878"/>
    <w:rsid w:val="785E5813"/>
    <w:rsid w:val="79135551"/>
    <w:rsid w:val="797B5F24"/>
    <w:rsid w:val="7AD44B0E"/>
    <w:rsid w:val="7FCB5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8"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8"/>
    <w:qFormat/>
    <w:uiPriority w:val="9"/>
    <w:pPr>
      <w:keepNext/>
      <w:widowControl/>
      <w:spacing w:before="340" w:after="330" w:line="576" w:lineRule="auto"/>
      <w:jc w:val="center"/>
      <w:outlineLvl w:val="0"/>
    </w:pPr>
    <w:rPr>
      <w:rFonts w:ascii="???" w:hAnsi="???" w:cs="Arial"/>
      <w:b/>
      <w:bCs/>
      <w:color w:val="020000"/>
      <w:kern w:val="36"/>
      <w:sz w:val="44"/>
      <w:szCs w:val="44"/>
    </w:rPr>
  </w:style>
  <w:style w:type="paragraph" w:styleId="3">
    <w:name w:val="heading 2"/>
    <w:basedOn w:val="1"/>
    <w:next w:val="1"/>
    <w:link w:val="59"/>
    <w:qFormat/>
    <w:uiPriority w:val="0"/>
    <w:pPr>
      <w:keepNext/>
      <w:widowControl/>
      <w:spacing w:before="260" w:after="260" w:line="412" w:lineRule="auto"/>
      <w:jc w:val="center"/>
      <w:outlineLvl w:val="1"/>
    </w:pPr>
    <w:rPr>
      <w:rFonts w:ascii="???" w:hAnsi="???" w:eastAsia="宋体" w:cs="Arial"/>
      <w:b/>
      <w:bCs/>
      <w:color w:val="020000"/>
      <w:kern w:val="0"/>
      <w:sz w:val="32"/>
      <w:szCs w:val="32"/>
    </w:rPr>
  </w:style>
  <w:style w:type="paragraph" w:styleId="4">
    <w:name w:val="heading 3"/>
    <w:basedOn w:val="1"/>
    <w:next w:val="1"/>
    <w:link w:val="60"/>
    <w:qFormat/>
    <w:uiPriority w:val="99"/>
    <w:pPr>
      <w:keepNext/>
      <w:widowControl/>
      <w:spacing w:before="260" w:after="260" w:line="412" w:lineRule="auto"/>
      <w:outlineLvl w:val="2"/>
    </w:pPr>
    <w:rPr>
      <w:rFonts w:ascii="??" w:hAnsi="??" w:cs="Arial"/>
      <w:b/>
      <w:bCs/>
      <w:color w:val="000000"/>
      <w:kern w:val="0"/>
      <w:sz w:val="32"/>
      <w:szCs w:val="32"/>
    </w:rPr>
  </w:style>
  <w:style w:type="paragraph" w:styleId="5">
    <w:name w:val="heading 4"/>
    <w:basedOn w:val="1"/>
    <w:next w:val="1"/>
    <w:qFormat/>
    <w:uiPriority w:val="98"/>
    <w:pPr>
      <w:keepNext/>
      <w:keepLines/>
      <w:spacing w:before="280" w:after="290" w:line="372" w:lineRule="auto"/>
      <w:outlineLvl w:val="3"/>
    </w:pPr>
    <w:rPr>
      <w:rFonts w:ascii="Arial" w:hAnsi="Arial" w:eastAsia="黑体"/>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kern w:val="0"/>
      <w:sz w:val="24"/>
      <w:szCs w:val="24"/>
    </w:rPr>
  </w:style>
  <w:style w:type="paragraph" w:styleId="8">
    <w:name w:val="Normal Indent"/>
    <w:basedOn w:val="1"/>
    <w:next w:val="1"/>
    <w:link w:val="111"/>
    <w:qFormat/>
    <w:uiPriority w:val="99"/>
    <w:pPr>
      <w:ind w:firstLine="420" w:firstLineChars="200"/>
    </w:pPr>
    <w:rPr>
      <w:rFonts w:ascii="Times New Roman" w:hAnsi="Times New Roman" w:cs="Times New Roman"/>
      <w:kern w:val="0"/>
      <w:sz w:val="24"/>
      <w:szCs w:val="20"/>
    </w:rPr>
  </w:style>
  <w:style w:type="paragraph" w:styleId="9">
    <w:name w:val="Document Map"/>
    <w:basedOn w:val="1"/>
    <w:link w:val="129"/>
    <w:qFormat/>
    <w:uiPriority w:val="0"/>
    <w:rPr>
      <w:rFonts w:ascii="宋体" w:cs="Times New Roman"/>
      <w:kern w:val="0"/>
      <w:sz w:val="18"/>
      <w:szCs w:val="20"/>
    </w:rPr>
  </w:style>
  <w:style w:type="paragraph" w:styleId="10">
    <w:name w:val="annotation text"/>
    <w:basedOn w:val="1"/>
    <w:link w:val="157"/>
    <w:qFormat/>
    <w:uiPriority w:val="0"/>
    <w:pPr>
      <w:jc w:val="left"/>
    </w:pPr>
  </w:style>
  <w:style w:type="paragraph" w:styleId="11">
    <w:name w:val="Body Text"/>
    <w:basedOn w:val="1"/>
    <w:next w:val="1"/>
    <w:link w:val="132"/>
    <w:qFormat/>
    <w:uiPriority w:val="0"/>
    <w:pPr>
      <w:spacing w:after="120"/>
    </w:pPr>
    <w:rPr>
      <w:rFonts w:cs="Times New Roman"/>
      <w:kern w:val="0"/>
      <w:sz w:val="24"/>
      <w:szCs w:val="20"/>
    </w:rPr>
  </w:style>
  <w:style w:type="paragraph" w:styleId="12">
    <w:name w:val="Body Text Indent"/>
    <w:basedOn w:val="1"/>
    <w:next w:val="1"/>
    <w:link w:val="63"/>
    <w:qFormat/>
    <w:uiPriority w:val="0"/>
    <w:pPr>
      <w:widowControl/>
      <w:spacing w:after="120"/>
      <w:ind w:left="420"/>
    </w:pPr>
    <w:rPr>
      <w:rFonts w:ascii="??" w:hAnsi="??" w:cs="Arial"/>
      <w:kern w:val="0"/>
      <w:sz w:val="24"/>
      <w:szCs w:val="24"/>
    </w:rPr>
  </w:style>
  <w:style w:type="paragraph" w:styleId="13">
    <w:name w:val="List 2"/>
    <w:basedOn w:val="1"/>
    <w:next w:val="14"/>
    <w:qFormat/>
    <w:uiPriority w:val="0"/>
    <w:pPr>
      <w:adjustRightInd w:val="0"/>
      <w:spacing w:line="312" w:lineRule="atLeast"/>
      <w:ind w:left="100" w:leftChars="200" w:hanging="200" w:hangingChars="200"/>
      <w:textAlignment w:val="baseline"/>
    </w:pPr>
    <w:rPr>
      <w:rFonts w:ascii="Times New Roman" w:hAnsi="Times New Roman" w:eastAsia="仿宋" w:cs="Times New Roman"/>
      <w:kern w:val="0"/>
      <w:sz w:val="32"/>
      <w:szCs w:val="20"/>
    </w:rPr>
  </w:style>
  <w:style w:type="paragraph" w:styleId="14">
    <w:name w:val="Plain Text"/>
    <w:basedOn w:val="1"/>
    <w:link w:val="193"/>
    <w:qFormat/>
    <w:uiPriority w:val="0"/>
    <w:rPr>
      <w:rFonts w:ascii="宋体" w:hAnsi="Courier New"/>
      <w:szCs w:val="21"/>
    </w:rPr>
  </w:style>
  <w:style w:type="paragraph" w:styleId="15">
    <w:name w:val="toc 5"/>
    <w:basedOn w:val="1"/>
    <w:next w:val="1"/>
    <w:qFormat/>
    <w:uiPriority w:val="0"/>
    <w:pPr>
      <w:ind w:left="1680" w:leftChars="800"/>
    </w:pPr>
    <w:rPr>
      <w:rFonts w:ascii="Times New Roman" w:hAnsi="Times New Roman" w:cs="Times New Roman"/>
      <w:szCs w:val="24"/>
    </w:rPr>
  </w:style>
  <w:style w:type="paragraph" w:styleId="16">
    <w:name w:val="toc 3"/>
    <w:basedOn w:val="1"/>
    <w:next w:val="1"/>
    <w:qFormat/>
    <w:uiPriority w:val="39"/>
    <w:pPr>
      <w:ind w:left="840" w:leftChars="400"/>
    </w:pPr>
    <w:rPr>
      <w:rFonts w:ascii="Times New Roman" w:hAnsi="Times New Roman" w:cs="Times New Roman"/>
      <w:szCs w:val="24"/>
    </w:rPr>
  </w:style>
  <w:style w:type="paragraph" w:styleId="17">
    <w:name w:val="toc 8"/>
    <w:basedOn w:val="1"/>
    <w:next w:val="1"/>
    <w:qFormat/>
    <w:uiPriority w:val="0"/>
    <w:pPr>
      <w:ind w:left="2940" w:leftChars="1400"/>
    </w:pPr>
    <w:rPr>
      <w:rFonts w:ascii="Times New Roman" w:hAnsi="Times New Roman" w:cs="Times New Roman"/>
      <w:szCs w:val="24"/>
    </w:rPr>
  </w:style>
  <w:style w:type="paragraph" w:styleId="18">
    <w:name w:val="Date"/>
    <w:basedOn w:val="1"/>
    <w:next w:val="1"/>
    <w:link w:val="152"/>
    <w:qFormat/>
    <w:uiPriority w:val="0"/>
    <w:rPr>
      <w:szCs w:val="21"/>
    </w:rPr>
  </w:style>
  <w:style w:type="paragraph" w:styleId="19">
    <w:name w:val="Body Text Indent 2"/>
    <w:basedOn w:val="1"/>
    <w:link w:val="125"/>
    <w:qFormat/>
    <w:uiPriority w:val="99"/>
    <w:pPr>
      <w:spacing w:before="100" w:beforeAutospacing="1" w:after="100" w:afterAutospacing="1" w:line="360" w:lineRule="auto"/>
      <w:ind w:firstLine="420"/>
    </w:pPr>
    <w:rPr>
      <w:rFonts w:ascii="宋体" w:cs="Times New Roman"/>
      <w:kern w:val="0"/>
      <w:sz w:val="24"/>
      <w:szCs w:val="20"/>
    </w:rPr>
  </w:style>
  <w:style w:type="paragraph" w:styleId="20">
    <w:name w:val="Balloon Text"/>
    <w:basedOn w:val="1"/>
    <w:link w:val="75"/>
    <w:qFormat/>
    <w:uiPriority w:val="99"/>
    <w:rPr>
      <w:rFonts w:cs="Times New Roman"/>
      <w:sz w:val="18"/>
      <w:szCs w:val="18"/>
    </w:rPr>
  </w:style>
  <w:style w:type="paragraph" w:styleId="21">
    <w:name w:val="footer"/>
    <w:basedOn w:val="1"/>
    <w:link w:val="62"/>
    <w:qFormat/>
    <w:uiPriority w:val="99"/>
    <w:pPr>
      <w:tabs>
        <w:tab w:val="center" w:pos="4153"/>
        <w:tab w:val="right" w:pos="8306"/>
      </w:tabs>
      <w:snapToGrid w:val="0"/>
      <w:jc w:val="left"/>
    </w:pPr>
    <w:rPr>
      <w:rFonts w:cs="Times New Roman"/>
      <w:sz w:val="18"/>
      <w:szCs w:val="18"/>
    </w:rPr>
  </w:style>
  <w:style w:type="paragraph" w:styleId="22">
    <w:name w:val="header"/>
    <w:basedOn w:val="1"/>
    <w:link w:val="61"/>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3">
    <w:name w:val="toc 1"/>
    <w:basedOn w:val="1"/>
    <w:next w:val="1"/>
    <w:qFormat/>
    <w:uiPriority w:val="39"/>
    <w:rPr>
      <w:rFonts w:ascii="Times New Roman" w:hAnsi="Times New Roman" w:cs="Times New Roman"/>
      <w:szCs w:val="24"/>
    </w:rPr>
  </w:style>
  <w:style w:type="paragraph" w:styleId="24">
    <w:name w:val="toc 4"/>
    <w:basedOn w:val="1"/>
    <w:next w:val="1"/>
    <w:qFormat/>
    <w:uiPriority w:val="0"/>
    <w:pPr>
      <w:ind w:left="1260" w:leftChars="600"/>
    </w:pPr>
    <w:rPr>
      <w:rFonts w:ascii="Times New Roman" w:hAnsi="Times New Roman" w:cs="Times New Roman"/>
      <w:szCs w:val="24"/>
    </w:rPr>
  </w:style>
  <w:style w:type="paragraph" w:styleId="25">
    <w:name w:val="List"/>
    <w:basedOn w:val="1"/>
    <w:qFormat/>
    <w:uiPriority w:val="0"/>
    <w:pPr>
      <w:adjustRightInd w:val="0"/>
      <w:spacing w:line="312" w:lineRule="atLeast"/>
      <w:ind w:left="200" w:hanging="200" w:hangingChars="200"/>
      <w:textAlignment w:val="baseline"/>
    </w:pPr>
    <w:rPr>
      <w:rFonts w:ascii="Times New Roman" w:hAnsi="Times New Roman" w:eastAsia="仿宋" w:cs="Times New Roman"/>
      <w:kern w:val="0"/>
      <w:sz w:val="32"/>
      <w:szCs w:val="20"/>
    </w:rPr>
  </w:style>
  <w:style w:type="paragraph" w:styleId="26">
    <w:name w:val="footnote text"/>
    <w:basedOn w:val="1"/>
    <w:link w:val="169"/>
    <w:qFormat/>
    <w:uiPriority w:val="0"/>
    <w:pPr>
      <w:snapToGrid w:val="0"/>
      <w:jc w:val="left"/>
    </w:pPr>
    <w:rPr>
      <w:rFonts w:ascii="Times New Roman" w:hAnsi="Times New Roman" w:cs="Times New Roman"/>
      <w:sz w:val="18"/>
      <w:szCs w:val="18"/>
    </w:rPr>
  </w:style>
  <w:style w:type="paragraph" w:styleId="27">
    <w:name w:val="toc 6"/>
    <w:basedOn w:val="1"/>
    <w:next w:val="1"/>
    <w:qFormat/>
    <w:uiPriority w:val="0"/>
    <w:pPr>
      <w:ind w:left="2100" w:leftChars="1000"/>
    </w:pPr>
    <w:rPr>
      <w:rFonts w:ascii="Times New Roman" w:hAnsi="Times New Roman" w:cs="Times New Roman"/>
      <w:szCs w:val="24"/>
    </w:rPr>
  </w:style>
  <w:style w:type="paragraph" w:styleId="28">
    <w:name w:val="Body Text Indent 3"/>
    <w:basedOn w:val="1"/>
    <w:link w:val="127"/>
    <w:qFormat/>
    <w:uiPriority w:val="99"/>
    <w:pPr>
      <w:spacing w:line="440" w:lineRule="exact"/>
      <w:ind w:firstLine="412" w:firstLineChars="200"/>
    </w:pPr>
    <w:rPr>
      <w:rFonts w:ascii="宋体" w:cs="Times New Roman"/>
      <w:kern w:val="0"/>
      <w:sz w:val="20"/>
      <w:szCs w:val="20"/>
    </w:rPr>
  </w:style>
  <w:style w:type="paragraph" w:styleId="29">
    <w:name w:val="table of figures"/>
    <w:basedOn w:val="1"/>
    <w:next w:val="1"/>
    <w:qFormat/>
    <w:uiPriority w:val="0"/>
    <w:pPr>
      <w:ind w:left="200" w:leftChars="200" w:hanging="200" w:hangingChars="200"/>
    </w:pPr>
    <w:rPr>
      <w:rFonts w:ascii="Times New Roman" w:hAnsi="Times New Roman" w:cs="Times New Roman"/>
      <w:szCs w:val="20"/>
    </w:rPr>
  </w:style>
  <w:style w:type="paragraph" w:styleId="30">
    <w:name w:val="toc 2"/>
    <w:basedOn w:val="1"/>
    <w:next w:val="1"/>
    <w:qFormat/>
    <w:uiPriority w:val="39"/>
    <w:pPr>
      <w:ind w:left="420" w:leftChars="200"/>
    </w:pPr>
    <w:rPr>
      <w:rFonts w:ascii="Times New Roman" w:hAnsi="Times New Roman" w:cs="Times New Roman"/>
      <w:szCs w:val="24"/>
    </w:rPr>
  </w:style>
  <w:style w:type="paragraph" w:styleId="31">
    <w:name w:val="toc 9"/>
    <w:basedOn w:val="1"/>
    <w:next w:val="1"/>
    <w:qFormat/>
    <w:uiPriority w:val="0"/>
    <w:pPr>
      <w:ind w:left="3360" w:leftChars="1600"/>
    </w:pPr>
    <w:rPr>
      <w:rFonts w:ascii="Times New Roman" w:hAnsi="Times New Roman" w:cs="Times New Roman"/>
      <w:szCs w:val="24"/>
    </w:rPr>
  </w:style>
  <w:style w:type="paragraph" w:styleId="32">
    <w:name w:val="List Continue 2"/>
    <w:basedOn w:val="1"/>
    <w:qFormat/>
    <w:uiPriority w:val="99"/>
    <w:pPr>
      <w:spacing w:after="120"/>
      <w:ind w:left="840" w:leftChars="400"/>
    </w:pPr>
    <w:rPr>
      <w:rFonts w:ascii="Times New Roman" w:hAnsi="Times New Roman" w:cs="Times New Roman"/>
      <w:szCs w:val="24"/>
    </w:rPr>
  </w:style>
  <w:style w:type="paragraph" w:styleId="3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4">
    <w:name w:val="index 1"/>
    <w:basedOn w:val="1"/>
    <w:next w:val="1"/>
    <w:qFormat/>
    <w:uiPriority w:val="0"/>
    <w:pPr>
      <w:adjustRightInd w:val="0"/>
      <w:snapToGrid w:val="0"/>
      <w:spacing w:line="300" w:lineRule="exact"/>
    </w:pPr>
    <w:rPr>
      <w:rFonts w:ascii="宋体" w:hAnsi="宋体" w:cs="Times New Roman"/>
      <w:bCs/>
      <w:sz w:val="20"/>
      <w:szCs w:val="21"/>
    </w:rPr>
  </w:style>
  <w:style w:type="paragraph" w:styleId="35">
    <w:name w:val="Title"/>
    <w:basedOn w:val="1"/>
    <w:next w:val="1"/>
    <w:link w:val="155"/>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0"/>
    <w:next w:val="10"/>
    <w:link w:val="162"/>
    <w:qFormat/>
    <w:uiPriority w:val="0"/>
    <w:rPr>
      <w:b/>
      <w:bCs/>
    </w:rPr>
  </w:style>
  <w:style w:type="paragraph" w:styleId="37">
    <w:name w:val="Body Text First Indent 2"/>
    <w:basedOn w:val="12"/>
    <w:next w:val="12"/>
    <w:link w:val="197"/>
    <w:unhideWhenUsed/>
    <w:qFormat/>
    <w:uiPriority w:val="0"/>
    <w:pPr>
      <w:widowControl w:val="0"/>
      <w:ind w:left="200" w:leftChars="200" w:firstLine="420" w:firstLineChars="200"/>
    </w:pPr>
    <w:rPr>
      <w:rFonts w:ascii="Calibri" w:hAnsi="Calibri" w:cs="宋体"/>
      <w:kern w:val="2"/>
      <w:sz w:val="21"/>
      <w:szCs w:val="22"/>
    </w:rPr>
  </w:style>
  <w:style w:type="table" w:styleId="39">
    <w:name w:val="Table Grid"/>
    <w:basedOn w:val="3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0"/>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标题 5（有编号）（绿盟科技）"/>
    <w:basedOn w:val="1"/>
    <w:next w:val="5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正文1"/>
    <w:qFormat/>
    <w:uiPriority w:val="0"/>
    <w:pPr>
      <w:jc w:val="both"/>
    </w:pPr>
    <w:rPr>
      <w:rFonts w:ascii="Calibri" w:hAnsi="Calibri" w:eastAsia="宋体" w:cs="宋体"/>
      <w:kern w:val="2"/>
      <w:sz w:val="21"/>
      <w:szCs w:val="21"/>
      <w:lang w:val="en-US" w:eastAsia="zh-CN" w:bidi="ar-SA"/>
    </w:rPr>
  </w:style>
  <w:style w:type="character" w:customStyle="1" w:styleId="58">
    <w:name w:val="标题 1 字符"/>
    <w:basedOn w:val="40"/>
    <w:link w:val="2"/>
    <w:qFormat/>
    <w:uiPriority w:val="9"/>
    <w:rPr>
      <w:rFonts w:ascii="???" w:hAnsi="???" w:eastAsia="宋体" w:cs="Arial"/>
      <w:b/>
      <w:bCs/>
      <w:color w:val="020000"/>
      <w:kern w:val="36"/>
      <w:sz w:val="44"/>
      <w:szCs w:val="44"/>
    </w:rPr>
  </w:style>
  <w:style w:type="character" w:customStyle="1" w:styleId="59">
    <w:name w:val="标题 2 字符"/>
    <w:basedOn w:val="40"/>
    <w:link w:val="3"/>
    <w:qFormat/>
    <w:uiPriority w:val="99"/>
    <w:rPr>
      <w:rFonts w:ascii="???" w:hAnsi="???" w:eastAsia="宋体" w:cs="Arial"/>
      <w:b/>
      <w:bCs/>
      <w:color w:val="020000"/>
      <w:kern w:val="0"/>
      <w:sz w:val="32"/>
      <w:szCs w:val="32"/>
    </w:rPr>
  </w:style>
  <w:style w:type="character" w:customStyle="1" w:styleId="60">
    <w:name w:val="标题 3 字符"/>
    <w:basedOn w:val="40"/>
    <w:link w:val="4"/>
    <w:qFormat/>
    <w:uiPriority w:val="99"/>
    <w:rPr>
      <w:rFonts w:ascii="??" w:hAnsi="??" w:eastAsia="宋体" w:cs="Arial"/>
      <w:b/>
      <w:bCs/>
      <w:color w:val="000000"/>
      <w:kern w:val="0"/>
      <w:sz w:val="32"/>
      <w:szCs w:val="32"/>
    </w:rPr>
  </w:style>
  <w:style w:type="character" w:customStyle="1" w:styleId="61">
    <w:name w:val="页眉 字符"/>
    <w:basedOn w:val="40"/>
    <w:link w:val="22"/>
    <w:qFormat/>
    <w:uiPriority w:val="99"/>
    <w:rPr>
      <w:rFonts w:ascii="Calibri" w:hAnsi="Calibri" w:eastAsia="宋体" w:cs="Times New Roman"/>
      <w:sz w:val="18"/>
      <w:szCs w:val="18"/>
    </w:rPr>
  </w:style>
  <w:style w:type="character" w:customStyle="1" w:styleId="62">
    <w:name w:val="页脚 字符"/>
    <w:basedOn w:val="40"/>
    <w:link w:val="21"/>
    <w:qFormat/>
    <w:uiPriority w:val="99"/>
    <w:rPr>
      <w:rFonts w:ascii="Calibri" w:hAnsi="Calibri" w:eastAsia="宋体" w:cs="Times New Roman"/>
      <w:sz w:val="18"/>
      <w:szCs w:val="18"/>
    </w:rPr>
  </w:style>
  <w:style w:type="character" w:customStyle="1" w:styleId="63">
    <w:name w:val="正文文本缩进 字符"/>
    <w:basedOn w:val="40"/>
    <w:link w:val="12"/>
    <w:qFormat/>
    <w:uiPriority w:val="0"/>
    <w:rPr>
      <w:rFonts w:ascii="??" w:hAnsi="??" w:eastAsia="宋体" w:cs="Arial"/>
      <w:kern w:val="0"/>
      <w:sz w:val="24"/>
      <w:szCs w:val="24"/>
    </w:rPr>
  </w:style>
  <w:style w:type="paragraph" w:styleId="64">
    <w:name w:val="List Paragraph"/>
    <w:basedOn w:val="1"/>
    <w:qFormat/>
    <w:uiPriority w:val="34"/>
    <w:pPr>
      <w:ind w:firstLine="420" w:firstLineChars="200"/>
    </w:pPr>
    <w:rPr>
      <w:rFonts w:cs="Times New Roman"/>
    </w:rPr>
  </w:style>
  <w:style w:type="character" w:customStyle="1" w:styleId="65">
    <w:name w:val="标题 2 Char Char"/>
    <w:qFormat/>
    <w:uiPriority w:val="99"/>
    <w:rPr>
      <w:rFonts w:ascii="Arial" w:hAnsi="Arial" w:eastAsia="黑体"/>
      <w:b/>
      <w:kern w:val="2"/>
      <w:sz w:val="32"/>
      <w:lang w:val="en-US" w:eastAsia="zh-CN"/>
    </w:rPr>
  </w:style>
  <w:style w:type="character" w:customStyle="1" w:styleId="66">
    <w:name w:val="2charchar"/>
    <w:basedOn w:val="40"/>
    <w:qFormat/>
    <w:uiPriority w:val="99"/>
    <w:rPr>
      <w:rFonts w:cs="Times New Roman"/>
    </w:rPr>
  </w:style>
  <w:style w:type="paragraph" w:customStyle="1" w:styleId="67">
    <w:name w:val="表格文字"/>
    <w:basedOn w:val="1"/>
    <w:qFormat/>
    <w:uiPriority w:val="99"/>
    <w:pPr>
      <w:adjustRightInd w:val="0"/>
      <w:spacing w:line="420" w:lineRule="atLeast"/>
      <w:jc w:val="left"/>
    </w:pPr>
    <w:rPr>
      <w:rFonts w:ascii="Times New Roman" w:hAnsi="Times New Roman" w:cs="Times New Roman"/>
      <w:kern w:val="0"/>
      <w:szCs w:val="20"/>
    </w:rPr>
  </w:style>
  <w:style w:type="paragraph" w:customStyle="1" w:styleId="68">
    <w:name w:val="z-窗体顶端1"/>
    <w:basedOn w:val="1"/>
    <w:next w:val="1"/>
    <w:link w:val="69"/>
    <w:qFormat/>
    <w:uiPriority w:val="99"/>
    <w:pPr>
      <w:widowControl/>
      <w:pBdr>
        <w:bottom w:val="single" w:color="auto" w:sz="6" w:space="1"/>
      </w:pBdr>
      <w:jc w:val="center"/>
    </w:pPr>
    <w:rPr>
      <w:rFonts w:ascii="Arial" w:hAnsi="Arial" w:cs="Arial"/>
      <w:vanish/>
      <w:kern w:val="0"/>
      <w:sz w:val="16"/>
      <w:szCs w:val="16"/>
    </w:rPr>
  </w:style>
  <w:style w:type="character" w:customStyle="1" w:styleId="69">
    <w:name w:val="z-窗体顶端 Char"/>
    <w:basedOn w:val="40"/>
    <w:link w:val="68"/>
    <w:qFormat/>
    <w:uiPriority w:val="99"/>
    <w:rPr>
      <w:rFonts w:ascii="Arial" w:hAnsi="Arial" w:eastAsia="宋体" w:cs="Arial"/>
      <w:vanish/>
      <w:kern w:val="0"/>
      <w:sz w:val="16"/>
      <w:szCs w:val="16"/>
    </w:rPr>
  </w:style>
  <w:style w:type="paragraph" w:customStyle="1" w:styleId="70">
    <w:name w:val="z-窗体底端1"/>
    <w:basedOn w:val="1"/>
    <w:next w:val="1"/>
    <w:link w:val="71"/>
    <w:qFormat/>
    <w:uiPriority w:val="99"/>
    <w:pPr>
      <w:widowControl/>
      <w:pBdr>
        <w:top w:val="single" w:color="auto" w:sz="6" w:space="1"/>
      </w:pBdr>
      <w:jc w:val="center"/>
    </w:pPr>
    <w:rPr>
      <w:rFonts w:ascii="Arial" w:hAnsi="Arial" w:cs="Arial"/>
      <w:vanish/>
      <w:kern w:val="0"/>
      <w:sz w:val="16"/>
      <w:szCs w:val="16"/>
    </w:rPr>
  </w:style>
  <w:style w:type="character" w:customStyle="1" w:styleId="71">
    <w:name w:val="z-窗体底端 Char"/>
    <w:basedOn w:val="40"/>
    <w:link w:val="70"/>
    <w:qFormat/>
    <w:uiPriority w:val="99"/>
    <w:rPr>
      <w:rFonts w:ascii="Arial" w:hAnsi="Arial" w:eastAsia="宋体" w:cs="Arial"/>
      <w:vanish/>
      <w:kern w:val="0"/>
      <w:sz w:val="16"/>
      <w:szCs w:val="16"/>
    </w:rPr>
  </w:style>
  <w:style w:type="paragraph" w:customStyle="1" w:styleId="72">
    <w:name w:val="hu正文"/>
    <w:basedOn w:val="1"/>
    <w:link w:val="73"/>
    <w:qFormat/>
    <w:uiPriority w:val="99"/>
    <w:pPr>
      <w:spacing w:before="156" w:after="156" w:line="300" w:lineRule="auto"/>
      <w:ind w:firstLine="480" w:firstLineChars="200"/>
    </w:pPr>
    <w:rPr>
      <w:rFonts w:ascii="Times New Roman" w:hAnsi="Times New Roman" w:cs="Times New Roman"/>
      <w:kern w:val="0"/>
      <w:sz w:val="24"/>
      <w:szCs w:val="20"/>
    </w:rPr>
  </w:style>
  <w:style w:type="character" w:customStyle="1" w:styleId="73">
    <w:name w:val="hu正文 Char"/>
    <w:link w:val="72"/>
    <w:qFormat/>
    <w:uiPriority w:val="99"/>
    <w:rPr>
      <w:rFonts w:ascii="Times New Roman" w:hAnsi="Times New Roman" w:eastAsia="宋体" w:cs="Times New Roman"/>
      <w:kern w:val="0"/>
      <w:sz w:val="24"/>
      <w:szCs w:val="20"/>
    </w:rPr>
  </w:style>
  <w:style w:type="paragraph" w:styleId="74">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5">
    <w:name w:val="批注框文本 字符"/>
    <w:basedOn w:val="40"/>
    <w:link w:val="20"/>
    <w:qFormat/>
    <w:uiPriority w:val="99"/>
    <w:rPr>
      <w:rFonts w:ascii="Calibri" w:hAnsi="Calibri" w:eastAsia="宋体" w:cs="Times New Roman"/>
      <w:sz w:val="18"/>
      <w:szCs w:val="18"/>
    </w:rPr>
  </w:style>
  <w:style w:type="character" w:customStyle="1" w:styleId="76">
    <w:name w:val="ui-bz-bg-hover1"/>
    <w:basedOn w:val="40"/>
    <w:qFormat/>
    <w:uiPriority w:val="99"/>
    <w:rPr>
      <w:rFonts w:cs="Times New Roman"/>
    </w:rPr>
  </w:style>
  <w:style w:type="character" w:customStyle="1" w:styleId="77">
    <w:name w:val="批注框文本 Char1"/>
    <w:qFormat/>
    <w:uiPriority w:val="99"/>
    <w:rPr>
      <w:rFonts w:ascii="Times New Roman" w:hAnsi="Times New Roman" w:eastAsia="宋体"/>
      <w:sz w:val="18"/>
    </w:rPr>
  </w:style>
  <w:style w:type="character" w:customStyle="1" w:styleId="78">
    <w:name w:val="bds_nopic"/>
    <w:basedOn w:val="40"/>
    <w:qFormat/>
    <w:uiPriority w:val="99"/>
    <w:rPr>
      <w:rFonts w:cs="Times New Roman"/>
    </w:rPr>
  </w:style>
  <w:style w:type="character" w:customStyle="1" w:styleId="79">
    <w:name w:val="tip12"/>
    <w:qFormat/>
    <w:uiPriority w:val="99"/>
    <w:rPr>
      <w:vanish/>
      <w:color w:val="FF0000"/>
      <w:sz w:val="18"/>
    </w:rPr>
  </w:style>
  <w:style w:type="character" w:customStyle="1" w:styleId="80">
    <w:name w:val="Body Text Indent 3 Char"/>
    <w:qFormat/>
    <w:uiPriority w:val="99"/>
    <w:rPr>
      <w:rFonts w:ascii="宋体" w:eastAsia="宋体"/>
    </w:rPr>
  </w:style>
  <w:style w:type="character" w:customStyle="1" w:styleId="81">
    <w:name w:val="HTML Markup"/>
    <w:qFormat/>
    <w:uiPriority w:val="99"/>
    <w:rPr>
      <w:vanish/>
      <w:color w:val="FF0000"/>
    </w:rPr>
  </w:style>
  <w:style w:type="character" w:customStyle="1" w:styleId="82">
    <w:name w:val="tip7"/>
    <w:qFormat/>
    <w:uiPriority w:val="99"/>
    <w:rPr>
      <w:vanish/>
      <w:color w:val="FF0000"/>
      <w:sz w:val="18"/>
    </w:rPr>
  </w:style>
  <w:style w:type="character" w:customStyle="1" w:styleId="83">
    <w:name w:val="f-star"/>
    <w:qFormat/>
    <w:uiPriority w:val="99"/>
    <w:rPr>
      <w:color w:val="999999"/>
      <w:sz w:val="21"/>
    </w:rPr>
  </w:style>
  <w:style w:type="character" w:customStyle="1" w:styleId="84">
    <w:name w:val="Document Map Char1"/>
    <w:qFormat/>
    <w:uiPriority w:val="99"/>
    <w:rPr>
      <w:rFonts w:ascii="Times New Roman" w:hAnsi="Times New Roman"/>
      <w:kern w:val="2"/>
      <w:sz w:val="2"/>
    </w:rPr>
  </w:style>
  <w:style w:type="character" w:customStyle="1" w:styleId="85">
    <w:name w:val="my-class2"/>
    <w:basedOn w:val="40"/>
    <w:qFormat/>
    <w:uiPriority w:val="99"/>
    <w:rPr>
      <w:rFonts w:cs="Times New Roman"/>
    </w:rPr>
  </w:style>
  <w:style w:type="character" w:customStyle="1" w:styleId="86">
    <w:name w:val="no52"/>
    <w:basedOn w:val="40"/>
    <w:qFormat/>
    <w:uiPriority w:val="99"/>
    <w:rPr>
      <w:rFonts w:cs="Times New Roman"/>
    </w:rPr>
  </w:style>
  <w:style w:type="character" w:customStyle="1" w:styleId="87">
    <w:name w:val="no4"/>
    <w:basedOn w:val="40"/>
    <w:qFormat/>
    <w:uiPriority w:val="99"/>
    <w:rPr>
      <w:rFonts w:cs="Times New Roman"/>
    </w:rPr>
  </w:style>
  <w:style w:type="character" w:customStyle="1" w:styleId="88">
    <w:name w:val="my-notice"/>
    <w:basedOn w:val="40"/>
    <w:qFormat/>
    <w:uiPriority w:val="99"/>
    <w:rPr>
      <w:rFonts w:cs="Times New Roman"/>
    </w:rPr>
  </w:style>
  <w:style w:type="character" w:customStyle="1" w:styleId="89">
    <w:name w:val="ico-jiang"/>
    <w:basedOn w:val="40"/>
    <w:qFormat/>
    <w:uiPriority w:val="99"/>
    <w:rPr>
      <w:rFonts w:cs="Times New Roman"/>
    </w:rPr>
  </w:style>
  <w:style w:type="character" w:customStyle="1" w:styleId="90">
    <w:name w:val="ico-jiang2"/>
    <w:basedOn w:val="40"/>
    <w:qFormat/>
    <w:uiPriority w:val="99"/>
    <w:rPr>
      <w:rFonts w:cs="Times New Roman"/>
    </w:rPr>
  </w:style>
  <w:style w:type="character" w:customStyle="1" w:styleId="91">
    <w:name w:val="bds_more1"/>
    <w:qFormat/>
    <w:uiPriority w:val="99"/>
    <w:rPr>
      <w:rFonts w:ascii="宋体" w:hAnsi="宋体" w:eastAsia="宋体"/>
    </w:rPr>
  </w:style>
  <w:style w:type="character" w:customStyle="1" w:styleId="92">
    <w:name w:val="Body Text Indent 2 Char"/>
    <w:qFormat/>
    <w:uiPriority w:val="99"/>
    <w:rPr>
      <w:rFonts w:ascii="宋体" w:eastAsia="宋体"/>
      <w:sz w:val="24"/>
    </w:rPr>
  </w:style>
  <w:style w:type="character" w:customStyle="1" w:styleId="93">
    <w:name w:val="org_name"/>
    <w:basedOn w:val="40"/>
    <w:qFormat/>
    <w:uiPriority w:val="99"/>
    <w:rPr>
      <w:rFonts w:cs="Times New Roman"/>
    </w:rPr>
  </w:style>
  <w:style w:type="character" w:customStyle="1" w:styleId="94">
    <w:name w:val="org_name2"/>
    <w:basedOn w:val="40"/>
    <w:qFormat/>
    <w:uiPriority w:val="99"/>
    <w:rPr>
      <w:rFonts w:cs="Times New Roman"/>
    </w:rPr>
  </w:style>
  <w:style w:type="character" w:customStyle="1" w:styleId="95">
    <w:name w:val="tip10"/>
    <w:qFormat/>
    <w:uiPriority w:val="99"/>
    <w:rPr>
      <w:vanish/>
      <w:color w:val="FF0000"/>
      <w:sz w:val="18"/>
    </w:rPr>
  </w:style>
  <w:style w:type="character" w:customStyle="1" w:styleId="96">
    <w:name w:val="orange"/>
    <w:qFormat/>
    <w:uiPriority w:val="99"/>
    <w:rPr>
      <w:color w:val="3FB58F"/>
    </w:rPr>
  </w:style>
  <w:style w:type="character" w:customStyle="1" w:styleId="97">
    <w:name w:val="bds_more"/>
    <w:basedOn w:val="40"/>
    <w:qFormat/>
    <w:uiPriority w:val="99"/>
    <w:rPr>
      <w:rFonts w:cs="Times New Roman"/>
    </w:rPr>
  </w:style>
  <w:style w:type="character" w:customStyle="1" w:styleId="98">
    <w:name w:val="t-tag"/>
    <w:qFormat/>
    <w:uiPriority w:val="99"/>
    <w:rPr>
      <w:color w:val="FFFFFF"/>
      <w:sz w:val="18"/>
      <w:shd w:val="clear" w:color="auto" w:fill="FE8833"/>
    </w:rPr>
  </w:style>
  <w:style w:type="character" w:customStyle="1" w:styleId="99">
    <w:name w:val="top-icon"/>
    <w:basedOn w:val="40"/>
    <w:qFormat/>
    <w:uiPriority w:val="99"/>
    <w:rPr>
      <w:rFonts w:cs="Times New Roman"/>
    </w:rPr>
  </w:style>
  <w:style w:type="character" w:customStyle="1" w:styleId="100">
    <w:name w:val="Body Text Char"/>
    <w:qFormat/>
    <w:uiPriority w:val="99"/>
    <w:rPr>
      <w:sz w:val="24"/>
    </w:rPr>
  </w:style>
  <w:style w:type="character" w:customStyle="1" w:styleId="101">
    <w:name w:val="no72"/>
    <w:basedOn w:val="40"/>
    <w:qFormat/>
    <w:uiPriority w:val="99"/>
    <w:rPr>
      <w:rFonts w:cs="Times New Roman"/>
    </w:rPr>
  </w:style>
  <w:style w:type="character" w:customStyle="1" w:styleId="102">
    <w:name w:val="bds_nopic2"/>
    <w:basedOn w:val="40"/>
    <w:qFormat/>
    <w:uiPriority w:val="99"/>
    <w:rPr>
      <w:rFonts w:cs="Times New Roman"/>
    </w:rPr>
  </w:style>
  <w:style w:type="character" w:customStyle="1" w:styleId="103">
    <w:name w:val="Document Map Char"/>
    <w:qFormat/>
    <w:uiPriority w:val="99"/>
    <w:rPr>
      <w:rFonts w:ascii="宋体"/>
      <w:sz w:val="18"/>
    </w:rPr>
  </w:style>
  <w:style w:type="character" w:customStyle="1" w:styleId="104">
    <w:name w:val="no6"/>
    <w:basedOn w:val="40"/>
    <w:qFormat/>
    <w:uiPriority w:val="99"/>
    <w:rPr>
      <w:rFonts w:cs="Times New Roman"/>
    </w:rPr>
  </w:style>
  <w:style w:type="character" w:customStyle="1" w:styleId="105">
    <w:name w:val="tip"/>
    <w:qFormat/>
    <w:uiPriority w:val="99"/>
    <w:rPr>
      <w:vanish/>
      <w:color w:val="FF0000"/>
      <w:sz w:val="18"/>
    </w:rPr>
  </w:style>
  <w:style w:type="character" w:customStyle="1" w:styleId="106">
    <w:name w:val="apple-converted-space"/>
    <w:basedOn w:val="40"/>
    <w:qFormat/>
    <w:uiPriority w:val="99"/>
    <w:rPr>
      <w:rFonts w:cs="Times New Roman"/>
    </w:rPr>
  </w:style>
  <w:style w:type="character" w:customStyle="1" w:styleId="107">
    <w:name w:val="bds_more2"/>
    <w:basedOn w:val="40"/>
    <w:qFormat/>
    <w:uiPriority w:val="99"/>
    <w:rPr>
      <w:rFonts w:cs="Times New Roman"/>
    </w:rPr>
  </w:style>
  <w:style w:type="character" w:customStyle="1" w:styleId="108">
    <w:name w:val="my-class"/>
    <w:basedOn w:val="40"/>
    <w:qFormat/>
    <w:uiPriority w:val="99"/>
    <w:rPr>
      <w:rFonts w:cs="Times New Roman"/>
    </w:rPr>
  </w:style>
  <w:style w:type="character" w:customStyle="1" w:styleId="109">
    <w:name w:val="ui-bz-bg-hover"/>
    <w:qFormat/>
    <w:uiPriority w:val="99"/>
    <w:rPr>
      <w:shd w:val="clear" w:color="auto" w:fill="000000"/>
    </w:rPr>
  </w:style>
  <w:style w:type="character" w:customStyle="1" w:styleId="110">
    <w:name w:val="no7"/>
    <w:basedOn w:val="40"/>
    <w:qFormat/>
    <w:uiPriority w:val="99"/>
    <w:rPr>
      <w:rFonts w:cs="Times New Roman"/>
    </w:rPr>
  </w:style>
  <w:style w:type="character" w:customStyle="1" w:styleId="111">
    <w:name w:val="正文缩进 字符"/>
    <w:link w:val="8"/>
    <w:qFormat/>
    <w:uiPriority w:val="99"/>
    <w:rPr>
      <w:rFonts w:ascii="Times New Roman" w:hAnsi="Times New Roman" w:eastAsia="宋体" w:cs="Times New Roman"/>
      <w:kern w:val="0"/>
      <w:sz w:val="24"/>
      <w:szCs w:val="20"/>
    </w:rPr>
  </w:style>
  <w:style w:type="character" w:customStyle="1" w:styleId="112">
    <w:name w:val="ico-jiang1"/>
    <w:basedOn w:val="40"/>
    <w:qFormat/>
    <w:uiPriority w:val="99"/>
    <w:rPr>
      <w:rFonts w:cs="Times New Roman"/>
    </w:rPr>
  </w:style>
  <w:style w:type="character" w:customStyle="1" w:styleId="113">
    <w:name w:val="no62"/>
    <w:basedOn w:val="40"/>
    <w:qFormat/>
    <w:uiPriority w:val="99"/>
    <w:rPr>
      <w:rFonts w:cs="Times New Roman"/>
    </w:rPr>
  </w:style>
  <w:style w:type="character" w:customStyle="1" w:styleId="114">
    <w:name w:val="orange5"/>
    <w:qFormat/>
    <w:uiPriority w:val="99"/>
    <w:rPr>
      <w:color w:val="3FB58F"/>
    </w:rPr>
  </w:style>
  <w:style w:type="character" w:customStyle="1" w:styleId="115">
    <w:name w:val="bds_more4"/>
    <w:basedOn w:val="40"/>
    <w:qFormat/>
    <w:uiPriority w:val="99"/>
    <w:rPr>
      <w:rFonts w:cs="Times New Roman"/>
    </w:rPr>
  </w:style>
  <w:style w:type="character" w:customStyle="1" w:styleId="116">
    <w:name w:val="no5"/>
    <w:basedOn w:val="40"/>
    <w:qFormat/>
    <w:uiPriority w:val="99"/>
    <w:rPr>
      <w:rFonts w:cs="Times New Roman"/>
    </w:rPr>
  </w:style>
  <w:style w:type="character" w:customStyle="1" w:styleId="117">
    <w:name w:val="bds_more3"/>
    <w:basedOn w:val="40"/>
    <w:qFormat/>
    <w:uiPriority w:val="99"/>
    <w:rPr>
      <w:rFonts w:cs="Times New Roman"/>
    </w:rPr>
  </w:style>
  <w:style w:type="character" w:customStyle="1" w:styleId="118">
    <w:name w:val="no42"/>
    <w:basedOn w:val="40"/>
    <w:qFormat/>
    <w:uiPriority w:val="99"/>
    <w:rPr>
      <w:rFonts w:cs="Times New Roman"/>
    </w:rPr>
  </w:style>
  <w:style w:type="character" w:customStyle="1" w:styleId="119">
    <w:name w:val="bds_nopic1"/>
    <w:basedOn w:val="40"/>
    <w:qFormat/>
    <w:uiPriority w:val="99"/>
    <w:rPr>
      <w:rFonts w:cs="Times New Roman"/>
    </w:rPr>
  </w:style>
  <w:style w:type="character" w:customStyle="1" w:styleId="120">
    <w:name w:val="my-notice1"/>
    <w:basedOn w:val="40"/>
    <w:qFormat/>
    <w:uiPriority w:val="99"/>
    <w:rPr>
      <w:rFonts w:cs="Times New Roman"/>
    </w:rPr>
  </w:style>
  <w:style w:type="character" w:customStyle="1" w:styleId="121">
    <w:name w:val="orange6"/>
    <w:qFormat/>
    <w:uiPriority w:val="99"/>
    <w:rPr>
      <w:color w:val="3FB58F"/>
    </w:rPr>
  </w:style>
  <w:style w:type="character" w:customStyle="1" w:styleId="122">
    <w:name w:val="Document Map Char2"/>
    <w:qFormat/>
    <w:uiPriority w:val="99"/>
    <w:rPr>
      <w:rFonts w:ascii="宋体"/>
      <w:sz w:val="18"/>
    </w:rPr>
  </w:style>
  <w:style w:type="character" w:customStyle="1" w:styleId="123">
    <w:name w:val="ico-jiang3"/>
    <w:basedOn w:val="40"/>
    <w:qFormat/>
    <w:uiPriority w:val="99"/>
    <w:rPr>
      <w:rFonts w:cs="Times New Roman"/>
    </w:rPr>
  </w:style>
  <w:style w:type="character" w:customStyle="1" w:styleId="124">
    <w:name w:val="tip13"/>
    <w:qFormat/>
    <w:uiPriority w:val="99"/>
    <w:rPr>
      <w:vanish/>
      <w:color w:val="FF0000"/>
      <w:sz w:val="18"/>
    </w:rPr>
  </w:style>
  <w:style w:type="character" w:customStyle="1" w:styleId="125">
    <w:name w:val="正文文本缩进 2 字符"/>
    <w:basedOn w:val="40"/>
    <w:link w:val="19"/>
    <w:qFormat/>
    <w:uiPriority w:val="99"/>
    <w:rPr>
      <w:rFonts w:ascii="宋体" w:hAnsi="Calibri" w:eastAsia="宋体" w:cs="Times New Roman"/>
      <w:kern w:val="0"/>
      <w:sz w:val="24"/>
      <w:szCs w:val="20"/>
    </w:rPr>
  </w:style>
  <w:style w:type="character" w:customStyle="1" w:styleId="126">
    <w:name w:val="Body Text Indent 2 Char1"/>
    <w:basedOn w:val="40"/>
    <w:qFormat/>
    <w:uiPriority w:val="99"/>
    <w:rPr>
      <w:rFonts w:cs="Times New Roman"/>
    </w:rPr>
  </w:style>
  <w:style w:type="character" w:customStyle="1" w:styleId="127">
    <w:name w:val="正文文本缩进 3 字符"/>
    <w:basedOn w:val="40"/>
    <w:link w:val="28"/>
    <w:qFormat/>
    <w:uiPriority w:val="99"/>
    <w:rPr>
      <w:rFonts w:ascii="宋体" w:hAnsi="Calibri" w:eastAsia="宋体" w:cs="Times New Roman"/>
      <w:kern w:val="0"/>
      <w:sz w:val="20"/>
      <w:szCs w:val="20"/>
    </w:rPr>
  </w:style>
  <w:style w:type="character" w:customStyle="1" w:styleId="128">
    <w:name w:val="Body Text Indent 3 Char1"/>
    <w:basedOn w:val="40"/>
    <w:qFormat/>
    <w:uiPriority w:val="99"/>
    <w:rPr>
      <w:rFonts w:cs="Times New Roman"/>
      <w:sz w:val="16"/>
      <w:szCs w:val="16"/>
    </w:rPr>
  </w:style>
  <w:style w:type="character" w:customStyle="1" w:styleId="129">
    <w:name w:val="文档结构图 字符"/>
    <w:basedOn w:val="40"/>
    <w:link w:val="9"/>
    <w:qFormat/>
    <w:uiPriority w:val="99"/>
    <w:rPr>
      <w:rFonts w:ascii="宋体" w:hAnsi="Calibri" w:eastAsia="宋体" w:cs="Times New Roman"/>
      <w:kern w:val="0"/>
      <w:sz w:val="18"/>
      <w:szCs w:val="20"/>
    </w:rPr>
  </w:style>
  <w:style w:type="character" w:customStyle="1" w:styleId="130">
    <w:name w:val="Document Map Char3"/>
    <w:basedOn w:val="40"/>
    <w:qFormat/>
    <w:uiPriority w:val="99"/>
    <w:rPr>
      <w:rFonts w:ascii="Times New Roman" w:hAnsi="Times New Roman" w:cs="Times New Roman"/>
      <w:sz w:val="2"/>
    </w:rPr>
  </w:style>
  <w:style w:type="paragraph" w:customStyle="1" w:styleId="131">
    <w:name w:val="_Style 1"/>
    <w:basedOn w:val="1"/>
    <w:qFormat/>
    <w:uiPriority w:val="99"/>
    <w:pPr>
      <w:ind w:firstLine="420" w:firstLineChars="200"/>
    </w:pPr>
    <w:rPr>
      <w:rFonts w:ascii="Times New Roman" w:hAnsi="Times New Roman" w:cs="Times New Roman"/>
      <w:szCs w:val="24"/>
    </w:rPr>
  </w:style>
  <w:style w:type="character" w:customStyle="1" w:styleId="132">
    <w:name w:val="正文文本 字符"/>
    <w:basedOn w:val="40"/>
    <w:link w:val="11"/>
    <w:qFormat/>
    <w:uiPriority w:val="99"/>
    <w:rPr>
      <w:rFonts w:ascii="Calibri" w:hAnsi="Calibri" w:eastAsia="宋体" w:cs="Times New Roman"/>
      <w:kern w:val="0"/>
      <w:sz w:val="24"/>
      <w:szCs w:val="20"/>
    </w:rPr>
  </w:style>
  <w:style w:type="character" w:customStyle="1" w:styleId="133">
    <w:name w:val="Body Text Char1"/>
    <w:basedOn w:val="40"/>
    <w:qFormat/>
    <w:uiPriority w:val="99"/>
    <w:rPr>
      <w:rFonts w:cs="Times New Roman"/>
    </w:rPr>
  </w:style>
  <w:style w:type="paragraph" w:customStyle="1" w:styleId="134">
    <w:name w:val="_Style 21"/>
    <w:basedOn w:val="1"/>
    <w:qFormat/>
    <w:uiPriority w:val="99"/>
    <w:rPr>
      <w:rFonts w:ascii="Times New Roman" w:hAnsi="Times New Roman" w:cs="Times New Roman"/>
      <w:szCs w:val="20"/>
    </w:rPr>
  </w:style>
  <w:style w:type="paragraph" w:customStyle="1" w:styleId="135">
    <w:name w:val="p0"/>
    <w:basedOn w:val="1"/>
    <w:qFormat/>
    <w:uiPriority w:val="99"/>
    <w:pPr>
      <w:widowControl/>
    </w:pPr>
    <w:rPr>
      <w:rFonts w:ascii="Times New Roman" w:hAnsi="Times New Roman" w:cs="Times New Roman"/>
      <w:kern w:val="0"/>
      <w:szCs w:val="21"/>
    </w:rPr>
  </w:style>
  <w:style w:type="paragraph" w:customStyle="1" w:styleId="136">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cs="Times New Roman"/>
      <w:kern w:val="0"/>
      <w:sz w:val="18"/>
      <w:szCs w:val="18"/>
    </w:rPr>
  </w:style>
  <w:style w:type="paragraph" w:customStyle="1" w:styleId="137">
    <w:name w:val="xl25"/>
    <w:basedOn w:val="1"/>
    <w:qFormat/>
    <w:uiPriority w:val="99"/>
    <w:pPr>
      <w:widowControl/>
      <w:spacing w:before="100" w:beforeAutospacing="1" w:after="100" w:afterAutospacing="1"/>
      <w:textAlignment w:val="center"/>
    </w:pPr>
    <w:rPr>
      <w:rFonts w:ascii="宋体" w:hAnsi="宋体" w:cs="Times New Roman"/>
      <w:kern w:val="0"/>
      <w:sz w:val="18"/>
      <w:szCs w:val="18"/>
    </w:rPr>
  </w:style>
  <w:style w:type="paragraph" w:customStyle="1" w:styleId="138">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cs="Times New Roman"/>
      <w:color w:val="404040"/>
      <w:kern w:val="0"/>
      <w:sz w:val="24"/>
      <w:szCs w:val="20"/>
      <w:lang w:eastAsia="en-US"/>
    </w:rPr>
  </w:style>
  <w:style w:type="paragraph" w:customStyle="1" w:styleId="139">
    <w:name w:val="无间隔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0">
    <w:name w:val="列出段落11"/>
    <w:basedOn w:val="1"/>
    <w:qFormat/>
    <w:uiPriority w:val="99"/>
    <w:pPr>
      <w:ind w:firstLine="420" w:firstLineChars="200"/>
    </w:pPr>
    <w:rPr>
      <w:rFonts w:ascii="Times New Roman" w:hAnsi="Times New Roman" w:cs="Times New Roman"/>
      <w:szCs w:val="24"/>
    </w:rPr>
  </w:style>
  <w:style w:type="paragraph" w:customStyle="1" w:styleId="141">
    <w:name w:val="_Style 2"/>
    <w:basedOn w:val="1"/>
    <w:qFormat/>
    <w:uiPriority w:val="99"/>
    <w:pPr>
      <w:ind w:firstLine="420" w:firstLineChars="200"/>
    </w:pPr>
    <w:rPr>
      <w:rFonts w:cs="Times New Roman"/>
    </w:rPr>
  </w:style>
  <w:style w:type="paragraph" w:customStyle="1" w:styleId="142">
    <w:name w:val="txt14"/>
    <w:basedOn w:val="1"/>
    <w:qFormat/>
    <w:uiPriority w:val="99"/>
    <w:pPr>
      <w:widowControl/>
      <w:spacing w:before="100" w:beforeAutospacing="1" w:after="100" w:afterAutospacing="1"/>
      <w:jc w:val="left"/>
    </w:pPr>
    <w:rPr>
      <w:rFonts w:ascii="宋体" w:hAnsi="宋体" w:cs="Times New Roman"/>
      <w:color w:val="000000"/>
      <w:kern w:val="0"/>
      <w:szCs w:val="21"/>
    </w:rPr>
  </w:style>
  <w:style w:type="paragraph" w:customStyle="1" w:styleId="143">
    <w:name w:val="_Style 11"/>
    <w:basedOn w:val="1"/>
    <w:qFormat/>
    <w:uiPriority w:val="99"/>
    <w:rPr>
      <w:rFonts w:ascii="Times New Roman" w:hAnsi="Times New Roman" w:cs="Times New Roman"/>
      <w:szCs w:val="24"/>
    </w:rPr>
  </w:style>
  <w:style w:type="paragraph" w:customStyle="1" w:styleId="144">
    <w:name w:val="Char"/>
    <w:basedOn w:val="1"/>
    <w:qFormat/>
    <w:uiPriority w:val="99"/>
    <w:rPr>
      <w:rFonts w:ascii="Times New Roman" w:hAnsi="Times New Roman" w:cs="Times New Roman"/>
      <w:szCs w:val="21"/>
    </w:rPr>
  </w:style>
  <w:style w:type="paragraph" w:customStyle="1" w:styleId="145">
    <w:name w:val="列出段落1"/>
    <w:basedOn w:val="1"/>
    <w:qFormat/>
    <w:uiPriority w:val="0"/>
    <w:pPr>
      <w:ind w:firstLine="420" w:firstLineChars="200"/>
    </w:pPr>
    <w:rPr>
      <w:rFonts w:ascii="Times New Roman" w:hAnsi="Times New Roman" w:cs="Times New Roman"/>
      <w:szCs w:val="24"/>
    </w:rPr>
  </w:style>
  <w:style w:type="paragraph" w:customStyle="1" w:styleId="146">
    <w:name w:val="列出段落2"/>
    <w:basedOn w:val="1"/>
    <w:qFormat/>
    <w:uiPriority w:val="99"/>
    <w:pPr>
      <w:ind w:firstLine="420" w:firstLineChars="200"/>
    </w:pPr>
    <w:rPr>
      <w:rFonts w:ascii="Times New Roman" w:hAnsi="Times New Roman" w:cs="Times New Roman"/>
      <w:szCs w:val="24"/>
    </w:rPr>
  </w:style>
  <w:style w:type="paragraph" w:customStyle="1" w:styleId="147">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8">
    <w:name w:val="正文文本缩进 31"/>
    <w:basedOn w:val="1"/>
    <w:qFormat/>
    <w:uiPriority w:val="99"/>
    <w:pPr>
      <w:spacing w:line="440" w:lineRule="exact"/>
      <w:ind w:firstLine="412" w:firstLineChars="200"/>
    </w:pPr>
    <w:rPr>
      <w:rFonts w:ascii="宋体" w:hAnsi="宋体" w:cs="Times New Roman"/>
      <w:kern w:val="0"/>
      <w:sz w:val="20"/>
      <w:szCs w:val="20"/>
    </w:rPr>
  </w:style>
  <w:style w:type="character" w:customStyle="1" w:styleId="149">
    <w:name w:val="font41"/>
    <w:qFormat/>
    <w:uiPriority w:val="99"/>
    <w:rPr>
      <w:rFonts w:hint="eastAsia" w:ascii="宋体" w:hAnsi="宋体" w:eastAsia="宋体" w:cs="宋体"/>
      <w:b/>
      <w:color w:val="000000"/>
      <w:sz w:val="22"/>
      <w:szCs w:val="22"/>
      <w:u w:val="none"/>
    </w:rPr>
  </w:style>
  <w:style w:type="character" w:customStyle="1" w:styleId="150">
    <w:name w:val="font81"/>
    <w:basedOn w:val="40"/>
    <w:qFormat/>
    <w:uiPriority w:val="99"/>
    <w:rPr>
      <w:rFonts w:hint="eastAsia" w:ascii="宋体" w:hAnsi="宋体" w:eastAsia="宋体" w:cs="宋体"/>
      <w:b/>
      <w:color w:val="000000"/>
      <w:sz w:val="22"/>
      <w:szCs w:val="22"/>
      <w:u w:val="none"/>
    </w:rPr>
  </w:style>
  <w:style w:type="character" w:customStyle="1" w:styleId="151">
    <w:name w:val="font21"/>
    <w:qFormat/>
    <w:uiPriority w:val="0"/>
    <w:rPr>
      <w:rFonts w:hint="eastAsia" w:ascii="宋体" w:hAnsi="宋体" w:eastAsia="宋体" w:cs="宋体"/>
      <w:color w:val="000000"/>
      <w:sz w:val="18"/>
      <w:szCs w:val="18"/>
      <w:u w:val="none"/>
    </w:rPr>
  </w:style>
  <w:style w:type="character" w:customStyle="1" w:styleId="152">
    <w:name w:val="日期 字符"/>
    <w:link w:val="18"/>
    <w:qFormat/>
    <w:uiPriority w:val="0"/>
    <w:rPr>
      <w:szCs w:val="21"/>
    </w:rPr>
  </w:style>
  <w:style w:type="character" w:customStyle="1" w:styleId="153">
    <w:name w:val="font01"/>
    <w:qFormat/>
    <w:uiPriority w:val="99"/>
    <w:rPr>
      <w:rFonts w:hint="eastAsia" w:ascii="宋体" w:hAnsi="宋体" w:eastAsia="宋体" w:cs="宋体"/>
      <w:color w:val="000000"/>
      <w:sz w:val="22"/>
      <w:szCs w:val="22"/>
      <w:u w:val="none"/>
    </w:rPr>
  </w:style>
  <w:style w:type="character" w:customStyle="1" w:styleId="154">
    <w:name w:val="Char Char1"/>
    <w:qFormat/>
    <w:uiPriority w:val="0"/>
    <w:rPr>
      <w:rFonts w:eastAsia="宋体"/>
      <w:kern w:val="2"/>
      <w:sz w:val="18"/>
      <w:szCs w:val="18"/>
      <w:lang w:val="en-US" w:eastAsia="zh-CN" w:bidi="ar-SA"/>
    </w:rPr>
  </w:style>
  <w:style w:type="character" w:customStyle="1" w:styleId="155">
    <w:name w:val="标题 字符"/>
    <w:link w:val="35"/>
    <w:qFormat/>
    <w:uiPriority w:val="0"/>
    <w:rPr>
      <w:rFonts w:ascii="Cambria" w:hAnsi="Cambria" w:cs="Times New Roman"/>
      <w:b/>
      <w:bCs/>
      <w:sz w:val="32"/>
      <w:szCs w:val="32"/>
    </w:rPr>
  </w:style>
  <w:style w:type="character" w:customStyle="1" w:styleId="156">
    <w:name w:val="hei141"/>
    <w:qFormat/>
    <w:uiPriority w:val="0"/>
    <w:rPr>
      <w:rFonts w:hint="eastAsia" w:ascii="宋体" w:hAnsi="宋体" w:eastAsia="宋体"/>
      <w:color w:val="000000"/>
      <w:sz w:val="19"/>
      <w:szCs w:val="19"/>
      <w:u w:val="none"/>
    </w:rPr>
  </w:style>
  <w:style w:type="character" w:customStyle="1" w:styleId="157">
    <w:name w:val="批注文字 字符"/>
    <w:link w:val="10"/>
    <w:qFormat/>
    <w:uiPriority w:val="0"/>
  </w:style>
  <w:style w:type="character" w:customStyle="1" w:styleId="158">
    <w:name w:val="apple-style-span"/>
    <w:basedOn w:val="40"/>
    <w:qFormat/>
    <w:uiPriority w:val="0"/>
  </w:style>
  <w:style w:type="character" w:customStyle="1" w:styleId="159">
    <w:name w:val="param-value"/>
    <w:qFormat/>
    <w:uiPriority w:val="99"/>
    <w:rPr>
      <w:rFonts w:cs="Times New Roman"/>
    </w:rPr>
  </w:style>
  <w:style w:type="character" w:customStyle="1" w:styleId="160">
    <w:name w:val="font61"/>
    <w:qFormat/>
    <w:uiPriority w:val="0"/>
    <w:rPr>
      <w:rFonts w:hint="eastAsia" w:ascii="宋体" w:hAnsi="宋体" w:eastAsia="宋体" w:cs="宋体"/>
      <w:color w:val="000000"/>
      <w:sz w:val="22"/>
      <w:szCs w:val="22"/>
      <w:u w:val="none"/>
    </w:rPr>
  </w:style>
  <w:style w:type="character" w:customStyle="1" w:styleId="161">
    <w:name w:val="font11"/>
    <w:qFormat/>
    <w:uiPriority w:val="0"/>
    <w:rPr>
      <w:rFonts w:hint="eastAsia" w:ascii="宋体" w:hAnsi="宋体" w:eastAsia="宋体" w:cs="宋体"/>
      <w:color w:val="FF0000"/>
      <w:sz w:val="22"/>
      <w:szCs w:val="22"/>
      <w:u w:val="none"/>
    </w:rPr>
  </w:style>
  <w:style w:type="character" w:customStyle="1" w:styleId="162">
    <w:name w:val="批注主题 字符"/>
    <w:link w:val="36"/>
    <w:qFormat/>
    <w:uiPriority w:val="0"/>
    <w:rPr>
      <w:b/>
      <w:bCs/>
    </w:rPr>
  </w:style>
  <w:style w:type="character" w:customStyle="1" w:styleId="163">
    <w:name w:val="批注文字 Char1"/>
    <w:basedOn w:val="40"/>
    <w:qFormat/>
    <w:uiPriority w:val="99"/>
  </w:style>
  <w:style w:type="paragraph" w:customStyle="1" w:styleId="164">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5">
    <w:name w:val="批注主题 Char1"/>
    <w:basedOn w:val="163"/>
    <w:qFormat/>
    <w:uiPriority w:val="99"/>
    <w:rPr>
      <w:b/>
      <w:bCs/>
    </w:rPr>
  </w:style>
  <w:style w:type="paragraph" w:customStyle="1" w:styleId="166">
    <w:name w:val="reader-word-layer reader-word-s1-17"/>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67">
    <w:name w:val="日期 Char1"/>
    <w:basedOn w:val="40"/>
    <w:qFormat/>
    <w:uiPriority w:val="99"/>
  </w:style>
  <w:style w:type="paragraph" w:customStyle="1" w:styleId="168">
    <w:name w:val="reader-word-layer reader-word-s1-14"/>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69">
    <w:name w:val="脚注文本 字符"/>
    <w:basedOn w:val="40"/>
    <w:link w:val="26"/>
    <w:qFormat/>
    <w:uiPriority w:val="0"/>
    <w:rPr>
      <w:rFonts w:ascii="Times New Roman" w:hAnsi="Times New Roman" w:eastAsia="宋体" w:cs="Times New Roman"/>
      <w:sz w:val="18"/>
      <w:szCs w:val="18"/>
    </w:rPr>
  </w:style>
  <w:style w:type="paragraph" w:customStyle="1" w:styleId="170">
    <w:name w:val="reader-word-layer reader-word-s1-16"/>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71">
    <w:name w:val="reader-word-layer reader-word-s1-15"/>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72">
    <w:name w:val="标题 Char1"/>
    <w:basedOn w:val="40"/>
    <w:qFormat/>
    <w:uiPriority w:val="10"/>
    <w:rPr>
      <w:rFonts w:ascii="Cambria" w:hAnsi="Cambria" w:eastAsia="宋体" w:cs="宋体"/>
      <w:b/>
      <w:bCs/>
      <w:sz w:val="32"/>
      <w:szCs w:val="32"/>
    </w:rPr>
  </w:style>
  <w:style w:type="paragraph" w:customStyle="1" w:styleId="173">
    <w:name w:val="本文正文"/>
    <w:basedOn w:val="1"/>
    <w:qFormat/>
    <w:uiPriority w:val="0"/>
    <w:pPr>
      <w:widowControl/>
      <w:spacing w:line="480" w:lineRule="exact"/>
      <w:ind w:firstLine="200" w:firstLineChars="200"/>
      <w:jc w:val="left"/>
    </w:pPr>
    <w:rPr>
      <w:rFonts w:ascii="宋体" w:hAnsi="宋体" w:cs="Times New Roman"/>
      <w:kern w:val="0"/>
      <w:sz w:val="24"/>
      <w:szCs w:val="24"/>
    </w:rPr>
  </w:style>
  <w:style w:type="paragraph" w:customStyle="1" w:styleId="174">
    <w:name w:val="reader-word-layer reader-word-s1-18"/>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75">
    <w:name w:val="Char Char Char1 Char Char Char Char"/>
    <w:basedOn w:val="1"/>
    <w:qFormat/>
    <w:uiPriority w:val="99"/>
    <w:pPr>
      <w:spacing w:line="300" w:lineRule="auto"/>
    </w:pPr>
    <w:rPr>
      <w:rFonts w:ascii="Tahoma" w:hAnsi="Tahoma" w:cs="Times New Roman"/>
      <w:sz w:val="24"/>
      <w:szCs w:val="24"/>
    </w:rPr>
  </w:style>
  <w:style w:type="paragraph" w:customStyle="1" w:styleId="176">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7">
    <w:name w:val="List Paragraph1"/>
    <w:basedOn w:val="1"/>
    <w:qFormat/>
    <w:uiPriority w:val="0"/>
    <w:pPr>
      <w:ind w:firstLine="420" w:firstLineChars="200"/>
    </w:pPr>
    <w:rPr>
      <w:rFonts w:ascii="Times New Roman" w:hAnsi="Times New Roman" w:cs="Times New Roman"/>
      <w:szCs w:val="24"/>
    </w:rPr>
  </w:style>
  <w:style w:type="paragraph" w:customStyle="1" w:styleId="178">
    <w:name w:val="reader-word-layer reader-word-s1-1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79">
    <w:name w:val="reader-word-layer reader-word-s1-19"/>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80">
    <w:name w:val="reader-word-layer reader-word-s1-1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81">
    <w:name w:val="Char Char4"/>
    <w:basedOn w:val="1"/>
    <w:qFormat/>
    <w:uiPriority w:val="0"/>
    <w:pPr>
      <w:widowControl/>
      <w:spacing w:after="160" w:line="240" w:lineRule="exact"/>
      <w:jc w:val="left"/>
    </w:pPr>
    <w:rPr>
      <w:rFonts w:ascii="Times New Roman" w:hAnsi="Times New Roman" w:cs="Times New Roman"/>
      <w:szCs w:val="24"/>
    </w:rPr>
  </w:style>
  <w:style w:type="paragraph" w:customStyle="1" w:styleId="182">
    <w:name w:val="reader-word-layer"/>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83">
    <w:name w:val="Char Char4 Char Char"/>
    <w:basedOn w:val="1"/>
    <w:qFormat/>
    <w:uiPriority w:val="0"/>
    <w:pPr>
      <w:widowControl/>
      <w:spacing w:after="160" w:line="240" w:lineRule="exact"/>
      <w:jc w:val="left"/>
    </w:pPr>
    <w:rPr>
      <w:rFonts w:ascii="Times New Roman" w:hAnsi="Times New Roman" w:cs="Times New Roman"/>
      <w:szCs w:val="24"/>
    </w:rPr>
  </w:style>
  <w:style w:type="paragraph" w:customStyle="1" w:styleId="184">
    <w:name w:val="列出段落3"/>
    <w:basedOn w:val="1"/>
    <w:qFormat/>
    <w:uiPriority w:val="0"/>
    <w:pPr>
      <w:ind w:firstLine="420" w:firstLineChars="200"/>
    </w:pPr>
    <w:rPr>
      <w:rFonts w:ascii="Times New Roman" w:hAnsi="Times New Roman" w:cs="Times New Roman"/>
      <w:szCs w:val="24"/>
    </w:rPr>
  </w:style>
  <w:style w:type="character" w:customStyle="1" w:styleId="185">
    <w:name w:val="Char Char12"/>
    <w:qFormat/>
    <w:uiPriority w:val="0"/>
    <w:rPr>
      <w:rFonts w:eastAsia="宋体"/>
      <w:kern w:val="2"/>
      <w:sz w:val="18"/>
      <w:szCs w:val="18"/>
      <w:lang w:val="en-US" w:eastAsia="zh-CN" w:bidi="ar-SA"/>
    </w:rPr>
  </w:style>
  <w:style w:type="paragraph" w:customStyle="1" w:styleId="186">
    <w:name w:val="Char Char42"/>
    <w:basedOn w:val="1"/>
    <w:qFormat/>
    <w:uiPriority w:val="0"/>
    <w:pPr>
      <w:widowControl/>
      <w:spacing w:after="160" w:line="240" w:lineRule="exact"/>
      <w:jc w:val="left"/>
    </w:pPr>
    <w:rPr>
      <w:rFonts w:ascii="Times New Roman" w:hAnsi="Times New Roman" w:cs="Times New Roman"/>
      <w:szCs w:val="24"/>
    </w:rPr>
  </w:style>
  <w:style w:type="paragraph" w:customStyle="1" w:styleId="187">
    <w:name w:val="Char Char4 Char Char2"/>
    <w:basedOn w:val="1"/>
    <w:qFormat/>
    <w:uiPriority w:val="0"/>
    <w:pPr>
      <w:widowControl/>
      <w:spacing w:after="160" w:line="240" w:lineRule="exact"/>
      <w:jc w:val="left"/>
    </w:pPr>
    <w:rPr>
      <w:rFonts w:ascii="Times New Roman" w:hAnsi="Times New Roman" w:cs="Times New Roman"/>
      <w:szCs w:val="24"/>
    </w:rPr>
  </w:style>
  <w:style w:type="paragraph" w:customStyle="1" w:styleId="188">
    <w:name w:val="列出段落4"/>
    <w:basedOn w:val="1"/>
    <w:qFormat/>
    <w:uiPriority w:val="0"/>
    <w:pPr>
      <w:ind w:firstLine="420" w:firstLineChars="200"/>
    </w:pPr>
    <w:rPr>
      <w:rFonts w:ascii="Times New Roman" w:hAnsi="Times New Roman" w:cs="Times New Roman"/>
      <w:szCs w:val="24"/>
    </w:rPr>
  </w:style>
  <w:style w:type="character" w:customStyle="1" w:styleId="189">
    <w:name w:val="Char Char11"/>
    <w:qFormat/>
    <w:uiPriority w:val="0"/>
    <w:rPr>
      <w:rFonts w:eastAsia="宋体"/>
      <w:kern w:val="2"/>
      <w:sz w:val="18"/>
      <w:szCs w:val="18"/>
      <w:lang w:val="en-US" w:eastAsia="zh-CN" w:bidi="ar-SA"/>
    </w:rPr>
  </w:style>
  <w:style w:type="paragraph" w:customStyle="1" w:styleId="190">
    <w:name w:val="Char Char41"/>
    <w:basedOn w:val="1"/>
    <w:qFormat/>
    <w:uiPriority w:val="0"/>
    <w:pPr>
      <w:widowControl/>
      <w:spacing w:after="160" w:line="240" w:lineRule="exact"/>
      <w:jc w:val="left"/>
    </w:pPr>
    <w:rPr>
      <w:rFonts w:ascii="Times New Roman" w:hAnsi="Times New Roman" w:cs="Times New Roman"/>
      <w:szCs w:val="24"/>
    </w:rPr>
  </w:style>
  <w:style w:type="paragraph" w:customStyle="1" w:styleId="191">
    <w:name w:val="Char Char4 Char Char1"/>
    <w:basedOn w:val="1"/>
    <w:qFormat/>
    <w:uiPriority w:val="0"/>
    <w:pPr>
      <w:widowControl/>
      <w:spacing w:after="160" w:line="240" w:lineRule="exact"/>
      <w:jc w:val="left"/>
    </w:pPr>
    <w:rPr>
      <w:rFonts w:ascii="Times New Roman" w:hAnsi="Times New Roman" w:cs="Times New Roman"/>
      <w:szCs w:val="24"/>
    </w:rPr>
  </w:style>
  <w:style w:type="paragraph" w:customStyle="1" w:styleId="192">
    <w:name w:val="列出段落5"/>
    <w:basedOn w:val="1"/>
    <w:qFormat/>
    <w:uiPriority w:val="0"/>
    <w:pPr>
      <w:ind w:firstLine="420" w:firstLineChars="200"/>
    </w:pPr>
    <w:rPr>
      <w:rFonts w:ascii="Times New Roman" w:hAnsi="Times New Roman" w:cs="Times New Roman"/>
      <w:szCs w:val="24"/>
    </w:rPr>
  </w:style>
  <w:style w:type="character" w:customStyle="1" w:styleId="193">
    <w:name w:val="纯文本 字符"/>
    <w:link w:val="14"/>
    <w:qFormat/>
    <w:uiPriority w:val="0"/>
    <w:rPr>
      <w:rFonts w:ascii="宋体" w:hAnsi="Courier New" w:eastAsia="宋体"/>
      <w:szCs w:val="21"/>
    </w:rPr>
  </w:style>
  <w:style w:type="character" w:customStyle="1" w:styleId="194">
    <w:name w:val="纯文本 Char1"/>
    <w:basedOn w:val="40"/>
    <w:qFormat/>
    <w:uiPriority w:val="99"/>
    <w:rPr>
      <w:rFonts w:ascii="宋体" w:hAnsi="Courier New" w:eastAsia="宋体" w:cs="Courier New"/>
      <w:szCs w:val="21"/>
    </w:rPr>
  </w:style>
  <w:style w:type="paragraph" w:customStyle="1" w:styleId="195">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196">
    <w:name w:val="Table Paragraph"/>
    <w:basedOn w:val="1"/>
    <w:qFormat/>
    <w:uiPriority w:val="1"/>
    <w:pPr>
      <w:autoSpaceDE w:val="0"/>
      <w:autoSpaceDN w:val="0"/>
      <w:jc w:val="left"/>
    </w:pPr>
    <w:rPr>
      <w:rFonts w:ascii="宋体" w:hAnsi="宋体"/>
      <w:kern w:val="0"/>
      <w:sz w:val="22"/>
    </w:rPr>
  </w:style>
  <w:style w:type="character" w:customStyle="1" w:styleId="197">
    <w:name w:val="正文文本首行缩进 2 字符"/>
    <w:basedOn w:val="63"/>
    <w:link w:val="37"/>
    <w:semiHidden/>
    <w:qFormat/>
    <w:uiPriority w:val="99"/>
    <w:rPr>
      <w:rFonts w:ascii="Calibri" w:hAnsi="Calibri" w:eastAsia="宋体" w:cs="宋体"/>
      <w:kern w:val="2"/>
      <w:sz w:val="21"/>
      <w:szCs w:val="22"/>
    </w:rPr>
  </w:style>
  <w:style w:type="paragraph" w:customStyle="1" w:styleId="198">
    <w:name w:val="UserStyle_4"/>
    <w:basedOn w:val="1"/>
    <w:qFormat/>
    <w:uiPriority w:val="0"/>
    <w:pPr>
      <w:widowControl/>
      <w:jc w:val="left"/>
      <w:textAlignment w:val="baseline"/>
    </w:pPr>
    <w:rPr>
      <w:rFonts w:ascii="宋体" w:hAnsi="宋体" w:cs="Times New Roman"/>
      <w:kern w:val="0"/>
      <w:sz w:val="22"/>
      <w:lang w:eastAsia="en-US"/>
    </w:rPr>
  </w:style>
  <w:style w:type="paragraph" w:customStyle="1" w:styleId="199">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character" w:customStyle="1" w:styleId="200">
    <w:name w:val="font51"/>
    <w:basedOn w:val="40"/>
    <w:qFormat/>
    <w:uiPriority w:val="0"/>
    <w:rPr>
      <w:rFonts w:hint="eastAsia" w:ascii="宋体" w:hAnsi="宋体" w:eastAsia="宋体" w:cs="宋体"/>
      <w:color w:val="000000"/>
      <w:sz w:val="20"/>
      <w:szCs w:val="20"/>
      <w:u w:val="none"/>
    </w:rPr>
  </w:style>
  <w:style w:type="character" w:customStyle="1" w:styleId="201">
    <w:name w:val="font71"/>
    <w:basedOn w:val="40"/>
    <w:qFormat/>
    <w:uiPriority w:val="0"/>
    <w:rPr>
      <w:rFonts w:hint="eastAsia" w:ascii="宋体" w:hAnsi="宋体" w:eastAsia="宋体" w:cs="宋体"/>
      <w:color w:val="000000"/>
      <w:sz w:val="20"/>
      <w:szCs w:val="20"/>
      <w:u w:val="none"/>
    </w:rPr>
  </w:style>
  <w:style w:type="paragraph" w:customStyle="1" w:styleId="202">
    <w:name w:val="正文_1_0"/>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03">
    <w:name w:val="未处理的提及1"/>
    <w:basedOn w:val="40"/>
    <w:semiHidden/>
    <w:unhideWhenUsed/>
    <w:qFormat/>
    <w:uiPriority w:val="99"/>
    <w:rPr>
      <w:color w:val="605E5C"/>
      <w:shd w:val="clear" w:color="auto" w:fill="E1DFDD"/>
    </w:rPr>
  </w:style>
  <w:style w:type="paragraph" w:customStyle="1" w:styleId="204">
    <w:name w:val="正文缩进1"/>
    <w:basedOn w:val="1"/>
    <w:next w:val="12"/>
    <w:qFormat/>
    <w:uiPriority w:val="0"/>
    <w:pPr>
      <w:autoSpaceDE w:val="0"/>
      <w:autoSpaceDN w:val="0"/>
      <w:adjustRightInd w:val="0"/>
      <w:snapToGrid w:val="0"/>
      <w:spacing w:after="120" w:line="360" w:lineRule="auto"/>
      <w:ind w:left="420" w:leftChars="200" w:firstLine="480" w:firstLineChars="200"/>
    </w:pPr>
    <w:rPr>
      <w:rFonts w:ascii="Times New Roman" w:hAnsi="Times New Roman" w:cs="Times New Roman"/>
      <w:sz w:val="24"/>
      <w:szCs w:val="21"/>
    </w:rPr>
  </w:style>
  <w:style w:type="character" w:customStyle="1" w:styleId="205">
    <w:name w:val="7）页眉页脚"/>
    <w:qFormat/>
    <w:uiPriority w:val="0"/>
    <w:rPr>
      <w:rFonts w:ascii="仿宋_GB2312" w:eastAsia="仿宋_GB2312"/>
      <w:b/>
      <w:i/>
      <w:sz w:val="18"/>
      <w:vertAlign w:val="baseline"/>
    </w:rPr>
  </w:style>
  <w:style w:type="character" w:customStyle="1" w:styleId="206">
    <w:name w:val="font111"/>
    <w:basedOn w:val="4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DDB0C-30EF-4E15-B108-F4D345FDEA4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130</Pages>
  <Words>12260</Words>
  <Characters>69882</Characters>
  <Lines>582</Lines>
  <Paragraphs>163</Paragraphs>
  <TotalTime>35</TotalTime>
  <ScaleCrop>false</ScaleCrop>
  <LinksUpToDate>false</LinksUpToDate>
  <CharactersWithSpaces>81979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2023-08-10T12:46:00Z</dcterms:created>
  <dc:creator>WHB</dc:creator>
  <cp:lastModifiedBy>…</cp:lastModifiedBy>
  <cp:lastPrinted>2023-11-08T00:49:00Z</cp:lastPrinted>
  <dcterms:modified xsi:type="dcterms:W3CDTF">2023-11-28T11:28:59Z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9F213EB67DFC463DAD1191FDBE086B6C_13</vt:lpwstr>
  </property>
</Properties>
</file>