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 w:asciiTheme="majorEastAsia" w:hAnsiTheme="majorEastAsia" w:eastAsiaTheme="majorEastAsia"/>
          <w:b/>
          <w:bCs/>
          <w:color w:val="000000"/>
          <w:sz w:val="32"/>
          <w:szCs w:val="32"/>
          <w:shd w:val="clear" w:color="auto" w:fill="FFFF00"/>
          <w:lang w:val="zh-CN"/>
        </w:rPr>
        <w:sectPr>
          <w:headerReference r:id="rId3" w:type="default"/>
          <w:pgSz w:w="11906" w:h="16838"/>
          <w:pgMar w:top="1843" w:right="1701" w:bottom="1440" w:left="1418" w:header="851" w:footer="992" w:gutter="0"/>
          <w:cols w:space="720" w:num="1"/>
          <w:docGrid w:linePitch="312" w:charSpace="0"/>
        </w:sectPr>
      </w:pPr>
      <w:r>
        <w:rPr>
          <w:rFonts w:cs="仿宋" w:asciiTheme="majorEastAsia" w:hAnsiTheme="majorEastAsia" w:eastAsiaTheme="majorEastAsia"/>
          <w:b/>
          <w:bCs/>
          <w:color w:val="000000"/>
          <w:sz w:val="32"/>
          <w:szCs w:val="32"/>
          <w:shd w:val="clear" w:color="auto" w:fill="FFFF00"/>
          <w:lang w:val="zh-CN"/>
        </w:rPr>
        <w:drawing>
          <wp:anchor distT="0" distB="0" distL="114300" distR="114300" simplePos="0" relativeHeight="251659264" behindDoc="0" locked="0" layoutInCell="1" allowOverlap="1">
            <wp:simplePos x="0" y="0"/>
            <wp:positionH relativeFrom="column">
              <wp:posOffset>-895350</wp:posOffset>
            </wp:positionH>
            <wp:positionV relativeFrom="paragraph">
              <wp:posOffset>-1171575</wp:posOffset>
            </wp:positionV>
            <wp:extent cx="7549515" cy="10681970"/>
            <wp:effectExtent l="0" t="0" r="13335" b="5080"/>
            <wp:wrapNone/>
            <wp:docPr id="2" name="图片 2" descr="扫描098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0988_01"/>
                    <pic:cNvPicPr>
                      <a:picLocks noChangeAspect="1"/>
                    </pic:cNvPicPr>
                  </pic:nvPicPr>
                  <pic:blipFill>
                    <a:blip r:embed="rId14"/>
                    <a:stretch>
                      <a:fillRect/>
                    </a:stretch>
                  </pic:blipFill>
                  <pic:spPr>
                    <a:xfrm>
                      <a:off x="0" y="0"/>
                      <a:ext cx="7549515" cy="10681970"/>
                    </a:xfrm>
                    <a:prstGeom prst="rect">
                      <a:avLst/>
                    </a:prstGeom>
                  </pic:spPr>
                </pic:pic>
              </a:graphicData>
            </a:graphic>
          </wp:anchor>
        </w:drawing>
      </w:r>
    </w:p>
    <w:p>
      <w:pPr>
        <w:spacing w:line="360" w:lineRule="auto"/>
        <w:jc w:val="center"/>
        <w:rPr>
          <w:rFonts w:ascii="黑体" w:hAnsi="黑体" w:eastAsia="黑体" w:cs="仿宋"/>
          <w:sz w:val="48"/>
          <w:szCs w:val="28"/>
        </w:rPr>
      </w:pPr>
      <w:r>
        <w:rPr>
          <w:rFonts w:hint="eastAsia" w:ascii="黑体" w:hAnsi="黑体" w:eastAsia="黑体" w:cs="仿宋"/>
          <w:sz w:val="48"/>
          <w:szCs w:val="28"/>
        </w:rPr>
        <w:t>温馨提示</w:t>
      </w:r>
    </w:p>
    <w:p>
      <w:pPr>
        <w:spacing w:before="240" w:line="360" w:lineRule="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致各潜在投标人：</w:t>
      </w:r>
    </w:p>
    <w:p>
      <w:pPr>
        <w:spacing w:line="360" w:lineRule="auto"/>
        <w:ind w:right="225" w:rightChars="107" w:firstLine="570"/>
        <w:rPr>
          <w:rFonts w:cs="仿宋" w:asciiTheme="majorEastAsia" w:hAnsiTheme="majorEastAsia" w:eastAsiaTheme="majorEastAsia"/>
          <w:sz w:val="28"/>
        </w:rPr>
      </w:pPr>
      <w:r>
        <w:rPr>
          <w:rFonts w:hint="eastAsia" w:cs="仿宋" w:asciiTheme="majorEastAsia" w:hAnsiTheme="majorEastAsia" w:eastAsiaTheme="majorEastAsia"/>
          <w:sz w:val="28"/>
        </w:rPr>
        <w:t>非常感谢贵单位前来参加</w:t>
      </w:r>
      <w:r>
        <w:rPr>
          <w:rFonts w:hint="eastAsia" w:cs="仿宋" w:asciiTheme="majorEastAsia" w:hAnsiTheme="majorEastAsia" w:eastAsiaTheme="majorEastAsia"/>
          <w:sz w:val="28"/>
          <w:u w:val="single"/>
        </w:rPr>
        <w:t>成都市住建局数据中心建设项目</w:t>
      </w:r>
      <w:r>
        <w:rPr>
          <w:rFonts w:hint="eastAsia" w:cs="仿宋" w:asciiTheme="majorEastAsia" w:hAnsiTheme="majorEastAsia" w:eastAsiaTheme="majorEastAsia"/>
          <w:sz w:val="28"/>
        </w:rPr>
        <w:t>的投标活动，我司对投标文件的关键环节及注意事项作出以下提示，请认真阅读：</w:t>
      </w:r>
    </w:p>
    <w:p>
      <w:pPr>
        <w:numPr>
          <w:ilvl w:val="0"/>
          <w:numId w:val="3"/>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请务必仔细阅读招标文件，尤其要对实质性条款及否决投标的条件引起高度重视。</w:t>
      </w:r>
    </w:p>
    <w:p>
      <w:pPr>
        <w:numPr>
          <w:ilvl w:val="0"/>
          <w:numId w:val="3"/>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w:t>
      </w:r>
      <w: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t>仔细检查资格性和符合性相关证明资料是否按照招标文件要求提供完整。</w:t>
      </w:r>
    </w:p>
    <w:p>
      <w:pPr>
        <w:numPr>
          <w:ilvl w:val="0"/>
          <w:numId w:val="3"/>
        </w:numPr>
        <w:spacing w:line="360" w:lineRule="auto"/>
        <w:ind w:left="567" w:right="225" w:rightChars="107"/>
        <w:rPr>
          <w:rFonts w:cs="仿宋" w:asciiTheme="majorEastAsia" w:hAnsiTheme="majorEastAsia" w:eastAsiaTheme="majorEastAsia"/>
          <w:sz w:val="28"/>
        </w:rPr>
      </w:pPr>
      <w:r>
        <w:rPr>
          <w:rFonts w:hint="eastAsia" w:asciiTheme="majorEastAsia" w:hAnsiTheme="majorEastAsia" w:eastAsiaTheme="majorEastAsia"/>
          <w:sz w:val="28"/>
        </w:rPr>
        <w:t>请按照诚实信用原则提供相关资料并对其真实性、有效性及合法性负责。提供虚</w:t>
      </w:r>
      <w:r>
        <w:rPr>
          <w:rFonts w:hint="eastAsia" w:cs="仿宋" w:asciiTheme="majorEastAsia" w:hAnsiTheme="majorEastAsia" w:eastAsiaTheme="majorEastAsia"/>
          <w:sz w:val="28"/>
        </w:rPr>
        <w:t>假资料的，将依照政府采购相关法律法规进行处理。</w:t>
      </w:r>
    </w:p>
    <w:p>
      <w:pPr>
        <w:numPr>
          <w:ilvl w:val="0"/>
          <w:numId w:val="3"/>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本招标项目递交投标文件截止时间为：</w:t>
      </w:r>
      <w:r>
        <w:rPr>
          <w:rFonts w:hint="eastAsia" w:asciiTheme="majorEastAsia" w:hAnsiTheme="majorEastAsia" w:eastAsiaTheme="majorEastAsia"/>
          <w:sz w:val="28"/>
          <w:lang w:val="en-US" w:eastAsia="zh-CN"/>
        </w:rPr>
        <w:t>2021</w:t>
      </w:r>
      <w:r>
        <w:rPr>
          <w:rFonts w:asciiTheme="majorEastAsia" w:hAnsiTheme="majorEastAsia" w:eastAsiaTheme="majorEastAsia"/>
          <w:sz w:val="28"/>
        </w:rPr>
        <w:t>年</w:t>
      </w:r>
      <w:r>
        <w:rPr>
          <w:rFonts w:hint="eastAsia" w:asciiTheme="majorEastAsia" w:hAnsiTheme="majorEastAsia" w:eastAsiaTheme="majorEastAsia"/>
          <w:sz w:val="28"/>
          <w:lang w:val="en-US" w:eastAsia="zh-CN"/>
        </w:rPr>
        <w:t>12</w:t>
      </w:r>
      <w:r>
        <w:rPr>
          <w:rFonts w:asciiTheme="majorEastAsia" w:hAnsiTheme="majorEastAsia" w:eastAsiaTheme="majorEastAsia"/>
          <w:sz w:val="28"/>
        </w:rPr>
        <w:t>月</w:t>
      </w:r>
      <w:r>
        <w:rPr>
          <w:rFonts w:hint="eastAsia" w:asciiTheme="majorEastAsia" w:hAnsiTheme="majorEastAsia" w:eastAsiaTheme="majorEastAsia"/>
          <w:sz w:val="28"/>
          <w:lang w:val="en-US" w:eastAsia="zh-CN"/>
        </w:rPr>
        <w:t>17</w:t>
      </w:r>
      <w:r>
        <w:rPr>
          <w:rFonts w:asciiTheme="majorEastAsia" w:hAnsiTheme="majorEastAsia" w:eastAsiaTheme="majorEastAsia"/>
          <w:sz w:val="28"/>
        </w:rPr>
        <w:t>日</w:t>
      </w:r>
      <w:r>
        <w:rPr>
          <w:rFonts w:hint="eastAsia" w:asciiTheme="majorEastAsia" w:hAnsiTheme="majorEastAsia" w:eastAsiaTheme="majorEastAsia"/>
          <w:sz w:val="28"/>
          <w:lang w:val="en-US" w:eastAsia="zh-CN"/>
        </w:rPr>
        <w:t>09</w:t>
      </w:r>
      <w:r>
        <w:rPr>
          <w:rFonts w:hint="eastAsia" w:asciiTheme="majorEastAsia" w:hAnsiTheme="majorEastAsia" w:eastAsiaTheme="majorEastAsia"/>
          <w:sz w:val="28"/>
        </w:rPr>
        <w:t>时</w:t>
      </w:r>
      <w:r>
        <w:rPr>
          <w:rFonts w:hint="eastAsia" w:asciiTheme="majorEastAsia" w:hAnsiTheme="majorEastAsia" w:eastAsiaTheme="majorEastAsia"/>
          <w:sz w:val="28"/>
          <w:lang w:val="en-US" w:eastAsia="zh-CN"/>
        </w:rPr>
        <w:t>30</w:t>
      </w:r>
      <w:r>
        <w:rPr>
          <w:rFonts w:hint="eastAsia" w:asciiTheme="majorEastAsia" w:hAnsiTheme="majorEastAsia" w:eastAsiaTheme="majorEastAsia"/>
          <w:sz w:val="28"/>
        </w:rPr>
        <w:t>分。请按招标文件的规定按时递交投标文件，如招标文件要求递交样品的，请在递交投标文件截止时间前递交到招标文件指定地点</w:t>
      </w:r>
      <w:r>
        <w:rPr>
          <w:rFonts w:asciiTheme="majorEastAsia" w:hAnsiTheme="majorEastAsia" w:eastAsiaTheme="majorEastAsia"/>
          <w:sz w:val="28"/>
        </w:rPr>
        <w:t>并登记。</w:t>
      </w:r>
    </w:p>
    <w:p>
      <w:pPr>
        <w:pStyle w:val="2"/>
      </w:pPr>
    </w:p>
    <w:p>
      <w:pPr>
        <w:spacing w:line="360" w:lineRule="auto"/>
        <w:ind w:right="225" w:rightChars="107" w:firstLine="570"/>
        <w:rPr>
          <w:rFonts w:asciiTheme="majorEastAsia" w:hAnsiTheme="majorEastAsia" w:eastAsiaTheme="majorEastAsia"/>
          <w:color w:val="0D0D0D" w:themeColor="text1" w:themeTint="F2"/>
          <w:sz w:val="28"/>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t>在此仅是友情提示，不作为招标文件的一部分，请按照招标文件的要求做好投标文件编制及相关事宜。</w:t>
      </w:r>
    </w:p>
    <w:p>
      <w:pPr>
        <w:pStyle w:val="32"/>
        <w:spacing w:line="360" w:lineRule="auto"/>
        <w:ind w:right="225" w:rightChars="107" w:firstLine="220"/>
        <w:rPr>
          <w:rFonts w:asciiTheme="majorEastAsia" w:hAnsiTheme="majorEastAsia" w:eastAsiaTheme="majorEastAsia"/>
          <w:sz w:val="22"/>
        </w:rPr>
      </w:pPr>
    </w:p>
    <w:p>
      <w:pPr>
        <w:spacing w:line="360" w:lineRule="auto"/>
        <w:ind w:firstLine="570"/>
        <w:rPr>
          <w:rFonts w:cs="仿宋" w:asciiTheme="majorEastAsia" w:hAnsiTheme="majorEastAsia" w:eastAsiaTheme="majorEastAsia"/>
          <w:sz w:val="28"/>
          <w:szCs w:val="28"/>
        </w:rPr>
      </w:pPr>
      <w:r>
        <w:rPr>
          <w:rFonts w:hint="eastAsia" w:cs="仿宋" w:asciiTheme="majorEastAsia" w:hAnsiTheme="majorEastAsia" w:eastAsiaTheme="majorEastAsia"/>
          <w:sz w:val="28"/>
        </w:rPr>
        <w:t>感谢贵单位对我司工作的支持与配合</w:t>
      </w:r>
      <w:r>
        <w:rPr>
          <w:rFonts w:cs="仿宋" w:asciiTheme="majorEastAsia" w:hAnsiTheme="majorEastAsia" w:eastAsiaTheme="majorEastAsia"/>
          <w:sz w:val="28"/>
        </w:rPr>
        <w:t>！</w:t>
      </w:r>
    </w:p>
    <w:p>
      <w:pPr>
        <w:spacing w:line="500" w:lineRule="exact"/>
        <w:ind w:firstLine="2660" w:firstLineChars="950"/>
        <w:jc w:val="right"/>
        <w:rPr>
          <w:rFonts w:cs="仿宋" w:asciiTheme="majorEastAsia" w:hAnsiTheme="majorEastAsia" w:eastAsiaTheme="majorEastAsia"/>
          <w:sz w:val="28"/>
          <w:szCs w:val="28"/>
        </w:rPr>
        <w:sectPr>
          <w:headerReference r:id="rId4" w:type="default"/>
          <w:footerReference r:id="rId5" w:type="default"/>
          <w:pgSz w:w="11850" w:h="16783"/>
          <w:pgMar w:top="1843" w:right="1701" w:bottom="1417" w:left="1418" w:header="851" w:footer="992" w:gutter="0"/>
          <w:pgNumType w:start="1"/>
          <w:cols w:space="720" w:num="1"/>
          <w:docGrid w:linePitch="312" w:charSpace="0"/>
        </w:sectPr>
      </w:pPr>
    </w:p>
    <w:p>
      <w:pPr>
        <w:spacing w:line="360" w:lineRule="auto"/>
        <w:jc w:val="center"/>
        <w:rPr>
          <w:rStyle w:val="38"/>
          <w:rFonts w:ascii="黑体" w:hAnsi="黑体" w:eastAsia="黑体" w:cs="仿宋"/>
        </w:rPr>
      </w:pPr>
      <w:bookmarkStart w:id="0" w:name="_Hlt101233737"/>
      <w:bookmarkEnd w:id="0"/>
      <w:bookmarkStart w:id="1" w:name="_Hlt101843627"/>
      <w:bookmarkEnd w:id="1"/>
      <w:bookmarkStart w:id="2" w:name="_Toc495913050"/>
      <w:bookmarkStart w:id="3" w:name="_Toc495165787"/>
      <w:r>
        <w:rPr>
          <w:rFonts w:hint="eastAsia" w:ascii="黑体" w:hAnsi="黑体" w:eastAsia="黑体" w:cs="仿宋"/>
          <w:b/>
          <w:sz w:val="36"/>
          <w:szCs w:val="36"/>
        </w:rPr>
        <w:t>目录</w:t>
      </w:r>
    </w:p>
    <w:p>
      <w:pPr>
        <w:pStyle w:val="21"/>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14:textFill>
            <w14:solidFill>
              <w14:schemeClr w14:val="tx1"/>
            </w14:solidFill>
          </w14:textFill>
        </w:rPr>
      </w:pPr>
      <w:r>
        <w:rPr>
          <w:rStyle w:val="37"/>
          <w:rFonts w:hint="eastAsia" w:cs="仿宋" w:asciiTheme="majorEastAsia" w:hAnsiTheme="majorEastAsia" w:eastAsiaTheme="majorEastAsia"/>
          <w:color w:val="000000" w:themeColor="text1"/>
          <w:sz w:val="28"/>
          <w:szCs w:val="28"/>
          <w14:textFill>
            <w14:solidFill>
              <w14:schemeClr w14:val="tx1"/>
            </w14:solidFill>
          </w14:textFill>
        </w:rPr>
        <w:fldChar w:fldCharType="begin"/>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instrText xml:space="preserve">TOC \o "1-1" \h \u </w:instrText>
      </w:r>
      <w:r>
        <w:rPr>
          <w:rStyle w:val="37"/>
          <w:rFonts w:hint="eastAsia" w:cs="仿宋" w:asciiTheme="majorEastAsia" w:hAnsiTheme="majorEastAsia" w:eastAsiaTheme="majorEastAsia"/>
          <w:color w:val="000000" w:themeColor="text1"/>
          <w:sz w:val="28"/>
          <w:szCs w:val="28"/>
          <w14:textFill>
            <w14:solidFill>
              <w14:schemeClr w14:val="tx1"/>
            </w14:solidFill>
          </w14:textFill>
        </w:rPr>
        <w:fldChar w:fldCharType="separate"/>
      </w:r>
      <w:r>
        <w:fldChar w:fldCharType="begin"/>
      </w:r>
      <w:r>
        <w:instrText xml:space="preserve"> HYPERLINK \l "_Toc491875478" </w:instrText>
      </w:r>
      <w:r>
        <w:fldChar w:fldCharType="separate"/>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第一章</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投标邀请</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1</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"_Toc491875479" </w:instrText>
      </w:r>
      <w:r>
        <w:fldChar w:fldCharType="separate"/>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第二章</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投标须知</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4</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"_Toc491875480" </w:instrText>
      </w:r>
      <w:r>
        <w:fldChar w:fldCharType="separate"/>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第三章</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投标文件格式</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26</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"_Toc491875485" </w:instrText>
      </w:r>
      <w:r>
        <w:fldChar w:fldCharType="separate"/>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第四章</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投标人和投标产品的资格、资质性及其他类似效力要求</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52</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ind w:right="-506" w:rightChars="-241"/>
        <w:jc w:val="both"/>
        <w:outlineLvl w:val="9"/>
        <w:rPr>
          <w:rStyle w:val="37"/>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"_Toc491875486" </w:instrText>
      </w:r>
      <w:r>
        <w:fldChar w:fldCharType="separate"/>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第五章</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投标人应当提供的资格、资质性及其他类似效力要求的相关证明材料</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53</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"_Toc491875487" </w:instrText>
      </w:r>
      <w:r>
        <w:fldChar w:fldCharType="separate"/>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第六章</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招标项目技术、商务及其他要求</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59</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"_Toc491875488" </w:instrText>
      </w:r>
      <w:r>
        <w:fldChar w:fldCharType="separate"/>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第七章</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评标办法</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133</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7"/>
          <w:rFonts w:cs="仿宋" w:asciiTheme="majorEastAsia" w:hAnsiTheme="majorEastAsia" w:eastAsiaTheme="majorEastAsia"/>
          <w:b w:val="0"/>
          <w:bCs w:val="0"/>
          <w:color w:val="000000" w:themeColor="text1"/>
          <w:kern w:val="2"/>
          <w:sz w:val="28"/>
          <w:szCs w:val="28"/>
          <w14:textFill>
            <w14:solidFill>
              <w14:schemeClr w14:val="tx1"/>
            </w14:solidFill>
          </w14:textFill>
        </w:rPr>
        <w:sectPr>
          <w:footerReference r:id="rId6" w:type="default"/>
          <w:pgSz w:w="11906" w:h="16838"/>
          <w:pgMar w:top="1843" w:right="1701" w:bottom="1440" w:left="1418" w:header="851" w:footer="992" w:gutter="0"/>
          <w:pgNumType w:start="1"/>
          <w:cols w:space="720" w:num="1"/>
          <w:docGrid w:linePitch="312" w:charSpace="0"/>
        </w:sectPr>
      </w:pPr>
      <w:r>
        <w:fldChar w:fldCharType="begin"/>
      </w:r>
      <w:r>
        <w:instrText xml:space="preserve"> HYPERLINK \l "_Toc491875489" </w:instrText>
      </w:r>
      <w:r>
        <w:fldChar w:fldCharType="separate"/>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第八章</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政府采购合同</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7"/>
          <w:rFonts w:hint="eastAsia"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150</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7"/>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tabs>
          <w:tab w:val="right" w:leader="dot" w:pos="8364"/>
        </w:tabs>
        <w:spacing w:before="200" w:beforeAutospacing="1" w:after="200" w:afterAutospacing="1" w:line="360" w:lineRule="auto"/>
        <w:jc w:val="center"/>
        <w:outlineLvl w:val="9"/>
        <w:rPr>
          <w:rFonts w:ascii="黑体" w:hAnsi="黑体" w:eastAsia="黑体" w:cs="仿宋"/>
          <w:b w:val="0"/>
          <w:sz w:val="32"/>
          <w:szCs w:val="32"/>
        </w:rPr>
      </w:pPr>
      <w:r>
        <w:rPr>
          <w:rStyle w:val="37"/>
          <w:rFonts w:hint="eastAsia" w:cs="仿宋"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黑体" w:hAnsi="黑体" w:eastAsia="黑体" w:cs="仿宋"/>
          <w:sz w:val="32"/>
          <w:szCs w:val="32"/>
        </w:rPr>
        <w:t>第一章  投标邀请</w:t>
      </w:r>
      <w:bookmarkEnd w:id="2"/>
    </w:p>
    <w:bookmarkEnd w:id="3"/>
    <w:p>
      <w:pPr>
        <w:spacing w:before="240"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一、项目基本情况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1.1招标编号：510101202101568</w:t>
      </w:r>
    </w:p>
    <w:p>
      <w:pPr>
        <w:spacing w:line="360" w:lineRule="auto"/>
        <w:ind w:right="31" w:rightChars="15" w:firstLine="480" w:firstLineChars="200"/>
        <w:rPr>
          <w:rFonts w:cs="仿宋" w:asciiTheme="majorEastAsia" w:hAnsiTheme="majorEastAsia" w:eastAsiaTheme="majorEastAsia"/>
          <w:sz w:val="24"/>
          <w:szCs w:val="32"/>
        </w:rPr>
      </w:pPr>
      <w:r>
        <w:rPr>
          <w:rFonts w:hint="eastAsia" w:cs="仿宋" w:asciiTheme="majorEastAsia" w:hAnsiTheme="majorEastAsia" w:eastAsiaTheme="majorEastAsia"/>
          <w:bCs/>
          <w:sz w:val="24"/>
        </w:rPr>
        <w:t>1.2</w:t>
      </w:r>
      <w:r>
        <w:rPr>
          <w:rFonts w:hint="eastAsia" w:cs="仿宋" w:asciiTheme="majorEastAsia" w:hAnsiTheme="majorEastAsia" w:eastAsiaTheme="majorEastAsia"/>
          <w:sz w:val="24"/>
        </w:rPr>
        <w:t>项目名称：成都市住建局数据中心建设项目</w:t>
      </w:r>
    </w:p>
    <w:p>
      <w:pPr>
        <w:spacing w:line="360" w:lineRule="auto"/>
        <w:ind w:firstLine="480" w:firstLineChars="200"/>
        <w:rPr>
          <w:rFonts w:hint="default" w:cs="仿宋" w:asciiTheme="majorEastAsia" w:hAnsiTheme="majorEastAsia" w:eastAsiaTheme="majorEastAsia"/>
          <w:sz w:val="24"/>
          <w:lang w:val="en-US"/>
        </w:rPr>
      </w:pPr>
      <w:r>
        <w:rPr>
          <w:rFonts w:hint="eastAsia" w:cs="仿宋" w:asciiTheme="majorEastAsia" w:hAnsiTheme="majorEastAsia" w:eastAsiaTheme="majorEastAsia"/>
          <w:sz w:val="24"/>
          <w:szCs w:val="28"/>
        </w:rPr>
        <w:t>1.3预算金额：</w:t>
      </w:r>
      <w:r>
        <w:rPr>
          <w:rFonts w:hint="eastAsia" w:cs="仿宋" w:asciiTheme="majorEastAsia" w:hAnsiTheme="majorEastAsia" w:eastAsiaTheme="majorEastAsia"/>
          <w:sz w:val="24"/>
          <w:szCs w:val="28"/>
          <w:lang w:val="en-US" w:eastAsia="zh-CN"/>
        </w:rPr>
        <w:t>799.95万元</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1.4最高限价：799.35</w:t>
      </w:r>
      <w:r>
        <w:rPr>
          <w:rFonts w:hint="eastAsia" w:cs="仿宋" w:asciiTheme="majorEastAsia" w:hAnsiTheme="majorEastAsia" w:eastAsiaTheme="majorEastAsia"/>
          <w:sz w:val="24"/>
          <w:szCs w:val="28"/>
          <w:lang w:val="en-US" w:eastAsia="zh-CN"/>
        </w:rPr>
        <w:t>万元</w:t>
      </w:r>
    </w:p>
    <w:p>
      <w:pPr>
        <w:spacing w:line="360" w:lineRule="auto"/>
        <w:ind w:firstLine="480" w:firstLineChars="200"/>
        <w:rPr>
          <w:rFonts w:hint="default" w:ascii="宋体" w:hAnsi="宋体" w:eastAsia="宋体" w:cs="仿宋"/>
          <w:sz w:val="24"/>
          <w:lang w:val="en-US" w:eastAsia="zh-CN"/>
        </w:rPr>
      </w:pPr>
      <w:bookmarkStart w:id="4" w:name="_Hlk47710861"/>
      <w:r>
        <w:rPr>
          <w:rFonts w:hint="eastAsia" w:ascii="宋体" w:hAnsi="宋体" w:cs="仿宋"/>
          <w:sz w:val="24"/>
        </w:rPr>
        <w:t>1</w:t>
      </w:r>
      <w:r>
        <w:rPr>
          <w:rFonts w:ascii="宋体" w:hAnsi="宋体" w:cs="仿宋"/>
          <w:sz w:val="24"/>
        </w:rPr>
        <w:t>.5</w:t>
      </w:r>
      <w:r>
        <w:rPr>
          <w:rFonts w:hint="eastAsia" w:ascii="宋体" w:hAnsi="宋体" w:cs="仿宋"/>
          <w:sz w:val="24"/>
        </w:rPr>
        <w:t>资金来源：</w:t>
      </w:r>
      <w:r>
        <w:rPr>
          <w:rFonts w:hint="eastAsia" w:ascii="宋体" w:hAnsi="宋体" w:cs="仿宋"/>
          <w:sz w:val="24"/>
          <w:lang w:val="en-US" w:eastAsia="zh-CN"/>
        </w:rPr>
        <w:t>财政资金</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w:t>
      </w:r>
      <w:r>
        <w:rPr>
          <w:rFonts w:cs="仿宋" w:asciiTheme="majorEastAsia" w:hAnsiTheme="majorEastAsia" w:eastAsiaTheme="majorEastAsia"/>
          <w:sz w:val="24"/>
        </w:rPr>
        <w:t>6</w:t>
      </w:r>
      <w:r>
        <w:rPr>
          <w:rFonts w:hint="eastAsia" w:cs="仿宋" w:asciiTheme="majorEastAsia" w:hAnsiTheme="majorEastAsia" w:eastAsiaTheme="majorEastAsia"/>
          <w:sz w:val="24"/>
        </w:rPr>
        <w:t>采购需求：成都市住建局数据中心建设</w:t>
      </w:r>
      <w:bookmarkEnd w:id="4"/>
      <w:r>
        <w:rPr>
          <w:rFonts w:hint="eastAsia" w:cs="仿宋" w:asciiTheme="majorEastAsia" w:hAnsiTheme="majorEastAsia" w:eastAsiaTheme="majorEastAsia"/>
          <w:sz w:val="24"/>
        </w:rPr>
        <w:t>（具体内容详见招标文件第六章）。</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sz w:val="24"/>
        </w:rPr>
        <w:t>1.</w:t>
      </w:r>
      <w:r>
        <w:rPr>
          <w:rFonts w:cs="仿宋" w:asciiTheme="majorEastAsia" w:hAnsiTheme="majorEastAsia" w:eastAsiaTheme="majorEastAsia"/>
          <w:sz w:val="24"/>
        </w:rPr>
        <w:t>7</w:t>
      </w:r>
      <w:r>
        <w:rPr>
          <w:rFonts w:cs="仿宋" w:asciiTheme="majorEastAsia" w:hAnsiTheme="majorEastAsia" w:eastAsiaTheme="majorEastAsia"/>
          <w:bCs/>
          <w:sz w:val="24"/>
        </w:rPr>
        <w:t xml:space="preserve"> 合同</w:t>
      </w:r>
      <w:r>
        <w:rPr>
          <w:rFonts w:hint="eastAsia" w:cs="仿宋" w:asciiTheme="majorEastAsia" w:hAnsiTheme="majorEastAsia" w:eastAsiaTheme="majorEastAsia"/>
          <w:bCs/>
          <w:sz w:val="24"/>
        </w:rPr>
        <w:t>履行</w:t>
      </w:r>
      <w:r>
        <w:rPr>
          <w:rFonts w:cs="仿宋" w:asciiTheme="majorEastAsia" w:hAnsiTheme="majorEastAsia" w:eastAsiaTheme="majorEastAsia"/>
          <w:bCs/>
          <w:sz w:val="24"/>
        </w:rPr>
        <w:t>期限</w:t>
      </w:r>
      <w:r>
        <w:rPr>
          <w:rFonts w:hint="eastAsia" w:cs="仿宋" w:asciiTheme="majorEastAsia" w:hAnsiTheme="majorEastAsia" w:eastAsiaTheme="majorEastAsia"/>
          <w:bCs/>
          <w:sz w:val="24"/>
        </w:rPr>
        <w:t>(实施工期要求)</w:t>
      </w:r>
      <w:r>
        <w:rPr>
          <w:rFonts w:cs="仿宋" w:asciiTheme="majorEastAsia" w:hAnsiTheme="majorEastAsia" w:eastAsiaTheme="majorEastAsia"/>
          <w:bCs/>
          <w:sz w:val="24"/>
        </w:rPr>
        <w:t>：</w:t>
      </w:r>
      <w:r>
        <w:rPr>
          <w:rFonts w:hint="eastAsia" w:cs="仿宋" w:asciiTheme="majorEastAsia" w:hAnsiTheme="majorEastAsia" w:eastAsiaTheme="majorEastAsia"/>
          <w:bCs/>
          <w:sz w:val="24"/>
          <w:lang w:val="en-US" w:eastAsia="zh-CN"/>
        </w:rPr>
        <w:t>合同签订后360个自然日内完成项目建设，达到项目初验的条件。</w:t>
      </w:r>
    </w:p>
    <w:p>
      <w:pPr>
        <w:pStyle w:val="2"/>
        <w:spacing w:line="360" w:lineRule="auto"/>
        <w:ind w:firstLine="480" w:firstLineChars="200"/>
        <w:rPr>
          <w:sz w:val="24"/>
        </w:rPr>
      </w:pPr>
      <w:r>
        <w:rPr>
          <w:rFonts w:hint="eastAsia" w:cs="仿宋" w:asciiTheme="majorEastAsia" w:hAnsiTheme="majorEastAsia" w:eastAsiaTheme="majorEastAsia"/>
          <w:bCs/>
          <w:sz w:val="24"/>
        </w:rPr>
        <w:t>1.</w:t>
      </w:r>
      <w:r>
        <w:rPr>
          <w:rFonts w:cs="仿宋" w:asciiTheme="majorEastAsia" w:hAnsiTheme="majorEastAsia" w:eastAsiaTheme="majorEastAsia"/>
          <w:bCs/>
          <w:sz w:val="24"/>
        </w:rPr>
        <w:t>8</w:t>
      </w:r>
      <w:r>
        <w:rPr>
          <w:rFonts w:hint="eastAsia" w:cs="仿宋" w:asciiTheme="majorEastAsia" w:hAnsiTheme="majorEastAsia" w:eastAsiaTheme="majorEastAsia"/>
          <w:bCs/>
          <w:sz w:val="24"/>
        </w:rPr>
        <w:t xml:space="preserve"> 本项目</w:t>
      </w:r>
      <w:r>
        <w:rPr>
          <w:rFonts w:hint="eastAsia" w:cs="仿宋" w:asciiTheme="majorEastAsia" w:hAnsiTheme="majorEastAsia" w:eastAsiaTheme="majorEastAsia"/>
          <w:bCs/>
          <w:iCs/>
          <w:sz w:val="24"/>
          <w:u w:val="single"/>
        </w:rPr>
        <w:t>不接受</w:t>
      </w:r>
      <w:r>
        <w:rPr>
          <w:rFonts w:hint="eastAsia" w:cs="仿宋" w:asciiTheme="majorEastAsia" w:hAnsiTheme="majorEastAsia" w:eastAsiaTheme="majorEastAsia"/>
          <w:bCs/>
          <w:sz w:val="24"/>
        </w:rPr>
        <w:t>联合体投标。</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二、申请人的资格要求：</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2.1满足《中华人民共和国政府采购法》第二十二条规定:</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1"/>
        <w:ind w:firstLine="480"/>
        <w:rPr>
          <w:rFonts w:hint="eastAsia" w:cs="仿宋" w:asciiTheme="majorEastAsia" w:hAnsiTheme="majorEastAsia" w:eastAsiaTheme="majorEastAsia"/>
          <w:bCs/>
          <w:sz w:val="24"/>
        </w:rPr>
      </w:pPr>
      <w:r>
        <w:rPr>
          <w:rFonts w:hint="eastAsia" w:cs="仿宋" w:asciiTheme="majorEastAsia" w:hAnsiTheme="majorEastAsia" w:eastAsiaTheme="majorEastAsia"/>
          <w:sz w:val="24"/>
        </w:rPr>
        <w:t>2.2落实政府采购政策需满足的资格要求：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i w:val="0"/>
          <w:iCs/>
          <w:sz w:val="24"/>
          <w:u w:val="single"/>
        </w:rPr>
        <w:t>不是</w:t>
      </w:r>
      <w:r>
        <w:rPr>
          <w:rFonts w:hint="eastAsia" w:cs="仿宋" w:asciiTheme="majorEastAsia" w:hAnsiTheme="majorEastAsia" w:eastAsiaTheme="majorEastAsia"/>
          <w:bCs/>
          <w:sz w:val="24"/>
        </w:rPr>
        <w:t>专门面向中小企业采购的项目。</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bCs/>
          <w:sz w:val="24"/>
        </w:rPr>
        <w:t>2.3本项目的特定资格要求：</w:t>
      </w:r>
    </w:p>
    <w:p>
      <w:pPr>
        <w:pStyle w:val="41"/>
        <w:ind w:firstLine="600" w:firstLineChars="250"/>
        <w:rPr>
          <w:rFonts w:cs="仿宋" w:asciiTheme="majorEastAsia" w:hAnsiTheme="majorEastAsia" w:eastAsiaTheme="majorEastAsia"/>
          <w:color w:val="000000"/>
          <w:kern w:val="0"/>
          <w:sz w:val="24"/>
        </w:rPr>
      </w:pPr>
      <w:r>
        <w:rPr>
          <w:rFonts w:hint="eastAsia" w:cs="仿宋" w:asciiTheme="majorEastAsia" w:hAnsiTheme="majorEastAsia" w:eastAsiaTheme="majorEastAsia"/>
          <w:sz w:val="24"/>
        </w:rPr>
        <w:t>①根据本项目提出的特殊条件：</w:t>
      </w:r>
      <w:r>
        <w:rPr>
          <w:rFonts w:hint="eastAsia" w:cs="仿宋" w:asciiTheme="majorEastAsia" w:hAnsiTheme="majorEastAsia" w:eastAsiaTheme="majorEastAsia"/>
          <w:i/>
          <w:sz w:val="24"/>
          <w:u w:val="single"/>
          <w:lang w:val="en-US" w:eastAsia="zh-CN"/>
        </w:rPr>
        <w:t>/</w:t>
      </w:r>
      <w:r>
        <w:rPr>
          <w:rFonts w:cs="仿宋" w:asciiTheme="majorEastAsia" w:hAnsiTheme="majorEastAsia" w:eastAsiaTheme="majorEastAsia"/>
          <w:color w:val="000000"/>
          <w:kern w:val="0"/>
          <w:sz w:val="24"/>
        </w:rPr>
        <w:t>。</w:t>
      </w:r>
    </w:p>
    <w:p>
      <w:pPr>
        <w:pStyle w:val="41"/>
        <w:ind w:firstLine="482"/>
        <w:rPr>
          <w:rFonts w:cs="仿宋" w:asciiTheme="majorEastAsia" w:hAnsiTheme="majorEastAsia" w:eastAsiaTheme="majorEastAsia"/>
          <w:b/>
          <w:color w:val="000000"/>
          <w:kern w:val="0"/>
          <w:sz w:val="24"/>
        </w:rPr>
      </w:pPr>
      <w:r>
        <w:rPr>
          <w:rFonts w:hint="eastAsia" w:cs="仿宋" w:asciiTheme="majorEastAsia" w:hAnsiTheme="majorEastAsia" w:eastAsiaTheme="majorEastAsia"/>
          <w:b/>
          <w:color w:val="000000"/>
          <w:kern w:val="0"/>
          <w:sz w:val="24"/>
        </w:rPr>
        <w:t>三、获取招标文件</w:t>
      </w:r>
    </w:p>
    <w:p>
      <w:pPr>
        <w:pStyle w:val="41"/>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3.1 时间：</w:t>
      </w:r>
      <w:r>
        <w:rPr>
          <w:rFonts w:hint="eastAsia" w:cs="仿宋" w:asciiTheme="majorEastAsia" w:hAnsiTheme="majorEastAsia" w:eastAsiaTheme="majorEastAsia"/>
          <w:color w:val="000000"/>
          <w:kern w:val="0"/>
          <w:sz w:val="24"/>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lang w:val="en-US" w:eastAsia="zh-CN"/>
        </w:rPr>
        <w:t>11</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lang w:val="en-US" w:eastAsia="zh-CN"/>
        </w:rPr>
        <w:t>26</w:t>
      </w:r>
      <w:bookmarkStart w:id="379" w:name="_GoBack"/>
      <w:bookmarkEnd w:id="379"/>
      <w:r>
        <w:rPr>
          <w:rFonts w:hint="eastAsia" w:cs="仿宋" w:asciiTheme="majorEastAsia" w:hAnsiTheme="majorEastAsia" w:eastAsiaTheme="majorEastAsia"/>
          <w:color w:val="000000"/>
          <w:spacing w:val="-6"/>
          <w:kern w:val="0"/>
          <w:sz w:val="24"/>
          <w:szCs w:val="20"/>
        </w:rPr>
        <w:t>日至</w:t>
      </w:r>
      <w:r>
        <w:rPr>
          <w:rFonts w:hint="eastAsia" w:cs="仿宋" w:asciiTheme="majorEastAsia" w:hAnsiTheme="majorEastAsia" w:eastAsiaTheme="majorEastAsia"/>
          <w:color w:val="000000"/>
          <w:spacing w:val="-6"/>
          <w:kern w:val="0"/>
          <w:sz w:val="24"/>
          <w:szCs w:val="20"/>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lang w:val="en-US" w:eastAsia="zh-CN"/>
        </w:rPr>
        <w:t>12</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lang w:val="en-US" w:eastAsia="zh-CN"/>
        </w:rPr>
        <w:t>02</w:t>
      </w:r>
      <w:r>
        <w:rPr>
          <w:rFonts w:hint="eastAsia" w:cs="仿宋" w:asciiTheme="majorEastAsia" w:hAnsiTheme="majorEastAsia" w:eastAsiaTheme="majorEastAsia"/>
          <w:color w:val="000000"/>
          <w:spacing w:val="-6"/>
          <w:kern w:val="0"/>
          <w:sz w:val="24"/>
          <w:szCs w:val="20"/>
        </w:rPr>
        <w:t>日</w:t>
      </w:r>
      <w:r>
        <w:rPr>
          <w:rFonts w:hint="eastAsia" w:cs="仿宋" w:asciiTheme="majorEastAsia" w:hAnsiTheme="majorEastAsia" w:eastAsiaTheme="majorEastAsia"/>
          <w:sz w:val="24"/>
        </w:rPr>
        <w:t>（北京时间，下同）</w:t>
      </w:r>
    </w:p>
    <w:p>
      <w:pPr>
        <w:pStyle w:val="41"/>
        <w:ind w:firstLine="480"/>
        <w:rPr>
          <w:rFonts w:cs="仿宋" w:asciiTheme="majorEastAsia" w:hAnsiTheme="majorEastAsia" w:eastAsiaTheme="majorEastAsia"/>
          <w:bCs/>
          <w:sz w:val="24"/>
        </w:rPr>
      </w:pPr>
      <w:r>
        <w:rPr>
          <w:rFonts w:hint="eastAsia" w:cs="仿宋" w:asciiTheme="majorEastAsia" w:hAnsiTheme="majorEastAsia" w:eastAsiaTheme="majorEastAsia"/>
          <w:bCs/>
          <w:sz w:val="24"/>
        </w:rPr>
        <w:t xml:space="preserve">3.2招标文件获取方式：凡有意参加本项目的潜在投标人，在本项目招标文件获取时间期限内，登录政府采购云平台（https://www.zcygov.cn/）获取采购文件。 </w:t>
      </w:r>
    </w:p>
    <w:p>
      <w:pPr>
        <w:pStyle w:val="41"/>
        <w:ind w:firstLine="480"/>
        <w:rPr>
          <w:rFonts w:cs="仿宋" w:asciiTheme="majorEastAsia" w:hAnsiTheme="majorEastAsia" w:eastAsiaTheme="majorEastAsia"/>
          <w:bCs/>
          <w:sz w:val="24"/>
        </w:rPr>
      </w:pPr>
      <w:r>
        <w:rPr>
          <w:rFonts w:hint="eastAsia" w:cs="仿宋" w:asciiTheme="majorEastAsia" w:hAnsiTheme="majorEastAsia" w:eastAsiaTheme="majorEastAsia"/>
          <w:bCs/>
          <w:sz w:val="24"/>
        </w:rPr>
        <w:t>3.3本项目招标文件免费获取。投标人只有在“政府采购云平台”完成获取招标文件申请并下载招标文件后才视作依法参与本项目。如未在“政府采购云平台”内完成相关流程，引起的投标无效责任自负。</w:t>
      </w:r>
    </w:p>
    <w:p>
      <w:pPr>
        <w:pStyle w:val="41"/>
        <w:ind w:firstLine="480"/>
        <w:rPr>
          <w:rFonts w:cs="仿宋" w:asciiTheme="majorEastAsia" w:hAnsiTheme="majorEastAsia" w:eastAsiaTheme="majorEastAsia"/>
          <w:bCs/>
          <w:sz w:val="24"/>
        </w:rPr>
      </w:pPr>
      <w:r>
        <w:rPr>
          <w:rFonts w:hint="eastAsia" w:cs="仿宋" w:asciiTheme="majorEastAsia" w:hAnsiTheme="majorEastAsia" w:eastAsiaTheme="majorEastAsia"/>
          <w:bCs/>
          <w:sz w:val="24"/>
        </w:rPr>
        <w:t>3.4本项目为电子招标投标项目，投标人参与本项目全过程中凡涉及系统操作请详见</w:t>
      </w:r>
      <w:r>
        <w:rPr>
          <w:rFonts w:hint="eastAsia" w:cs="仿宋" w:asciiTheme="majorEastAsia" w:hAnsiTheme="majorEastAsia" w:eastAsiaTheme="majorEastAsia"/>
          <w:b/>
          <w:sz w:val="24"/>
        </w:rPr>
        <w:t>《供应商政府采购项目电子交易操作指南》</w:t>
      </w:r>
      <w:r>
        <w:rPr>
          <w:rFonts w:hint="eastAsia" w:cs="仿宋" w:asciiTheme="majorEastAsia" w:hAnsiTheme="majorEastAsia" w:eastAsiaTheme="majorEastAsia"/>
          <w:bCs/>
          <w:sz w:val="24"/>
        </w:rPr>
        <w:t>。（操作指南以政府采购云平台网站发布为准）</w:t>
      </w:r>
    </w:p>
    <w:p>
      <w:pPr>
        <w:pStyle w:val="41"/>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4.1提交投标文件截止时间：</w:t>
      </w:r>
      <w:r>
        <w:rPr>
          <w:rFonts w:hint="eastAsia" w:cs="仿宋" w:asciiTheme="majorEastAsia" w:hAnsiTheme="majorEastAsia" w:eastAsiaTheme="majorEastAsia"/>
          <w:sz w:val="24"/>
          <w:lang w:val="en-US" w:eastAsia="zh-CN"/>
        </w:rPr>
        <w:t>2021</w:t>
      </w:r>
      <w:r>
        <w:rPr>
          <w:rFonts w:hint="eastAsia" w:cs="仿宋" w:asciiTheme="majorEastAsia" w:hAnsiTheme="majorEastAsia" w:eastAsiaTheme="majorEastAsia"/>
          <w:sz w:val="24"/>
        </w:rPr>
        <w:t>年</w:t>
      </w:r>
      <w:r>
        <w:rPr>
          <w:rFonts w:hint="eastAsia" w:cs="仿宋" w:asciiTheme="majorEastAsia" w:hAnsiTheme="majorEastAsia" w:eastAsiaTheme="majorEastAsia"/>
          <w:sz w:val="24"/>
          <w:lang w:val="en-US" w:eastAsia="zh-CN"/>
        </w:rPr>
        <w:t>12</w:t>
      </w:r>
      <w:r>
        <w:rPr>
          <w:rFonts w:hint="eastAsia" w:cs="仿宋" w:asciiTheme="majorEastAsia" w:hAnsiTheme="majorEastAsia" w:eastAsiaTheme="majorEastAsia"/>
          <w:sz w:val="24"/>
        </w:rPr>
        <w:t>月</w:t>
      </w:r>
      <w:r>
        <w:rPr>
          <w:rFonts w:hint="eastAsia" w:cs="仿宋" w:asciiTheme="majorEastAsia" w:hAnsiTheme="majorEastAsia" w:eastAsiaTheme="majorEastAsia"/>
          <w:sz w:val="24"/>
          <w:lang w:val="en-US" w:eastAsia="zh-CN"/>
        </w:rPr>
        <w:t>17</w:t>
      </w:r>
      <w:r>
        <w:rPr>
          <w:rFonts w:hint="eastAsia" w:cs="仿宋" w:asciiTheme="majorEastAsia" w:hAnsiTheme="majorEastAsia" w:eastAsiaTheme="majorEastAsia"/>
          <w:sz w:val="24"/>
        </w:rPr>
        <w:t>日</w:t>
      </w:r>
      <w:r>
        <w:rPr>
          <w:rFonts w:hint="eastAsia" w:cs="仿宋" w:asciiTheme="majorEastAsia" w:hAnsiTheme="majorEastAsia" w:eastAsiaTheme="majorEastAsia"/>
          <w:sz w:val="24"/>
          <w:lang w:val="en-US" w:eastAsia="zh-CN"/>
        </w:rPr>
        <w:t>9</w:t>
      </w:r>
      <w:r>
        <w:rPr>
          <w:rFonts w:hint="eastAsia" w:cs="仿宋" w:asciiTheme="majorEastAsia" w:hAnsiTheme="majorEastAsia" w:eastAsiaTheme="majorEastAsia"/>
          <w:sz w:val="24"/>
        </w:rPr>
        <w:t>点</w:t>
      </w:r>
      <w:r>
        <w:rPr>
          <w:rFonts w:hint="eastAsia" w:cs="仿宋" w:asciiTheme="majorEastAsia" w:hAnsiTheme="majorEastAsia" w:eastAsiaTheme="majorEastAsia"/>
          <w:sz w:val="24"/>
          <w:lang w:val="en-US" w:eastAsia="zh-CN"/>
        </w:rPr>
        <w:t>30</w:t>
      </w:r>
      <w:r>
        <w:rPr>
          <w:rFonts w:hint="eastAsia" w:cs="仿宋" w:asciiTheme="majorEastAsia" w:hAnsiTheme="majorEastAsia" w:eastAsiaTheme="majorEastAsia"/>
          <w:sz w:val="24"/>
        </w:rPr>
        <w:t>分（北京时间，下同），投标截止时间前，投标人应将加密的电子投标文件递交至“政府采购云平台”对应项目（包件）。</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4.2开标时间：同投标文件提交截止时间。</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4.3开标地点：政府采购云平台(https://www.zcygov.cn)。</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4.</w:t>
      </w: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rPr>
        <w:t>本项目为不见面开标项目，只接受投标人加密并递交至“政府采购云平台”的投标文件。</w:t>
      </w:r>
    </w:p>
    <w:p>
      <w:pPr>
        <w:pStyle w:val="41"/>
        <w:ind w:firstLine="482"/>
        <w:rPr>
          <w:rFonts w:cs="仿宋" w:asciiTheme="majorEastAsia" w:hAnsiTheme="majorEastAsia" w:eastAsiaTheme="majorEastAsia"/>
          <w:sz w:val="24"/>
        </w:rPr>
      </w:pPr>
      <w:r>
        <w:rPr>
          <w:rFonts w:hint="eastAsia" w:cs="仿宋" w:asciiTheme="majorEastAsia" w:hAnsiTheme="majorEastAsia" w:eastAsiaTheme="majorEastAsia"/>
          <w:b/>
          <w:sz w:val="24"/>
        </w:rPr>
        <w:t>五、公告期限：</w:t>
      </w:r>
      <w:r>
        <w:rPr>
          <w:rFonts w:hint="eastAsia" w:cs="仿宋" w:asciiTheme="majorEastAsia" w:hAnsiTheme="majorEastAsia" w:eastAsiaTheme="majorEastAsia"/>
          <w:sz w:val="24"/>
        </w:rPr>
        <w:t>自本公告发布之日起5个工作日。</w:t>
      </w:r>
    </w:p>
    <w:p>
      <w:pPr>
        <w:pStyle w:val="41"/>
        <w:ind w:firstLine="480"/>
        <w:rPr>
          <w:rFonts w:cs="仿宋" w:asciiTheme="majorEastAsia" w:hAnsiTheme="majorEastAsia" w:eastAsiaTheme="majorEastAsia"/>
          <w:b/>
          <w:bCs/>
          <w:sz w:val="24"/>
        </w:rPr>
      </w:pPr>
      <w:r>
        <w:rPr>
          <w:rFonts w:hint="eastAsia" w:cs="仿宋" w:asciiTheme="majorEastAsia" w:hAnsiTheme="majorEastAsia" w:eastAsiaTheme="majorEastAsia"/>
          <w:b/>
          <w:bCs/>
          <w:sz w:val="24"/>
        </w:rPr>
        <w:t>六</w:t>
      </w:r>
      <w:r>
        <w:rPr>
          <w:rFonts w:hint="eastAsia" w:cs="仿宋" w:asciiTheme="majorEastAsia" w:hAnsiTheme="majorEastAsia" w:eastAsiaTheme="majorEastAsia"/>
          <w:b/>
          <w:bCs/>
          <w:sz w:val="24"/>
          <w:lang w:eastAsia="zh-CN"/>
        </w:rPr>
        <w:t>、</w:t>
      </w:r>
      <w:r>
        <w:rPr>
          <w:rFonts w:hint="eastAsia" w:cs="仿宋" w:asciiTheme="majorEastAsia" w:hAnsiTheme="majorEastAsia" w:eastAsiaTheme="majorEastAsia"/>
          <w:b/>
          <w:bCs/>
          <w:sz w:val="24"/>
        </w:rPr>
        <w:t>禁止参加本次采购活动的供应商：</w:t>
      </w:r>
    </w:p>
    <w:p>
      <w:pPr>
        <w:pStyle w:val="41"/>
        <w:ind w:firstLine="480"/>
        <w:rPr>
          <w:rFonts w:hint="eastAsia" w:cs="仿宋" w:asciiTheme="majorEastAsia" w:hAnsiTheme="majorEastAsia" w:eastAsiaTheme="majorEastAsia"/>
          <w:sz w:val="24"/>
        </w:rPr>
      </w:pPr>
      <w:r>
        <w:rPr>
          <w:rFonts w:hint="eastAsia" w:cs="仿宋" w:asciiTheme="majorEastAsia" w:hAnsiTheme="majorEastAsia" w:eastAsiaTheme="majorEastAsia"/>
          <w:sz w:val="24"/>
        </w:rPr>
        <w:t>6.1 根据《关于在政府采购活动中查询及使用信用记录有关问题的通知》（财库〔</w:t>
      </w:r>
      <w:r>
        <w:rPr>
          <w:rFonts w:cs="仿宋" w:asciiTheme="majorEastAsia" w:hAnsiTheme="majorEastAsia" w:eastAsiaTheme="majorEastAsia"/>
          <w:sz w:val="24"/>
        </w:rPr>
        <w:t>2016〕125号）的要求，采购人/采购代理机构将通过“信用中国”网站（www.creditchina.gov.cn）、“中国政府采购网”网站（www.ccgp.gov.cn）等</w:t>
      </w:r>
      <w:r>
        <w:rPr>
          <w:rFonts w:hint="eastAsia" w:cs="仿宋" w:asciiTheme="majorEastAsia" w:hAnsiTheme="majorEastAsia" w:eastAsiaTheme="majorEastAsia"/>
          <w:sz w:val="24"/>
        </w:rPr>
        <w:t>渠道查询供应商的信用记录并保存信用记录结果网页截图，拒绝列入 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6.2</w:t>
      </w:r>
      <w:r>
        <w:rPr>
          <w:rFonts w:cs="仿宋" w:asciiTheme="majorEastAsia" w:hAnsiTheme="majorEastAsia" w:eastAsiaTheme="majorEastAsia"/>
          <w:sz w:val="24"/>
        </w:rPr>
        <w:t>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cs="仿宋" w:asciiTheme="majorEastAsia" w:hAnsiTheme="majorEastAsia" w:eastAsiaTheme="majorEastAsia"/>
          <w:b/>
          <w:bCs/>
          <w:sz w:val="24"/>
        </w:rPr>
        <w:t>符合本条规定的供应商：</w:t>
      </w:r>
      <w:r>
        <w:rPr>
          <w:rFonts w:hint="eastAsia" w:cs="仿宋" w:asciiTheme="majorEastAsia" w:hAnsiTheme="majorEastAsia" w:eastAsiaTheme="majorEastAsia"/>
          <w:b/>
          <w:bCs/>
          <w:sz w:val="24"/>
          <w:u w:val="single"/>
        </w:rPr>
        <w:t xml:space="preserve"> </w:t>
      </w:r>
      <w:r>
        <w:rPr>
          <w:rFonts w:hint="eastAsia" w:cs="仿宋" w:asciiTheme="majorEastAsia" w:hAnsiTheme="majorEastAsia" w:eastAsiaTheme="majorEastAsia"/>
          <w:b/>
          <w:bCs/>
          <w:sz w:val="24"/>
          <w:u w:val="single"/>
          <w:lang w:val="en-US" w:eastAsia="zh-CN"/>
        </w:rPr>
        <w:t>/</w:t>
      </w:r>
      <w:r>
        <w:rPr>
          <w:rFonts w:hint="eastAsia" w:cs="仿宋" w:asciiTheme="majorEastAsia" w:hAnsiTheme="majorEastAsia" w:eastAsiaTheme="majorEastAsia"/>
          <w:b/>
          <w:bCs/>
          <w:sz w:val="24"/>
          <w:u w:val="single"/>
        </w:rPr>
        <w:t xml:space="preserve">  </w:t>
      </w:r>
    </w:p>
    <w:p>
      <w:pPr>
        <w:pStyle w:val="41"/>
        <w:ind w:firstLine="480" w:firstLineChars="0"/>
        <w:rPr>
          <w:rFonts w:ascii="宋体" w:hAnsi="宋体" w:cs="仿宋"/>
          <w:color w:val="000000"/>
          <w:kern w:val="0"/>
          <w:sz w:val="24"/>
        </w:rPr>
      </w:pPr>
      <w:r>
        <w:rPr>
          <w:rFonts w:hint="eastAsia" w:ascii="宋体" w:hAnsi="宋体" w:cs="仿宋"/>
          <w:sz w:val="24"/>
        </w:rPr>
        <w:t>6.3</w:t>
      </w:r>
      <w:r>
        <w:rPr>
          <w:rFonts w:hint="eastAsia" w:ascii="宋体" w:hAnsi="宋体" w:cs="仿宋"/>
          <w:color w:val="000000"/>
          <w:kern w:val="0"/>
          <w:sz w:val="24"/>
        </w:rPr>
        <w:t>投标人单位、其现任法定代表人（主要负责人）、拟委任的项目负责人在近三年具有行贿犯罪记录的拒绝参加本项目采购活动。</w:t>
      </w:r>
    </w:p>
    <w:p>
      <w:pPr>
        <w:pStyle w:val="41"/>
        <w:ind w:firstLine="480"/>
        <w:rPr>
          <w:rFonts w:hint="eastAsia" w:cs="仿宋" w:asciiTheme="majorEastAsia" w:hAnsiTheme="majorEastAsia" w:eastAsiaTheme="majorEastAsia"/>
          <w:b/>
          <w:bCs/>
          <w:sz w:val="24"/>
          <w:szCs w:val="24"/>
        </w:rPr>
      </w:pPr>
      <w:r>
        <w:rPr>
          <w:rFonts w:hint="eastAsia" w:cs="仿宋" w:asciiTheme="majorEastAsia" w:hAnsiTheme="majorEastAsia" w:eastAsiaTheme="majorEastAsia"/>
          <w:b/>
          <w:bCs/>
          <w:sz w:val="24"/>
        </w:rPr>
        <w:t>七、</w:t>
      </w:r>
      <w:r>
        <w:rPr>
          <w:rFonts w:hint="eastAsia" w:cs="仿宋" w:asciiTheme="majorEastAsia" w:hAnsiTheme="majorEastAsia" w:eastAsiaTheme="majorEastAsia"/>
          <w:b/>
          <w:bCs/>
          <w:sz w:val="24"/>
          <w:szCs w:val="24"/>
        </w:rPr>
        <w:t>政采中小企业政府采购信用担保融资和政府采购政策</w:t>
      </w:r>
    </w:p>
    <w:p>
      <w:pPr>
        <w:pStyle w:val="41"/>
        <w:ind w:firstLine="48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7.1</w:t>
      </w:r>
      <w:r>
        <w:rPr>
          <w:rFonts w:hint="eastAsia" w:asciiTheme="minorEastAsia" w:hAnsiTheme="minorEastAsia" w:eastAsiaTheme="minorEastAsia" w:cstheme="minorEastAsia"/>
          <w:sz w:val="24"/>
          <w:highlight w:val="none"/>
        </w:rPr>
        <w:t>根据《四川省财政厅关于推进四川省政府采购供应商信用融资工作的通知》（川财采[2018]123号）、</w:t>
      </w:r>
      <w:bookmarkStart w:id="5" w:name="_Hlk47710956"/>
      <w:r>
        <w:rPr>
          <w:spacing w:val="-6"/>
          <w:sz w:val="24"/>
          <w:highlight w:val="none"/>
        </w:rPr>
        <w:t>《成都市中小企业政府采购信用融资暂行办法》（成财采〔2019〕17 号）</w:t>
      </w:r>
      <w:bookmarkEnd w:id="5"/>
      <w:r>
        <w:rPr>
          <w:rFonts w:hint="eastAsia" w:asciiTheme="minorEastAsia" w:hAnsiTheme="minorEastAsia" w:eastAsiaTheme="minorEastAsia" w:cstheme="minorEastAsia"/>
          <w:sz w:val="24"/>
          <w:highlight w:val="none"/>
        </w:rPr>
        <w:t>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41"/>
        <w:ind w:firstLine="48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7.2 本项目执行的政府采购政策：扶持不发达地区和少数民族地区、促进中小企业发展政策、支持监狱企业发展政策、促进残疾人就业政策、优先购买节能产品政策、优先购买环境标志产品政策、强制购买节能产品政策、优先采购无线局域网认证产品政策、《关于开展政府采购信用担保试点工作的通知》等。</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highlight w:val="none"/>
        </w:rPr>
        <w:t>八、</w:t>
      </w:r>
      <w:r>
        <w:rPr>
          <w:rFonts w:hint="eastAsia" w:cs="仿宋" w:asciiTheme="majorEastAsia" w:hAnsiTheme="majorEastAsia" w:eastAsiaTheme="majorEastAsia"/>
          <w:sz w:val="24"/>
        </w:rPr>
        <w:t>本招标公告在《四川政府采购网》上以公告形式发布。</w:t>
      </w:r>
    </w:p>
    <w:p>
      <w:pPr>
        <w:pStyle w:val="41"/>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九、对本次招标提出询问，请按以下方式联系</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9.1 采购人信息</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w:t>
      </w:r>
      <w:r>
        <w:rPr>
          <w:rFonts w:hint="eastAsia" w:cs="仿宋" w:asciiTheme="majorEastAsia" w:hAnsiTheme="majorEastAsia" w:eastAsiaTheme="majorEastAsia"/>
          <w:sz w:val="24"/>
          <w:lang w:val="en-US" w:eastAsia="zh-CN"/>
        </w:rPr>
        <w:t>成都市住房和城乡建设信息档案中心</w:t>
      </w:r>
    </w:p>
    <w:p>
      <w:pPr>
        <w:pStyle w:val="41"/>
        <w:ind w:firstLine="48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 xml:space="preserve">地    </w:t>
      </w:r>
      <w:r>
        <w:rPr>
          <w:rFonts w:hint="eastAsia" w:cs="仿宋" w:asciiTheme="majorEastAsia" w:hAnsiTheme="majorEastAsia" w:eastAsiaTheme="majorEastAsia"/>
          <w:sz w:val="24"/>
          <w:lang w:val="en-US" w:eastAsia="zh-CN"/>
        </w:rPr>
        <w:t>址：成都市青羊区西御河沿街33号</w:t>
      </w:r>
    </w:p>
    <w:p>
      <w:pPr>
        <w:pStyle w:val="41"/>
        <w:ind w:firstLine="48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联系方式：</w:t>
      </w:r>
      <w:r>
        <w:rPr>
          <w:rFonts w:hint="eastAsia" w:cs="仿宋" w:asciiTheme="majorEastAsia" w:hAnsiTheme="majorEastAsia" w:eastAsiaTheme="majorEastAsia"/>
          <w:sz w:val="24"/>
          <w:lang w:val="en-US" w:eastAsia="zh-CN"/>
        </w:rPr>
        <w:t>李老师、028-86279699</w:t>
      </w:r>
    </w:p>
    <w:p>
      <w:pPr>
        <w:pStyle w:val="41"/>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9.2 采购代理机构信息</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称：中国远东国际招标有限公司</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址：成都市高新区应龙南一路555号正成南郡1栋19号</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联系电话：028-85135259</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传真号码：028-85135259</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电子邮箱：</w:t>
      </w:r>
      <w:r>
        <w:rPr>
          <w:rFonts w:cs="仿宋" w:asciiTheme="majorEastAsia" w:hAnsiTheme="majorEastAsia" w:eastAsiaTheme="majorEastAsia"/>
          <w:sz w:val="24"/>
        </w:rPr>
        <w:t>cfeitc.sc@foxmail.com</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网  址：</w:t>
      </w:r>
      <w:r>
        <w:rPr>
          <w:rFonts w:cs="仿宋" w:asciiTheme="majorEastAsia" w:hAnsiTheme="majorEastAsia" w:eastAsiaTheme="majorEastAsia"/>
          <w:sz w:val="24"/>
        </w:rPr>
        <w:t>www.cfet.com.cn</w:t>
      </w:r>
    </w:p>
    <w:p>
      <w:pPr>
        <w:pStyle w:val="41"/>
        <w:spacing w:before="240"/>
        <w:ind w:firstLine="48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 项目联系方式</w:t>
      </w:r>
    </w:p>
    <w:p>
      <w:pPr>
        <w:pStyle w:val="41"/>
        <w:ind w:firstLine="480"/>
        <w:rPr>
          <w:rFonts w:hint="eastAsia" w:cs="仿宋" w:asciiTheme="majorEastAsia" w:hAnsiTheme="majorEastAsia" w:eastAsiaTheme="majorEastAsia"/>
          <w:color w:val="auto"/>
          <w:sz w:val="24"/>
          <w:lang w:eastAsia="zh-CN"/>
        </w:rPr>
      </w:pPr>
      <w:r>
        <w:rPr>
          <w:rFonts w:hint="eastAsia" w:cs="仿宋" w:asciiTheme="majorEastAsia" w:hAnsiTheme="majorEastAsia" w:eastAsiaTheme="majorEastAsia"/>
          <w:color w:val="auto"/>
          <w:sz w:val="24"/>
        </w:rPr>
        <w:t>项目联系人：</w:t>
      </w:r>
      <w:r>
        <w:rPr>
          <w:rFonts w:hint="eastAsia" w:cs="仿宋" w:asciiTheme="majorEastAsia" w:hAnsiTheme="majorEastAsia" w:eastAsiaTheme="majorEastAsia"/>
          <w:color w:val="auto"/>
          <w:sz w:val="24"/>
          <w:lang w:val="en-US" w:eastAsia="zh-CN"/>
        </w:rPr>
        <w:t>黄女士</w:t>
      </w:r>
    </w:p>
    <w:p>
      <w:pPr>
        <w:pStyle w:val="41"/>
        <w:ind w:firstLine="480"/>
        <w:rPr>
          <w:rFonts w:ascii="黑体" w:hAnsi="黑体" w:eastAsia="黑体" w:cs="仿宋"/>
          <w:b/>
          <w:sz w:val="32"/>
          <w:szCs w:val="32"/>
        </w:rPr>
      </w:pPr>
      <w:r>
        <w:rPr>
          <w:rFonts w:hint="eastAsia" w:cs="仿宋" w:asciiTheme="majorEastAsia" w:hAnsiTheme="majorEastAsia" w:eastAsiaTheme="majorEastAsia"/>
          <w:sz w:val="24"/>
        </w:rPr>
        <w:t>电  话：028-</w:t>
      </w:r>
      <w:r>
        <w:rPr>
          <w:rFonts w:hint="eastAsia" w:cs="仿宋" w:asciiTheme="majorEastAsia" w:hAnsiTheme="majorEastAsia" w:eastAsiaTheme="majorEastAsia"/>
          <w:sz w:val="24"/>
          <w:lang w:val="en-US" w:eastAsia="zh-CN"/>
        </w:rPr>
        <w:t>85092675</w:t>
      </w:r>
      <w:bookmarkStart w:id="6" w:name="_Toc495913051"/>
      <w:bookmarkStart w:id="7" w:name="_Toc213397009"/>
      <w:bookmarkStart w:id="8" w:name="_Toc213396945"/>
      <w:bookmarkStart w:id="9" w:name="_Toc213396759"/>
      <w:bookmarkStart w:id="10" w:name="_Toc213496267"/>
      <w:bookmarkStart w:id="11" w:name="_Toc217446031"/>
    </w:p>
    <w:p>
      <w:pPr>
        <w:spacing w:before="100" w:beforeAutospacing="1" w:after="100" w:afterAutospacing="1" w:line="500" w:lineRule="exact"/>
        <w:jc w:val="center"/>
        <w:rPr>
          <w:rFonts w:ascii="黑体" w:hAnsi="黑体" w:eastAsia="黑体" w:cs="仿宋"/>
          <w:b/>
          <w:sz w:val="32"/>
          <w:szCs w:val="32"/>
        </w:rPr>
        <w:sectPr>
          <w:footerReference r:id="rId7" w:type="default"/>
          <w:pgSz w:w="11906" w:h="16838"/>
          <w:pgMar w:top="1843" w:right="1701" w:bottom="1417" w:left="1418" w:header="851" w:footer="992" w:gutter="0"/>
          <w:pgNumType w:start="1"/>
          <w:cols w:space="720" w:num="1"/>
          <w:docGrid w:linePitch="312" w:charSpace="0"/>
        </w:sectPr>
      </w:pPr>
    </w:p>
    <w:p>
      <w:pPr>
        <w:spacing w:before="100" w:beforeAutospacing="1" w:after="100" w:afterAutospacing="1" w:line="500" w:lineRule="exact"/>
        <w:jc w:val="center"/>
        <w:rPr>
          <w:rFonts w:ascii="黑体" w:hAnsi="黑体" w:eastAsia="黑体" w:cs="仿宋"/>
          <w:b/>
          <w:sz w:val="32"/>
          <w:szCs w:val="32"/>
        </w:rPr>
      </w:pPr>
      <w:r>
        <w:rPr>
          <w:rFonts w:hint="eastAsia" w:ascii="黑体" w:hAnsi="黑体" w:eastAsia="黑体" w:cs="仿宋"/>
          <w:b/>
          <w:sz w:val="32"/>
          <w:szCs w:val="32"/>
        </w:rPr>
        <w:t>第二章  投标须知</w:t>
      </w:r>
      <w:bookmarkEnd w:id="6"/>
    </w:p>
    <w:p>
      <w:pPr>
        <w:spacing w:line="500" w:lineRule="exact"/>
        <w:jc w:val="center"/>
        <w:rPr>
          <w:rFonts w:ascii="黑体" w:hAnsi="黑体" w:eastAsia="黑体" w:cs="仿宋"/>
          <w:b/>
          <w:sz w:val="28"/>
          <w:szCs w:val="28"/>
        </w:rPr>
      </w:pPr>
      <w:bookmarkStart w:id="12" w:name="_Toc495165788"/>
      <w:bookmarkStart w:id="13" w:name="_Toc495165611"/>
      <w:bookmarkStart w:id="14" w:name="_Toc495521066"/>
      <w:bookmarkStart w:id="15" w:name="_Toc495570274"/>
      <w:r>
        <w:rPr>
          <w:rFonts w:hint="eastAsia" w:ascii="黑体" w:hAnsi="黑体" w:eastAsia="黑体" w:cs="仿宋"/>
          <w:b/>
          <w:sz w:val="28"/>
          <w:szCs w:val="28"/>
        </w:rPr>
        <w:t>一、投标人须知附表</w:t>
      </w:r>
      <w:bookmarkEnd w:id="12"/>
      <w:bookmarkEnd w:id="13"/>
      <w:bookmarkEnd w:id="14"/>
      <w:bookmarkEnd w:id="15"/>
    </w:p>
    <w:tbl>
      <w:tblPr>
        <w:tblStyle w:val="33"/>
        <w:tblpPr w:leftFromText="180" w:rightFromText="180" w:vertAnchor="text" w:horzAnchor="margin" w:tblpXSpec="center" w:tblpY="438"/>
        <w:tblOverlap w:val="never"/>
        <w:tblW w:w="868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71"/>
        <w:gridCol w:w="1755"/>
        <w:gridCol w:w="635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blHeader/>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序号</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条款名称</w:t>
            </w:r>
          </w:p>
        </w:tc>
        <w:tc>
          <w:tcPr>
            <w:tcW w:w="6354"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内容、说明和要求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571" w:type="dxa"/>
            <w:shd w:val="clear" w:color="auto" w:fill="auto"/>
            <w:vAlign w:val="center"/>
          </w:tcPr>
          <w:p>
            <w:pPr>
              <w:pStyle w:val="43"/>
              <w:pageBreakBefore w:val="0"/>
              <w:tabs>
                <w:tab w:val="left" w:pos="594"/>
              </w:tabs>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755" w:type="dxa"/>
            <w:tcBorders>
              <w:bottom w:val="single" w:color="auto" w:sz="4" w:space="0"/>
            </w:tcBorders>
            <w:shd w:val="clear" w:color="auto" w:fill="auto"/>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采购预算</w:t>
            </w:r>
          </w:p>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(实质性要求)</w:t>
            </w:r>
          </w:p>
        </w:tc>
        <w:tc>
          <w:tcPr>
            <w:tcW w:w="6354" w:type="dxa"/>
            <w:tcBorders>
              <w:bottom w:val="single" w:color="auto" w:sz="4" w:space="0"/>
            </w:tcBorders>
            <w:shd w:val="clear" w:color="auto" w:fill="auto"/>
            <w:vAlign w:val="center"/>
          </w:tcPr>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采购预算</w:t>
            </w:r>
            <w:r>
              <w:rPr>
                <w:rFonts w:hint="eastAsia" w:ascii="宋体" w:hAnsi="宋体" w:eastAsia="宋体" w:cs="宋体"/>
                <w:bCs/>
                <w:sz w:val="24"/>
                <w:szCs w:val="24"/>
              </w:rPr>
              <w:t>：</w:t>
            </w:r>
            <w:r>
              <w:rPr>
                <w:rFonts w:hint="eastAsia" w:ascii="宋体" w:hAnsi="宋体" w:eastAsia="宋体" w:cs="宋体"/>
                <w:sz w:val="24"/>
                <w:szCs w:val="24"/>
              </w:rPr>
              <w:t>￥</w:t>
            </w:r>
            <w:r>
              <w:rPr>
                <w:rFonts w:hint="eastAsia" w:ascii="宋体" w:hAnsi="宋体" w:eastAsia="宋体" w:cs="宋体"/>
                <w:sz w:val="24"/>
                <w:szCs w:val="24"/>
                <w:lang w:val="en-US" w:eastAsia="zh-CN"/>
              </w:rPr>
              <w:t>799.95万元</w:t>
            </w:r>
            <w:r>
              <w:rPr>
                <w:rFonts w:hint="eastAsia" w:ascii="宋体" w:hAnsi="宋体" w:eastAsia="宋体" w:cs="宋体"/>
                <w:sz w:val="24"/>
                <w:szCs w:val="24"/>
              </w:rPr>
              <w:t>；</w:t>
            </w:r>
          </w:p>
          <w:p>
            <w:pPr>
              <w:pStyle w:val="43"/>
              <w:pageBreakBefore w:val="0"/>
              <w:kinsoku/>
              <w:wordWrap/>
              <w:overflowPunct/>
              <w:bidi w:val="0"/>
              <w:spacing w:line="500" w:lineRule="exact"/>
              <w:ind w:left="0" w:leftChars="0" w:right="0" w:rightChars="0" w:firstLine="241" w:firstLineChars="100"/>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注：超过采购预算的投标作无效处理。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08" w:hRule="atLeast"/>
          <w:jc w:val="center"/>
        </w:trPr>
        <w:tc>
          <w:tcPr>
            <w:tcW w:w="571" w:type="dxa"/>
            <w:shd w:val="clear" w:color="auto" w:fill="auto"/>
            <w:vAlign w:val="center"/>
          </w:tcPr>
          <w:p>
            <w:pPr>
              <w:pStyle w:val="43"/>
              <w:pageBreakBefore w:val="0"/>
              <w:tabs>
                <w:tab w:val="left" w:pos="594"/>
              </w:tabs>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755" w:type="dxa"/>
            <w:tcBorders>
              <w:bottom w:val="single" w:color="auto" w:sz="4" w:space="0"/>
            </w:tcBorders>
            <w:shd w:val="clear" w:color="auto" w:fill="auto"/>
            <w:vAlign w:val="center"/>
          </w:tcPr>
          <w:p>
            <w:pPr>
              <w:pageBreakBefore w:val="0"/>
              <w:kinsoku/>
              <w:wordWrap/>
              <w:overflow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最高限价</w:t>
            </w:r>
          </w:p>
          <w:p>
            <w:pPr>
              <w:pageBreakBefore w:val="0"/>
              <w:kinsoku/>
              <w:wordWrap/>
              <w:overflowPunct/>
              <w:bidi w:val="0"/>
              <w:spacing w:line="500" w:lineRule="exact"/>
              <w:ind w:left="0" w:leftChars="0"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（实质性要求）</w:t>
            </w:r>
          </w:p>
        </w:tc>
        <w:tc>
          <w:tcPr>
            <w:tcW w:w="6354" w:type="dxa"/>
            <w:tcBorders>
              <w:bottom w:val="single" w:color="auto" w:sz="4" w:space="0"/>
            </w:tcBorders>
            <w:shd w:val="clear" w:color="auto" w:fill="auto"/>
            <w:vAlign w:val="center"/>
          </w:tcPr>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最高限价：￥799.35</w:t>
            </w:r>
            <w:r>
              <w:rPr>
                <w:rFonts w:hint="eastAsia" w:ascii="宋体" w:hAnsi="宋体" w:eastAsia="宋体" w:cs="宋体"/>
                <w:sz w:val="24"/>
                <w:szCs w:val="24"/>
                <w:lang w:val="en-US" w:eastAsia="zh-CN"/>
              </w:rPr>
              <w:t>万元</w:t>
            </w:r>
            <w:r>
              <w:rPr>
                <w:rFonts w:hint="eastAsia" w:ascii="宋体" w:hAnsi="宋体" w:eastAsia="宋体" w:cs="宋体"/>
                <w:sz w:val="24"/>
                <w:szCs w:val="24"/>
              </w:rPr>
              <w:t>；</w:t>
            </w:r>
          </w:p>
          <w:p>
            <w:pPr>
              <w:pStyle w:val="2"/>
              <w:pageBreakBefore w:val="0"/>
              <w:kinsoku/>
              <w:wordWrap/>
              <w:overflowPunct/>
              <w:bidi w:val="0"/>
              <w:spacing w:after="0" w:line="500" w:lineRule="exact"/>
              <w:ind w:left="0"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注：超过最高限价的投标作无效处理。</w:t>
            </w:r>
          </w:p>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34" w:hRule="atLeast"/>
          <w:jc w:val="center"/>
        </w:trPr>
        <w:tc>
          <w:tcPr>
            <w:tcW w:w="571" w:type="dxa"/>
            <w:shd w:val="clear" w:color="auto" w:fill="auto"/>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755"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进口产品</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lang w:val="zh-CN"/>
              </w:rPr>
              <w:t>（实质性要求）</w:t>
            </w:r>
          </w:p>
        </w:tc>
        <w:tc>
          <w:tcPr>
            <w:tcW w:w="6354" w:type="dxa"/>
            <w:tcBorders>
              <w:bottom w:val="single" w:color="auto" w:sz="4" w:space="0"/>
            </w:tcBorders>
            <w:shd w:val="clear" w:color="auto" w:fill="auto"/>
            <w:vAlign w:val="center"/>
          </w:tcPr>
          <w:p>
            <w:pPr>
              <w:pStyle w:val="43"/>
              <w:pageBreakBefore w:val="0"/>
              <w:kinsoku/>
              <w:wordWrap/>
              <w:overflowPunct/>
              <w:bidi w:val="0"/>
              <w:spacing w:line="500" w:lineRule="exact"/>
              <w:ind w:left="0" w:leftChars="0" w:right="0" w:rightChars="0" w:firstLine="240" w:firstLineChars="100"/>
              <w:jc w:val="both"/>
              <w:textAlignment w:val="auto"/>
              <w:rPr>
                <w:rFonts w:hint="eastAsia" w:ascii="宋体" w:hAnsi="宋体" w:eastAsia="宋体" w:cs="宋体"/>
                <w:bCs/>
                <w:kern w:val="2"/>
                <w:sz w:val="24"/>
                <w:szCs w:val="24"/>
              </w:rPr>
            </w:pPr>
            <w:r>
              <w:rPr>
                <w:rFonts w:hint="eastAsia" w:ascii="宋体" w:hAnsi="宋体" w:eastAsia="宋体" w:cs="宋体"/>
                <w:color w:val="000000"/>
                <w:kern w:val="2"/>
                <w:sz w:val="24"/>
                <w:szCs w:val="24"/>
                <w:lang w:val="zh-CN"/>
              </w:rPr>
              <w:t>本项目</w:t>
            </w:r>
            <w:r>
              <w:rPr>
                <w:rFonts w:hint="eastAsia" w:ascii="宋体" w:hAnsi="宋体" w:eastAsia="宋体" w:cs="宋体"/>
                <w:color w:val="000000"/>
                <w:kern w:val="2"/>
                <w:sz w:val="24"/>
                <w:szCs w:val="24"/>
              </w:rPr>
              <w:t>招标</w:t>
            </w:r>
            <w:r>
              <w:rPr>
                <w:rFonts w:hint="eastAsia" w:ascii="宋体" w:hAnsi="宋体" w:eastAsia="宋体" w:cs="宋体"/>
                <w:color w:val="000000"/>
                <w:kern w:val="2"/>
                <w:sz w:val="24"/>
                <w:szCs w:val="24"/>
                <w:lang w:val="zh-CN"/>
              </w:rPr>
              <w:t>文件中未载明“允许采购进口产品”的产品，拒绝进口产品参与竞争，供应商以进口产品响应时，其</w:t>
            </w:r>
            <w:r>
              <w:rPr>
                <w:rFonts w:hint="eastAsia" w:ascii="宋体" w:hAnsi="宋体" w:eastAsia="宋体" w:cs="宋体"/>
                <w:color w:val="000000"/>
                <w:kern w:val="2"/>
                <w:sz w:val="24"/>
                <w:szCs w:val="24"/>
              </w:rPr>
              <w:t>投标</w:t>
            </w:r>
            <w:r>
              <w:rPr>
                <w:rFonts w:hint="eastAsia" w:ascii="宋体" w:hAnsi="宋体" w:eastAsia="宋体" w:cs="宋体"/>
                <w:color w:val="000000"/>
                <w:kern w:val="2"/>
                <w:sz w:val="24"/>
                <w:szCs w:val="24"/>
                <w:lang w:val="zh-CN"/>
              </w:rPr>
              <w:t>文件按无效处理。载明“允许采购进口产品”的产品，不限制国产产品参与竞争。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6" w:hRule="atLeast"/>
          <w:jc w:val="center"/>
        </w:trPr>
        <w:tc>
          <w:tcPr>
            <w:tcW w:w="571" w:type="dxa"/>
            <w:shd w:val="clear" w:color="auto" w:fill="auto"/>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1755"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是否接受</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联合体投标</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（实质性要求）</w:t>
            </w:r>
          </w:p>
        </w:tc>
        <w:tc>
          <w:tcPr>
            <w:tcW w:w="6354"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7" w:hRule="atLeast"/>
          <w:jc w:val="center"/>
        </w:trPr>
        <w:tc>
          <w:tcPr>
            <w:tcW w:w="571" w:type="dxa"/>
            <w:shd w:val="clear" w:color="auto" w:fill="auto"/>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755"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合同分包</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（实质性要求）</w:t>
            </w:r>
          </w:p>
        </w:tc>
        <w:tc>
          <w:tcPr>
            <w:tcW w:w="6354"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51" w:hRule="atLeast"/>
          <w:jc w:val="center"/>
        </w:trPr>
        <w:tc>
          <w:tcPr>
            <w:tcW w:w="571" w:type="dxa"/>
            <w:shd w:val="clear" w:color="auto" w:fill="auto"/>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1755"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评标委员会</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的组建</w:t>
            </w:r>
          </w:p>
        </w:tc>
        <w:tc>
          <w:tcPr>
            <w:tcW w:w="6354"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评标委员会共</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人，其中评审专家</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人，业主代表</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人，除国务院财政部门规定的情形外，评审专家由采购人或者采购代理机构从政府采购评审专家库中随机抽取。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66" w:hRule="atLeast"/>
          <w:jc w:val="center"/>
        </w:trPr>
        <w:tc>
          <w:tcPr>
            <w:tcW w:w="571" w:type="dxa"/>
            <w:shd w:val="clear" w:color="auto" w:fill="auto"/>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1755"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评标方法</w:t>
            </w:r>
          </w:p>
        </w:tc>
        <w:tc>
          <w:tcPr>
            <w:tcW w:w="6354"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2" w:hRule="atLeast"/>
          <w:jc w:val="center"/>
        </w:trPr>
        <w:tc>
          <w:tcPr>
            <w:tcW w:w="571" w:type="dxa"/>
            <w:shd w:val="clear" w:color="auto" w:fill="auto"/>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8</w:t>
            </w:r>
          </w:p>
        </w:tc>
        <w:tc>
          <w:tcPr>
            <w:tcW w:w="1755"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定标原则</w:t>
            </w:r>
          </w:p>
        </w:tc>
        <w:tc>
          <w:tcPr>
            <w:tcW w:w="6354" w:type="dxa"/>
            <w:tcBorders>
              <w:bottom w:val="single" w:color="auto" w:sz="4" w:space="0"/>
            </w:tcBorders>
            <w:shd w:val="clear" w:color="auto" w:fill="auto"/>
            <w:vAlign w:val="center"/>
          </w:tcPr>
          <w:p>
            <w:pPr>
              <w:pageBreakBefore w:val="0"/>
              <w:kinsoku/>
              <w:wordWrap/>
              <w:overflowPunct/>
              <w:topLinePunct/>
              <w:bidi w:val="0"/>
              <w:spacing w:line="500" w:lineRule="exact"/>
              <w:ind w:left="0" w:leftChars="0" w:right="0" w:rightChars="0"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□由评标委员会直接确定中标人，并推荐中标候选人2个。</w:t>
            </w:r>
          </w:p>
          <w:p>
            <w:pPr>
              <w:pStyle w:val="32"/>
              <w:pageBreakBefore w:val="0"/>
              <w:kinsoku/>
              <w:wordWrap/>
              <w:overflowPunct/>
              <w:topLinePunct/>
              <w:bidi w:val="0"/>
              <w:spacing w:after="0" w:line="500" w:lineRule="exact"/>
              <w:ind w:left="0" w:leftChars="0" w:right="0" w:rightChars="0" w:firstLine="24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由评标委员会推荐中标候选人3个，再由采购人根据相关规定并按评审报告推荐的顺序确定中标人。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1"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9</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kern w:val="2"/>
                <w:sz w:val="24"/>
                <w:szCs w:val="24"/>
              </w:rPr>
            </w:pPr>
            <w:r>
              <w:rPr>
                <w:rFonts w:hint="eastAsia" w:ascii="宋体" w:hAnsi="宋体" w:eastAsia="宋体" w:cs="宋体"/>
                <w:kern w:val="2"/>
                <w:sz w:val="24"/>
                <w:szCs w:val="24"/>
              </w:rPr>
              <w:t>低于成本价不正当竞争预防措施</w:t>
            </w:r>
            <w:r>
              <w:rPr>
                <w:rFonts w:hint="eastAsia" w:ascii="宋体" w:hAnsi="宋体" w:eastAsia="宋体" w:cs="宋体"/>
                <w:b/>
                <w:kern w:val="2"/>
                <w:sz w:val="24"/>
                <w:szCs w:val="24"/>
              </w:rPr>
              <w:t>（实质性要求）</w:t>
            </w:r>
          </w:p>
        </w:tc>
        <w:tc>
          <w:tcPr>
            <w:tcW w:w="6354" w:type="dxa"/>
            <w:shd w:val="clear" w:color="auto" w:fill="auto"/>
            <w:vAlign w:val="center"/>
          </w:tcPr>
          <w:p>
            <w:pPr>
              <w:pStyle w:val="43"/>
              <w:pageBreakBefore w:val="0"/>
              <w:kinsoku/>
              <w:wordWrap/>
              <w:overflowPunct/>
              <w:bidi w:val="0"/>
              <w:spacing w:line="5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3"/>
              <w:pageBreakBefore w:val="0"/>
              <w:kinsoku/>
              <w:wordWrap/>
              <w:overflowPunct/>
              <w:bidi w:val="0"/>
              <w:spacing w:line="5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zh-CN"/>
              </w:rPr>
              <w:t>投标人提交的书面说明、相关证明材料（如涉及），应当加盖投标人（法定名称）电子印章，在评标委员会要求的时间内通过政府采购云平台进行递交，否则无效。如因系统故障（</w:t>
            </w:r>
            <w:r>
              <w:rPr>
                <w:rFonts w:hint="eastAsia" w:ascii="宋体" w:hAnsi="宋体" w:eastAsia="宋体" w:cs="宋体"/>
                <w:b/>
                <w:bCs/>
                <w:sz w:val="24"/>
                <w:szCs w:val="24"/>
              </w:rPr>
              <w:t>包括组织场所停电、断网等）</w:t>
            </w:r>
            <w:r>
              <w:rPr>
                <w:rFonts w:hint="eastAsia" w:ascii="宋体" w:hAnsi="宋体" w:eastAsia="宋体" w:cs="宋体"/>
                <w:b/>
                <w:bCs/>
                <w:sz w:val="24"/>
                <w:szCs w:val="24"/>
                <w:lang w:val="zh-CN"/>
              </w:rPr>
              <w:t>导致系统无法使用的，投标人按评标委员会的要求进行澄清或者说明。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10</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kern w:val="2"/>
                <w:sz w:val="24"/>
                <w:szCs w:val="24"/>
              </w:rPr>
            </w:pPr>
            <w:r>
              <w:rPr>
                <w:rFonts w:hint="eastAsia" w:ascii="宋体" w:hAnsi="宋体" w:eastAsia="宋体" w:cs="宋体"/>
                <w:kern w:val="2"/>
                <w:sz w:val="24"/>
                <w:szCs w:val="24"/>
              </w:rPr>
              <w:t>小微企业（监狱企业、残疾人福利性单位</w:t>
            </w:r>
            <w:r>
              <w:rPr>
                <w:rFonts w:hint="eastAsia" w:ascii="宋体" w:hAnsi="宋体" w:eastAsia="宋体" w:cs="宋体"/>
                <w:sz w:val="24"/>
                <w:szCs w:val="24"/>
              </w:rPr>
              <w:t>视同小微企业</w:t>
            </w:r>
            <w:r>
              <w:rPr>
                <w:rFonts w:hint="eastAsia" w:ascii="宋体" w:hAnsi="宋体" w:eastAsia="宋体" w:cs="宋体"/>
                <w:kern w:val="2"/>
                <w:sz w:val="24"/>
                <w:szCs w:val="24"/>
              </w:rPr>
              <w:t>）价格扣除</w:t>
            </w:r>
          </w:p>
        </w:tc>
        <w:tc>
          <w:tcPr>
            <w:tcW w:w="6354" w:type="dxa"/>
            <w:shd w:val="clear" w:color="auto" w:fill="auto"/>
            <w:vAlign w:val="center"/>
          </w:tcPr>
          <w:p>
            <w:pPr>
              <w:pageBreakBefore w:val="0"/>
              <w:kinsoku/>
              <w:wordWrap/>
              <w:overflowPunct/>
              <w:bidi w:val="0"/>
              <w:spacing w:line="500" w:lineRule="exact"/>
              <w:ind w:left="0" w:leftChars="0" w:right="0" w:rightChars="0" w:firstLine="241" w:firstLineChars="1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一、小微企业（监狱企业、残疾人福利性单位视同小微企业）价格扣除</w:t>
            </w:r>
          </w:p>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rPr>
              <w:t>在政府采购活动中，供应商提供的货物、工程或者服务符合下列情形的，享受</w:t>
            </w: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规定的中小企业扶持政策：</w:t>
            </w:r>
          </w:p>
          <w:p>
            <w:pPr>
              <w:pageBreakBefore w:val="0"/>
              <w:kinsoku/>
              <w:wordWrap/>
              <w:overflowPunct/>
              <w:bidi w:val="0"/>
              <w:spacing w:line="50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（1）在货物采购项目中，货物由中小企业制造，即货物由中小企业生产且使用该中小企业商号或者注册商标；</w:t>
            </w:r>
          </w:p>
          <w:p>
            <w:pPr>
              <w:pageBreakBefore w:val="0"/>
              <w:kinsoku/>
              <w:wordWrap/>
              <w:overflowPunct/>
              <w:bidi w:val="0"/>
              <w:spacing w:line="50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w:t>
            </w:r>
          </w:p>
          <w:p>
            <w:pPr>
              <w:pageBreakBefore w:val="0"/>
              <w:kinsoku/>
              <w:wordWrap/>
              <w:overflowPunct/>
              <w:bidi w:val="0"/>
              <w:spacing w:line="50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（3）在服务采购项目中，服务由中小企业承接，即提供服务的人员为中小企业依照《中华人民共和国劳动合同法》订立劳动合同的从业人员。</w:t>
            </w:r>
          </w:p>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w:t>
            </w: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规定的中小企业扶持政策。</w:t>
            </w:r>
          </w:p>
          <w:p>
            <w:pPr>
              <w:pStyle w:val="2"/>
              <w:pageBreakBefore w:val="0"/>
              <w:kinsoku/>
              <w:wordWrap/>
              <w:overflowPunct/>
              <w:bidi w:val="0"/>
              <w:spacing w:after="0" w:line="500" w:lineRule="exact"/>
              <w:ind w:left="0" w:leftChars="0" w:right="0" w:rightChars="0"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》（财库[2020]46号）的规定，非专门面向中小企业采购的，对小微企业的报价给予10%（工程项目为 5%）的扣除，</w:t>
            </w:r>
            <w:r>
              <w:rPr>
                <w:rFonts w:hint="eastAsia" w:ascii="宋体" w:hAnsi="宋体" w:eastAsia="宋体" w:cs="宋体"/>
                <w:sz w:val="24"/>
                <w:szCs w:val="24"/>
              </w:rPr>
              <w:t>用扣除后的价格参加评审</w:t>
            </w:r>
            <w:r>
              <w:rPr>
                <w:rFonts w:hint="eastAsia" w:ascii="宋体" w:hAnsi="宋体" w:eastAsia="宋体" w:cs="宋体"/>
                <w:color w:val="000000"/>
                <w:kern w:val="0"/>
                <w:sz w:val="24"/>
                <w:szCs w:val="24"/>
              </w:rPr>
              <w:t>。</w:t>
            </w:r>
          </w:p>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sz w:val="24"/>
                <w:szCs w:val="24"/>
              </w:rPr>
              <w:t>大中型企业与小微企业组成联合体或者大中型企业向一家或者多家小微企业分包的，对于联合协议或者分包意向协议约定小微企业的合同份额占到合同总金额30%以上的，对联合体或者大中型企业的报价给予3%的扣除，用扣除后的价格参加评审。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kern w:val="0"/>
                <w:sz w:val="24"/>
                <w:szCs w:val="24"/>
              </w:rPr>
              <w:t>。</w:t>
            </w:r>
          </w:p>
          <w:p>
            <w:pPr>
              <w:pageBreakBefore w:val="0"/>
              <w:kinsoku/>
              <w:wordWrap/>
              <w:overflowPunct/>
              <w:bidi w:val="0"/>
              <w:spacing w:line="500" w:lineRule="exact"/>
              <w:ind w:left="0" w:leftChars="0" w:right="0" w:rightChars="0"/>
              <w:textAlignment w:val="auto"/>
              <w:rPr>
                <w:rFonts w:hint="eastAsia" w:ascii="宋体" w:hAnsi="宋体" w:eastAsia="宋体" w:cs="宋体"/>
                <w:sz w:val="24"/>
                <w:szCs w:val="24"/>
              </w:rPr>
            </w:pPr>
          </w:p>
          <w:p>
            <w:pPr>
              <w:pageBreakBefore w:val="0"/>
              <w:kinsoku/>
              <w:wordWrap/>
              <w:overflowPunct/>
              <w:bidi w:val="0"/>
              <w:spacing w:line="50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4.</w:t>
            </w:r>
            <w:r>
              <w:rPr>
                <w:rFonts w:hint="eastAsia" w:ascii="宋体" w:hAnsi="宋体" w:eastAsia="宋体" w:cs="宋体"/>
                <w:kern w:val="0"/>
                <w:sz w:val="24"/>
                <w:szCs w:val="24"/>
              </w:rPr>
              <w:t>参加政府采购活动的中小企业应当提供《中小企业声明函》原件。其中，残疾人福利性单位应当提供《残疾人福利性单位声明函》原件，</w:t>
            </w:r>
            <w:r>
              <w:rPr>
                <w:rFonts w:hint="eastAsia" w:ascii="宋体" w:hAnsi="宋体" w:eastAsia="宋体" w:cs="宋体"/>
                <w:bCs/>
                <w:color w:val="000000"/>
                <w:kern w:val="0"/>
                <w:sz w:val="24"/>
                <w:szCs w:val="24"/>
              </w:rPr>
              <w:t>监狱企业应当提供由省级以上监狱管理局、戒毒管理局（含新疆生产建设兵团）出具的属于监狱企业的证明文件。</w:t>
            </w:r>
            <w:r>
              <w:rPr>
                <w:rFonts w:hint="eastAsia" w:ascii="宋体" w:hAnsi="宋体" w:eastAsia="宋体" w:cs="宋体"/>
                <w:kern w:val="0"/>
                <w:sz w:val="24"/>
                <w:szCs w:val="24"/>
              </w:rPr>
              <w:t>未提供的视为放弃享受小微企业价格扣除优惠政策。</w:t>
            </w:r>
          </w:p>
          <w:p>
            <w:pPr>
              <w:pageBreakBefore w:val="0"/>
              <w:kinsoku/>
              <w:wordWrap/>
              <w:overflowPunct/>
              <w:bidi w:val="0"/>
              <w:spacing w:line="500" w:lineRule="exact"/>
              <w:ind w:left="0" w:leftChars="0" w:right="0" w:rightChars="0"/>
              <w:textAlignment w:val="auto"/>
              <w:rPr>
                <w:rFonts w:hint="eastAsia" w:ascii="宋体" w:hAnsi="宋体" w:eastAsia="宋体" w:cs="宋体"/>
                <w:sz w:val="24"/>
                <w:szCs w:val="24"/>
              </w:rPr>
            </w:pPr>
          </w:p>
          <w:p>
            <w:pPr>
              <w:pStyle w:val="32"/>
              <w:pageBreakBefore w:val="0"/>
              <w:numPr>
                <w:ilvl w:val="255"/>
                <w:numId w:val="0"/>
              </w:numPr>
              <w:kinsoku/>
              <w:wordWrap/>
              <w:overflowPunct/>
              <w:bidi w:val="0"/>
              <w:spacing w:after="0" w:line="500" w:lineRule="exact"/>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b/>
                <w:color w:val="000000"/>
                <w:kern w:val="0"/>
                <w:sz w:val="24"/>
                <w:szCs w:val="24"/>
              </w:rPr>
              <w:t>本项目采购标的对应的中小企业划分标准所属行业为：</w:t>
            </w:r>
            <w:r>
              <w:rPr>
                <w:rFonts w:hint="eastAsia" w:ascii="宋体" w:hAnsi="宋体" w:eastAsia="宋体" w:cs="宋体"/>
                <w:b/>
                <w:color w:val="000000"/>
                <w:kern w:val="0"/>
                <w:sz w:val="24"/>
                <w:szCs w:val="24"/>
                <w:u w:val="single"/>
              </w:rPr>
              <w:t xml:space="preserve"> </w:t>
            </w:r>
            <w:r>
              <w:rPr>
                <w:rFonts w:hint="eastAsia" w:ascii="宋体" w:hAnsi="宋体" w:eastAsia="宋体" w:cs="宋体"/>
                <w:b/>
                <w:color w:val="000000"/>
                <w:kern w:val="0"/>
                <w:sz w:val="24"/>
                <w:szCs w:val="24"/>
                <w:u w:val="single"/>
                <w:lang w:val="en-US" w:eastAsia="zh-CN"/>
              </w:rPr>
              <w:t>软件和信息技术服务业</w:t>
            </w:r>
            <w:r>
              <w:rPr>
                <w:rFonts w:hint="eastAsia" w:ascii="宋体" w:hAnsi="宋体" w:eastAsia="宋体" w:cs="宋体"/>
                <w:b/>
                <w:color w:val="000000"/>
                <w:kern w:val="0"/>
                <w:sz w:val="24"/>
                <w:szCs w:val="24"/>
                <w:u w:val="singl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11</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节能、环保及无线局域网产品、</w:t>
            </w:r>
            <w:r>
              <w:rPr>
                <w:rFonts w:hint="eastAsia" w:ascii="宋体" w:hAnsi="宋体" w:eastAsia="宋体" w:cs="宋体"/>
                <w:sz w:val="24"/>
                <w:szCs w:val="24"/>
              </w:rPr>
              <w:t>信息安全产品</w:t>
            </w:r>
            <w:r>
              <w:rPr>
                <w:rFonts w:hint="eastAsia" w:ascii="宋体" w:hAnsi="宋体" w:eastAsia="宋体" w:cs="宋体"/>
                <w:kern w:val="2"/>
                <w:sz w:val="24"/>
                <w:szCs w:val="24"/>
              </w:rPr>
              <w:t>政府采购政策</w:t>
            </w:r>
          </w:p>
        </w:tc>
        <w:tc>
          <w:tcPr>
            <w:tcW w:w="6354" w:type="dxa"/>
            <w:vAlign w:val="center"/>
          </w:tcPr>
          <w:p>
            <w:pPr>
              <w:pageBreakBefore w:val="0"/>
              <w:kinsoku/>
              <w:wordWrap/>
              <w:overflowPunct/>
              <w:bidi w:val="0"/>
              <w:spacing w:line="500" w:lineRule="exact"/>
              <w:ind w:left="0" w:leftChars="0" w:right="0" w:rightChars="0"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一、节能、环保产品政府采购政策：</w:t>
            </w:r>
          </w:p>
          <w:p>
            <w:pPr>
              <w:pStyle w:val="43"/>
              <w:pageBreakBefore w:val="0"/>
              <w:kinsoku/>
              <w:wordWrap/>
              <w:overflowPunct/>
              <w:bidi w:val="0"/>
              <w:spacing w:line="50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43"/>
              <w:pageBreakBefore w:val="0"/>
              <w:kinsoku/>
              <w:wordWrap/>
              <w:overflowPunct/>
              <w:bidi w:val="0"/>
              <w:spacing w:line="50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本项目采购的产品属于品目清单强制采购范围的，</w:t>
            </w:r>
            <w:r>
              <w:rPr>
                <w:rFonts w:hint="eastAsia" w:ascii="宋体" w:hAnsi="宋体" w:eastAsia="宋体" w:cs="宋体"/>
                <w:sz w:val="24"/>
                <w:szCs w:val="24"/>
                <w:lang w:val="en-US" w:eastAsia="zh-CN"/>
              </w:rPr>
              <w:t>投标人</w:t>
            </w:r>
            <w:r>
              <w:rPr>
                <w:rFonts w:hint="eastAsia" w:ascii="宋体" w:hAnsi="宋体" w:eastAsia="宋体" w:cs="宋体"/>
                <w:sz w:val="24"/>
                <w:szCs w:val="24"/>
              </w:rPr>
              <w:t>应按上述要求提供产品认证证书复印件并加盖</w:t>
            </w:r>
            <w:r>
              <w:rPr>
                <w:rFonts w:hint="eastAsia" w:ascii="宋体" w:hAnsi="宋体" w:eastAsia="宋体" w:cs="宋体"/>
                <w:sz w:val="24"/>
                <w:szCs w:val="24"/>
                <w:lang w:val="en-US" w:eastAsia="zh-CN"/>
              </w:rPr>
              <w:t>投标</w:t>
            </w:r>
            <w:r>
              <w:rPr>
                <w:rFonts w:hint="eastAsia" w:ascii="宋体" w:hAnsi="宋体" w:eastAsia="宋体" w:cs="宋体"/>
                <w:sz w:val="24"/>
                <w:szCs w:val="24"/>
              </w:rPr>
              <w:t>单位</w:t>
            </w:r>
            <w:r>
              <w:rPr>
                <w:rFonts w:hint="eastAsia" w:cs="宋体"/>
                <w:sz w:val="24"/>
                <w:szCs w:val="24"/>
                <w:lang w:val="en-US" w:eastAsia="zh-CN"/>
              </w:rPr>
              <w:t>电子印章</w:t>
            </w:r>
            <w:r>
              <w:rPr>
                <w:rFonts w:hint="eastAsia" w:ascii="宋体" w:hAnsi="宋体" w:eastAsia="宋体" w:cs="宋体"/>
                <w:sz w:val="24"/>
                <w:szCs w:val="24"/>
              </w:rPr>
              <w:t>，否则其投标文件按无效处理。（实质性要求）</w:t>
            </w:r>
          </w:p>
          <w:p>
            <w:pPr>
              <w:pStyle w:val="43"/>
              <w:pageBreakBefore w:val="0"/>
              <w:kinsoku/>
              <w:wordWrap/>
              <w:overflowPunct/>
              <w:bidi w:val="0"/>
              <w:spacing w:line="500" w:lineRule="exact"/>
              <w:ind w:left="0" w:leftChars="0"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本项目强制节能产品包括但不限于：</w:t>
            </w:r>
            <w:r>
              <w:rPr>
                <w:rFonts w:hint="eastAsia" w:cs="宋体"/>
                <w:b/>
                <w:bCs/>
                <w:sz w:val="24"/>
                <w:szCs w:val="24"/>
                <w:u w:val="single"/>
                <w:lang w:val="en-US" w:eastAsia="zh-CN"/>
              </w:rPr>
              <w:t xml:space="preserve"> / </w:t>
            </w:r>
            <w:r>
              <w:rPr>
                <w:rFonts w:hint="eastAsia" w:ascii="宋体" w:hAnsi="宋体" w:eastAsia="宋体" w:cs="宋体"/>
                <w:b/>
                <w:bCs/>
                <w:sz w:val="24"/>
                <w:szCs w:val="24"/>
                <w:u w:val="single"/>
              </w:rPr>
              <w:t>。</w:t>
            </w:r>
          </w:p>
          <w:p>
            <w:pPr>
              <w:pStyle w:val="43"/>
              <w:pageBreakBefore w:val="0"/>
              <w:kinsoku/>
              <w:wordWrap/>
              <w:overflowPunct/>
              <w:bidi w:val="0"/>
              <w:spacing w:line="50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本项目采购的产品属于品目清单优先采购范围的，按照第七章《综合评分明细表》的规则进行加分。</w:t>
            </w:r>
          </w:p>
          <w:p>
            <w:pPr>
              <w:keepNext/>
              <w:keepLines/>
              <w:pageBreakBefore w:val="0"/>
              <w:kinsoku/>
              <w:wordWrap/>
              <w:overflowPunct/>
              <w:bidi w:val="0"/>
              <w:spacing w:line="500" w:lineRule="exact"/>
              <w:ind w:left="0" w:leftChars="0" w:right="0" w:rightChars="0" w:firstLine="240" w:firstLineChars="100"/>
              <w:textAlignment w:val="auto"/>
              <w:outlineLvl w:val="1"/>
              <w:rPr>
                <w:rFonts w:hint="eastAsia" w:ascii="宋体" w:hAnsi="宋体" w:eastAsia="宋体" w:cs="宋体"/>
                <w:sz w:val="24"/>
                <w:szCs w:val="24"/>
              </w:rPr>
            </w:pPr>
            <w:r>
              <w:rPr>
                <w:rFonts w:hint="eastAsia" w:ascii="宋体" w:hAnsi="宋体" w:eastAsia="宋体" w:cs="宋体"/>
                <w:sz w:val="24"/>
                <w:szCs w:val="24"/>
              </w:rPr>
              <w:t>注：对政府采购节能产品、环境标志产品实施品目清单管理。财政部、发展改革委、生态环境部等部门确定实施政府优先采购和强制采购的产品类别，以品目清单的形式发布并适时调整。</w:t>
            </w:r>
          </w:p>
          <w:p>
            <w:pPr>
              <w:keepNext/>
              <w:keepLines/>
              <w:pageBreakBefore w:val="0"/>
              <w:kinsoku/>
              <w:wordWrap/>
              <w:overflowPunct/>
              <w:bidi w:val="0"/>
              <w:spacing w:line="500" w:lineRule="exact"/>
              <w:ind w:left="0" w:leftChars="0" w:right="0" w:rightChars="0" w:firstLine="241" w:firstLineChars="100"/>
              <w:textAlignment w:val="auto"/>
              <w:outlineLvl w:val="1"/>
              <w:rPr>
                <w:rFonts w:hint="eastAsia" w:ascii="宋体" w:hAnsi="宋体" w:eastAsia="宋体" w:cs="宋体"/>
                <w:b/>
                <w:sz w:val="24"/>
                <w:szCs w:val="24"/>
              </w:rPr>
            </w:pPr>
            <w:r>
              <w:rPr>
                <w:rFonts w:hint="eastAsia" w:ascii="宋体" w:hAnsi="宋体" w:eastAsia="宋体" w:cs="宋体"/>
                <w:b/>
                <w:sz w:val="24"/>
                <w:szCs w:val="24"/>
              </w:rPr>
              <w:t>二、无线局域网产品政府采购政策：</w:t>
            </w:r>
          </w:p>
          <w:p>
            <w:pPr>
              <w:pStyle w:val="43"/>
              <w:keepNext/>
              <w:keepLines/>
              <w:pageBreakBefore w:val="0"/>
              <w:kinsoku/>
              <w:wordWrap/>
              <w:overflowPunct/>
              <w:bidi w:val="0"/>
              <w:spacing w:line="500" w:lineRule="exact"/>
              <w:ind w:left="0" w:leftChars="0" w:right="0" w:rightChars="0" w:firstLine="240" w:firstLineChars="100"/>
              <w:jc w:val="both"/>
              <w:textAlignment w:val="auto"/>
              <w:outlineLvl w:val="1"/>
              <w:rPr>
                <w:rFonts w:hint="eastAsia" w:ascii="宋体" w:hAnsi="宋体" w:eastAsia="宋体" w:cs="宋体"/>
                <w:kern w:val="2"/>
                <w:sz w:val="24"/>
                <w:szCs w:val="24"/>
              </w:rPr>
            </w:pPr>
            <w:r>
              <w:rPr>
                <w:rFonts w:hint="eastAsia" w:ascii="宋体" w:hAnsi="宋体" w:eastAsia="宋体" w:cs="宋体"/>
                <w:kern w:val="2"/>
                <w:sz w:val="24"/>
                <w:szCs w:val="24"/>
              </w:rPr>
              <w:t>本项目采购的产品属于中国政府采购网公布的《无线局域网认证产品政府采购清单》且在有效期内的，按照第七章《综合评分明细表》的规则进行加分。</w:t>
            </w:r>
          </w:p>
          <w:p>
            <w:pPr>
              <w:pStyle w:val="43"/>
              <w:keepNext/>
              <w:keepLines/>
              <w:pageBreakBefore w:val="0"/>
              <w:kinsoku/>
              <w:wordWrap/>
              <w:overflowPunct/>
              <w:bidi w:val="0"/>
              <w:spacing w:line="500" w:lineRule="exact"/>
              <w:ind w:left="0" w:leftChars="0" w:right="0" w:rightChars="0" w:firstLine="241" w:firstLineChars="100"/>
              <w:jc w:val="both"/>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rPr>
              <w:t>三、信息安全产品政府采购政策：</w:t>
            </w:r>
          </w:p>
          <w:p>
            <w:pPr>
              <w:pStyle w:val="32"/>
              <w:pageBreakBefore w:val="0"/>
              <w:kinsoku/>
              <w:wordWrap/>
              <w:overflowPunct/>
              <w:bidi w:val="0"/>
              <w:spacing w:after="0" w:line="500" w:lineRule="exact"/>
              <w:ind w:left="0" w:leftChars="0" w:right="0" w:rightChars="0" w:firstLine="241"/>
              <w:textAlignment w:val="auto"/>
              <w:rPr>
                <w:rFonts w:hint="eastAsia" w:ascii="宋体" w:hAnsi="宋体" w:eastAsia="宋体" w:cs="宋体"/>
                <w:b/>
                <w:sz w:val="24"/>
                <w:szCs w:val="24"/>
              </w:rPr>
            </w:pPr>
            <w:r>
              <w:rPr>
                <w:rFonts w:hint="eastAsia" w:cs="仿宋" w:asciiTheme="majorEastAsia" w:hAnsiTheme="majorEastAsia" w:eastAsiaTheme="majorEastAsia"/>
                <w:sz w:val="24"/>
              </w:rPr>
              <w:t>本项目采购的产品属于信息安全产品的，供应商应提供中国信息安全认证中心</w:t>
            </w:r>
            <w:r>
              <w:rPr>
                <w:rFonts w:hint="eastAsia" w:cs="仿宋" w:asciiTheme="majorEastAsia" w:hAnsiTheme="majorEastAsia" w:eastAsiaTheme="majorEastAsia"/>
                <w:sz w:val="24"/>
                <w:lang w:val="en-US" w:eastAsia="zh-CN"/>
              </w:rPr>
              <w:t>/中国网络安全审查技术与认证中心（ISCCC/CCRC）</w:t>
            </w:r>
            <w:r>
              <w:rPr>
                <w:rFonts w:hint="eastAsia" w:cs="仿宋" w:asciiTheme="majorEastAsia" w:hAnsiTheme="majorEastAsia" w:eastAsiaTheme="majorEastAsia"/>
                <w:sz w:val="24"/>
              </w:rPr>
              <w:t>按国家标准认证颁发的有效认证证书</w:t>
            </w:r>
            <w:r>
              <w:rPr>
                <w:rFonts w:hint="eastAsia" w:cs="仿宋" w:asciiTheme="majorEastAsia" w:hAnsiTheme="majorEastAsia" w:eastAsiaTheme="majorEastAsia"/>
                <w:b/>
                <w:sz w:val="24"/>
              </w:rPr>
              <w:t>（实质性要求）。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12</w:t>
            </w:r>
          </w:p>
        </w:tc>
        <w:tc>
          <w:tcPr>
            <w:tcW w:w="1755" w:type="dxa"/>
            <w:vAlign w:val="center"/>
          </w:tcPr>
          <w:p>
            <w:pPr>
              <w:pageBreakBefore w:val="0"/>
              <w:kinsoku/>
              <w:wordWrap/>
              <w:overflow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评标情况公告</w:t>
            </w:r>
          </w:p>
        </w:tc>
        <w:tc>
          <w:tcPr>
            <w:tcW w:w="6354" w:type="dxa"/>
            <w:vAlign w:val="center"/>
          </w:tcPr>
          <w:p>
            <w:pPr>
              <w:pageBreakBefore w:val="0"/>
              <w:kinsoku/>
              <w:wordWrap/>
              <w:overflowPunct/>
              <w:bidi w:val="0"/>
              <w:spacing w:line="50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所有供应商投标文件资格性、符合性检查情况、采用综合评分法的总得分情况和分项汇总得分情况、评标结果等将在</w:t>
            </w:r>
            <w:r>
              <w:rPr>
                <w:rFonts w:hint="eastAsia" w:ascii="宋体" w:hAnsi="宋体" w:eastAsia="宋体" w:cs="宋体"/>
                <w:b/>
                <w:sz w:val="24"/>
                <w:szCs w:val="24"/>
              </w:rPr>
              <w:t>《四川政府采购网》</w:t>
            </w:r>
            <w:r>
              <w:rPr>
                <w:rFonts w:hint="eastAsia" w:ascii="宋体" w:hAnsi="宋体" w:eastAsia="宋体" w:cs="宋体"/>
                <w:sz w:val="24"/>
                <w:szCs w:val="24"/>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13</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kern w:val="2"/>
                <w:sz w:val="24"/>
                <w:szCs w:val="24"/>
                <w:lang w:val="zh-CN"/>
              </w:rPr>
            </w:pPr>
            <w:r>
              <w:rPr>
                <w:rFonts w:hint="eastAsia" w:ascii="宋体" w:hAnsi="宋体" w:eastAsia="宋体" w:cs="宋体"/>
                <w:kern w:val="2"/>
                <w:sz w:val="24"/>
                <w:szCs w:val="24"/>
                <w:lang w:val="zh-CN"/>
              </w:rPr>
              <w:t>投标保证金</w:t>
            </w:r>
          </w:p>
        </w:tc>
        <w:tc>
          <w:tcPr>
            <w:tcW w:w="6354" w:type="dxa"/>
            <w:vAlign w:val="center"/>
          </w:tcPr>
          <w:p>
            <w:pPr>
              <w:pStyle w:val="43"/>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lang w:bidi="en-US"/>
              </w:rPr>
            </w:pPr>
            <w:r>
              <w:rPr>
                <w:rFonts w:hint="eastAsia" w:ascii="宋体" w:hAnsi="宋体" w:eastAsia="宋体" w:cs="宋体"/>
                <w:sz w:val="24"/>
                <w:szCs w:val="24"/>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14</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履约保证金</w:t>
            </w:r>
          </w:p>
        </w:tc>
        <w:tc>
          <w:tcPr>
            <w:tcW w:w="6354" w:type="dxa"/>
            <w:vAlign w:val="center"/>
          </w:tcPr>
          <w:p>
            <w:pPr>
              <w:pStyle w:val="2"/>
              <w:pageBreakBefore w:val="0"/>
              <w:kinsoku/>
              <w:wordWrap/>
              <w:overflowPunct/>
              <w:bidi w:val="0"/>
              <w:spacing w:after="0" w:line="500" w:lineRule="exact"/>
              <w:ind w:left="0" w:leftChars="0" w:right="0" w:rightChars="0"/>
              <w:textAlignment w:val="auto"/>
              <w:rPr>
                <w:rFonts w:hint="eastAsia" w:ascii="宋体" w:hAnsi="宋体" w:eastAsia="宋体" w:cs="宋体"/>
                <w:sz w:val="24"/>
                <w:szCs w:val="24"/>
                <w:lang w:val="zh-CN"/>
              </w:rPr>
            </w:pPr>
            <w:r>
              <w:rPr>
                <w:rFonts w:hint="eastAsia" w:ascii="宋体" w:hAnsi="宋体" w:eastAsia="宋体" w:cs="宋体"/>
                <w:sz w:val="24"/>
                <w:szCs w:val="24"/>
              </w:rPr>
              <w:t>1.金额：采购合同金额的</w:t>
            </w:r>
            <w:r>
              <w:rPr>
                <w:rFonts w:hint="eastAsia" w:ascii="宋体" w:hAnsi="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2.履约保证金：由采购人收取。</w:t>
            </w:r>
            <w:r>
              <w:rPr>
                <w:rFonts w:hint="eastAsia" w:ascii="宋体" w:hAnsi="宋体" w:eastAsia="宋体" w:cs="宋体"/>
                <w:sz w:val="24"/>
                <w:szCs w:val="24"/>
              </w:rPr>
              <w:br w:type="textWrapping"/>
            </w:r>
            <w:r>
              <w:rPr>
                <w:rFonts w:hint="eastAsia" w:ascii="宋体" w:hAnsi="宋体" w:eastAsia="宋体" w:cs="宋体"/>
                <w:sz w:val="24"/>
                <w:szCs w:val="24"/>
              </w:rPr>
              <w:t>3.交款方式：履约保证金可以以支票、汇票、本票或者金融机构出具的保函等非现金形式提交（包括网银转账，电汇等方式）。不接受以现金及个人名义汇款交纳的履约保证金。</w:t>
            </w:r>
            <w:r>
              <w:rPr>
                <w:rFonts w:hint="eastAsia" w:ascii="宋体" w:hAnsi="宋体" w:eastAsia="宋体" w:cs="宋体"/>
                <w:sz w:val="24"/>
                <w:szCs w:val="24"/>
              </w:rPr>
              <w:br w:type="textWrapping"/>
            </w:r>
            <w:r>
              <w:rPr>
                <w:rFonts w:hint="eastAsia" w:ascii="宋体" w:hAnsi="宋体" w:eastAsia="宋体" w:cs="宋体"/>
                <w:sz w:val="24"/>
                <w:szCs w:val="24"/>
              </w:rPr>
              <w:t>4.交纳要求：转款户名必须与供应商名称一致，不接受其它方式交纳。</w:t>
            </w:r>
            <w:r>
              <w:rPr>
                <w:rFonts w:hint="eastAsia" w:ascii="宋体" w:hAnsi="宋体" w:eastAsia="宋体" w:cs="宋体"/>
                <w:sz w:val="24"/>
                <w:szCs w:val="24"/>
              </w:rPr>
              <w:br w:type="textWrapping"/>
            </w:r>
            <w:r>
              <w:rPr>
                <w:rFonts w:hint="eastAsia" w:ascii="宋体" w:hAnsi="宋体" w:eastAsia="宋体" w:cs="宋体"/>
                <w:sz w:val="24"/>
                <w:szCs w:val="24"/>
              </w:rPr>
              <w:t>5.交款时间：中标通知书发放后，政府采购合同签订前。</w:t>
            </w:r>
            <w:r>
              <w:rPr>
                <w:rFonts w:hint="eastAsia" w:ascii="宋体" w:hAnsi="宋体" w:eastAsia="宋体" w:cs="宋体"/>
                <w:sz w:val="24"/>
                <w:szCs w:val="24"/>
              </w:rPr>
              <w:br w:type="textWrapping"/>
            </w:r>
            <w:r>
              <w:rPr>
                <w:rFonts w:hint="eastAsia" w:ascii="宋体" w:hAnsi="宋体" w:eastAsia="宋体" w:cs="宋体"/>
                <w:sz w:val="24"/>
                <w:szCs w:val="24"/>
              </w:rPr>
              <w:t>注：提供保函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r>
              <w:rPr>
                <w:rFonts w:hint="eastAsia" w:ascii="宋体" w:hAnsi="宋体" w:eastAsia="宋体" w:cs="宋体"/>
                <w:sz w:val="24"/>
                <w:szCs w:val="24"/>
              </w:rPr>
              <w:br w:type="textWrapping"/>
            </w:r>
            <w:r>
              <w:rPr>
                <w:rFonts w:hint="eastAsia" w:ascii="宋体" w:hAnsi="宋体" w:eastAsia="宋体" w:cs="宋体"/>
                <w:sz w:val="24"/>
                <w:szCs w:val="24"/>
              </w:rPr>
              <w:t>履约保证金退还方式：</w:t>
            </w:r>
            <w:r>
              <w:rPr>
                <w:rFonts w:hint="eastAsia" w:ascii="宋体" w:hAnsi="宋体" w:cs="宋体"/>
                <w:sz w:val="24"/>
                <w:szCs w:val="24"/>
                <w:lang w:val="en-US" w:eastAsia="zh-CN"/>
              </w:rPr>
              <w:t>原路径退还</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履约保证金退还时间：项目通过评审并签署终验报告后5个工作日内，采购人向中标人无息退还履约保证金的50%；从项目通过评审并签署终验报告之日起算，项目满质保期（运维期）后，采购人向中标人无息退还履约保证金的另外50%。</w:t>
            </w:r>
            <w:r>
              <w:rPr>
                <w:rFonts w:hint="eastAsia" w:ascii="宋体" w:hAnsi="宋体" w:eastAsia="宋体" w:cs="宋体"/>
                <w:sz w:val="24"/>
                <w:szCs w:val="24"/>
              </w:rPr>
              <w:br w:type="textWrapping"/>
            </w:r>
            <w:r>
              <w:rPr>
                <w:rFonts w:hint="eastAsia" w:ascii="宋体" w:hAnsi="宋体" w:eastAsia="宋体" w:cs="宋体"/>
                <w:sz w:val="24"/>
                <w:szCs w:val="24"/>
              </w:rPr>
              <w:t>履约保证金不予退还情形：</w:t>
            </w:r>
            <w:r>
              <w:rPr>
                <w:rFonts w:hint="eastAsia" w:ascii="宋体" w:hAnsi="宋体" w:eastAsia="宋体" w:cs="宋体"/>
                <w:sz w:val="24"/>
                <w:szCs w:val="24"/>
                <w:lang w:val="en-US" w:eastAsia="zh-CN"/>
              </w:rPr>
              <w:t>中标合同规定的不予退还的情形及法律法规规定的其他情形</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15</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投标人资格审查方式</w:t>
            </w:r>
          </w:p>
        </w:tc>
        <w:tc>
          <w:tcPr>
            <w:tcW w:w="6354" w:type="dxa"/>
            <w:shd w:val="clear" w:color="auto" w:fill="auto"/>
            <w:vAlign w:val="center"/>
          </w:tcPr>
          <w:p>
            <w:pPr>
              <w:pageBreakBefore w:val="0"/>
              <w:kinsoku/>
              <w:wordWrap/>
              <w:overflowPunct/>
              <w:topLinePunct/>
              <w:bidi w:val="0"/>
              <w:spacing w:line="500" w:lineRule="exact"/>
              <w:ind w:left="0" w:leftChars="0" w:right="0" w:rightChars="0" w:firstLine="240" w:firstLineChars="1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采购人对投标人资格进行审查。</w:t>
            </w:r>
          </w:p>
          <w:p>
            <w:pPr>
              <w:pageBreakBefore w:val="0"/>
              <w:kinsoku/>
              <w:wordWrap/>
              <w:overflowPunct/>
              <w:topLinePunct/>
              <w:bidi w:val="0"/>
              <w:spacing w:line="500" w:lineRule="exact"/>
              <w:ind w:left="0" w:leftChars="0" w:right="0" w:rightChars="0" w:firstLine="240" w:firstLineChars="1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采购人和采购代理机构对投标人资格进行审查。</w:t>
            </w:r>
          </w:p>
          <w:p>
            <w:pPr>
              <w:pageBreakBefore w:val="0"/>
              <w:kinsoku/>
              <w:wordWrap/>
              <w:overflowPunct/>
              <w:topLinePunct/>
              <w:bidi w:val="0"/>
              <w:spacing w:line="500" w:lineRule="exact"/>
              <w:ind w:left="0" w:leftChars="0" w:right="0" w:rightChars="0" w:firstLine="240" w:firstLineChars="1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采购代理机构对投标人资格进行审查。</w:t>
            </w:r>
          </w:p>
          <w:p>
            <w:pPr>
              <w:pStyle w:val="32"/>
              <w:pageBreakBefore w:val="0"/>
              <w:kinsoku/>
              <w:wordWrap/>
              <w:overflowPunct/>
              <w:topLinePunct/>
              <w:bidi w:val="0"/>
              <w:spacing w:after="0" w:line="500" w:lineRule="exact"/>
              <w:ind w:left="0" w:leftChars="0" w:right="0" w:rightChars="0" w:firstLine="241"/>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注：资格审查后，合格投标人不足3家的，不得进入评标环节。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16</w:t>
            </w:r>
          </w:p>
        </w:tc>
        <w:tc>
          <w:tcPr>
            <w:tcW w:w="1755" w:type="dxa"/>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核心产品</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（实质性要求）</w:t>
            </w:r>
          </w:p>
        </w:tc>
        <w:tc>
          <w:tcPr>
            <w:tcW w:w="6354" w:type="dxa"/>
            <w:vAlign w:val="center"/>
          </w:tcPr>
          <w:p>
            <w:pPr>
              <w:pageBreakBefore w:val="0"/>
              <w:kinsoku/>
              <w:wordWrap/>
              <w:overflowPunct/>
              <w:topLinePunct/>
              <w:bidi w:val="0"/>
              <w:spacing w:line="500" w:lineRule="exact"/>
              <w:ind w:left="0" w:leftChars="0" w:right="0" w:rightChars="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17</w:t>
            </w:r>
          </w:p>
        </w:tc>
        <w:tc>
          <w:tcPr>
            <w:tcW w:w="1755" w:type="dxa"/>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样品</w:t>
            </w:r>
          </w:p>
        </w:tc>
        <w:tc>
          <w:tcPr>
            <w:tcW w:w="6354" w:type="dxa"/>
            <w:vAlign w:val="center"/>
          </w:tcPr>
          <w:p>
            <w:pPr>
              <w:pStyle w:val="59"/>
              <w:pageBreakBefore w:val="0"/>
              <w:numPr>
                <w:ilvl w:val="255"/>
                <w:numId w:val="0"/>
              </w:numPr>
              <w:kinsoku/>
              <w:wordWrap/>
              <w:overflowPunct/>
              <w:bidi w:val="0"/>
              <w:spacing w:line="500" w:lineRule="exact"/>
              <w:ind w:left="0" w:leftChars="0" w:right="0" w:righ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b/>
                <w:bCs/>
                <w:sz w:val="24"/>
                <w:szCs w:val="24"/>
                <w:highlight w:val="none"/>
                <w:u w:val="single"/>
                <w:lang w:val="en-US" w:eastAsia="zh-CN"/>
              </w:rPr>
              <w:t>不</w:t>
            </w:r>
            <w:r>
              <w:rPr>
                <w:rFonts w:hint="eastAsia" w:ascii="宋体" w:hAnsi="宋体" w:eastAsia="宋体" w:cs="宋体"/>
                <w:b/>
                <w:iCs/>
                <w:sz w:val="24"/>
                <w:szCs w:val="24"/>
                <w:highlight w:val="none"/>
                <w:u w:val="single"/>
              </w:rPr>
              <w:t>需要</w:t>
            </w:r>
            <w:r>
              <w:rPr>
                <w:rFonts w:hint="eastAsia" w:ascii="宋体" w:hAnsi="宋体" w:eastAsia="宋体" w:cs="宋体"/>
                <w:sz w:val="24"/>
                <w:szCs w:val="24"/>
              </w:rPr>
              <w:t>提供样品。样品具体要求详见第六章。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18</w:t>
            </w:r>
          </w:p>
        </w:tc>
        <w:tc>
          <w:tcPr>
            <w:tcW w:w="1755" w:type="dxa"/>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采购项目具体</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事项/采购文件</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color w:val="000000"/>
                <w:sz w:val="24"/>
                <w:szCs w:val="24"/>
              </w:rPr>
            </w:pPr>
            <w:r>
              <w:rPr>
                <w:rFonts w:hint="eastAsia" w:ascii="宋体" w:hAnsi="宋体" w:eastAsia="宋体" w:cs="宋体"/>
                <w:bCs/>
                <w:sz w:val="24"/>
                <w:szCs w:val="24"/>
              </w:rPr>
              <w:t>内容咨询</w:t>
            </w:r>
          </w:p>
        </w:tc>
        <w:tc>
          <w:tcPr>
            <w:tcW w:w="6354" w:type="dxa"/>
            <w:vAlign w:val="center"/>
          </w:tcPr>
          <w:p>
            <w:pPr>
              <w:pStyle w:val="59"/>
              <w:pageBreakBefore w:val="0"/>
              <w:numPr>
                <w:ilvl w:val="255"/>
                <w:numId w:val="0"/>
              </w:numPr>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详见第一章投标邀请7.3项目联系人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19</w:t>
            </w:r>
          </w:p>
        </w:tc>
        <w:tc>
          <w:tcPr>
            <w:tcW w:w="1755" w:type="dxa"/>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开标、评标</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工作咨询</w:t>
            </w:r>
          </w:p>
        </w:tc>
        <w:tc>
          <w:tcPr>
            <w:tcW w:w="6354" w:type="dxa"/>
            <w:vAlign w:val="center"/>
          </w:tcPr>
          <w:p>
            <w:pPr>
              <w:pageBreakBefore w:val="0"/>
              <w:kinsoku/>
              <w:wordWrap/>
              <w:overflowPunct/>
              <w:bidi w:val="0"/>
              <w:spacing w:line="500" w:lineRule="exact"/>
              <w:ind w:left="0" w:leftChars="0" w:right="0" w:righ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详见第一章投标邀请7.3项目联系人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20</w:t>
            </w:r>
          </w:p>
        </w:tc>
        <w:tc>
          <w:tcPr>
            <w:tcW w:w="1755" w:type="dxa"/>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中标通知书</w:t>
            </w:r>
          </w:p>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领取</w:t>
            </w:r>
          </w:p>
        </w:tc>
        <w:tc>
          <w:tcPr>
            <w:tcW w:w="6354" w:type="dxa"/>
            <w:vAlign w:val="center"/>
          </w:tcPr>
          <w:p>
            <w:pPr>
              <w:pStyle w:val="41"/>
              <w:keepNext w:val="0"/>
              <w:keepLines w:val="0"/>
              <w:pageBreakBefore w:val="0"/>
              <w:widowControl w:val="0"/>
              <w:kinsoku/>
              <w:wordWrap/>
              <w:overflowPunct/>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zh-CN"/>
              </w:rPr>
              <w:t>在四川政府采购网公告中标结果同时发出中标通知书，中标供应商自行登录政府采购云平台下载中标通知书。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21</w:t>
            </w:r>
          </w:p>
        </w:tc>
        <w:tc>
          <w:tcPr>
            <w:tcW w:w="1755" w:type="dxa"/>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供应商质疑</w:t>
            </w:r>
          </w:p>
        </w:tc>
        <w:tc>
          <w:tcPr>
            <w:tcW w:w="6354" w:type="dxa"/>
            <w:vAlign w:val="center"/>
          </w:tcPr>
          <w:p>
            <w:pPr>
              <w:pStyle w:val="43"/>
              <w:pageBreakBefore w:val="0"/>
              <w:kinsoku/>
              <w:wordWrap/>
              <w:overflowPunct/>
              <w:bidi w:val="0"/>
              <w:spacing w:line="500" w:lineRule="exact"/>
              <w:ind w:left="0" w:leftChars="0" w:right="0" w:righ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根据委托代理协议约定，供应商质疑由采购代理机构负责答复。</w:t>
            </w:r>
          </w:p>
          <w:p>
            <w:pPr>
              <w:pStyle w:val="41"/>
              <w:keepNext w:val="0"/>
              <w:keepLines w:val="0"/>
              <w:pageBreakBefore w:val="0"/>
              <w:widowControl w:val="0"/>
              <w:kinsoku/>
              <w:wordWrap/>
              <w:overflowPunct/>
              <w:bidi w:val="0"/>
              <w:snapToGrid/>
              <w:spacing w:line="500" w:lineRule="exact"/>
              <w:ind w:left="0" w:leftChars="0" w:right="0" w:rightChars="0" w:firstLine="199" w:firstLineChars="8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联系人：</w:t>
            </w:r>
            <w:r>
              <w:rPr>
                <w:rFonts w:hint="eastAsia" w:ascii="宋体" w:hAnsi="宋体" w:eastAsia="宋体" w:cs="宋体"/>
                <w:color w:val="000000" w:themeColor="text1"/>
                <w:sz w:val="24"/>
                <w:szCs w:val="24"/>
                <w:lang w:val="en-US" w:eastAsia="zh-CN"/>
                <w14:textFill>
                  <w14:solidFill>
                    <w14:schemeClr w14:val="tx1"/>
                  </w14:solidFill>
                </w14:textFill>
              </w:rPr>
              <w:t>黄</w:t>
            </w:r>
            <w:r>
              <w:rPr>
                <w:rFonts w:hint="eastAsia" w:ascii="宋体" w:hAnsi="宋体" w:eastAsia="宋体" w:cs="宋体"/>
                <w:color w:val="000000" w:themeColor="text1"/>
                <w:sz w:val="24"/>
                <w:szCs w:val="24"/>
                <w14:textFill>
                  <w14:solidFill>
                    <w14:schemeClr w14:val="tx1"/>
                  </w14:solidFill>
                </w14:textFill>
              </w:rPr>
              <w:t>女士</w:t>
            </w:r>
          </w:p>
          <w:p>
            <w:pPr>
              <w:pStyle w:val="41"/>
              <w:keepNext w:val="0"/>
              <w:keepLines w:val="0"/>
              <w:pageBreakBefore w:val="0"/>
              <w:widowControl w:val="0"/>
              <w:kinsoku/>
              <w:wordWrap/>
              <w:overflowPunct/>
              <w:bidi w:val="0"/>
              <w:snapToGrid/>
              <w:spacing w:line="500" w:lineRule="exact"/>
              <w:ind w:left="0" w:leftChars="0" w:right="0" w:righ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电  话：028-85092675</w:t>
            </w:r>
          </w:p>
          <w:p>
            <w:pPr>
              <w:pStyle w:val="41"/>
              <w:keepNext w:val="0"/>
              <w:keepLines w:val="0"/>
              <w:pageBreakBefore w:val="0"/>
              <w:widowControl w:val="0"/>
              <w:kinsoku/>
              <w:wordWrap/>
              <w:overflowPunct/>
              <w:bidi w:val="0"/>
              <w:snapToGrid/>
              <w:spacing w:line="500" w:lineRule="exact"/>
              <w:ind w:left="0" w:leftChars="0" w:right="0" w:rightChars="0" w:firstLine="199" w:firstLineChars="83"/>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联系地址：</w:t>
            </w:r>
            <w:r>
              <w:rPr>
                <w:rFonts w:hint="eastAsia" w:ascii="宋体" w:hAnsi="宋体" w:eastAsia="宋体" w:cs="宋体"/>
                <w:sz w:val="24"/>
                <w:szCs w:val="24"/>
                <w:u w:val="single"/>
              </w:rPr>
              <w:t>成都市高新区应龙南一路555号正成南郡1栋19号</w:t>
            </w:r>
          </w:p>
          <w:p>
            <w:pPr>
              <w:pStyle w:val="32"/>
              <w:pageBreakBefore w:val="0"/>
              <w:kinsoku/>
              <w:wordWrap/>
              <w:overflowPunct/>
              <w:bidi w:val="0"/>
              <w:spacing w:after="0" w:line="500" w:lineRule="exact"/>
              <w:ind w:left="0" w:leftChars="0" w:right="0" w:rightChars="0" w:firstLine="118" w:firstLineChars="49"/>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注：根据《中华人民共和国政府采购法》等规定，供应商质疑不得超出采购文件、采购过程、采购结果的范围，供应商针对同一采购程序环节的质疑应在法定质疑期内一次性提出。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22</w:t>
            </w:r>
          </w:p>
        </w:tc>
        <w:tc>
          <w:tcPr>
            <w:tcW w:w="1755" w:type="dxa"/>
            <w:vAlign w:val="center"/>
          </w:tcPr>
          <w:p>
            <w:pPr>
              <w:pageBreakBefore w:val="0"/>
              <w:kinsoku/>
              <w:wordWrap/>
              <w:overflowPunct/>
              <w:topLine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供应商投诉</w:t>
            </w:r>
          </w:p>
        </w:tc>
        <w:tc>
          <w:tcPr>
            <w:tcW w:w="6354" w:type="dxa"/>
            <w:vAlign w:val="center"/>
          </w:tcPr>
          <w:p>
            <w:pPr>
              <w:pStyle w:val="43"/>
              <w:pageBreakBefore w:val="0"/>
              <w:widowControl w:val="0"/>
              <w:kinsoku/>
              <w:wordWrap/>
              <w:overflowPunct/>
              <w:bidi w:val="0"/>
              <w:snapToGrid/>
              <w:spacing w:line="500" w:lineRule="exact"/>
              <w:ind w:left="0" w:leftChars="0" w:right="0" w:right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投诉受理单位：本项目同级财政部门，</w:t>
            </w:r>
            <w:r>
              <w:rPr>
                <w:rFonts w:hint="eastAsia" w:ascii="宋体" w:hAnsi="宋体" w:eastAsia="宋体" w:cs="宋体"/>
                <w:kern w:val="0"/>
                <w:sz w:val="24"/>
                <w:szCs w:val="24"/>
                <w:highlight w:val="none"/>
                <w:lang w:val="zh-CN"/>
              </w:rPr>
              <w:t>即</w:t>
            </w:r>
            <w:r>
              <w:rPr>
                <w:rFonts w:hint="eastAsia" w:ascii="宋体" w:hAnsi="宋体" w:eastAsia="宋体" w:cs="宋体"/>
                <w:kern w:val="0"/>
                <w:sz w:val="24"/>
                <w:szCs w:val="24"/>
                <w:highlight w:val="none"/>
                <w:lang w:val="en-US" w:eastAsia="zh-CN"/>
              </w:rPr>
              <w:t>成都市</w:t>
            </w:r>
            <w:r>
              <w:rPr>
                <w:rFonts w:hint="eastAsia" w:ascii="宋体" w:hAnsi="宋体" w:eastAsia="宋体" w:cs="宋体"/>
                <w:kern w:val="0"/>
                <w:sz w:val="24"/>
                <w:szCs w:val="24"/>
                <w:highlight w:val="none"/>
                <w:lang w:val="zh-CN"/>
              </w:rPr>
              <w:t>财政局</w:t>
            </w:r>
            <w:r>
              <w:rPr>
                <w:rFonts w:hint="eastAsia" w:ascii="宋体" w:hAnsi="宋体" w:eastAsia="宋体" w:cs="宋体"/>
                <w:sz w:val="24"/>
                <w:szCs w:val="24"/>
                <w:lang w:val="zh-CN"/>
              </w:rPr>
              <w:t>。</w:t>
            </w:r>
          </w:p>
          <w:p>
            <w:pPr>
              <w:pStyle w:val="43"/>
              <w:pageBreakBefore w:val="0"/>
              <w:widowControl w:val="0"/>
              <w:kinsoku/>
              <w:wordWrap/>
              <w:overflowPunct/>
              <w:bidi w:val="0"/>
              <w:snapToGrid/>
              <w:spacing w:line="500" w:lineRule="exact"/>
              <w:ind w:left="0" w:leftChars="0" w:right="0" w:right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联系电话：028-61882648</w:t>
            </w:r>
          </w:p>
          <w:p>
            <w:pPr>
              <w:pStyle w:val="43"/>
              <w:pageBreakBefore w:val="0"/>
              <w:widowControl w:val="0"/>
              <w:kinsoku/>
              <w:wordWrap/>
              <w:overflowPunct/>
              <w:bidi w:val="0"/>
              <w:snapToGrid/>
              <w:spacing w:line="500" w:lineRule="exact"/>
              <w:ind w:left="0" w:leftChars="0" w:right="0" w:right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联系地址：四川省成都市锦城大道366号</w:t>
            </w:r>
          </w:p>
          <w:p>
            <w:pPr>
              <w:pageBreakBefore w:val="0"/>
              <w:kinsoku/>
              <w:wordWrap/>
              <w:overflowPunct/>
              <w:bidi w:val="0"/>
              <w:spacing w:line="500" w:lineRule="exact"/>
              <w:ind w:left="0" w:leftChars="0" w:right="0" w:rightChars="0" w:firstLine="118" w:firstLineChars="49"/>
              <w:textAlignment w:val="auto"/>
              <w:rPr>
                <w:rFonts w:hint="eastAsia" w:ascii="宋体" w:hAnsi="宋体" w:eastAsia="宋体" w:cs="宋体"/>
                <w:b/>
                <w:sz w:val="24"/>
                <w:szCs w:val="24"/>
              </w:rPr>
            </w:pPr>
            <w:r>
              <w:rPr>
                <w:rFonts w:hint="eastAsia" w:ascii="宋体" w:hAnsi="宋体" w:eastAsia="宋体" w:cs="宋体"/>
                <w:b/>
                <w:sz w:val="24"/>
                <w:szCs w:val="24"/>
                <w:lang w:val="zh-CN"/>
              </w:rPr>
              <w:t>注：根据《中华人民共和国政府采购法实施条例》等规定，供应商投诉事项不得超出已质疑事项的范围。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23</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投标文件的制作和签章、加密</w:t>
            </w:r>
          </w:p>
        </w:tc>
        <w:tc>
          <w:tcPr>
            <w:tcW w:w="6354" w:type="dxa"/>
            <w:vAlign w:val="center"/>
          </w:tcPr>
          <w:p>
            <w:pPr>
              <w:pStyle w:val="2"/>
              <w:pageBreakBefore w:val="0"/>
              <w:kinsoku/>
              <w:wordWrap/>
              <w:overflowPunct/>
              <w:bidi w:val="0"/>
              <w:spacing w:after="0" w:line="5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详见：投标人须知18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24</w:t>
            </w:r>
          </w:p>
        </w:tc>
        <w:tc>
          <w:tcPr>
            <w:tcW w:w="1755" w:type="dxa"/>
            <w:vAlign w:val="center"/>
          </w:tcPr>
          <w:p>
            <w:pPr>
              <w:pStyle w:val="43"/>
              <w:pageBreakBefore w:val="0"/>
              <w:kinsoku/>
              <w:wordWrap/>
              <w:overflowPunct/>
              <w:bidi w:val="0"/>
              <w:spacing w:line="500" w:lineRule="exact"/>
              <w:ind w:left="0" w:leftChars="0" w:right="0" w:right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投标文件的递交</w:t>
            </w:r>
          </w:p>
        </w:tc>
        <w:tc>
          <w:tcPr>
            <w:tcW w:w="6354" w:type="dxa"/>
            <w:vAlign w:val="center"/>
          </w:tcPr>
          <w:p>
            <w:pPr>
              <w:pStyle w:val="32"/>
              <w:pageBreakBefore w:val="0"/>
              <w:kinsoku/>
              <w:wordWrap/>
              <w:overflowPunct/>
              <w:bidi w:val="0"/>
              <w:spacing w:after="0" w:line="500" w:lineRule="exact"/>
              <w:ind w:left="0" w:leftChars="0" w:right="0" w:rightChars="0"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投标人须知19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25</w:t>
            </w:r>
          </w:p>
        </w:tc>
        <w:tc>
          <w:tcPr>
            <w:tcW w:w="1755" w:type="dxa"/>
            <w:vAlign w:val="center"/>
          </w:tcPr>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投标有效期</w:t>
            </w:r>
          </w:p>
          <w:p>
            <w:pPr>
              <w:pStyle w:val="43"/>
              <w:pageBreakBefore w:val="0"/>
              <w:kinsoku/>
              <w:wordWrap/>
              <w:overflowPunct/>
              <w:bidi w:val="0"/>
              <w:spacing w:line="500" w:lineRule="exact"/>
              <w:ind w:left="0" w:leftChars="0" w:right="0" w:right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（实质性要求）</w:t>
            </w:r>
          </w:p>
        </w:tc>
        <w:tc>
          <w:tcPr>
            <w:tcW w:w="6354" w:type="dxa"/>
            <w:vAlign w:val="center"/>
          </w:tcPr>
          <w:p>
            <w:pPr>
              <w:pageBreakBefore w:val="0"/>
              <w:kinsoku/>
              <w:wordWrap/>
              <w:overflowPunct/>
              <w:bidi w:val="0"/>
              <w:spacing w:line="500" w:lineRule="exact"/>
              <w:ind w:left="0" w:leftChars="0"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投标截止时间届满后</w:t>
            </w:r>
            <w:r>
              <w:rPr>
                <w:rFonts w:hint="eastAsia" w:ascii="宋体" w:hAnsi="宋体" w:eastAsia="宋体" w:cs="宋体"/>
                <w:sz w:val="24"/>
                <w:szCs w:val="24"/>
                <w:u w:val="single"/>
              </w:rPr>
              <w:t>90</w:t>
            </w:r>
            <w:r>
              <w:rPr>
                <w:rFonts w:hint="eastAsia" w:ascii="宋体" w:hAnsi="宋体" w:eastAsia="宋体" w:cs="宋体"/>
                <w:sz w:val="24"/>
                <w:szCs w:val="24"/>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vAlign w:val="center"/>
          </w:tcPr>
          <w:p>
            <w:pPr>
              <w:keepNext/>
              <w:keepLines/>
              <w:pageBreakBefore w:val="0"/>
              <w:kinsoku/>
              <w:wordWrap/>
              <w:overflowPunct/>
              <w:bidi w:val="0"/>
              <w:spacing w:line="500" w:lineRule="exact"/>
              <w:ind w:left="0" w:leftChars="0" w:right="0" w:rightChars="0"/>
              <w:jc w:val="center"/>
              <w:textAlignment w:val="auto"/>
              <w:outlineLvl w:val="1"/>
              <w:rPr>
                <w:rFonts w:hint="eastAsia" w:ascii="宋体" w:hAnsi="宋体" w:eastAsia="宋体" w:cs="宋体"/>
                <w:sz w:val="24"/>
                <w:szCs w:val="24"/>
              </w:rPr>
            </w:pPr>
            <w:r>
              <w:rPr>
                <w:rFonts w:hint="eastAsia" w:ascii="宋体" w:hAnsi="宋体" w:eastAsia="宋体" w:cs="宋体"/>
                <w:sz w:val="24"/>
                <w:szCs w:val="24"/>
              </w:rPr>
              <w:t>26</w:t>
            </w:r>
          </w:p>
        </w:tc>
        <w:tc>
          <w:tcPr>
            <w:tcW w:w="1755" w:type="dxa"/>
            <w:tcBorders>
              <w:right w:val="single" w:color="auto" w:sz="4" w:space="0"/>
            </w:tcBorders>
            <w:vAlign w:val="center"/>
          </w:tcPr>
          <w:p>
            <w:pPr>
              <w:pageBreakBefore w:val="0"/>
              <w:kinsoku/>
              <w:wordWrap/>
              <w:overflowPunct/>
              <w:bidi w:val="0"/>
              <w:spacing w:line="500" w:lineRule="exact"/>
              <w:ind w:left="0" w:leftChars="0" w:right="0" w:rightChars="0"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政府采购合同公告与备案</w:t>
            </w:r>
          </w:p>
        </w:tc>
        <w:tc>
          <w:tcPr>
            <w:tcW w:w="6354" w:type="dxa"/>
            <w:tcBorders>
              <w:left w:val="single" w:color="auto" w:sz="4" w:space="0"/>
            </w:tcBorders>
            <w:vAlign w:val="center"/>
          </w:tcPr>
          <w:p>
            <w:pPr>
              <w:pageBreakBefore w:val="0"/>
              <w:kinsoku/>
              <w:wordWrap/>
              <w:overflowPunct/>
              <w:bidi w:val="0"/>
              <w:spacing w:line="50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1.政府采购合同签订之日起2个工作日内，采购人按代理合同的约定在</w:t>
            </w:r>
            <w:r>
              <w:rPr>
                <w:rFonts w:hint="eastAsia" w:ascii="宋体" w:hAnsi="宋体" w:eastAsia="宋体" w:cs="宋体"/>
                <w:b/>
                <w:sz w:val="24"/>
                <w:szCs w:val="24"/>
              </w:rPr>
              <w:t>《四川政府采购网》</w:t>
            </w:r>
            <w:r>
              <w:rPr>
                <w:rFonts w:hint="eastAsia" w:ascii="宋体" w:hAnsi="宋体" w:eastAsia="宋体" w:cs="宋体"/>
                <w:sz w:val="24"/>
                <w:szCs w:val="24"/>
              </w:rPr>
              <w:t>公告；</w:t>
            </w:r>
          </w:p>
          <w:p>
            <w:pPr>
              <w:pStyle w:val="32"/>
              <w:pageBreakBefore w:val="0"/>
              <w:kinsoku/>
              <w:wordWrap/>
              <w:overflowPunct/>
              <w:bidi w:val="0"/>
              <w:spacing w:after="0" w:line="500" w:lineRule="exact"/>
              <w:ind w:left="0" w:leftChars="0" w:right="0" w:righ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rPr>
              <w:t>2.政府采购合同签订之日起7个工作日内，政府采购合同交</w:t>
            </w:r>
            <w:r>
              <w:rPr>
                <w:rFonts w:hint="eastAsia" w:ascii="宋体" w:hAnsi="宋体" w:eastAsia="宋体" w:cs="宋体"/>
                <w:sz w:val="24"/>
                <w:szCs w:val="24"/>
                <w:lang w:val="zh-CN"/>
              </w:rPr>
              <w:t>同级财政部门和采购代理机构备案。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tcBorders>
              <w:top w:val="single" w:color="auto" w:sz="8" w:space="0"/>
              <w:left w:val="single" w:color="auto" w:sz="18" w:space="0"/>
              <w:bottom w:val="single" w:color="auto" w:sz="8" w:space="0"/>
              <w:right w:val="single" w:color="auto" w:sz="8" w:space="0"/>
            </w:tcBorders>
            <w:vAlign w:val="center"/>
          </w:tcPr>
          <w:p>
            <w:pPr>
              <w:pageBreakBefore w:val="0"/>
              <w:kinsoku/>
              <w:wordWrap/>
              <w:overflow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755" w:type="dxa"/>
            <w:tcBorders>
              <w:top w:val="single" w:color="auto" w:sz="8" w:space="0"/>
              <w:left w:val="single" w:color="auto" w:sz="8" w:space="0"/>
              <w:bottom w:val="single" w:color="auto" w:sz="8" w:space="0"/>
              <w:right w:val="single" w:color="auto" w:sz="4" w:space="0"/>
            </w:tcBorders>
            <w:vAlign w:val="center"/>
          </w:tcPr>
          <w:p>
            <w:pPr>
              <w:pageBreakBefore w:val="0"/>
              <w:kinsoku/>
              <w:wordWrap/>
              <w:overflowPunct/>
              <w:bidi w:val="0"/>
              <w:spacing w:line="500" w:lineRule="exact"/>
              <w:ind w:left="0" w:leftChars="0" w:right="0" w:rightChars="0"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招标代理</w:t>
            </w:r>
          </w:p>
          <w:p>
            <w:pPr>
              <w:pageBreakBefore w:val="0"/>
              <w:kinsoku/>
              <w:wordWrap/>
              <w:overflowPunct/>
              <w:bidi w:val="0"/>
              <w:spacing w:line="500" w:lineRule="exact"/>
              <w:ind w:left="0" w:leftChars="0" w:right="0" w:rightChars="0"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服务费</w:t>
            </w:r>
          </w:p>
        </w:tc>
        <w:tc>
          <w:tcPr>
            <w:tcW w:w="6354" w:type="dxa"/>
            <w:tcBorders>
              <w:top w:val="single" w:color="auto" w:sz="8" w:space="0"/>
              <w:left w:val="single" w:color="auto" w:sz="4" w:space="0"/>
              <w:bottom w:val="single" w:color="auto" w:sz="8" w:space="0"/>
              <w:right w:val="single" w:color="auto" w:sz="18" w:space="0"/>
            </w:tcBorders>
            <w:vAlign w:val="center"/>
          </w:tcPr>
          <w:p>
            <w:pPr>
              <w:pStyle w:val="43"/>
              <w:keepNext w:val="0"/>
              <w:keepLines w:val="0"/>
              <w:pageBreakBefore w:val="0"/>
              <w:kinsoku/>
              <w:wordWrap/>
              <w:overflowPunct/>
              <w:bidi w:val="0"/>
              <w:adjustRightInd/>
              <w:snapToGrid/>
              <w:spacing w:line="500" w:lineRule="exact"/>
              <w:ind w:left="0" w:leftChars="0" w:right="0" w:rightChars="0"/>
              <w:textAlignment w:val="auto"/>
              <w:rPr>
                <w:rFonts w:hint="eastAsia" w:ascii="宋体" w:hAnsi="宋体" w:eastAsia="宋体" w:cs="宋体"/>
                <w:sz w:val="24"/>
                <w:szCs w:val="24"/>
                <w:lang w:val="zh-CN"/>
              </w:rPr>
            </w:pPr>
            <w:r>
              <w:rPr>
                <w:rFonts w:hint="eastAsia" w:cs="宋体"/>
                <w:sz w:val="24"/>
                <w:szCs w:val="24"/>
                <w:lang w:val="en-US" w:eastAsia="zh-CN"/>
              </w:rPr>
              <w:t>1.</w:t>
            </w:r>
            <w:r>
              <w:rPr>
                <w:rFonts w:hint="eastAsia" w:ascii="宋体" w:hAnsi="宋体" w:eastAsia="宋体" w:cs="宋体"/>
                <w:sz w:val="24"/>
                <w:szCs w:val="24"/>
                <w:lang w:val="zh-CN"/>
              </w:rPr>
              <w:t>本项目严格按照成本加合理利润的原则收取代理服务费，代理服务费以中标金额为基础，计算方式如下：</w:t>
            </w:r>
          </w:p>
          <w:p>
            <w:pPr>
              <w:pStyle w:val="43"/>
              <w:pageBreakBefore w:val="0"/>
              <w:kinsoku/>
              <w:wordWrap/>
              <w:overflowPunct/>
              <w:bidi w:val="0"/>
              <w:snapToGrid/>
              <w:spacing w:line="500" w:lineRule="exact"/>
              <w:ind w:left="248" w:leftChars="118" w:firstLine="240" w:firstLineChars="100"/>
              <w:textAlignment w:val="auto"/>
              <w:rPr>
                <w:rFonts w:hint="eastAsia" w:cs="仿宋" w:asciiTheme="majorEastAsia" w:hAnsiTheme="majorEastAsia" w:eastAsiaTheme="majorEastAsia"/>
                <w:kern w:val="2"/>
                <w:lang w:val="zh-CN" w:eastAsia="zh-CN"/>
              </w:rPr>
            </w:pPr>
            <w:r>
              <w:rPr>
                <w:rFonts w:hint="eastAsia" w:cs="仿宋" w:asciiTheme="majorEastAsia" w:hAnsiTheme="majorEastAsia" w:eastAsiaTheme="majorEastAsia"/>
                <w:kern w:val="2"/>
                <w:lang w:val="zh-CN" w:eastAsia="zh-CN"/>
              </w:rPr>
              <w:t>（1）如投标人中标金额≤100万元：</w:t>
            </w:r>
            <w:r>
              <w:rPr>
                <w:rFonts w:hint="eastAsia" w:cs="仿宋" w:asciiTheme="majorEastAsia" w:hAnsiTheme="majorEastAsia" w:eastAsiaTheme="majorEastAsia"/>
                <w:kern w:val="2"/>
                <w:lang w:val="zh-CN"/>
              </w:rPr>
              <w:t>代理服务费</w:t>
            </w:r>
            <w:r>
              <w:rPr>
                <w:rFonts w:hint="eastAsia" w:cs="仿宋" w:asciiTheme="majorEastAsia" w:hAnsiTheme="majorEastAsia" w:eastAsiaTheme="majorEastAsia"/>
                <w:kern w:val="2"/>
                <w:lang w:val="zh-CN" w:eastAsia="zh-CN"/>
              </w:rPr>
              <w:t>=中标金额</w:t>
            </w:r>
            <w:r>
              <w:rPr>
                <w:rFonts w:hint="default" w:cs="仿宋" w:asciiTheme="majorEastAsia" w:hAnsiTheme="majorEastAsia" w:eastAsiaTheme="majorEastAsia"/>
                <w:kern w:val="2"/>
                <w:lang w:val="zh-CN" w:eastAsia="zh-CN"/>
              </w:rPr>
              <w:t>×</w:t>
            </w:r>
            <w:r>
              <w:rPr>
                <w:rFonts w:hint="eastAsia" w:cs="仿宋" w:asciiTheme="majorEastAsia" w:hAnsiTheme="majorEastAsia" w:eastAsiaTheme="majorEastAsia"/>
                <w:kern w:val="2"/>
                <w:lang w:val="zh-CN" w:eastAsia="zh-CN"/>
              </w:rPr>
              <w:t>1.5%；</w:t>
            </w:r>
          </w:p>
          <w:p>
            <w:pPr>
              <w:pStyle w:val="43"/>
              <w:pageBreakBefore w:val="0"/>
              <w:kinsoku/>
              <w:wordWrap/>
              <w:overflowPunct/>
              <w:bidi w:val="0"/>
              <w:snapToGrid/>
              <w:spacing w:line="500" w:lineRule="exact"/>
              <w:ind w:left="248" w:leftChars="118" w:firstLine="240" w:firstLineChars="100"/>
              <w:textAlignment w:val="auto"/>
              <w:rPr>
                <w:rFonts w:hint="eastAsia" w:cs="仿宋" w:asciiTheme="majorEastAsia" w:hAnsiTheme="majorEastAsia" w:eastAsiaTheme="majorEastAsia"/>
                <w:kern w:val="2"/>
                <w:lang w:val="zh-CN"/>
              </w:rPr>
            </w:pPr>
            <w:r>
              <w:rPr>
                <w:rFonts w:hint="eastAsia" w:cs="仿宋" w:asciiTheme="majorEastAsia" w:hAnsiTheme="majorEastAsia" w:eastAsiaTheme="majorEastAsia"/>
                <w:kern w:val="2"/>
                <w:lang w:val="zh-CN" w:eastAsia="zh-CN"/>
              </w:rPr>
              <w:t>（2）如投标人100万元＜中标金额≤500万元：</w:t>
            </w:r>
            <w:r>
              <w:rPr>
                <w:rFonts w:hint="eastAsia" w:cs="仿宋" w:asciiTheme="majorEastAsia" w:hAnsiTheme="majorEastAsia" w:eastAsiaTheme="majorEastAsia"/>
                <w:kern w:val="2"/>
                <w:lang w:val="zh-CN"/>
              </w:rPr>
              <w:t>代理服务费</w:t>
            </w:r>
            <w:r>
              <w:rPr>
                <w:rFonts w:hint="eastAsia" w:cs="仿宋" w:asciiTheme="majorEastAsia" w:hAnsiTheme="majorEastAsia" w:eastAsiaTheme="majorEastAsia"/>
                <w:kern w:val="2"/>
                <w:lang w:val="zh-CN" w:eastAsia="zh-CN"/>
              </w:rPr>
              <w:t>=100万元</w:t>
            </w:r>
            <w:r>
              <w:rPr>
                <w:rFonts w:hint="default" w:cs="仿宋" w:asciiTheme="majorEastAsia" w:hAnsiTheme="majorEastAsia" w:eastAsiaTheme="majorEastAsia"/>
                <w:kern w:val="2"/>
                <w:lang w:val="zh-CN" w:eastAsia="zh-CN"/>
              </w:rPr>
              <w:t>×</w:t>
            </w:r>
            <w:r>
              <w:rPr>
                <w:rFonts w:hint="eastAsia" w:cs="仿宋" w:asciiTheme="majorEastAsia" w:hAnsiTheme="majorEastAsia" w:eastAsiaTheme="majorEastAsia"/>
                <w:kern w:val="2"/>
                <w:lang w:val="zh-CN" w:eastAsia="zh-CN"/>
              </w:rPr>
              <w:t>1.5%+（中标</w:t>
            </w:r>
            <w:r>
              <w:rPr>
                <w:rFonts w:hint="eastAsia" w:cs="仿宋" w:asciiTheme="majorEastAsia" w:hAnsiTheme="majorEastAsia" w:eastAsiaTheme="majorEastAsia"/>
                <w:kern w:val="2"/>
                <w:lang w:val="zh-CN"/>
              </w:rPr>
              <w:t>金额</w:t>
            </w:r>
            <w:r>
              <w:rPr>
                <w:rFonts w:hint="eastAsia" w:cs="仿宋" w:asciiTheme="majorEastAsia" w:hAnsiTheme="majorEastAsia" w:eastAsiaTheme="majorEastAsia"/>
                <w:kern w:val="2"/>
                <w:lang w:val="zh-CN" w:eastAsia="zh-CN"/>
              </w:rPr>
              <w:t>-100万元）</w:t>
            </w:r>
            <w:r>
              <w:rPr>
                <w:rFonts w:hint="default" w:cs="仿宋" w:asciiTheme="majorEastAsia" w:hAnsiTheme="majorEastAsia" w:eastAsiaTheme="majorEastAsia"/>
                <w:kern w:val="2"/>
                <w:lang w:val="zh-CN" w:eastAsia="zh-CN"/>
              </w:rPr>
              <w:t>×</w:t>
            </w:r>
            <w:r>
              <w:rPr>
                <w:rFonts w:hint="eastAsia" w:cs="仿宋" w:asciiTheme="majorEastAsia" w:hAnsiTheme="majorEastAsia" w:eastAsiaTheme="majorEastAsia"/>
                <w:kern w:val="2"/>
                <w:lang w:val="en-US" w:eastAsia="zh-CN"/>
              </w:rPr>
              <w:t>0.8</w:t>
            </w:r>
            <w:r>
              <w:rPr>
                <w:rFonts w:hint="eastAsia" w:cs="仿宋" w:asciiTheme="majorEastAsia" w:hAnsiTheme="majorEastAsia" w:eastAsiaTheme="majorEastAsia"/>
                <w:kern w:val="2"/>
                <w:lang w:val="zh-CN" w:eastAsia="zh-CN"/>
              </w:rPr>
              <w:t>%</w:t>
            </w:r>
            <w:r>
              <w:rPr>
                <w:rFonts w:hint="eastAsia" w:cs="仿宋" w:asciiTheme="majorEastAsia" w:hAnsiTheme="majorEastAsia" w:eastAsiaTheme="majorEastAsia"/>
                <w:kern w:val="2"/>
                <w:lang w:val="zh-CN"/>
              </w:rPr>
              <w:t>。</w:t>
            </w:r>
          </w:p>
          <w:p>
            <w:pPr>
              <w:pStyle w:val="43"/>
              <w:pageBreakBefore w:val="0"/>
              <w:kinsoku/>
              <w:wordWrap/>
              <w:overflowPunct/>
              <w:bidi w:val="0"/>
              <w:snapToGrid/>
              <w:spacing w:line="500" w:lineRule="exact"/>
              <w:ind w:left="248" w:leftChars="118" w:firstLine="240" w:firstLineChars="100"/>
              <w:textAlignment w:val="auto"/>
              <w:rPr>
                <w:rFonts w:hint="eastAsia" w:ascii="宋体" w:hAnsi="宋体" w:eastAsia="宋体" w:cs="宋体"/>
                <w:sz w:val="24"/>
                <w:szCs w:val="24"/>
                <w:lang w:val="zh-CN"/>
              </w:rPr>
            </w:pPr>
            <w:r>
              <w:rPr>
                <w:rFonts w:hint="eastAsia" w:cs="仿宋" w:asciiTheme="majorEastAsia" w:hAnsiTheme="majorEastAsia" w:eastAsiaTheme="majorEastAsia"/>
                <w:kern w:val="2"/>
                <w:lang w:val="zh-CN"/>
              </w:rPr>
              <w:t>（</w:t>
            </w:r>
            <w:r>
              <w:rPr>
                <w:rFonts w:hint="eastAsia" w:cs="仿宋" w:asciiTheme="majorEastAsia" w:hAnsiTheme="majorEastAsia" w:eastAsiaTheme="majorEastAsia"/>
                <w:kern w:val="2"/>
                <w:lang w:val="en-US" w:eastAsia="zh-CN"/>
              </w:rPr>
              <w:t>3</w:t>
            </w:r>
            <w:r>
              <w:rPr>
                <w:rFonts w:hint="eastAsia" w:cs="仿宋" w:asciiTheme="majorEastAsia" w:hAnsiTheme="majorEastAsia" w:eastAsiaTheme="majorEastAsia"/>
                <w:kern w:val="2"/>
                <w:lang w:val="zh-CN"/>
              </w:rPr>
              <w:t>）如投标人500万元＜中标金额≤1000万元：代理服务费=100万元×1.5%+400万元×0.8%+（中标金额-500万元）×0.45%。</w:t>
            </w:r>
          </w:p>
          <w:p>
            <w:pPr>
              <w:pStyle w:val="43"/>
              <w:keepNext w:val="0"/>
              <w:keepLines w:val="0"/>
              <w:pageBreakBefore w:val="0"/>
              <w:kinsoku/>
              <w:wordWrap/>
              <w:overflowPunct/>
              <w:bidi w:val="0"/>
              <w:adjustRightInd/>
              <w:snapToGrid/>
              <w:spacing w:line="500" w:lineRule="exact"/>
              <w:ind w:left="0" w:leftChars="0" w:right="0" w:righ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cs="宋体"/>
                <w:sz w:val="24"/>
                <w:szCs w:val="24"/>
                <w:lang w:val="en-US" w:eastAsia="zh-CN"/>
              </w:rPr>
              <w:t>.</w:t>
            </w:r>
            <w:r>
              <w:rPr>
                <w:rFonts w:hint="eastAsia" w:ascii="宋体" w:hAnsi="宋体" w:eastAsia="宋体" w:cs="宋体"/>
                <w:sz w:val="24"/>
                <w:szCs w:val="24"/>
                <w:lang w:val="zh-CN"/>
              </w:rPr>
              <w:t>采购代理服务费：</w:t>
            </w:r>
          </w:p>
          <w:p>
            <w:pPr>
              <w:pStyle w:val="43"/>
              <w:keepNext w:val="0"/>
              <w:keepLines w:val="0"/>
              <w:pageBreakBefore w:val="0"/>
              <w:kinsoku/>
              <w:wordWrap/>
              <w:overflowPunct/>
              <w:bidi w:val="0"/>
              <w:adjustRightInd/>
              <w:snapToGrid/>
              <w:spacing w:line="500" w:lineRule="exact"/>
              <w:ind w:left="0" w:leftChars="0" w:right="0" w:rightChars="0"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□由采购人支付。</w:t>
            </w:r>
          </w:p>
          <w:p>
            <w:pPr>
              <w:pStyle w:val="43"/>
              <w:keepNext w:val="0"/>
              <w:keepLines w:val="0"/>
              <w:pageBreakBefore w:val="0"/>
              <w:kinsoku/>
              <w:wordWrap/>
              <w:overflowPunct/>
              <w:bidi w:val="0"/>
              <w:adjustRightInd/>
              <w:snapToGrid/>
              <w:spacing w:line="500" w:lineRule="exact"/>
              <w:ind w:left="0" w:leftChars="0" w:right="0" w:rightChars="0" w:firstLine="240" w:firstLineChars="100"/>
              <w:textAlignment w:val="auto"/>
              <w:rPr>
                <w:rFonts w:hint="eastAsia" w:ascii="宋体" w:hAnsi="宋体" w:eastAsia="宋体" w:cs="宋体"/>
                <w:kern w:val="2"/>
                <w:sz w:val="24"/>
                <w:szCs w:val="24"/>
                <w:lang w:val="zh-CN"/>
              </w:rPr>
            </w:pPr>
            <w:r>
              <w:rPr>
                <w:rFonts w:hint="eastAsia" w:ascii="宋体" w:hAnsi="宋体" w:eastAsia="宋体" w:cs="宋体"/>
                <w:sz w:val="24"/>
                <w:szCs w:val="24"/>
                <w:lang w:val="zh-CN"/>
              </w:rPr>
              <w:sym w:font="Wingdings 2" w:char="0052"/>
            </w:r>
            <w:r>
              <w:rPr>
                <w:rFonts w:hint="eastAsia" w:ascii="宋体" w:hAnsi="宋体" w:eastAsia="宋体" w:cs="宋体"/>
                <w:sz w:val="24"/>
                <w:szCs w:val="24"/>
                <w:lang w:val="zh-CN"/>
              </w:rPr>
              <w:t>由中标人支付。在领取中标通知书前向采购代理机构一次性支付。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jc w:val="center"/>
        </w:trPr>
        <w:tc>
          <w:tcPr>
            <w:tcW w:w="571" w:type="dxa"/>
            <w:tcBorders>
              <w:top w:val="single" w:color="auto" w:sz="8" w:space="0"/>
              <w:left w:val="single" w:color="auto" w:sz="18" w:space="0"/>
              <w:bottom w:val="single" w:color="auto" w:sz="18" w:space="0"/>
              <w:right w:val="single" w:color="auto" w:sz="8" w:space="0"/>
            </w:tcBorders>
            <w:vAlign w:val="center"/>
          </w:tcPr>
          <w:p>
            <w:pPr>
              <w:pageBreakBefore w:val="0"/>
              <w:kinsoku/>
              <w:wordWrap/>
              <w:overflowPunct/>
              <w:bidi w:val="0"/>
              <w:spacing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755" w:type="dxa"/>
            <w:tcBorders>
              <w:top w:val="single" w:color="auto" w:sz="8" w:space="0"/>
              <w:left w:val="single" w:color="auto" w:sz="8" w:space="0"/>
              <w:bottom w:val="single" w:color="auto" w:sz="18" w:space="0"/>
              <w:right w:val="single" w:color="auto" w:sz="4" w:space="0"/>
            </w:tcBorders>
            <w:vAlign w:val="center"/>
          </w:tcPr>
          <w:p>
            <w:pPr>
              <w:pageBreakBefore w:val="0"/>
              <w:kinsoku/>
              <w:wordWrap/>
              <w:overflowPunct/>
              <w:bidi w:val="0"/>
              <w:spacing w:line="500" w:lineRule="exact"/>
              <w:ind w:left="0" w:leftChars="0" w:right="0" w:rightChars="0"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6354" w:type="dxa"/>
            <w:tcBorders>
              <w:top w:val="single" w:color="auto" w:sz="8" w:space="0"/>
              <w:left w:val="single" w:color="auto" w:sz="4" w:space="0"/>
              <w:bottom w:val="single" w:color="auto" w:sz="18" w:space="0"/>
              <w:right w:val="single" w:color="auto" w:sz="18" w:space="0"/>
            </w:tcBorders>
            <w:vAlign w:val="center"/>
          </w:tcPr>
          <w:p>
            <w:pPr>
              <w:pageBreakBefore w:val="0"/>
              <w:kinsoku/>
              <w:wordWrap/>
              <w:overflowPunct/>
              <w:bidi w:val="0"/>
              <w:spacing w:line="500" w:lineRule="exact"/>
              <w:ind w:left="0" w:leftChars="0" w:right="0" w:rightChars="0" w:firstLine="240"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sz w:val="24"/>
                <w:szCs w:val="24"/>
                <w:lang w:val="zh-CN"/>
              </w:rPr>
              <w:t>1、</w:t>
            </w:r>
            <w:r>
              <w:rPr>
                <w:rFonts w:hint="eastAsia" w:ascii="宋体" w:hAnsi="宋体" w:eastAsia="宋体" w:cs="宋体"/>
                <w:kern w:val="0"/>
                <w:sz w:val="24"/>
                <w:szCs w:val="24"/>
                <w:lang w:val="zh-CN"/>
              </w:rPr>
              <w:t>如</w:t>
            </w:r>
            <w:r>
              <w:rPr>
                <w:rFonts w:hint="eastAsia" w:ascii="宋体" w:hAnsi="宋体" w:eastAsia="宋体" w:cs="宋体"/>
                <w:kern w:val="0"/>
                <w:sz w:val="24"/>
                <w:szCs w:val="24"/>
              </w:rPr>
              <w:t>投标人</w:t>
            </w:r>
            <w:r>
              <w:rPr>
                <w:rFonts w:hint="eastAsia" w:ascii="宋体" w:hAnsi="宋体" w:eastAsia="宋体" w:cs="宋体"/>
                <w:kern w:val="0"/>
                <w:sz w:val="24"/>
                <w:szCs w:val="24"/>
                <w:lang w:val="zh-CN"/>
              </w:rPr>
              <w:t>须知附表内容如与招标文件其他内容不一致的，以</w:t>
            </w:r>
            <w:r>
              <w:rPr>
                <w:rFonts w:hint="eastAsia" w:ascii="宋体" w:hAnsi="宋体" w:eastAsia="宋体" w:cs="宋体"/>
                <w:kern w:val="0"/>
                <w:sz w:val="24"/>
                <w:szCs w:val="24"/>
              </w:rPr>
              <w:t>投标人</w:t>
            </w:r>
            <w:r>
              <w:rPr>
                <w:rFonts w:hint="eastAsia" w:ascii="宋体" w:hAnsi="宋体" w:eastAsia="宋体" w:cs="宋体"/>
                <w:kern w:val="0"/>
                <w:sz w:val="24"/>
                <w:szCs w:val="24"/>
                <w:lang w:val="zh-CN"/>
              </w:rPr>
              <w:t>须知附表为准。</w:t>
            </w:r>
          </w:p>
          <w:p>
            <w:pPr>
              <w:pStyle w:val="2"/>
              <w:pageBreakBefore w:val="0"/>
              <w:kinsoku/>
              <w:wordWrap/>
              <w:overflowPunct/>
              <w:bidi w:val="0"/>
              <w:spacing w:after="0" w:line="500" w:lineRule="exact"/>
              <w:ind w:left="0" w:leftChars="0" w:right="0" w:rightChars="0" w:firstLine="240" w:firstLineChars="100"/>
              <w:jc w:val="left"/>
              <w:textAlignment w:val="auto"/>
              <w:rPr>
                <w:rFonts w:hint="eastAsia" w:ascii="宋体" w:hAnsi="宋体" w:eastAsia="宋体" w:cs="宋体"/>
                <w:sz w:val="24"/>
                <w:szCs w:val="24"/>
                <w:u w:val="single"/>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、补充的其它内容：</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w:t>
            </w:r>
          </w:p>
        </w:tc>
      </w:tr>
    </w:tbl>
    <w:p>
      <w:pPr>
        <w:pStyle w:val="32"/>
        <w:ind w:firstLine="0" w:firstLineChars="0"/>
      </w:pPr>
    </w:p>
    <w:bookmarkEnd w:id="7"/>
    <w:bookmarkEnd w:id="8"/>
    <w:bookmarkEnd w:id="9"/>
    <w:bookmarkEnd w:id="10"/>
    <w:bookmarkEnd w:id="11"/>
    <w:p>
      <w:pPr>
        <w:pStyle w:val="4"/>
        <w:spacing w:line="360" w:lineRule="auto"/>
        <w:jc w:val="center"/>
        <w:rPr>
          <w:rFonts w:ascii="黑体" w:hAnsi="黑体" w:eastAsia="黑体" w:cs="仿宋"/>
          <w:bCs w:val="0"/>
        </w:rPr>
      </w:pPr>
      <w:bookmarkStart w:id="16" w:name="_Toc495165617"/>
      <w:bookmarkStart w:id="17" w:name="_Toc495165794"/>
      <w:bookmarkStart w:id="18" w:name="_Toc495521072"/>
      <w:bookmarkStart w:id="19" w:name="_Toc495570280"/>
      <w:r>
        <w:rPr>
          <w:rFonts w:hint="eastAsia" w:ascii="黑体" w:hAnsi="黑体" w:eastAsia="黑体" w:cs="仿宋"/>
          <w:bCs w:val="0"/>
          <w:sz w:val="28"/>
        </w:rPr>
        <w:t>二、总则</w:t>
      </w:r>
    </w:p>
    <w:p>
      <w:pPr>
        <w:pStyle w:val="5"/>
        <w:spacing w:after="0" w:line="360" w:lineRule="auto"/>
        <w:ind w:firstLine="482" w:firstLineChars="200"/>
        <w:rPr>
          <w:rFonts w:cs="仿宋" w:asciiTheme="majorEastAsia" w:hAnsiTheme="majorEastAsia" w:eastAsiaTheme="majorEastAsia"/>
          <w:sz w:val="24"/>
          <w:szCs w:val="24"/>
        </w:rPr>
      </w:pPr>
      <w:bookmarkStart w:id="20" w:name="_Toc183682342"/>
      <w:bookmarkStart w:id="21" w:name="_Toc183582205"/>
      <w:bookmarkStart w:id="22" w:name="_Toc217446034"/>
      <w:bookmarkStart w:id="23" w:name="PO_默认文件内容_19"/>
      <w:r>
        <w:rPr>
          <w:rFonts w:cs="仿宋" w:asciiTheme="majorEastAsia" w:hAnsiTheme="majorEastAsia" w:eastAsiaTheme="majorEastAsia"/>
          <w:sz w:val="24"/>
          <w:szCs w:val="24"/>
        </w:rPr>
        <w:t>1.</w:t>
      </w:r>
      <w:bookmarkEnd w:id="20"/>
      <w:bookmarkEnd w:id="21"/>
      <w:r>
        <w:rPr>
          <w:rFonts w:cs="仿宋" w:asciiTheme="majorEastAsia" w:hAnsiTheme="majorEastAsia" w:eastAsiaTheme="majorEastAsia"/>
          <w:sz w:val="24"/>
          <w:szCs w:val="24"/>
        </w:rPr>
        <w:t xml:space="preserve"> 适用范围</w:t>
      </w:r>
      <w:bookmarkEnd w:id="22"/>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本招标文件仅适用于本次招标采购项目。</w:t>
      </w:r>
    </w:p>
    <w:p>
      <w:pPr>
        <w:pStyle w:val="5"/>
        <w:spacing w:after="0" w:line="360" w:lineRule="auto"/>
        <w:ind w:firstLine="482" w:firstLineChars="200"/>
        <w:rPr>
          <w:rFonts w:cs="仿宋" w:asciiTheme="majorEastAsia" w:hAnsiTheme="majorEastAsia" w:eastAsiaTheme="majorEastAsia"/>
          <w:sz w:val="24"/>
        </w:rPr>
      </w:pPr>
      <w:bookmarkStart w:id="24" w:name="_Toc183682343"/>
      <w:bookmarkStart w:id="25" w:name="_Toc183582206"/>
      <w:bookmarkStart w:id="26" w:name="_Toc217446035"/>
      <w:r>
        <w:rPr>
          <w:rFonts w:cs="仿宋" w:asciiTheme="majorEastAsia" w:hAnsiTheme="majorEastAsia" w:eastAsiaTheme="majorEastAsia"/>
          <w:sz w:val="24"/>
        </w:rPr>
        <w:t xml:space="preserve">2. </w:t>
      </w:r>
      <w:bookmarkEnd w:id="24"/>
      <w:bookmarkEnd w:id="25"/>
      <w:r>
        <w:rPr>
          <w:rFonts w:hint="eastAsia" w:cs="仿宋" w:asciiTheme="majorEastAsia" w:hAnsiTheme="majorEastAsia" w:eastAsiaTheme="majorEastAsia"/>
          <w:sz w:val="24"/>
        </w:rPr>
        <w:t>有关</w:t>
      </w:r>
      <w:r>
        <w:rPr>
          <w:rFonts w:hint="eastAsia" w:cs="仿宋" w:asciiTheme="majorEastAsia" w:hAnsiTheme="majorEastAsia" w:eastAsiaTheme="majorEastAsia"/>
          <w:sz w:val="24"/>
          <w:szCs w:val="24"/>
        </w:rPr>
        <w:t>定义</w:t>
      </w:r>
      <w:bookmarkEnd w:id="2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2.1 </w:t>
      </w:r>
      <w:r>
        <w:rPr>
          <w:rFonts w:hint="eastAsia" w:cs="仿宋" w:asciiTheme="majorEastAsia" w:hAnsiTheme="majorEastAsia" w:eastAsiaTheme="majorEastAsia"/>
          <w:sz w:val="24"/>
        </w:rPr>
        <w:t>“采购人”系指依法进行政府采购的国家机关、事业单位、团体组织。</w:t>
      </w:r>
      <w:bookmarkEnd w:id="23"/>
    </w:p>
    <w:p>
      <w:pPr>
        <w:tabs>
          <w:tab w:val="left" w:pos="7665"/>
        </w:tabs>
        <w:spacing w:line="360" w:lineRule="auto"/>
        <w:ind w:firstLine="480" w:firstLineChars="200"/>
        <w:rPr>
          <w:rFonts w:cs="仿宋" w:asciiTheme="majorEastAsia" w:hAnsiTheme="majorEastAsia" w:eastAsiaTheme="majorEastAsia"/>
          <w:sz w:val="24"/>
        </w:rPr>
      </w:pPr>
      <w:bookmarkStart w:id="27" w:name="PO_默认文件内容_20"/>
      <w:r>
        <w:rPr>
          <w:rFonts w:cs="仿宋" w:asciiTheme="majorEastAsia" w:hAnsiTheme="majorEastAsia" w:eastAsiaTheme="majorEastAsia"/>
          <w:sz w:val="24"/>
        </w:rPr>
        <w:t xml:space="preserve">2.2 </w:t>
      </w:r>
      <w:r>
        <w:rPr>
          <w:rFonts w:hint="eastAsia" w:cs="仿宋" w:asciiTheme="majorEastAsia" w:hAnsiTheme="majorEastAsia" w:eastAsiaTheme="majorEastAsia"/>
          <w:sz w:val="24"/>
        </w:rPr>
        <w:t>“采购代理机构”系指根据采购人的委托依法办理招标事宜的采购机构。</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“招标采购单位”系指“采购人”和“采购代理机构”的统称。</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2.4 </w:t>
      </w:r>
      <w:r>
        <w:rPr>
          <w:rFonts w:hint="eastAsia" w:cs="仿宋" w:asciiTheme="majorEastAsia" w:hAnsiTheme="majorEastAsia" w:eastAsiaTheme="majorEastAsia"/>
          <w:sz w:val="24"/>
        </w:rPr>
        <w:t>“投标人”系指获取招标文件拟参加投标和向采购人提供服务及相应货物的供应商。</w:t>
      </w:r>
    </w:p>
    <w:p>
      <w:pPr>
        <w:pStyle w:val="5"/>
        <w:spacing w:after="0" w:line="360" w:lineRule="auto"/>
        <w:ind w:firstLine="482" w:firstLineChars="200"/>
        <w:rPr>
          <w:rFonts w:cs="仿宋" w:asciiTheme="majorEastAsia" w:hAnsiTheme="majorEastAsia" w:eastAsiaTheme="majorEastAsia"/>
          <w:sz w:val="24"/>
        </w:rPr>
      </w:pPr>
      <w:bookmarkStart w:id="28" w:name="_Toc217446036"/>
      <w:bookmarkStart w:id="29" w:name="_Toc183682344"/>
      <w:bookmarkStart w:id="30" w:name="_Toc217390843"/>
      <w:bookmarkStart w:id="31" w:name="_Toc183582207"/>
      <w:r>
        <w:rPr>
          <w:rFonts w:cs="仿宋" w:asciiTheme="majorEastAsia" w:hAnsiTheme="majorEastAsia" w:eastAsiaTheme="majorEastAsia"/>
          <w:sz w:val="24"/>
        </w:rPr>
        <w:t xml:space="preserve">3. </w:t>
      </w:r>
      <w:r>
        <w:rPr>
          <w:rFonts w:hint="eastAsia" w:cs="仿宋" w:asciiTheme="majorEastAsia" w:hAnsiTheme="majorEastAsia" w:eastAsiaTheme="majorEastAsia"/>
          <w:sz w:val="24"/>
        </w:rPr>
        <w:t>合格的投标人</w:t>
      </w:r>
      <w:bookmarkEnd w:id="28"/>
      <w:bookmarkEnd w:id="29"/>
      <w:bookmarkEnd w:id="30"/>
      <w:bookmarkEnd w:id="31"/>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合格的投标人应具备以下条件：</w:t>
      </w:r>
    </w:p>
    <w:p>
      <w:pPr>
        <w:tabs>
          <w:tab w:val="left" w:pos="7665"/>
        </w:tabs>
        <w:spacing w:line="360" w:lineRule="auto"/>
        <w:ind w:firstLine="480" w:firstLineChars="200"/>
        <w:rPr>
          <w:rFonts w:cs="仿宋" w:asciiTheme="majorEastAsia" w:hAnsiTheme="majorEastAsia" w:eastAsiaTheme="majorEastAsia"/>
          <w:spacing w:val="-4"/>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1）本招标文件规定的供应商资格条件</w:t>
      </w:r>
      <w:r>
        <w:rPr>
          <w:rFonts w:hint="eastAsia" w:cs="仿宋" w:asciiTheme="majorEastAsia" w:hAnsiTheme="majorEastAsia" w:eastAsiaTheme="majorEastAsia"/>
          <w:spacing w:val="-4"/>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2）遵守国家有关的法律、法规、规章和其他政策制度；</w:t>
      </w:r>
    </w:p>
    <w:p>
      <w:pPr>
        <w:pStyle w:val="2"/>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（3）按投标邀请规定的方式获取了招标文件。</w:t>
      </w:r>
    </w:p>
    <w:bookmarkEnd w:id="27"/>
    <w:p>
      <w:pPr>
        <w:pStyle w:val="5"/>
        <w:spacing w:after="0" w:line="360" w:lineRule="auto"/>
        <w:ind w:firstLine="482" w:firstLineChars="200"/>
        <w:rPr>
          <w:rFonts w:cs="仿宋" w:asciiTheme="majorEastAsia" w:hAnsiTheme="majorEastAsia" w:eastAsiaTheme="majorEastAsia"/>
          <w:sz w:val="24"/>
        </w:rPr>
      </w:pPr>
      <w:bookmarkStart w:id="32" w:name="_Toc183682345"/>
      <w:bookmarkStart w:id="33" w:name="_Toc183582208"/>
      <w:bookmarkStart w:id="34" w:name="_Toc217446037"/>
      <w:bookmarkStart w:id="35" w:name="PO_默认文件内容_16"/>
      <w:r>
        <w:rPr>
          <w:rFonts w:cs="仿宋" w:asciiTheme="majorEastAsia" w:hAnsiTheme="majorEastAsia" w:eastAsiaTheme="majorEastAsia"/>
          <w:sz w:val="24"/>
        </w:rPr>
        <w:t xml:space="preserve">4. </w:t>
      </w:r>
      <w:r>
        <w:rPr>
          <w:rFonts w:hint="eastAsia" w:cs="仿宋" w:asciiTheme="majorEastAsia" w:hAnsiTheme="majorEastAsia" w:eastAsiaTheme="majorEastAsia"/>
          <w:sz w:val="24"/>
        </w:rPr>
        <w:t>投标费用</w:t>
      </w:r>
      <w:bookmarkEnd w:id="32"/>
      <w:bookmarkEnd w:id="33"/>
      <w:bookmarkEnd w:id="34"/>
      <w:r>
        <w:rPr>
          <w:rFonts w:hint="eastAsia" w:cs="仿宋" w:asciiTheme="majorEastAsia" w:hAnsiTheme="majorEastAsia" w:eastAsiaTheme="majorEastAsia"/>
          <w:sz w:val="24"/>
          <w:szCs w:val="24"/>
        </w:rPr>
        <w:t>（实质性要求）</w:t>
      </w:r>
    </w:p>
    <w:p>
      <w:pPr>
        <w:tabs>
          <w:tab w:val="left" w:pos="7665"/>
        </w:tabs>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投标人参加投标的有关费用由投标人自行承担。</w:t>
      </w:r>
    </w:p>
    <w:p>
      <w:pPr>
        <w:pStyle w:val="5"/>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5. </w:t>
      </w:r>
      <w:r>
        <w:rPr>
          <w:rFonts w:hint="eastAsia" w:cs="仿宋" w:asciiTheme="majorEastAsia" w:hAnsiTheme="majorEastAsia" w:eastAsiaTheme="majorEastAsia"/>
          <w:sz w:val="24"/>
        </w:rPr>
        <w:t>充分、公平竞争保障措施</w:t>
      </w:r>
      <w:r>
        <w:rPr>
          <w:rFonts w:hint="eastAsia" w:cs="仿宋" w:asciiTheme="majorEastAsia" w:hAnsiTheme="majorEastAsia" w:eastAsiaTheme="majorEastAsia"/>
          <w:sz w:val="24"/>
          <w:szCs w:val="24"/>
        </w:rPr>
        <w:t>（实质性要求）</w:t>
      </w:r>
    </w:p>
    <w:p>
      <w:pPr>
        <w:pStyle w:val="42"/>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1"/>
        </w:rPr>
        <w:t xml:space="preserve">5.1 </w:t>
      </w:r>
      <w:r>
        <w:rPr>
          <w:rFonts w:hint="eastAsia" w:cs="仿宋" w:asciiTheme="majorEastAsia" w:hAnsiTheme="majorEastAsia" w:eastAsiaTheme="majorEastAsia"/>
          <w:b/>
          <w:sz w:val="24"/>
          <w:szCs w:val="21"/>
        </w:rPr>
        <w:t>提供相同品牌产品处理</w:t>
      </w:r>
      <w:r>
        <w:rPr>
          <w:rFonts w:hint="eastAsia" w:cs="仿宋" w:asciiTheme="majorEastAsia" w:hAnsiTheme="majorEastAsia" w:eastAsiaTheme="majorEastAsia"/>
          <w:b/>
          <w:sz w:val="24"/>
          <w:szCs w:val="24"/>
        </w:rPr>
        <w:t>。</w:t>
      </w:r>
    </w:p>
    <w:p>
      <w:pPr>
        <w:pStyle w:val="42"/>
        <w:spacing w:line="360" w:lineRule="auto"/>
        <w:ind w:left="1" w:firstLine="482" w:firstLineChars="200"/>
        <w:rPr>
          <w:rFonts w:cs="仿宋" w:asciiTheme="majorEastAsia" w:hAnsiTheme="majorEastAsia" w:eastAsiaTheme="majorEastAsia"/>
          <w:bCs/>
          <w:sz w:val="24"/>
          <w:szCs w:val="24"/>
        </w:rPr>
      </w:pPr>
      <w:r>
        <w:rPr>
          <w:rFonts w:cs="仿宋" w:asciiTheme="majorEastAsia" w:hAnsiTheme="majorEastAsia" w:eastAsiaTheme="majorEastAsia"/>
          <w:b/>
          <w:sz w:val="24"/>
          <w:szCs w:val="24"/>
        </w:rPr>
        <w:t xml:space="preserve">5.1.1 </w:t>
      </w:r>
      <w:r>
        <w:rPr>
          <w:rFonts w:hint="eastAsia" w:cs="仿宋" w:asciiTheme="majorEastAsia" w:hAnsiTheme="majorEastAsia" w:eastAsiaTheme="majorEastAsia"/>
          <w:bCs/>
          <w:sz w:val="24"/>
          <w:szCs w:val="24"/>
        </w:rPr>
        <w:t>非单一产品采购项目中，采购人根据采购项目技术构成、产品价格比重等合理确定核心产品。多家投标人提供的</w:t>
      </w:r>
      <w:r>
        <w:rPr>
          <w:rFonts w:hint="eastAsia" w:cs="仿宋" w:asciiTheme="majorEastAsia" w:hAnsiTheme="majorEastAsia" w:eastAsiaTheme="majorEastAsia"/>
          <w:bCs/>
          <w:sz w:val="24"/>
          <w:szCs w:val="21"/>
        </w:rPr>
        <w:t>任一核心产品品牌</w:t>
      </w:r>
      <w:r>
        <w:rPr>
          <w:rFonts w:hint="eastAsia" w:cs="仿宋" w:asciiTheme="majorEastAsia" w:hAnsiTheme="majorEastAsia" w:eastAsiaTheme="majorEastAsia"/>
          <w:bCs/>
          <w:sz w:val="24"/>
          <w:szCs w:val="24"/>
        </w:rPr>
        <w:t>相同的，视为提供相同品牌产品。本采购项目的</w:t>
      </w:r>
      <w:r>
        <w:rPr>
          <w:rFonts w:cs="仿宋" w:asciiTheme="majorEastAsia" w:hAnsiTheme="majorEastAsia" w:eastAsiaTheme="majorEastAsia"/>
          <w:bCs/>
          <w:sz w:val="24"/>
          <w:szCs w:val="24"/>
        </w:rPr>
        <w:t>核心产品</w:t>
      </w:r>
      <w:r>
        <w:rPr>
          <w:rFonts w:hint="eastAsia" w:cs="仿宋" w:asciiTheme="majorEastAsia" w:hAnsiTheme="majorEastAsia" w:eastAsiaTheme="majorEastAsia"/>
          <w:bCs/>
          <w:sz w:val="24"/>
          <w:szCs w:val="24"/>
        </w:rPr>
        <w:t>见投标人须知附表</w:t>
      </w:r>
      <w:r>
        <w:rPr>
          <w:rFonts w:cs="仿宋" w:asciiTheme="majorEastAsia" w:hAnsiTheme="majorEastAsia" w:eastAsiaTheme="majorEastAsia"/>
          <w:bCs/>
          <w:sz w:val="24"/>
          <w:szCs w:val="24"/>
        </w:rPr>
        <w:t>。</w:t>
      </w:r>
    </w:p>
    <w:p>
      <w:pPr>
        <w:pStyle w:val="42"/>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5.1.2 </w:t>
      </w:r>
      <w:r>
        <w:rPr>
          <w:rFonts w:hint="eastAsia" w:cs="仿宋" w:asciiTheme="majorEastAsia" w:hAnsiTheme="majorEastAsia" w:eastAsiaTheme="majorEastAsia"/>
          <w:b/>
          <w:sz w:val="24"/>
          <w:szCs w:val="24"/>
        </w:rPr>
        <w:t>采用最低评标价法的采购项目。</w:t>
      </w:r>
    </w:p>
    <w:p>
      <w:pPr>
        <w:pStyle w:val="42"/>
        <w:spacing w:line="360" w:lineRule="auto"/>
        <w:ind w:left="1" w:firstLine="480" w:firstLineChars="200"/>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42"/>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5.1.3 </w:t>
      </w:r>
      <w:r>
        <w:rPr>
          <w:rFonts w:hint="eastAsia" w:cs="仿宋" w:asciiTheme="majorEastAsia" w:hAnsiTheme="majorEastAsia" w:eastAsiaTheme="majorEastAsia"/>
          <w:b/>
          <w:sz w:val="24"/>
          <w:szCs w:val="24"/>
        </w:rPr>
        <w:t>采用综合评分法的采购项目。</w:t>
      </w:r>
    </w:p>
    <w:p>
      <w:pPr>
        <w:pStyle w:val="42"/>
        <w:spacing w:line="360" w:lineRule="auto"/>
        <w:ind w:left="1" w:firstLine="480" w:firstLineChars="200"/>
        <w:rPr>
          <w:rFonts w:cs="仿宋" w:asciiTheme="majorEastAsia" w:hAnsiTheme="majorEastAsia" w:eastAsiaTheme="majorEastAsia"/>
          <w:b/>
          <w:sz w:val="24"/>
        </w:rPr>
      </w:pPr>
      <w:r>
        <w:rPr>
          <w:rFonts w:hint="eastAsia" w:cs="仿宋" w:asciiTheme="majorEastAsia" w:hAnsiTheme="majorEastAsia" w:eastAsiaTheme="majorEastAsia"/>
          <w:bCs/>
          <w:sz w:val="24"/>
          <w:szCs w:val="21"/>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2"/>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5.2 </w:t>
      </w:r>
      <w:r>
        <w:rPr>
          <w:rFonts w:hint="eastAsia" w:cs="仿宋" w:asciiTheme="majorEastAsia" w:hAnsiTheme="majorEastAsia" w:eastAsiaTheme="majorEastAsia"/>
          <w:b/>
          <w:sz w:val="24"/>
          <w:szCs w:val="21"/>
        </w:rPr>
        <w:t>利害关系供应商处理。法定代表人（</w:t>
      </w:r>
      <w:r>
        <w:rPr>
          <w:rFonts w:hint="eastAsia" w:cs="仿宋" w:asciiTheme="majorEastAsia" w:hAnsiTheme="majorEastAsia" w:eastAsiaTheme="majorEastAsia"/>
          <w:sz w:val="24"/>
          <w:szCs w:val="21"/>
        </w:rPr>
        <w:t>主要负责人）为同一人或者存在直接控股、管理关系的不同供应商不得参加同一合同项下的政府采购活动。采购项目实行资格预审的，</w:t>
      </w:r>
      <w:r>
        <w:rPr>
          <w:rFonts w:hint="eastAsia" w:cs="仿宋" w:asciiTheme="majorEastAsia" w:hAnsiTheme="majorEastAsia" w:eastAsiaTheme="majorEastAsia"/>
          <w:b/>
          <w:sz w:val="24"/>
          <w:szCs w:val="21"/>
        </w:rPr>
        <w:t>法定代表人（</w:t>
      </w:r>
      <w:r>
        <w:rPr>
          <w:rFonts w:hint="eastAsia" w:cs="仿宋" w:asciiTheme="majorEastAsia" w:hAnsiTheme="majorEastAsia" w:eastAsiaTheme="majorEastAsia"/>
          <w:sz w:val="24"/>
          <w:szCs w:val="21"/>
        </w:rPr>
        <w:t>主要负责人）为同一人或者存在直接控股、管理关系的不同供应商可以参加资格预审，但只能由供应商确定其中一家符合条件的供应商参加后续的政府采购活动，否则，其投标文件作为无效处理。</w:t>
      </w:r>
    </w:p>
    <w:p>
      <w:pPr>
        <w:pStyle w:val="42"/>
        <w:spacing w:line="360" w:lineRule="auto"/>
        <w:ind w:left="1" w:firstLine="482" w:firstLineChars="200"/>
        <w:rPr>
          <w:rFonts w:cs="仿宋" w:asciiTheme="majorEastAsia" w:hAnsiTheme="majorEastAsia" w:eastAsiaTheme="majorEastAsia"/>
          <w:sz w:val="24"/>
          <w:szCs w:val="21"/>
        </w:rPr>
      </w:pPr>
      <w:r>
        <w:rPr>
          <w:rFonts w:cs="仿宋" w:asciiTheme="majorEastAsia" w:hAnsiTheme="majorEastAsia" w:eastAsiaTheme="majorEastAsia"/>
          <w:b/>
          <w:sz w:val="24"/>
          <w:szCs w:val="21"/>
        </w:rPr>
        <w:t xml:space="preserve">5.3 </w:t>
      </w:r>
      <w:r>
        <w:rPr>
          <w:rFonts w:hint="eastAsia" w:cs="仿宋" w:asciiTheme="majorEastAsia" w:hAnsiTheme="majorEastAsia" w:eastAsiaTheme="majorEastAsia"/>
          <w:b/>
          <w:sz w:val="24"/>
          <w:szCs w:val="21"/>
        </w:rPr>
        <w:t>前期参与供应商处理。</w:t>
      </w:r>
      <w:r>
        <w:rPr>
          <w:rFonts w:hint="eastAsia" w:cs="仿宋" w:asciiTheme="majorEastAsia" w:hAnsiTheme="majorEastAsia" w:eastAsiaTheme="majorEastAsia"/>
          <w:sz w:val="24"/>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cs="仿宋" w:asciiTheme="majorEastAsia" w:hAnsiTheme="majorEastAsia" w:eastAsiaTheme="majorEastAsia"/>
          <w:b/>
          <w:bCs/>
          <w:sz w:val="24"/>
          <w:szCs w:val="21"/>
        </w:rPr>
        <w:t>本项目是否有符合本条规定的供应商，见第一章投标邀请。</w:t>
      </w:r>
    </w:p>
    <w:p>
      <w:pPr>
        <w:pStyle w:val="42"/>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5.4 </w:t>
      </w:r>
      <w:r>
        <w:rPr>
          <w:rFonts w:hint="eastAsia" w:cs="仿宋" w:asciiTheme="majorEastAsia" w:hAnsiTheme="majorEastAsia" w:eastAsiaTheme="majorEastAsia"/>
          <w:b/>
          <w:sz w:val="24"/>
          <w:szCs w:val="21"/>
        </w:rPr>
        <w:t>利害关系代理人处理。</w:t>
      </w:r>
      <w:r>
        <w:rPr>
          <w:rFonts w:cs="仿宋" w:asciiTheme="majorEastAsia" w:hAnsiTheme="majorEastAsia" w:eastAsiaTheme="majorEastAsia"/>
          <w:sz w:val="24"/>
          <w:szCs w:val="21"/>
        </w:rPr>
        <w:t>2家以上的供应商不得在同一合同项下的采购项目中，同时委托同一个自然人、同一家庭的人员、同一单位的人员作为其代理人，否则，其投标文件作为无效处理。</w:t>
      </w:r>
    </w:p>
    <w:p>
      <w:pPr>
        <w:pStyle w:val="4"/>
        <w:spacing w:line="360" w:lineRule="auto"/>
        <w:jc w:val="center"/>
        <w:rPr>
          <w:rFonts w:ascii="黑体" w:hAnsi="黑体" w:eastAsia="黑体" w:cs="仿宋"/>
          <w:bCs w:val="0"/>
          <w:sz w:val="28"/>
          <w:szCs w:val="28"/>
        </w:rPr>
      </w:pPr>
      <w:bookmarkStart w:id="36" w:name="_Toc77400779"/>
      <w:bookmarkStart w:id="37" w:name="_Toc183682346"/>
      <w:bookmarkStart w:id="38" w:name="_Toc183582209"/>
      <w:bookmarkStart w:id="39" w:name="_Toc89075875"/>
      <w:bookmarkStart w:id="40" w:name="_Toc217446038"/>
      <w:r>
        <w:rPr>
          <w:rFonts w:hint="eastAsia" w:ascii="黑体" w:hAnsi="黑体" w:eastAsia="黑体" w:cs="仿宋"/>
          <w:bCs w:val="0"/>
          <w:sz w:val="28"/>
          <w:szCs w:val="28"/>
        </w:rPr>
        <w:t>三、招标文件</w:t>
      </w:r>
      <w:bookmarkEnd w:id="36"/>
      <w:bookmarkEnd w:id="37"/>
      <w:bookmarkEnd w:id="38"/>
      <w:bookmarkEnd w:id="39"/>
      <w:bookmarkEnd w:id="40"/>
    </w:p>
    <w:p>
      <w:pPr>
        <w:pStyle w:val="5"/>
        <w:spacing w:after="0" w:line="360" w:lineRule="auto"/>
        <w:ind w:firstLine="482" w:firstLineChars="200"/>
        <w:rPr>
          <w:rFonts w:cs="仿宋" w:asciiTheme="majorEastAsia" w:hAnsiTheme="majorEastAsia" w:eastAsiaTheme="majorEastAsia"/>
          <w:sz w:val="24"/>
        </w:rPr>
      </w:pPr>
      <w:bookmarkStart w:id="41" w:name="_Toc183582210"/>
      <w:bookmarkStart w:id="42" w:name="_Toc217446039"/>
      <w:bookmarkStart w:id="43" w:name="_Toc183682347"/>
      <w:r>
        <w:rPr>
          <w:rFonts w:cs="仿宋" w:asciiTheme="majorEastAsia" w:hAnsiTheme="majorEastAsia" w:eastAsiaTheme="majorEastAsia"/>
          <w:sz w:val="24"/>
        </w:rPr>
        <w:t>6．招标文件的构成</w:t>
      </w:r>
      <w:bookmarkEnd w:id="41"/>
      <w:bookmarkEnd w:id="42"/>
      <w:bookmarkEnd w:id="43"/>
    </w:p>
    <w:p>
      <w:pPr>
        <w:tabs>
          <w:tab w:val="left" w:pos="7665"/>
        </w:tabs>
        <w:spacing w:line="360" w:lineRule="auto"/>
        <w:ind w:firstLine="480" w:firstLineChars="200"/>
        <w:rPr>
          <w:rFonts w:cs="仿宋" w:asciiTheme="majorEastAsia" w:hAnsiTheme="majorEastAsia" w:eastAsiaTheme="majorEastAsia"/>
          <w:kern w:val="0"/>
          <w:sz w:val="24"/>
          <w:szCs w:val="22"/>
        </w:rPr>
      </w:pPr>
      <w:r>
        <w:rPr>
          <w:rFonts w:hint="eastAsia" w:cs="仿宋" w:asciiTheme="majorEastAsia" w:hAnsiTheme="majorEastAsia" w:eastAsiaTheme="major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szCs w:val="22"/>
        </w:rPr>
        <w:t>（一）</w:t>
      </w:r>
      <w:r>
        <w:rPr>
          <w:rFonts w:hint="eastAsia" w:cs="仿宋" w:asciiTheme="majorEastAsia" w:hAnsiTheme="majorEastAsia" w:eastAsiaTheme="majorEastAsia"/>
          <w:sz w:val="24"/>
        </w:rPr>
        <w:t>投标邀请；</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（二）投标须知；</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（三）投标文件格式；</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（四）投标人和投标产品的资格、资质性及其他类似效力要求；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（五）投标人应当提供的资格、资质性及其他类似效力要求的相关证明材料；</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（六）招标项目技术、商务及其他要求；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（七）评标办法；</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（八）政府采购合同。</w:t>
      </w:r>
    </w:p>
    <w:p>
      <w:pPr>
        <w:tabs>
          <w:tab w:val="left" w:pos="720"/>
        </w:tabs>
        <w:spacing w:line="360" w:lineRule="auto"/>
        <w:ind w:firstLine="482" w:firstLineChars="200"/>
        <w:rPr>
          <w:rFonts w:hint="eastAsia" w:cs="仿宋" w:asciiTheme="majorEastAsia" w:hAnsiTheme="majorEastAsia" w:eastAsiaTheme="majorEastAsia"/>
          <w:b/>
          <w:sz w:val="24"/>
        </w:rPr>
      </w:pPr>
      <w:r>
        <w:rPr>
          <w:rFonts w:hint="eastAsia" w:cs="仿宋" w:asciiTheme="majorEastAsia" w:hAnsiTheme="majorEastAsia" w:eastAsiaTheme="majorEastAsia"/>
          <w:b/>
          <w:sz w:val="24"/>
        </w:rPr>
        <w:t>投标人获取招标文件后，应检查页数和附件数量。投标人发现任何页数或附件数量的遗缺，任何数字或词汇模糊不清，任何词义含混不清，应告知采购代理机构补全或澄清。如果投标人不按上述提出要求而造成不良后果，</w:t>
      </w:r>
      <w:r>
        <w:rPr>
          <w:rFonts w:hint="eastAsia" w:cs="仿宋" w:asciiTheme="majorEastAsia" w:hAnsiTheme="majorEastAsia" w:eastAsiaTheme="majorEastAsia"/>
          <w:b/>
          <w:bCs/>
          <w:sz w:val="24"/>
        </w:rPr>
        <w:t>招标采购单位</w:t>
      </w:r>
      <w:r>
        <w:rPr>
          <w:rFonts w:hint="eastAsia" w:cs="仿宋" w:asciiTheme="majorEastAsia" w:hAnsiTheme="majorEastAsia" w:eastAsiaTheme="majorEastAsia"/>
          <w:b/>
          <w:sz w:val="24"/>
        </w:rPr>
        <w:t>不承担任何责任。</w:t>
      </w:r>
    </w:p>
    <w:p>
      <w:pPr>
        <w:tabs>
          <w:tab w:val="left" w:pos="720"/>
        </w:tabs>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投标人应认真阅读和充分理解招标文件中所有的事项、格式条款和规范要求。投标人没有对招标文件全面做出实质性响应所产生的风险由投标人承担。</w:t>
      </w:r>
    </w:p>
    <w:p>
      <w:pPr>
        <w:pStyle w:val="5"/>
        <w:spacing w:after="0" w:line="360" w:lineRule="auto"/>
        <w:ind w:firstLine="482" w:firstLineChars="200"/>
        <w:rPr>
          <w:rFonts w:cs="仿宋" w:asciiTheme="majorEastAsia" w:hAnsiTheme="majorEastAsia" w:eastAsiaTheme="majorEastAsia"/>
          <w:sz w:val="24"/>
        </w:rPr>
      </w:pPr>
      <w:bookmarkStart w:id="44" w:name="_Toc183682348"/>
      <w:bookmarkStart w:id="45" w:name="_Toc183582211"/>
      <w:bookmarkStart w:id="46" w:name="_Toc217446040"/>
      <w:r>
        <w:rPr>
          <w:rFonts w:cs="仿宋" w:asciiTheme="majorEastAsia" w:hAnsiTheme="majorEastAsia" w:eastAsiaTheme="majorEastAsia"/>
          <w:sz w:val="24"/>
        </w:rPr>
        <w:t xml:space="preserve">7. </w:t>
      </w:r>
      <w:r>
        <w:rPr>
          <w:rFonts w:hint="eastAsia" w:cs="仿宋" w:asciiTheme="majorEastAsia" w:hAnsiTheme="majorEastAsia" w:eastAsiaTheme="majorEastAsia"/>
          <w:sz w:val="24"/>
        </w:rPr>
        <w:t>招标文件的澄清</w:t>
      </w:r>
      <w:bookmarkEnd w:id="44"/>
      <w:bookmarkEnd w:id="45"/>
      <w:r>
        <w:rPr>
          <w:rFonts w:hint="eastAsia" w:cs="仿宋" w:asciiTheme="majorEastAsia" w:hAnsiTheme="majorEastAsia" w:eastAsiaTheme="majorEastAsia"/>
          <w:sz w:val="24"/>
        </w:rPr>
        <w:t>和修改</w:t>
      </w:r>
      <w:bookmarkEnd w:id="4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7.1 </w:t>
      </w:r>
      <w:r>
        <w:rPr>
          <w:rFonts w:hint="eastAsia" w:cs="仿宋" w:asciiTheme="majorEastAsia" w:hAnsiTheme="majorEastAsia" w:eastAsiaTheme="majorEastAsia"/>
          <w:sz w:val="24"/>
        </w:rPr>
        <w:t>招标采购单位可以依法对招标文件进行澄清或者修改。</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7.2 </w:t>
      </w:r>
      <w:r>
        <w:rPr>
          <w:rFonts w:hint="eastAsia" w:cs="仿宋" w:asciiTheme="majorEastAsia" w:hAnsiTheme="majorEastAsia" w:eastAsiaTheme="majorEastAsia"/>
          <w:sz w:val="24"/>
        </w:rPr>
        <w:t>招标采购单位对已发出的招标文件进行澄清或者修改，</w:t>
      </w:r>
      <w:r>
        <w:rPr>
          <w:rFonts w:hint="eastAsia" w:ascii="宋体" w:hAnsi="宋体" w:eastAsia="宋体" w:cs="宋体"/>
          <w:sz w:val="24"/>
          <w:highlight w:val="none"/>
          <w:u w:val="none"/>
          <w:lang w:val="en-US" w:eastAsia="zh-CN"/>
        </w:rPr>
        <w:t>通过</w:t>
      </w:r>
      <w:r>
        <w:rPr>
          <w:rFonts w:hint="eastAsia" w:ascii="宋体" w:hAnsi="宋体" w:eastAsia="宋体" w:cs="宋体"/>
          <w:sz w:val="24"/>
          <w:highlight w:val="none"/>
          <w:u w:val="none"/>
        </w:rPr>
        <w:t>政府采购云平台</w:t>
      </w:r>
      <w:r>
        <w:rPr>
          <w:rFonts w:hint="eastAsia" w:cs="仿宋" w:asciiTheme="majorEastAsia" w:hAnsiTheme="majorEastAsia" w:eastAsiaTheme="majorEastAsia"/>
          <w:sz w:val="24"/>
        </w:rPr>
        <w:t>将澄清或者修改的内容通知所有获取了招标文件的</w:t>
      </w:r>
      <w:r>
        <w:rPr>
          <w:rFonts w:hint="eastAsia" w:cs="仿宋" w:asciiTheme="majorEastAsia" w:hAnsiTheme="majorEastAsia" w:eastAsiaTheme="majorEastAsia"/>
          <w:sz w:val="24"/>
          <w:lang w:val="en-US" w:eastAsia="zh-CN"/>
        </w:rPr>
        <w:t>投标人</w:t>
      </w:r>
      <w:r>
        <w:rPr>
          <w:rFonts w:hint="eastAsia" w:cs="仿宋" w:asciiTheme="majorEastAsia" w:hAnsiTheme="majorEastAsia" w:eastAsiaTheme="majorEastAsia"/>
          <w:sz w:val="24"/>
        </w:rPr>
        <w:t>，同时在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cs="仿宋" w:asciiTheme="majorEastAsia" w:hAnsiTheme="majorEastAsia" w:eastAsiaTheme="majorEastAsia"/>
          <w:sz w:val="24"/>
        </w:rPr>
        <w:t>15</w:t>
      </w:r>
      <w:r>
        <w:rPr>
          <w:rFonts w:hint="eastAsia" w:cs="仿宋" w:asciiTheme="majorEastAsia" w:hAnsiTheme="majorEastAsia" w:eastAsiaTheme="majorEastAsia"/>
          <w:sz w:val="24"/>
        </w:rPr>
        <w:t>日前、提交资格预审申请文件截止时间至少３日前；不足上述时间的，应当顺延提交投标文件、资格预审申请文件的截止时间。</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rPr>
      </w:pPr>
      <w:r>
        <w:rPr>
          <w:rFonts w:cs="仿宋" w:asciiTheme="majorEastAsia" w:hAnsiTheme="majorEastAsia" w:eastAsiaTheme="majorEastAsia"/>
          <w:sz w:val="24"/>
        </w:rPr>
        <w:t xml:space="preserve">7.3 </w:t>
      </w:r>
      <w:r>
        <w:rPr>
          <w:rFonts w:hint="eastAsia" w:cs="仿宋" w:asciiTheme="majorEastAsia" w:hAnsiTheme="majorEastAsia" w:eastAsiaTheme="majorEastAsia"/>
          <w:sz w:val="24"/>
        </w:rPr>
        <w:t>投标人应于投标文件递交截止时间之前在</w:t>
      </w:r>
      <w:r>
        <w:rPr>
          <w:rFonts w:hint="eastAsia" w:cs="仿宋" w:asciiTheme="majorEastAsia" w:hAnsiTheme="majorEastAsia" w:eastAsiaTheme="majorEastAsia"/>
          <w:b/>
          <w:sz w:val="24"/>
        </w:rPr>
        <w:t>《四川政府采购网》</w:t>
      </w:r>
      <w:r>
        <w:rPr>
          <w:rFonts w:hint="eastAsia" w:cs="仿宋" w:asciiTheme="majorEastAsia" w:hAnsiTheme="majorEastAsia" w:eastAsiaTheme="majorEastAsia"/>
          <w:sz w:val="24"/>
        </w:rPr>
        <w:t>查询本项目的更正公告，以保证其对招标文件做出正确的响应。投标人未按要求下载相关文件，或由于未及时关注更正公告的信息造成的后果，其责任由投标人自行负责。</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更正通知通过政府采购云平台通知所有获取招标文件的投标人。投标人登录政府采购云平台查看、下载</w:t>
      </w:r>
      <w:r>
        <w:rPr>
          <w:rFonts w:hint="eastAsia" w:ascii="宋体" w:hAnsi="宋体" w:eastAsia="宋体" w:cs="宋体"/>
          <w:sz w:val="24"/>
          <w:lang w:eastAsia="zh-CN"/>
        </w:rPr>
        <w:t>。</w:t>
      </w:r>
    </w:p>
    <w:p>
      <w:pPr>
        <w:pStyle w:val="32"/>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7.4 </w:t>
      </w:r>
      <w:r>
        <w:rPr>
          <w:rFonts w:hint="eastAsia" w:cs="仿宋" w:asciiTheme="majorEastAsia" w:hAnsiTheme="majorEastAsia" w:eastAsiaTheme="majorEastAsia"/>
          <w:sz w:val="24"/>
        </w:rPr>
        <w:t>投标人认为需要对招标文件进行澄清或者修改的，可以</w:t>
      </w:r>
      <w:r>
        <w:rPr>
          <w:rFonts w:hint="eastAsia" w:cs="仿宋" w:asciiTheme="majorEastAsia" w:hAnsiTheme="majorEastAsia" w:eastAsiaTheme="majorEastAsia"/>
          <w:sz w:val="24"/>
          <w:highlight w:val="none"/>
        </w:rPr>
        <w:t>以书面形式向招标</w:t>
      </w:r>
      <w:r>
        <w:rPr>
          <w:rFonts w:hint="eastAsia" w:cs="仿宋" w:asciiTheme="majorEastAsia" w:hAnsiTheme="majorEastAsia" w:eastAsiaTheme="majorEastAsia"/>
          <w:sz w:val="24"/>
        </w:rPr>
        <w:t>采购单位提出申请，但招标采购单位可以决定是否采纳投标人的申请事项。</w:t>
      </w:r>
    </w:p>
    <w:p>
      <w:pPr>
        <w:pStyle w:val="5"/>
        <w:spacing w:after="0" w:line="360" w:lineRule="auto"/>
        <w:ind w:firstLine="482" w:firstLineChars="200"/>
        <w:rPr>
          <w:rFonts w:cs="仿宋" w:asciiTheme="majorEastAsia" w:hAnsiTheme="majorEastAsia" w:eastAsiaTheme="majorEastAsia"/>
          <w:sz w:val="24"/>
        </w:rPr>
      </w:pPr>
      <w:bookmarkStart w:id="47" w:name="_Toc208848971"/>
      <w:bookmarkStart w:id="48" w:name="_Toc217446041"/>
      <w:r>
        <w:rPr>
          <w:rFonts w:cs="仿宋" w:asciiTheme="majorEastAsia" w:hAnsiTheme="majorEastAsia" w:eastAsiaTheme="majorEastAsia"/>
          <w:sz w:val="24"/>
        </w:rPr>
        <w:t xml:space="preserve">8. </w:t>
      </w:r>
      <w:r>
        <w:rPr>
          <w:rFonts w:hint="eastAsia" w:cs="仿宋" w:asciiTheme="majorEastAsia" w:hAnsiTheme="majorEastAsia" w:eastAsiaTheme="majorEastAsia"/>
          <w:sz w:val="24"/>
        </w:rPr>
        <w:t>答疑会和现场考察</w:t>
      </w:r>
      <w:bookmarkEnd w:id="47"/>
      <w:bookmarkEnd w:id="48"/>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8.1 </w:t>
      </w:r>
      <w:r>
        <w:rPr>
          <w:rFonts w:hint="eastAsia" w:cs="仿宋" w:asciiTheme="majorEastAsia" w:hAnsiTheme="majorEastAsia" w:eastAsiaTheme="majorEastAsia"/>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现场考察或标前答疑会时间、地点见投标须知附表（投标须知附表没有明示的，视为本项目不组织）。</w:t>
      </w:r>
    </w:p>
    <w:bookmarkEnd w:id="35"/>
    <w:p>
      <w:pPr>
        <w:tabs>
          <w:tab w:val="left" w:pos="7665"/>
        </w:tabs>
        <w:spacing w:line="360" w:lineRule="auto"/>
        <w:ind w:firstLine="480" w:firstLineChars="200"/>
        <w:rPr>
          <w:rFonts w:cs="仿宋" w:asciiTheme="majorEastAsia" w:hAnsiTheme="majorEastAsia" w:eastAsiaTheme="majorEastAsia"/>
          <w:sz w:val="24"/>
        </w:rPr>
      </w:pPr>
      <w:bookmarkStart w:id="49" w:name="PO_默认文件内容_18"/>
      <w:r>
        <w:rPr>
          <w:rFonts w:cs="仿宋" w:asciiTheme="majorEastAsia" w:hAnsiTheme="majorEastAsia" w:eastAsiaTheme="majorEastAsia"/>
          <w:sz w:val="24"/>
        </w:rPr>
        <w:t xml:space="preserve">8.2 </w:t>
      </w:r>
      <w:r>
        <w:rPr>
          <w:rFonts w:hint="eastAsia" w:cs="仿宋" w:asciiTheme="majorEastAsia" w:hAnsiTheme="majorEastAsia" w:eastAsiaTheme="majorEastAsia"/>
          <w:sz w:val="24"/>
        </w:rPr>
        <w:t>供应商考察现场所发生的一切费用由供应商自己承担。</w:t>
      </w:r>
      <w:bookmarkStart w:id="50" w:name="_Toc217446042"/>
      <w:bookmarkStart w:id="51" w:name="_Toc89075876"/>
      <w:bookmarkStart w:id="52" w:name="_Toc183582214"/>
      <w:bookmarkStart w:id="53" w:name="_Toc183682351"/>
      <w:bookmarkStart w:id="54" w:name="_Toc77400780"/>
    </w:p>
    <w:p>
      <w:pPr>
        <w:pStyle w:val="4"/>
        <w:spacing w:line="360" w:lineRule="auto"/>
        <w:jc w:val="center"/>
        <w:rPr>
          <w:rFonts w:ascii="黑体" w:hAnsi="黑体" w:eastAsia="黑体" w:cs="仿宋"/>
          <w:bCs w:val="0"/>
          <w:sz w:val="28"/>
          <w:szCs w:val="28"/>
        </w:rPr>
      </w:pPr>
      <w:r>
        <w:rPr>
          <w:rFonts w:hint="eastAsia" w:ascii="黑体" w:hAnsi="黑体" w:eastAsia="黑体" w:cs="仿宋"/>
          <w:bCs w:val="0"/>
          <w:sz w:val="28"/>
          <w:szCs w:val="28"/>
        </w:rPr>
        <w:t>四、投标文件</w:t>
      </w:r>
      <w:bookmarkEnd w:id="50"/>
      <w:bookmarkEnd w:id="51"/>
      <w:bookmarkEnd w:id="52"/>
      <w:bookmarkEnd w:id="53"/>
      <w:bookmarkEnd w:id="54"/>
    </w:p>
    <w:p>
      <w:pPr>
        <w:pStyle w:val="5"/>
        <w:spacing w:after="0" w:line="360" w:lineRule="auto"/>
        <w:ind w:firstLine="482" w:firstLineChars="200"/>
        <w:rPr>
          <w:rFonts w:cs="仿宋" w:asciiTheme="majorEastAsia" w:hAnsiTheme="majorEastAsia" w:eastAsiaTheme="majorEastAsia"/>
          <w:bCs w:val="0"/>
          <w:sz w:val="24"/>
        </w:rPr>
      </w:pPr>
      <w:bookmarkStart w:id="55" w:name="_Toc217446043"/>
      <w:bookmarkStart w:id="56" w:name="_Toc183682352"/>
      <w:bookmarkStart w:id="57" w:name="_Toc183582215"/>
      <w:r>
        <w:rPr>
          <w:rFonts w:cs="仿宋" w:asciiTheme="majorEastAsia" w:hAnsiTheme="majorEastAsia" w:eastAsiaTheme="majorEastAsia"/>
          <w:bCs w:val="0"/>
          <w:sz w:val="24"/>
        </w:rPr>
        <w:t>9．投标文件的语言</w:t>
      </w:r>
      <w:bookmarkEnd w:id="55"/>
      <w:bookmarkEnd w:id="56"/>
      <w:bookmarkEnd w:id="57"/>
    </w:p>
    <w:p>
      <w:pPr>
        <w:tabs>
          <w:tab w:val="left" w:pos="1134"/>
        </w:tabs>
        <w:spacing w:line="360" w:lineRule="auto"/>
        <w:ind w:firstLine="480" w:firstLineChars="200"/>
        <w:jc w:val="left"/>
        <w:rPr>
          <w:rFonts w:cs="仿宋" w:asciiTheme="majorEastAsia" w:hAnsiTheme="majorEastAsia" w:eastAsiaTheme="majorEastAsia"/>
          <w:sz w:val="24"/>
        </w:rPr>
      </w:pPr>
      <w:bookmarkStart w:id="58" w:name="_Toc217446044"/>
      <w:bookmarkStart w:id="59" w:name="_Toc183582216"/>
      <w:bookmarkStart w:id="60" w:name="_Toc183682353"/>
      <w:r>
        <w:rPr>
          <w:rFonts w:cs="仿宋" w:asciiTheme="majorEastAsia" w:hAnsiTheme="majorEastAsia" w:eastAsiaTheme="majorEastAsia"/>
          <w:sz w:val="24"/>
        </w:rPr>
        <w:t xml:space="preserve">9.1 </w:t>
      </w:r>
      <w:r>
        <w:rPr>
          <w:rFonts w:hint="eastAsia" w:cs="仿宋" w:asciiTheme="majorEastAsia" w:hAnsiTheme="majorEastAsia" w:eastAsiaTheme="major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如因未翻译而造成的废标，由投标人承担。（说明：供应商的法定代表人为外籍人士的，法定代表人的签字和护照除外。）</w:t>
      </w:r>
    </w:p>
    <w:p>
      <w:pPr>
        <w:tabs>
          <w:tab w:val="left" w:pos="1134"/>
        </w:tabs>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 xml:space="preserve">9.2 </w:t>
      </w:r>
      <w:r>
        <w:rPr>
          <w:rFonts w:hint="eastAsia" w:cs="仿宋" w:asciiTheme="majorEastAsia" w:hAnsiTheme="majorEastAsia" w:eastAsiaTheme="majorEastAsia"/>
          <w:sz w:val="24"/>
        </w:rPr>
        <w:t>翻译的中文资料与外文资料如果出现差异和矛盾时，以中文为准。涉嫌虚假响应的按照相关法律法规处理。</w:t>
      </w:r>
    </w:p>
    <w:p>
      <w:pPr>
        <w:pStyle w:val="5"/>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10．计量单位</w:t>
      </w:r>
      <w:bookmarkEnd w:id="58"/>
      <w:bookmarkEnd w:id="59"/>
      <w:bookmarkEnd w:id="60"/>
      <w:r>
        <w:rPr>
          <w:rFonts w:hint="eastAsia" w:cs="仿宋" w:asciiTheme="majorEastAsia" w:hAnsiTheme="majorEastAsia" w:eastAsiaTheme="majorEastAsia"/>
          <w:sz w:val="24"/>
          <w:szCs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除招标文件中另有规定外，本次采购项目所有合同项下的投标均采用国家法定的计量单位。</w:t>
      </w:r>
    </w:p>
    <w:p>
      <w:pPr>
        <w:pStyle w:val="5"/>
        <w:spacing w:after="0" w:line="360" w:lineRule="auto"/>
        <w:ind w:firstLine="482" w:firstLineChars="200"/>
        <w:rPr>
          <w:rFonts w:cs="仿宋" w:asciiTheme="majorEastAsia" w:hAnsiTheme="majorEastAsia" w:eastAsiaTheme="majorEastAsia"/>
          <w:sz w:val="24"/>
        </w:rPr>
      </w:pPr>
      <w:bookmarkStart w:id="61" w:name="_Toc217446045"/>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投标货币</w:t>
      </w:r>
      <w:bookmarkEnd w:id="61"/>
      <w:r>
        <w:rPr>
          <w:rFonts w:hint="eastAsia" w:cs="仿宋" w:asciiTheme="majorEastAsia" w:hAnsiTheme="majorEastAsia" w:eastAsiaTheme="majorEastAsia"/>
          <w:sz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本次招标项目的投标均以人民币报价。</w:t>
      </w:r>
    </w:p>
    <w:p>
      <w:pPr>
        <w:pStyle w:val="5"/>
        <w:spacing w:after="0" w:line="360" w:lineRule="auto"/>
        <w:ind w:firstLine="482" w:firstLineChars="200"/>
        <w:rPr>
          <w:rFonts w:cs="仿宋" w:asciiTheme="majorEastAsia" w:hAnsiTheme="majorEastAsia" w:eastAsiaTheme="majorEastAsia"/>
          <w:sz w:val="24"/>
        </w:rPr>
      </w:pPr>
      <w:bookmarkStart w:id="62" w:name="_Toc217446046"/>
      <w:r>
        <w:rPr>
          <w:rFonts w:cs="仿宋" w:asciiTheme="majorEastAsia" w:hAnsiTheme="majorEastAsia" w:eastAsiaTheme="majorEastAsia"/>
          <w:sz w:val="24"/>
        </w:rPr>
        <w:t xml:space="preserve">12. </w:t>
      </w:r>
      <w:r>
        <w:rPr>
          <w:rFonts w:hint="eastAsia" w:cs="仿宋" w:asciiTheme="majorEastAsia" w:hAnsiTheme="majorEastAsia" w:eastAsiaTheme="majorEastAsia"/>
          <w:sz w:val="24"/>
        </w:rPr>
        <w:t>联合体投标</w:t>
      </w:r>
      <w:bookmarkEnd w:id="62"/>
    </w:p>
    <w:p>
      <w:pPr>
        <w:pStyle w:val="66"/>
        <w:spacing w:line="360" w:lineRule="auto"/>
        <w:ind w:left="1" w:firstLine="480" w:firstLineChars="200"/>
        <w:rPr>
          <w:rFonts w:cs="仿宋" w:asciiTheme="majorEastAsia" w:hAnsiTheme="majorEastAsia" w:eastAsiaTheme="majorEastAsia"/>
          <w:color w:val="000000"/>
          <w:sz w:val="24"/>
        </w:rPr>
      </w:pPr>
      <w:bookmarkStart w:id="63" w:name="_Toc217446047"/>
      <w:r>
        <w:rPr>
          <w:rFonts w:cs="仿宋" w:asciiTheme="majorEastAsia" w:hAnsiTheme="majorEastAsia" w:eastAsiaTheme="majorEastAsia"/>
          <w:color w:val="000000"/>
          <w:sz w:val="24"/>
          <w:szCs w:val="21"/>
        </w:rPr>
        <w:t>12．1本项目是否接受联合体见</w:t>
      </w:r>
      <w:r>
        <w:rPr>
          <w:rFonts w:hint="eastAsia" w:cs="仿宋" w:asciiTheme="majorEastAsia" w:hAnsiTheme="majorEastAsia" w:eastAsiaTheme="majorEastAsia"/>
          <w:b/>
          <w:bCs/>
          <w:color w:val="000000"/>
          <w:sz w:val="24"/>
          <w:szCs w:val="21"/>
        </w:rPr>
        <w:t>第一章</w:t>
      </w:r>
      <w:r>
        <w:rPr>
          <w:rFonts w:hint="eastAsia" w:cs="仿宋" w:asciiTheme="majorEastAsia" w:hAnsiTheme="majorEastAsia" w:eastAsiaTheme="majorEastAsia"/>
          <w:b/>
          <w:bCs/>
          <w:sz w:val="24"/>
        </w:rPr>
        <w:t>投标邀请</w:t>
      </w:r>
      <w:r>
        <w:rPr>
          <w:rFonts w:hint="eastAsia" w:cs="仿宋" w:asciiTheme="majorEastAsia" w:hAnsiTheme="majorEastAsia" w:eastAsiaTheme="majorEastAsia"/>
          <w:color w:val="000000"/>
          <w:sz w:val="24"/>
          <w:szCs w:val="21"/>
        </w:rPr>
        <w:t>。</w:t>
      </w:r>
    </w:p>
    <w:p>
      <w:pPr>
        <w:pStyle w:val="66"/>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12．2接受联合体的，应符合以下要求：</w:t>
      </w:r>
    </w:p>
    <w:p>
      <w:pPr>
        <w:pStyle w:val="66"/>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12.2．1 </w:t>
      </w:r>
      <w:r>
        <w:rPr>
          <w:rFonts w:hint="eastAsia" w:cs="仿宋" w:asciiTheme="majorEastAsia" w:hAnsiTheme="majorEastAsia" w:eastAsiaTheme="majorEastAsia"/>
          <w:color w:val="000000"/>
          <w:sz w:val="24"/>
          <w:szCs w:val="21"/>
        </w:rPr>
        <w:t>两个以上供应商可以组成一个联合体</w:t>
      </w:r>
      <w:r>
        <w:rPr>
          <w:rFonts w:hint="eastAsia" w:cs="仿宋" w:asciiTheme="majorEastAsia" w:hAnsiTheme="majorEastAsia" w:eastAsiaTheme="majorEastAsia"/>
          <w:sz w:val="24"/>
          <w:szCs w:val="21"/>
        </w:rPr>
        <w:t>，以一个供应商的身份投标。以联合体形式参加投标的，联合体各方均应当符</w:t>
      </w:r>
      <w:r>
        <w:rPr>
          <w:rFonts w:hint="eastAsia" w:cs="仿宋" w:asciiTheme="majorEastAsia" w:hAnsiTheme="majorEastAsia" w:eastAsiaTheme="majorEastAsia"/>
          <w:color w:val="000000"/>
          <w:sz w:val="24"/>
          <w:szCs w:val="21"/>
        </w:rPr>
        <w:t>合《政府采购法》第二十二条第一款规定的条件，联合体各方中至少应当有一方符合采购人根据本项目提出的特殊条件。</w:t>
      </w:r>
    </w:p>
    <w:p>
      <w:pPr>
        <w:pStyle w:val="66"/>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12.2．2 </w:t>
      </w:r>
      <w:r>
        <w:rPr>
          <w:rFonts w:hint="eastAsia" w:cs="仿宋" w:asciiTheme="majorEastAsia" w:hAnsiTheme="majorEastAsia" w:eastAsiaTheme="majorEastAsia"/>
          <w:color w:val="000000"/>
          <w:sz w:val="24"/>
          <w:szCs w:val="21"/>
        </w:rPr>
        <w:t>联合体各方之间应当签订联合体投标协议，明确约定联合体各方承担的工作和相应的责任。联合体参与投标的，应在投标文件提供联合体协议原件。</w:t>
      </w:r>
    </w:p>
    <w:p>
      <w:pPr>
        <w:pStyle w:val="66"/>
        <w:spacing w:line="360" w:lineRule="auto"/>
        <w:ind w:left="1" w:firstLine="480" w:firstLineChars="200"/>
        <w:rPr>
          <w:rFonts w:cs="仿宋" w:asciiTheme="majorEastAsia" w:hAnsiTheme="majorEastAsia" w:eastAsiaTheme="majorEastAsia"/>
          <w:color w:val="FF0000"/>
          <w:sz w:val="24"/>
        </w:rPr>
      </w:pPr>
      <w:r>
        <w:rPr>
          <w:rFonts w:cs="仿宋" w:asciiTheme="majorEastAsia" w:hAnsiTheme="majorEastAsia" w:eastAsiaTheme="majorEastAsia"/>
          <w:color w:val="000000"/>
          <w:sz w:val="24"/>
          <w:szCs w:val="21"/>
        </w:rPr>
        <w:t xml:space="preserve">12.2．3 </w:t>
      </w:r>
      <w:r>
        <w:rPr>
          <w:rFonts w:hint="eastAsia" w:cs="仿宋" w:asciiTheme="majorEastAsia" w:hAnsiTheme="majorEastAsia" w:eastAsiaTheme="majorEastAsia"/>
          <w:color w:val="000000"/>
          <w:sz w:val="24"/>
          <w:szCs w:val="21"/>
        </w:rPr>
        <w:t>联合体应当确定其中一个单位为投标的全权代表，负责参加投标的一切事务</w:t>
      </w:r>
      <w:r>
        <w:rPr>
          <w:rFonts w:hint="eastAsia" w:cs="仿宋" w:asciiTheme="majorEastAsia" w:hAnsiTheme="majorEastAsia" w:eastAsiaTheme="majorEastAsia"/>
          <w:sz w:val="24"/>
          <w:szCs w:val="21"/>
        </w:rPr>
        <w:t>。</w:t>
      </w:r>
    </w:p>
    <w:p>
      <w:pPr>
        <w:pStyle w:val="66"/>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12.2．4 </w:t>
      </w:r>
      <w:r>
        <w:rPr>
          <w:rFonts w:hint="eastAsia" w:cs="仿宋" w:asciiTheme="majorEastAsia" w:hAnsiTheme="majorEastAsia" w:eastAsiaTheme="majorEastAsia"/>
          <w:color w:val="000000"/>
          <w:sz w:val="24"/>
          <w:szCs w:val="21"/>
        </w:rPr>
        <w:t>联合体各方应当共同与采购人签订采购合同，就采购合同约定的事项对采购人承担连带责任。</w:t>
      </w:r>
    </w:p>
    <w:p>
      <w:pPr>
        <w:pStyle w:val="66"/>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12.2．5联合体中有同类资质的供应商按照联合体分工承担相同工作的，将按照资质等级较低的供应商确定资质等级。</w:t>
      </w:r>
    </w:p>
    <w:p>
      <w:pPr>
        <w:pStyle w:val="66"/>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12.2．6以联合体形式参加政府采购活动的，联合体各方不得再单独参加或者与其他供应商另外组成联合体参加同一合同项下的政府采购活动。</w:t>
      </w:r>
    </w:p>
    <w:p>
      <w:pPr>
        <w:pStyle w:val="5"/>
        <w:spacing w:after="0" w:line="360" w:lineRule="auto"/>
        <w:ind w:firstLine="482" w:firstLineChars="200"/>
        <w:rPr>
          <w:rFonts w:cs="仿宋" w:asciiTheme="majorEastAsia" w:hAnsiTheme="majorEastAsia" w:eastAsiaTheme="majorEastAsia"/>
          <w:sz w:val="24"/>
        </w:rPr>
      </w:pPr>
      <w:bookmarkStart w:id="64" w:name="_Toc308164797"/>
      <w:r>
        <w:rPr>
          <w:rFonts w:cs="仿宋" w:asciiTheme="majorEastAsia" w:hAnsiTheme="majorEastAsia" w:eastAsiaTheme="majorEastAsia"/>
          <w:sz w:val="24"/>
        </w:rPr>
        <w:t xml:space="preserve">13. </w:t>
      </w:r>
      <w:r>
        <w:rPr>
          <w:rFonts w:hint="eastAsia" w:cs="仿宋" w:asciiTheme="majorEastAsia" w:hAnsiTheme="majorEastAsia" w:eastAsiaTheme="majorEastAsia"/>
          <w:sz w:val="24"/>
        </w:rPr>
        <w:t>知识产权</w:t>
      </w:r>
      <w:bookmarkEnd w:id="63"/>
      <w:bookmarkEnd w:id="64"/>
      <w:r>
        <w:rPr>
          <w:rFonts w:hint="eastAsia" w:cs="仿宋" w:asciiTheme="majorEastAsia" w:hAnsiTheme="majorEastAsia" w:eastAsiaTheme="majorEastAsia"/>
          <w:sz w:val="24"/>
        </w:rPr>
        <w:t>（实质性要求）</w:t>
      </w:r>
    </w:p>
    <w:p>
      <w:pPr>
        <w:pStyle w:val="12"/>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13.1 </w:t>
      </w:r>
      <w:r>
        <w:rPr>
          <w:rFonts w:hint="eastAsia" w:cs="仿宋" w:asciiTheme="majorEastAsia" w:hAnsiTheme="majorEastAsia" w:eastAsiaTheme="majorEastAsia"/>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13.2 </w:t>
      </w:r>
      <w:r>
        <w:rPr>
          <w:rFonts w:hint="eastAsia" w:cs="仿宋" w:asciiTheme="majorEastAsia" w:hAnsiTheme="majorEastAsia" w:eastAsiaTheme="majorEastAsia"/>
          <w:sz w:val="24"/>
          <w:szCs w:val="24"/>
        </w:rPr>
        <w:t>采购人享有本项目实施过程中产生的知识成果及知识产权。</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13.3 </w:t>
      </w:r>
      <w:r>
        <w:rPr>
          <w:rFonts w:hint="eastAsia" w:cs="仿宋" w:asciiTheme="majorEastAsia" w:hAnsiTheme="majorEastAsia" w:eastAsiaTheme="majorEastAsia"/>
          <w:sz w:val="24"/>
        </w:rPr>
        <w:t>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13.4 如采用投标人所不拥有的知识产权，则在投标报价中必须包括合法获取该知识产权的相关费用。 </w:t>
      </w:r>
    </w:p>
    <w:p>
      <w:pPr>
        <w:pStyle w:val="5"/>
        <w:spacing w:after="0" w:line="360" w:lineRule="auto"/>
        <w:ind w:firstLine="482" w:firstLineChars="200"/>
        <w:rPr>
          <w:rFonts w:cs="仿宋" w:asciiTheme="majorEastAsia" w:hAnsiTheme="majorEastAsia" w:eastAsiaTheme="majorEastAsia"/>
          <w:sz w:val="24"/>
        </w:rPr>
      </w:pPr>
      <w:bookmarkStart w:id="65" w:name="_Toc217446048"/>
      <w:bookmarkStart w:id="66" w:name="_Toc183582217"/>
      <w:bookmarkStart w:id="67" w:name="_Toc183682354"/>
      <w:bookmarkStart w:id="68" w:name="_Toc308164798"/>
      <w:r>
        <w:rPr>
          <w:rFonts w:cs="仿宋" w:asciiTheme="majorEastAsia" w:hAnsiTheme="majorEastAsia" w:eastAsiaTheme="majorEastAsia"/>
          <w:sz w:val="24"/>
        </w:rPr>
        <w:t>14．投标文件的组成</w:t>
      </w:r>
      <w:bookmarkEnd w:id="65"/>
      <w:bookmarkEnd w:id="66"/>
      <w:bookmarkEnd w:id="67"/>
      <w:bookmarkEnd w:id="68"/>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投标人应按照招标文件的规定和要求编制投标文件。投标人编写的投标文件应至少包括下列两部分文件：</w:t>
      </w:r>
    </w:p>
    <w:p>
      <w:pPr>
        <w:spacing w:line="360" w:lineRule="auto"/>
        <w:ind w:firstLine="482" w:firstLineChars="200"/>
        <w:rPr>
          <w:rFonts w:cs="仿宋" w:asciiTheme="majorEastAsia" w:hAnsiTheme="majorEastAsia" w:eastAsiaTheme="majorEastAsia"/>
          <w:color w:val="000000"/>
          <w:sz w:val="24"/>
        </w:rPr>
      </w:pPr>
      <w:bookmarkStart w:id="69" w:name="_Toc495165797"/>
      <w:bookmarkStart w:id="70" w:name="_Toc495165620"/>
      <w:r>
        <w:rPr>
          <w:rFonts w:cs="仿宋" w:asciiTheme="majorEastAsia" w:hAnsiTheme="majorEastAsia" w:eastAsiaTheme="majorEastAsia"/>
          <w:b/>
          <w:bCs/>
          <w:sz w:val="24"/>
        </w:rPr>
        <w:t>14.1资格</w:t>
      </w:r>
      <w:r>
        <w:rPr>
          <w:rFonts w:hint="eastAsia" w:cs="仿宋" w:asciiTheme="majorEastAsia" w:hAnsiTheme="majorEastAsia" w:eastAsiaTheme="majorEastAsia"/>
          <w:b/>
          <w:bCs/>
          <w:sz w:val="24"/>
        </w:rPr>
        <w:t>性</w:t>
      </w:r>
      <w:r>
        <w:rPr>
          <w:rFonts w:cs="仿宋" w:asciiTheme="majorEastAsia" w:hAnsiTheme="majorEastAsia" w:eastAsiaTheme="majorEastAsia"/>
          <w:b/>
          <w:bCs/>
          <w:sz w:val="24"/>
        </w:rPr>
        <w:t>部分：</w:t>
      </w:r>
      <w:bookmarkEnd w:id="69"/>
      <w:bookmarkEnd w:id="70"/>
      <w:r>
        <w:rPr>
          <w:rFonts w:hint="eastAsia" w:cs="仿宋" w:asciiTheme="majorEastAsia" w:hAnsiTheme="majorEastAsia" w:eastAsiaTheme="majorEastAsia"/>
          <w:color w:val="000000"/>
          <w:sz w:val="24"/>
        </w:rPr>
        <w:t>严格按照第四、五章要求提供相关资格、资质性及其他类似效力要求的相关证明材料。</w:t>
      </w:r>
    </w:p>
    <w:p>
      <w:pPr>
        <w:spacing w:line="360" w:lineRule="auto"/>
        <w:ind w:firstLine="482" w:firstLineChars="200"/>
        <w:rPr>
          <w:rFonts w:cs="仿宋" w:asciiTheme="majorEastAsia" w:hAnsiTheme="majorEastAsia" w:eastAsiaTheme="majorEastAsia"/>
          <w:b/>
          <w:color w:val="000000"/>
          <w:sz w:val="24"/>
        </w:rPr>
      </w:pPr>
      <w:bookmarkStart w:id="71" w:name="_Toc495165621"/>
      <w:bookmarkStart w:id="72" w:name="_Toc495165798"/>
      <w:r>
        <w:rPr>
          <w:rFonts w:cs="仿宋" w:asciiTheme="majorEastAsia" w:hAnsiTheme="majorEastAsia" w:eastAsiaTheme="majorEastAsia"/>
          <w:b/>
          <w:color w:val="000000"/>
          <w:sz w:val="24"/>
        </w:rPr>
        <w:t>14.2</w:t>
      </w:r>
      <w:r>
        <w:rPr>
          <w:rFonts w:hint="eastAsia" w:cs="仿宋" w:asciiTheme="majorEastAsia" w:hAnsiTheme="majorEastAsia" w:eastAsiaTheme="majorEastAsia"/>
          <w:b/>
          <w:color w:val="000000"/>
          <w:sz w:val="24"/>
        </w:rPr>
        <w:t>技术商务报价部分：</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bCs/>
          <w:sz w:val="24"/>
        </w:rPr>
        <w:t>14.2.1</w:t>
      </w:r>
      <w:r>
        <w:rPr>
          <w:rFonts w:hint="eastAsia" w:cs="仿宋" w:asciiTheme="majorEastAsia" w:hAnsiTheme="majorEastAsia" w:eastAsiaTheme="majorEastAsia"/>
          <w:b/>
          <w:bCs/>
          <w:sz w:val="24"/>
        </w:rPr>
        <w:t>报价部分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1、投标人按照招标文件要求填写的“开标一览表”、“报价明细表”（如涉及）。 </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2、本次招标报价要求：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1）投标人的报价是投标人响应招标项目要求的全部工作内容的价格体现，包括投标人完成本项目所需的一切费用</w:t>
      </w:r>
      <w:r>
        <w:rPr>
          <w:rFonts w:cs="仿宋" w:asciiTheme="majorEastAsia" w:hAnsiTheme="majorEastAsia" w:eastAsiaTheme="majorEastAsia"/>
          <w:b/>
          <w:bCs/>
          <w:sz w:val="24"/>
        </w:rPr>
        <w:t>（实质性要求）</w:t>
      </w:r>
      <w:r>
        <w:rPr>
          <w:rFonts w:cs="仿宋" w:asciiTheme="majorEastAsia" w:hAnsiTheme="majorEastAsia" w:eastAsiaTheme="majorEastAsia"/>
          <w:sz w:val="24"/>
        </w:rPr>
        <w:t>。</w:t>
      </w:r>
    </w:p>
    <w:p>
      <w:pPr>
        <w:spacing w:line="360" w:lineRule="auto"/>
        <w:ind w:left="2" w:firstLine="360" w:firstLineChars="150"/>
        <w:rPr>
          <w:rFonts w:cs="仿宋" w:asciiTheme="majorEastAsia" w:hAnsiTheme="majorEastAsia" w:eastAsiaTheme="majorEastAsia"/>
          <w:sz w:val="24"/>
        </w:rPr>
      </w:pPr>
      <w:r>
        <w:rPr>
          <w:rFonts w:cs="仿宋" w:asciiTheme="majorEastAsia" w:hAnsiTheme="majorEastAsia" w:eastAsiaTheme="majorEastAsia"/>
          <w:sz w:val="24"/>
        </w:rPr>
        <w:t>（2）投标人</w:t>
      </w:r>
      <w:r>
        <w:rPr>
          <w:rFonts w:hint="eastAsia" w:cs="仿宋" w:asciiTheme="majorEastAsia" w:hAnsiTheme="majorEastAsia" w:eastAsiaTheme="majorEastAsia"/>
          <w:sz w:val="24"/>
        </w:rPr>
        <w:t>每种服务或货物只允许有一个报价，并且在合同履行过程中是固定不变的，任何有选择或可调整的报价将不予接受，并按无效投标处理</w:t>
      </w:r>
      <w:r>
        <w:rPr>
          <w:rFonts w:hint="eastAsia" w:cs="仿宋" w:asciiTheme="majorEastAsia" w:hAnsiTheme="majorEastAsia" w:eastAsiaTheme="majorEastAsia"/>
          <w:b/>
          <w:kern w:val="2"/>
          <w:sz w:val="24"/>
        </w:rPr>
        <w:t>（实质性要求）。</w:t>
      </w:r>
    </w:p>
    <w:p>
      <w:pPr>
        <w:pStyle w:val="2"/>
        <w:spacing w:line="360" w:lineRule="auto"/>
        <w:ind w:firstLine="420"/>
        <w:rPr>
          <w:rFonts w:cs="仿宋" w:asciiTheme="majorEastAsia" w:hAnsiTheme="majorEastAsia" w:eastAsiaTheme="majorEastAsia"/>
          <w:b/>
          <w:bCs/>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3）在本次投标</w:t>
      </w:r>
      <w:r>
        <w:rPr>
          <w:rFonts w:hint="eastAsia" w:cs="仿宋" w:asciiTheme="majorEastAsia" w:hAnsiTheme="majorEastAsia" w:eastAsiaTheme="majorEastAsia"/>
          <w:sz w:val="24"/>
        </w:rPr>
        <w:t>截止时间前一周年内，投标人本次投标中对同一品牌同一型号相同配置的产品报价与其在中国境内其他地方的最低报价比例不得高于</w:t>
      </w:r>
      <w:r>
        <w:rPr>
          <w:rFonts w:cs="仿宋" w:asciiTheme="majorEastAsia" w:hAnsiTheme="majorEastAsia" w:eastAsiaTheme="majorEastAsia"/>
          <w:sz w:val="24"/>
        </w:rPr>
        <w:t>20%。</w:t>
      </w:r>
      <w:r>
        <w:rPr>
          <w:rFonts w:cs="仿宋" w:asciiTheme="majorEastAsia" w:hAnsiTheme="majorEastAsia" w:eastAsiaTheme="majorEastAsia"/>
          <w:b/>
          <w:bCs/>
          <w:sz w:val="24"/>
        </w:rPr>
        <w:t>（实质性要求）</w:t>
      </w:r>
    </w:p>
    <w:p>
      <w:pPr>
        <w:pStyle w:val="2"/>
        <w:spacing w:line="360" w:lineRule="auto"/>
        <w:ind w:firstLine="42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4）投标的最小单位是包。投标人必须对同一包中的项目全部投标，否则为无效投标。投标须以人民币为结算单位，投标报价为一次性密封报价。每包投标报价超过该包采购预算</w:t>
      </w:r>
      <w:r>
        <w:rPr>
          <w:rFonts w:hint="eastAsia" w:cs="仿宋" w:asciiTheme="majorEastAsia" w:hAnsiTheme="majorEastAsia" w:eastAsiaTheme="majorEastAsia"/>
          <w:sz w:val="24"/>
        </w:rPr>
        <w:t>（最高限价）的，其投标无效。</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tabs>
          <w:tab w:val="left" w:pos="540"/>
        </w:tabs>
        <w:spacing w:line="360" w:lineRule="auto"/>
        <w:ind w:firstLine="472" w:firstLineChars="196"/>
        <w:rPr>
          <w:rFonts w:cs="仿宋" w:asciiTheme="majorEastAsia" w:hAnsiTheme="majorEastAsia" w:eastAsiaTheme="majorEastAsia"/>
          <w:color w:val="000000"/>
          <w:sz w:val="24"/>
        </w:rPr>
      </w:pPr>
      <w:r>
        <w:rPr>
          <w:rFonts w:cs="仿宋" w:asciiTheme="majorEastAsia" w:hAnsiTheme="majorEastAsia" w:eastAsiaTheme="majorEastAsia"/>
          <w:b/>
          <w:color w:val="000000"/>
          <w:sz w:val="24"/>
        </w:rPr>
        <w:t>14.2.2</w:t>
      </w:r>
      <w:r>
        <w:rPr>
          <w:rFonts w:hint="eastAsia" w:cs="仿宋" w:asciiTheme="majorEastAsia" w:hAnsiTheme="majorEastAsia" w:eastAsiaTheme="majorEastAsia"/>
          <w:b/>
          <w:color w:val="000000"/>
          <w:sz w:val="24"/>
        </w:rPr>
        <w:t>技术服务部分。</w:t>
      </w: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按照招标文件要求做出的技术</w:t>
      </w:r>
      <w:r>
        <w:rPr>
          <w:rFonts w:hint="eastAsia" w:cs="仿宋" w:asciiTheme="majorEastAsia" w:hAnsiTheme="majorEastAsia" w:eastAsiaTheme="majorEastAsia"/>
          <w:color w:val="000000"/>
          <w:sz w:val="24"/>
          <w:lang w:val="en-US" w:eastAsia="zh-CN"/>
        </w:rPr>
        <w:t>服务</w:t>
      </w:r>
      <w:r>
        <w:rPr>
          <w:rFonts w:hint="eastAsia" w:cs="仿宋" w:asciiTheme="majorEastAsia" w:hAnsiTheme="majorEastAsia" w:eastAsiaTheme="majorEastAsia"/>
          <w:color w:val="000000"/>
          <w:sz w:val="24"/>
        </w:rPr>
        <w:t>应答，主要是针对招标项目的技术</w:t>
      </w:r>
      <w:r>
        <w:rPr>
          <w:rFonts w:hint="eastAsia" w:cs="仿宋" w:asciiTheme="majorEastAsia" w:hAnsiTheme="majorEastAsia" w:eastAsiaTheme="majorEastAsia"/>
          <w:color w:val="000000"/>
          <w:sz w:val="24"/>
          <w:lang w:val="en-US" w:eastAsia="zh-CN"/>
        </w:rPr>
        <w:t>服务</w:t>
      </w:r>
      <w:r>
        <w:rPr>
          <w:rFonts w:hint="eastAsia" w:cs="仿宋" w:asciiTheme="majorEastAsia" w:hAnsiTheme="majorEastAsia" w:eastAsiaTheme="majorEastAsia"/>
          <w:color w:val="000000"/>
          <w:sz w:val="24"/>
        </w:rPr>
        <w:t>指标、参数和技术</w:t>
      </w:r>
      <w:r>
        <w:rPr>
          <w:rFonts w:hint="eastAsia" w:cs="仿宋" w:asciiTheme="majorEastAsia" w:hAnsiTheme="majorEastAsia" w:eastAsiaTheme="majorEastAsia"/>
          <w:color w:val="000000"/>
          <w:sz w:val="24"/>
          <w:lang w:val="en-US" w:eastAsia="zh-CN"/>
        </w:rPr>
        <w:t>服务</w:t>
      </w:r>
      <w:r>
        <w:rPr>
          <w:rFonts w:hint="eastAsia" w:cs="仿宋" w:asciiTheme="majorEastAsia" w:hAnsiTheme="majorEastAsia" w:eastAsiaTheme="majorEastAsia"/>
          <w:color w:val="000000"/>
          <w:sz w:val="24"/>
        </w:rPr>
        <w:t>要求做出的实质性响应和满足。投标人的技术</w:t>
      </w:r>
      <w:r>
        <w:rPr>
          <w:rFonts w:hint="eastAsia" w:cs="仿宋" w:asciiTheme="majorEastAsia" w:hAnsiTheme="majorEastAsia" w:eastAsiaTheme="majorEastAsia"/>
          <w:color w:val="000000"/>
          <w:sz w:val="24"/>
          <w:lang w:val="en-US" w:eastAsia="zh-CN"/>
        </w:rPr>
        <w:t>服务</w:t>
      </w:r>
      <w:r>
        <w:rPr>
          <w:rFonts w:hint="eastAsia" w:cs="仿宋" w:asciiTheme="majorEastAsia" w:hAnsiTheme="majorEastAsia" w:eastAsiaTheme="majorEastAsia"/>
          <w:color w:val="000000"/>
          <w:sz w:val="24"/>
        </w:rPr>
        <w:t>应答应包括但不限于下列内容（如涉及）：</w:t>
      </w:r>
    </w:p>
    <w:bookmarkEnd w:id="71"/>
    <w:bookmarkEnd w:id="72"/>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1）服务方案、项目实施方案；</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技术</w:t>
      </w:r>
      <w:r>
        <w:rPr>
          <w:rFonts w:cs="仿宋" w:asciiTheme="majorEastAsia" w:hAnsiTheme="majorEastAsia" w:eastAsiaTheme="majorEastAsia"/>
          <w:sz w:val="24"/>
        </w:rPr>
        <w:t>服务应答表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）提供服务所涉及产品的品牌、型号、配置；详细的技术指标和参数；</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）评分标准的内容。</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）投标人认为需要提供的其他文件或资料。</w:t>
      </w:r>
    </w:p>
    <w:p>
      <w:pPr>
        <w:spacing w:line="360" w:lineRule="auto"/>
        <w:ind w:firstLine="482" w:firstLineChars="200"/>
        <w:rPr>
          <w:rFonts w:cs="仿宋" w:asciiTheme="majorEastAsia" w:hAnsiTheme="majorEastAsia" w:eastAsiaTheme="majorEastAsia"/>
          <w:b/>
          <w:bCs/>
          <w:sz w:val="24"/>
        </w:rPr>
      </w:pPr>
      <w:bookmarkStart w:id="73" w:name="_Toc495165622"/>
      <w:bookmarkStart w:id="74" w:name="_Toc495165799"/>
      <w:r>
        <w:rPr>
          <w:rFonts w:cs="仿宋" w:asciiTheme="majorEastAsia" w:hAnsiTheme="majorEastAsia" w:eastAsiaTheme="majorEastAsia"/>
          <w:b/>
          <w:bCs/>
          <w:sz w:val="24"/>
        </w:rPr>
        <w:t>14.2.3</w:t>
      </w:r>
      <w:r>
        <w:rPr>
          <w:rFonts w:hint="eastAsia" w:cs="仿宋" w:asciiTheme="majorEastAsia" w:hAnsiTheme="majorEastAsia" w:eastAsiaTheme="majorEastAsia"/>
          <w:b/>
          <w:bCs/>
          <w:sz w:val="24"/>
        </w:rPr>
        <w:t>商务部分</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按照招标文件要求提供的有关证明材料及优惠承诺。包括以下内容（如涉及）：</w:t>
      </w:r>
    </w:p>
    <w:bookmarkEnd w:id="73"/>
    <w:bookmarkEnd w:id="74"/>
    <w:p>
      <w:pPr>
        <w:numPr>
          <w:ilvl w:val="0"/>
          <w:numId w:val="4"/>
        </w:numPr>
        <w:spacing w:line="360" w:lineRule="auto"/>
        <w:ind w:firstLine="470" w:firstLineChars="196"/>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投标函</w:t>
      </w:r>
    </w:p>
    <w:p>
      <w:pPr>
        <w:numPr>
          <w:ilvl w:val="0"/>
          <w:numId w:val="4"/>
        </w:num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开标一览表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w:t>
      </w:r>
      <w:r>
        <w:rPr>
          <w:rFonts w:hint="eastAsia" w:cs="仿宋" w:asciiTheme="majorEastAsia" w:hAnsiTheme="majorEastAsia" w:eastAsiaTheme="majorEastAsia"/>
          <w:color w:val="000000"/>
          <w:sz w:val="24"/>
        </w:rPr>
        <w:t>分项报价明细表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商务应答表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）投标人基本情况表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6</w:t>
      </w:r>
      <w:r>
        <w:rPr>
          <w:rFonts w:hint="eastAsia" w:cs="仿宋" w:asciiTheme="majorEastAsia" w:hAnsiTheme="majorEastAsia" w:eastAsiaTheme="majorEastAsia"/>
          <w:color w:val="000000"/>
          <w:sz w:val="24"/>
        </w:rPr>
        <w:t>）投标人类似项目业绩一览表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7</w:t>
      </w:r>
      <w:r>
        <w:rPr>
          <w:rFonts w:hint="eastAsia" w:cs="仿宋" w:asciiTheme="majorEastAsia" w:hAnsiTheme="majorEastAsia" w:eastAsiaTheme="majorEastAsia"/>
          <w:color w:val="000000"/>
          <w:sz w:val="24"/>
        </w:rPr>
        <w:t>）投标人拟派本项目管理、服务、其他人员情况表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8</w:t>
      </w:r>
      <w:r>
        <w:rPr>
          <w:rFonts w:hint="eastAsia" w:cs="仿宋" w:asciiTheme="majorEastAsia" w:hAnsiTheme="majorEastAsia" w:eastAsiaTheme="majorEastAsia"/>
          <w:color w:val="000000"/>
          <w:sz w:val="24"/>
        </w:rPr>
        <w:t>）中小企业声明函、残疾人福利性单位声明函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（9）承诺函</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rPr>
        <w:t>0）投标人认为需要提供的其他材料。</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sz w:val="24"/>
        </w:rPr>
        <w:t>14．2．4</w:t>
      </w:r>
      <w:r>
        <w:rPr>
          <w:rFonts w:hint="eastAsia" w:cs="仿宋" w:asciiTheme="majorEastAsia" w:hAnsiTheme="majorEastAsia" w:eastAsiaTheme="majorEastAsia"/>
          <w:b/>
          <w:sz w:val="24"/>
        </w:rPr>
        <w:t>售后服务：</w:t>
      </w:r>
      <w:r>
        <w:rPr>
          <w:rFonts w:hint="eastAsia" w:cs="仿宋" w:asciiTheme="majorEastAsia" w:hAnsiTheme="majorEastAsia" w:eastAsiaTheme="majorEastAsia"/>
          <w:sz w:val="24"/>
        </w:rPr>
        <w:t>投标人按照招标文件中售后服务要求作出的积极响应和承诺。包括以下内容（如涉及）：</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rPr>
        <w:t>投标人设立的售后服务机构网点、服务电话和维修人员名单；</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2）说明服务的售后时间、售后期内的内容与范围、响应时间等。提供投标人的服务承诺和保障措施；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3）培训措施：说明培训内容及培训的时间、地点、目标、培训人数、收费标准和办法；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w:t>
      </w:r>
      <w:r>
        <w:rPr>
          <w:rFonts w:hint="eastAsia" w:cs="仿宋" w:asciiTheme="majorEastAsia" w:hAnsiTheme="majorEastAsia" w:eastAsiaTheme="majorEastAsia"/>
          <w:sz w:val="24"/>
        </w:rPr>
        <w:t>其他有利于用户的服务承诺。</w:t>
      </w:r>
    </w:p>
    <w:p>
      <w:pPr>
        <w:spacing w:line="360" w:lineRule="auto"/>
        <w:ind w:firstLine="482"/>
        <w:rPr>
          <w:rFonts w:cs="仿宋" w:asciiTheme="majorEastAsia" w:hAnsiTheme="majorEastAsia" w:eastAsiaTheme="majorEastAsia"/>
          <w:b/>
          <w:bCs/>
          <w:sz w:val="24"/>
        </w:rPr>
      </w:pPr>
      <w:r>
        <w:rPr>
          <w:rFonts w:cs="仿宋" w:asciiTheme="majorEastAsia" w:hAnsiTheme="majorEastAsia" w:eastAsiaTheme="majorEastAsia"/>
          <w:b/>
          <w:bCs/>
          <w:sz w:val="24"/>
        </w:rPr>
        <w:t>14．2．5</w:t>
      </w:r>
      <w:r>
        <w:rPr>
          <w:rFonts w:hint="eastAsia" w:cs="仿宋" w:asciiTheme="majorEastAsia" w:hAnsiTheme="majorEastAsia" w:eastAsiaTheme="majorEastAsia"/>
          <w:b/>
          <w:bCs/>
          <w:sz w:val="24"/>
        </w:rPr>
        <w:t>其他部分。</w:t>
      </w:r>
    </w:p>
    <w:p>
      <w:pPr>
        <w:spacing w:line="360" w:lineRule="auto"/>
        <w:ind w:firstLine="480"/>
        <w:rPr>
          <w:rFonts w:cs="仿宋" w:asciiTheme="majorEastAsia" w:hAnsiTheme="majorEastAsia" w:eastAsiaTheme="majorEastAsia"/>
        </w:rPr>
      </w:pPr>
      <w:r>
        <w:rPr>
          <w:rFonts w:hint="eastAsia" w:cs="仿宋" w:asciiTheme="majorEastAsia" w:hAnsiTheme="majorEastAsia" w:eastAsiaTheme="majorEastAsia"/>
          <w:bCs/>
          <w:sz w:val="24"/>
        </w:rPr>
        <w:t>投标人按照招标文件要求作出的其他应答和承诺。</w:t>
      </w:r>
    </w:p>
    <w:p>
      <w:pPr>
        <w:pStyle w:val="5"/>
        <w:tabs>
          <w:tab w:val="left" w:pos="3480"/>
        </w:tabs>
        <w:spacing w:after="0" w:line="360" w:lineRule="auto"/>
        <w:ind w:firstLine="482" w:firstLineChars="200"/>
        <w:rPr>
          <w:rFonts w:cs="仿宋" w:asciiTheme="majorEastAsia" w:hAnsiTheme="majorEastAsia" w:eastAsiaTheme="majorEastAsia"/>
          <w:sz w:val="24"/>
        </w:rPr>
      </w:pPr>
      <w:bookmarkStart w:id="75" w:name="_Toc183682355"/>
      <w:bookmarkStart w:id="76" w:name="_Toc308164799"/>
      <w:bookmarkStart w:id="77" w:name="_Toc217446049"/>
      <w:bookmarkStart w:id="78" w:name="_Toc183582218"/>
      <w:r>
        <w:rPr>
          <w:rFonts w:cs="仿宋" w:asciiTheme="majorEastAsia" w:hAnsiTheme="majorEastAsia" w:eastAsiaTheme="majorEastAsia"/>
          <w:sz w:val="24"/>
        </w:rPr>
        <w:t>15．投标文件格式</w:t>
      </w:r>
      <w:bookmarkEnd w:id="75"/>
      <w:bookmarkEnd w:id="76"/>
      <w:bookmarkEnd w:id="77"/>
      <w:bookmarkEnd w:id="78"/>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15.1 </w:t>
      </w:r>
      <w:r>
        <w:rPr>
          <w:rFonts w:hint="eastAsia" w:cs="仿宋" w:asciiTheme="majorEastAsia" w:hAnsiTheme="majorEastAsia" w:eastAsiaTheme="majorEastAsia"/>
          <w:sz w:val="24"/>
        </w:rPr>
        <w:t>投标人应执行招标文件第三章的规定要求。</w:t>
      </w:r>
      <w:r>
        <w:rPr>
          <w:rFonts w:hint="eastAsia" w:cs="仿宋" w:asciiTheme="majorEastAsia" w:hAnsiTheme="majorEastAsia" w:eastAsiaTheme="majorEastAsia"/>
          <w:b/>
          <w:sz w:val="24"/>
        </w:rPr>
        <w:t>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15.2 </w:t>
      </w:r>
      <w:r>
        <w:rPr>
          <w:rFonts w:hint="eastAsia" w:cs="仿宋" w:asciiTheme="majorEastAsia" w:hAnsiTheme="majorEastAsia" w:eastAsiaTheme="majorEastAsia"/>
          <w:sz w:val="24"/>
        </w:rPr>
        <w:t>对于没有格式要求的投标文件由投标人自行编写。</w:t>
      </w:r>
    </w:p>
    <w:p>
      <w:pPr>
        <w:pStyle w:val="5"/>
        <w:spacing w:after="0" w:line="360" w:lineRule="auto"/>
        <w:ind w:firstLine="482" w:firstLineChars="200"/>
        <w:rPr>
          <w:rFonts w:cs="仿宋" w:asciiTheme="majorEastAsia" w:hAnsiTheme="majorEastAsia" w:eastAsiaTheme="majorEastAsia"/>
          <w:sz w:val="24"/>
        </w:rPr>
      </w:pPr>
      <w:bookmarkStart w:id="79" w:name="_Toc308164800"/>
      <w:bookmarkStart w:id="80" w:name="_Toc183582223"/>
      <w:bookmarkStart w:id="81" w:name="_Toc217446050"/>
      <w:bookmarkStart w:id="82" w:name="_Toc183682360"/>
      <w:r>
        <w:rPr>
          <w:rFonts w:cs="仿宋" w:asciiTheme="majorEastAsia" w:hAnsiTheme="majorEastAsia" w:eastAsiaTheme="majorEastAsia"/>
          <w:bCs w:val="0"/>
          <w:sz w:val="24"/>
        </w:rPr>
        <w:t>16．投标保证金</w:t>
      </w:r>
      <w:bookmarkEnd w:id="79"/>
      <w:bookmarkEnd w:id="80"/>
      <w:bookmarkEnd w:id="81"/>
      <w:bookmarkEnd w:id="82"/>
      <w:r>
        <w:rPr>
          <w:rFonts w:cs="仿宋" w:asciiTheme="majorEastAsia" w:hAnsiTheme="majorEastAsia" w:eastAsiaTheme="majorEastAsia"/>
          <w:bCs w:val="0"/>
          <w:sz w:val="24"/>
        </w:rPr>
        <w:t>（如涉及）</w:t>
      </w:r>
    </w:p>
    <w:p>
      <w:pPr>
        <w:spacing w:line="360" w:lineRule="auto"/>
        <w:ind w:firstLine="480" w:firstLineChars="20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本项目不收取</w:t>
      </w:r>
      <w:r>
        <w:rPr>
          <w:rFonts w:cs="仿宋" w:asciiTheme="majorEastAsia" w:hAnsiTheme="majorEastAsia" w:eastAsiaTheme="majorEastAsia"/>
          <w:bCs w:val="0"/>
          <w:sz w:val="24"/>
        </w:rPr>
        <w:t>投标保证金</w:t>
      </w:r>
      <w:r>
        <w:rPr>
          <w:rFonts w:hint="eastAsia" w:cs="仿宋" w:asciiTheme="majorEastAsia" w:hAnsiTheme="majorEastAsia" w:eastAsiaTheme="majorEastAsia"/>
          <w:bCs w:val="0"/>
          <w:sz w:val="24"/>
          <w:lang w:eastAsia="zh-CN"/>
        </w:rPr>
        <w:t>。</w:t>
      </w:r>
    </w:p>
    <w:p>
      <w:pPr>
        <w:pStyle w:val="5"/>
        <w:spacing w:after="0" w:line="360" w:lineRule="auto"/>
        <w:ind w:firstLine="482" w:firstLineChars="200"/>
        <w:rPr>
          <w:rFonts w:cs="仿宋" w:asciiTheme="majorEastAsia" w:hAnsiTheme="majorEastAsia" w:eastAsiaTheme="majorEastAsia"/>
          <w:bCs w:val="0"/>
          <w:sz w:val="24"/>
        </w:rPr>
      </w:pPr>
      <w:bookmarkStart w:id="83" w:name="_Toc308164801"/>
      <w:bookmarkStart w:id="84" w:name="_Toc183682361"/>
      <w:bookmarkStart w:id="85" w:name="_Toc183582224"/>
      <w:bookmarkStart w:id="86" w:name="_Toc217446051"/>
      <w:r>
        <w:rPr>
          <w:rFonts w:cs="仿宋" w:asciiTheme="majorEastAsia" w:hAnsiTheme="majorEastAsia" w:eastAsiaTheme="majorEastAsia"/>
          <w:bCs w:val="0"/>
          <w:sz w:val="24"/>
        </w:rPr>
        <w:t>17．投标有效期</w:t>
      </w:r>
      <w:bookmarkEnd w:id="83"/>
      <w:bookmarkEnd w:id="84"/>
      <w:bookmarkEnd w:id="85"/>
      <w:bookmarkEnd w:id="86"/>
      <w:r>
        <w:rPr>
          <w:rFonts w:hint="eastAsia" w:cs="仿宋" w:asciiTheme="majorEastAsia" w:hAnsiTheme="majorEastAsia" w:eastAsiaTheme="majorEastAsia"/>
          <w:sz w:val="24"/>
          <w:szCs w:val="24"/>
        </w:rPr>
        <w:t>（实质性要求）</w:t>
      </w:r>
    </w:p>
    <w:p>
      <w:pPr>
        <w:tabs>
          <w:tab w:val="left" w:pos="7665"/>
        </w:tabs>
        <w:spacing w:line="360" w:lineRule="auto"/>
        <w:ind w:left="13" w:leftChars="6" w:firstLine="412" w:firstLineChars="171"/>
        <w:rPr>
          <w:rFonts w:cs="仿宋" w:asciiTheme="majorEastAsia" w:hAnsiTheme="majorEastAsia" w:eastAsiaTheme="majorEastAsia"/>
          <w:sz w:val="24"/>
        </w:rPr>
      </w:pPr>
      <w:r>
        <w:rPr>
          <w:rFonts w:cs="仿宋" w:asciiTheme="majorEastAsia" w:hAnsiTheme="majorEastAsia" w:eastAsiaTheme="majorEastAsia"/>
          <w:b/>
          <w:sz w:val="24"/>
        </w:rPr>
        <w:t xml:space="preserve">17.1 </w:t>
      </w:r>
      <w:r>
        <w:rPr>
          <w:rFonts w:hint="eastAsia" w:cs="仿宋" w:asciiTheme="majorEastAsia" w:hAnsiTheme="majorEastAsia" w:eastAsiaTheme="majorEastAsia"/>
          <w:b/>
          <w:sz w:val="24"/>
        </w:rPr>
        <w:t>本项目投标有效期除投标人须知附表另有规定外，投标有效期为投标截止时间届满后</w:t>
      </w:r>
      <w:r>
        <w:rPr>
          <w:rFonts w:cs="仿宋" w:asciiTheme="majorEastAsia" w:hAnsiTheme="majorEastAsia" w:eastAsiaTheme="majorEastAsia"/>
          <w:b/>
          <w:bCs/>
          <w:sz w:val="24"/>
        </w:rPr>
        <w:t>90</w:t>
      </w:r>
      <w:r>
        <w:rPr>
          <w:rFonts w:hint="eastAsia" w:cs="仿宋" w:asciiTheme="majorEastAsia" w:hAnsiTheme="majorEastAsia" w:eastAsiaTheme="majorEastAsia"/>
          <w:b/>
          <w:bCs/>
          <w:sz w:val="24"/>
        </w:rPr>
        <w:t>日</w:t>
      </w:r>
      <w:r>
        <w:rPr>
          <w:rFonts w:hint="eastAsia" w:cs="仿宋" w:asciiTheme="majorEastAsia" w:hAnsiTheme="majorEastAsia" w:eastAsiaTheme="majorEastAsia"/>
          <w:b/>
          <w:sz w:val="24"/>
        </w:rPr>
        <w:t>。</w:t>
      </w:r>
      <w:r>
        <w:rPr>
          <w:rFonts w:hint="eastAsia" w:cs="仿宋" w:asciiTheme="majorEastAsia" w:hAnsiTheme="majorEastAsia" w:eastAsiaTheme="majorEastAsia"/>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17.2 </w:t>
      </w:r>
      <w:r>
        <w:rPr>
          <w:rFonts w:hint="eastAsia" w:cs="仿宋" w:asciiTheme="majorEastAsia" w:hAnsiTheme="majorEastAsia" w:eastAsiaTheme="majorEastAsia"/>
          <w:sz w:val="24"/>
        </w:rPr>
        <w:t>因不可抗力事件，采购人可于投标有效期届满之前与投标人协商延长投标有效期。投标人拒绝延长投标有效期的，不得再参与该项目后续采购活动，但由此给投标人造成的损失，采购人可以自主决定是否给予适当补偿。投标人同意延长投标有效期的，不能修改投标文件。</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17.3 </w:t>
      </w:r>
      <w:r>
        <w:rPr>
          <w:rFonts w:hint="eastAsia" w:cs="仿宋" w:asciiTheme="majorEastAsia" w:hAnsiTheme="majorEastAsia" w:eastAsiaTheme="majorEastAsia"/>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after="0" w:line="360" w:lineRule="auto"/>
        <w:ind w:firstLine="482" w:firstLineChars="200"/>
        <w:rPr>
          <w:rFonts w:cs="仿宋" w:asciiTheme="majorEastAsia" w:hAnsiTheme="majorEastAsia" w:eastAsiaTheme="majorEastAsia"/>
          <w:bCs w:val="0"/>
          <w:sz w:val="24"/>
        </w:rPr>
      </w:pPr>
      <w:bookmarkStart w:id="87" w:name="_Toc308164802"/>
      <w:bookmarkStart w:id="88" w:name="_Toc183682362"/>
      <w:bookmarkStart w:id="89" w:name="_Toc183582225"/>
      <w:bookmarkStart w:id="90" w:name="_Toc217446052"/>
      <w:r>
        <w:rPr>
          <w:rFonts w:cs="仿宋" w:asciiTheme="majorEastAsia" w:hAnsiTheme="majorEastAsia" w:eastAsiaTheme="majorEastAsia"/>
          <w:bCs w:val="0"/>
          <w:sz w:val="24"/>
        </w:rPr>
        <w:t>18．投标文件的</w:t>
      </w:r>
      <w:r>
        <w:rPr>
          <w:rFonts w:hint="eastAsia" w:cs="仿宋" w:asciiTheme="majorEastAsia" w:hAnsiTheme="majorEastAsia" w:eastAsiaTheme="majorEastAsia"/>
          <w:bCs w:val="0"/>
          <w:sz w:val="24"/>
        </w:rPr>
        <w:t>制作和签章、加密</w:t>
      </w:r>
      <w:bookmarkEnd w:id="87"/>
      <w:bookmarkEnd w:id="88"/>
      <w:bookmarkEnd w:id="89"/>
      <w:bookmarkEnd w:id="90"/>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18.1</w:t>
      </w:r>
      <w:r>
        <w:rPr>
          <w:rFonts w:hint="eastAsia" w:cs="仿宋" w:asciiTheme="majorEastAsia" w:hAnsiTheme="majorEastAsia" w:eastAsiaTheme="majorEastAsia"/>
          <w:sz w:val="24"/>
        </w:rPr>
        <w:t xml:space="preserve"> 本项目实行电子投标。投标人应先安装“政采云投标客户端”。（政府采购云平台—CA管理—绑定CA—下载驱动—“政采云投标客户端”立即下载）。投标人应按招标文件要求，通过“政采云投标客户端”制作、确认、加密并提交投标文件。</w:t>
      </w:r>
    </w:p>
    <w:p>
      <w:pPr>
        <w:tabs>
          <w:tab w:val="left" w:pos="1080"/>
        </w:tabs>
        <w:spacing w:line="360" w:lineRule="auto"/>
        <w:ind w:firstLine="460" w:firstLineChars="192"/>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18.2</w:t>
      </w:r>
      <w:r>
        <w:rPr>
          <w:rFonts w:cs="仿宋" w:asciiTheme="majorEastAsia" w:hAnsiTheme="majorEastAsia" w:eastAsiaTheme="majorEastAsia"/>
          <w:sz w:val="24"/>
        </w:rPr>
        <w:t>投标文件分为“资格</w:t>
      </w:r>
      <w:r>
        <w:rPr>
          <w:rFonts w:hint="eastAsia" w:cs="仿宋" w:asciiTheme="majorEastAsia" w:hAnsiTheme="majorEastAsia" w:eastAsiaTheme="majorEastAsia"/>
          <w:sz w:val="24"/>
        </w:rPr>
        <w:t>性部分”和“技术商务报价部分”两部分</w:t>
      </w:r>
      <w:r>
        <w:rPr>
          <w:rFonts w:hint="eastAsia" w:cs="仿宋" w:asciiTheme="majorEastAsia" w:hAnsiTheme="majorEastAsia" w:eastAsiaTheme="majorEastAsia"/>
          <w:sz w:val="24"/>
          <w:lang w:eastAsia="zh-CN"/>
        </w:rPr>
        <w:t>。</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bCs/>
          <w:sz w:val="24"/>
        </w:rPr>
        <w:t>18.3</w:t>
      </w:r>
      <w:r>
        <w:rPr>
          <w:rFonts w:hint="eastAsia" w:cs="仿宋" w:asciiTheme="majorEastAsia" w:hAnsiTheme="majorEastAsia" w:eastAsiaTheme="majorEastAsia"/>
          <w:bCs/>
          <w:sz w:val="24"/>
        </w:rPr>
        <w:t>投标人应使用CA数字证书对投标文件进行加密。</w:t>
      </w:r>
    </w:p>
    <w:p>
      <w:pPr>
        <w:spacing w:line="360" w:lineRule="auto"/>
        <w:ind w:firstLine="468" w:firstLineChars="195"/>
        <w:rPr>
          <w:rFonts w:cs="仿宋" w:asciiTheme="majorEastAsia" w:hAnsiTheme="majorEastAsia" w:eastAsiaTheme="majorEastAsia"/>
          <w:bCs/>
          <w:sz w:val="24"/>
        </w:rPr>
      </w:pPr>
      <w:r>
        <w:rPr>
          <w:rFonts w:hint="eastAsia" w:cs="仿宋" w:asciiTheme="majorEastAsia" w:hAnsiTheme="majorEastAsia" w:eastAsiaTheme="majorEastAsia"/>
          <w:bCs/>
          <w:sz w:val="24"/>
        </w:rPr>
        <w:t>18.4 投标人使用“政府采购云平台”需要提前申领CA数字证书及电子印章，应及时完成在“政府采购云平台”的注册及CA账号绑定，确保顺利参与电子投标。</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szCs w:val="21"/>
        </w:rPr>
        <w:t>18.</w:t>
      </w:r>
      <w:r>
        <w:rPr>
          <w:rFonts w:hint="eastAsia" w:cs="仿宋" w:asciiTheme="majorEastAsia" w:hAnsiTheme="majorEastAsia" w:eastAsiaTheme="majorEastAsia"/>
          <w:sz w:val="24"/>
          <w:szCs w:val="21"/>
        </w:rPr>
        <w:t>5</w:t>
      </w:r>
      <w:r>
        <w:rPr>
          <w:rFonts w:hint="eastAsia" w:cs="仿宋" w:asciiTheme="majorEastAsia" w:hAnsiTheme="majorEastAsia" w:eastAsiaTheme="majorEastAsia"/>
          <w:sz w:val="24"/>
          <w:szCs w:val="21"/>
          <w:lang w:val="en-US" w:eastAsia="zh-CN"/>
        </w:rPr>
        <w:t xml:space="preserve"> </w:t>
      </w:r>
      <w:r>
        <w:rPr>
          <w:rFonts w:cs="仿宋" w:asciiTheme="majorEastAsia" w:hAnsiTheme="majorEastAsia" w:eastAsiaTheme="majorEastAsia"/>
          <w:sz w:val="24"/>
        </w:rPr>
        <w:t>本次招标要求的复印件是指对图文进行复制后的文件，包括扫描、复印、影印等方式复制的材料。</w:t>
      </w:r>
    </w:p>
    <w:p>
      <w:pPr>
        <w:pStyle w:val="5"/>
        <w:spacing w:after="0" w:line="360" w:lineRule="auto"/>
        <w:ind w:firstLine="482" w:firstLineChars="200"/>
        <w:rPr>
          <w:rFonts w:cs="仿宋" w:asciiTheme="majorEastAsia" w:hAnsiTheme="majorEastAsia" w:eastAsiaTheme="majorEastAsia"/>
          <w:bCs w:val="0"/>
          <w:sz w:val="24"/>
          <w:szCs w:val="24"/>
        </w:rPr>
      </w:pPr>
      <w:bookmarkStart w:id="91" w:name="_Toc183682364"/>
      <w:bookmarkStart w:id="92" w:name="_Toc183582227"/>
      <w:bookmarkStart w:id="93" w:name="_Toc308164804"/>
      <w:bookmarkStart w:id="94" w:name="_Toc217446054"/>
      <w:r>
        <w:rPr>
          <w:rFonts w:hint="eastAsia" w:cs="仿宋" w:asciiTheme="majorEastAsia" w:hAnsiTheme="majorEastAsia" w:eastAsiaTheme="majorEastAsia"/>
          <w:bCs w:val="0"/>
          <w:sz w:val="24"/>
          <w:szCs w:val="24"/>
        </w:rPr>
        <w:t>19</w:t>
      </w:r>
      <w:r>
        <w:rPr>
          <w:rFonts w:hint="eastAsia" w:cs="仿宋" w:asciiTheme="majorEastAsia" w:hAnsiTheme="majorEastAsia" w:eastAsiaTheme="majorEastAsia"/>
          <w:bCs w:val="0"/>
          <w:sz w:val="28"/>
          <w:szCs w:val="28"/>
        </w:rPr>
        <w:t>．</w:t>
      </w:r>
      <w:r>
        <w:rPr>
          <w:rFonts w:hint="eastAsia" w:cs="仿宋" w:asciiTheme="majorEastAsia" w:hAnsiTheme="majorEastAsia" w:eastAsiaTheme="majorEastAsia"/>
          <w:bCs w:val="0"/>
          <w:sz w:val="24"/>
          <w:szCs w:val="24"/>
        </w:rPr>
        <w:t>投标文件的</w:t>
      </w:r>
      <w:bookmarkEnd w:id="91"/>
      <w:bookmarkEnd w:id="92"/>
      <w:r>
        <w:rPr>
          <w:rFonts w:hint="eastAsia" w:cs="仿宋" w:asciiTheme="majorEastAsia" w:hAnsiTheme="majorEastAsia" w:eastAsiaTheme="majorEastAsia"/>
          <w:bCs w:val="0"/>
          <w:sz w:val="24"/>
          <w:szCs w:val="24"/>
        </w:rPr>
        <w:t>递交</w:t>
      </w:r>
      <w:bookmarkEnd w:id="93"/>
      <w:bookmarkEnd w:id="94"/>
    </w:p>
    <w:p>
      <w:pPr>
        <w:spacing w:line="360" w:lineRule="auto"/>
        <w:ind w:firstLine="468" w:firstLineChars="195"/>
        <w:rPr>
          <w:rFonts w:cs="仿宋" w:asciiTheme="majorEastAsia" w:hAnsiTheme="majorEastAsia" w:eastAsiaTheme="majorEastAsia"/>
          <w:sz w:val="24"/>
          <w:szCs w:val="21"/>
        </w:rPr>
      </w:pPr>
      <w:r>
        <w:rPr>
          <w:rFonts w:hint="default" w:cs="仿宋" w:asciiTheme="majorEastAsia" w:hAnsiTheme="majorEastAsia" w:eastAsiaTheme="majorEastAsia"/>
          <w:sz w:val="24"/>
          <w:szCs w:val="21"/>
        </w:rPr>
        <w:t>19</w:t>
      </w:r>
      <w:r>
        <w:rPr>
          <w:rFonts w:cs="仿宋" w:asciiTheme="majorEastAsia" w:hAnsiTheme="majorEastAsia" w:eastAsiaTheme="majorEastAsia"/>
          <w:sz w:val="24"/>
          <w:szCs w:val="21"/>
        </w:rPr>
        <w:t xml:space="preserve">.1 </w:t>
      </w:r>
      <w:r>
        <w:rPr>
          <w:rFonts w:hint="default" w:cs="仿宋" w:asciiTheme="majorEastAsia" w:hAnsiTheme="majorEastAsia" w:eastAsiaTheme="majorEastAsia"/>
          <w:sz w:val="24"/>
          <w:szCs w:val="21"/>
        </w:rPr>
        <w:t>投标人应当在投标文件递交截止时间前，将编制完成并且已加密的电子投标文件成功递交至“政府采购云平台”。</w:t>
      </w:r>
    </w:p>
    <w:p>
      <w:pPr>
        <w:ind w:firstLine="468" w:firstLineChars="195"/>
        <w:rPr>
          <w:rFonts w:cs="仿宋" w:asciiTheme="majorEastAsia" w:hAnsiTheme="majorEastAsia" w:eastAsiaTheme="majorEastAsia"/>
          <w:sz w:val="24"/>
          <w:szCs w:val="21"/>
        </w:rPr>
      </w:pPr>
      <w:r>
        <w:rPr>
          <w:rFonts w:hint="default" w:cs="仿宋" w:asciiTheme="majorEastAsia" w:hAnsiTheme="majorEastAsia" w:eastAsiaTheme="majorEastAsia"/>
          <w:sz w:val="24"/>
          <w:szCs w:val="21"/>
        </w:rPr>
        <w:t>19.2</w:t>
      </w:r>
      <w:r>
        <w:rPr>
          <w:rFonts w:cs="仿宋" w:asciiTheme="majorEastAsia" w:hAnsiTheme="majorEastAsia" w:eastAsiaTheme="majorEastAsia"/>
          <w:sz w:val="24"/>
          <w:szCs w:val="21"/>
        </w:rPr>
        <w:t>投标人应充分考虑递交文件的不可预见因素，在投标截止时间后将无法递交。</w:t>
      </w:r>
    </w:p>
    <w:p>
      <w:pPr>
        <w:pStyle w:val="5"/>
        <w:spacing w:after="0" w:line="360" w:lineRule="auto"/>
        <w:ind w:firstLine="482" w:firstLineChars="200"/>
        <w:rPr>
          <w:rFonts w:cs="仿宋" w:asciiTheme="majorEastAsia" w:hAnsiTheme="majorEastAsia" w:eastAsiaTheme="majorEastAsia"/>
          <w:bCs/>
          <w:sz w:val="24"/>
          <w:szCs w:val="32"/>
        </w:rPr>
      </w:pPr>
      <w:bookmarkStart w:id="95" w:name="_Toc183582228"/>
      <w:bookmarkStart w:id="96" w:name="_Toc183682365"/>
      <w:bookmarkStart w:id="97" w:name="_Toc217446055"/>
      <w:r>
        <w:rPr>
          <w:rFonts w:cs="仿宋" w:asciiTheme="majorEastAsia" w:hAnsiTheme="majorEastAsia" w:eastAsiaTheme="majorEastAsia"/>
          <w:bCs/>
          <w:sz w:val="24"/>
          <w:szCs w:val="32"/>
        </w:rPr>
        <w:t>2</w:t>
      </w:r>
      <w:r>
        <w:rPr>
          <w:rFonts w:hint="default" w:cs="仿宋" w:asciiTheme="majorEastAsia" w:hAnsiTheme="majorEastAsia" w:eastAsiaTheme="majorEastAsia"/>
          <w:bCs/>
          <w:sz w:val="24"/>
          <w:szCs w:val="32"/>
        </w:rPr>
        <w:t>0</w:t>
      </w:r>
      <w:r>
        <w:rPr>
          <w:rFonts w:cs="仿宋" w:asciiTheme="majorEastAsia" w:hAnsiTheme="majorEastAsia" w:eastAsiaTheme="majorEastAsia"/>
          <w:bCs/>
          <w:sz w:val="24"/>
          <w:szCs w:val="32"/>
        </w:rPr>
        <w:t>．投标文件的</w:t>
      </w:r>
      <w:r>
        <w:rPr>
          <w:rFonts w:hint="default" w:cs="仿宋" w:asciiTheme="majorEastAsia" w:hAnsiTheme="majorEastAsia" w:eastAsiaTheme="majorEastAsia"/>
          <w:bCs/>
          <w:sz w:val="24"/>
          <w:szCs w:val="32"/>
        </w:rPr>
        <w:t>补充</w:t>
      </w:r>
      <w:r>
        <w:rPr>
          <w:rFonts w:cs="仿宋" w:asciiTheme="majorEastAsia" w:hAnsiTheme="majorEastAsia" w:eastAsiaTheme="majorEastAsia"/>
          <w:bCs/>
          <w:sz w:val="24"/>
          <w:szCs w:val="32"/>
        </w:rPr>
        <w:t>、</w:t>
      </w:r>
      <w:r>
        <w:rPr>
          <w:rFonts w:hint="default" w:cs="仿宋" w:asciiTheme="majorEastAsia" w:hAnsiTheme="majorEastAsia" w:eastAsiaTheme="majorEastAsia"/>
          <w:bCs/>
          <w:sz w:val="24"/>
          <w:szCs w:val="32"/>
        </w:rPr>
        <w:t>修改或撤</w:t>
      </w:r>
      <w:bookmarkEnd w:id="95"/>
      <w:bookmarkEnd w:id="96"/>
      <w:r>
        <w:rPr>
          <w:rFonts w:hint="default" w:cs="仿宋" w:asciiTheme="majorEastAsia" w:hAnsiTheme="majorEastAsia" w:eastAsiaTheme="majorEastAsia"/>
          <w:bCs/>
          <w:sz w:val="24"/>
          <w:szCs w:val="32"/>
        </w:rPr>
        <w:t>回</w:t>
      </w:r>
      <w:bookmarkEnd w:id="97"/>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0</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投标截止时间前，投标人可对已递交的投标文件进行补充、修改或撤回。补充或者修改投标文件的，应当先行撤回已递交的投标文件，在“政采云投标客户端”补充、修改投标文件并加密后重新递交。</w:t>
      </w:r>
      <w:r>
        <w:rPr>
          <w:rFonts w:hint="eastAsia" w:cs="仿宋" w:asciiTheme="majorEastAsia" w:hAnsiTheme="majorEastAsia" w:eastAsiaTheme="majorEastAsia"/>
          <w:b/>
          <w:bCs/>
          <w:kern w:val="2"/>
          <w:sz w:val="24"/>
        </w:rPr>
        <w:t>撤回投标文件进行补充、修改，在投标截止时间前未重新递交的，视为撤回投标文件。</w:t>
      </w:r>
    </w:p>
    <w:p>
      <w:pPr>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0</w:t>
      </w:r>
      <w:r>
        <w:rPr>
          <w:rFonts w:cs="仿宋" w:asciiTheme="majorEastAsia" w:hAnsiTheme="majorEastAsia" w:eastAsiaTheme="majorEastAsia"/>
          <w:sz w:val="24"/>
        </w:rPr>
        <w:t>.</w:t>
      </w:r>
      <w:r>
        <w:rPr>
          <w:rFonts w:hint="eastAsia" w:cs="仿宋" w:asciiTheme="majorEastAsia" w:hAnsiTheme="majorEastAsia" w:eastAsiaTheme="majorEastAsia"/>
          <w:sz w:val="24"/>
        </w:rPr>
        <w:t>2</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rPr>
        <w:t>在投标截止时间之后，投标人不得对其递交的投标文件做任何修改，撤回投标的，将按照有关规定进行相应处理。</w:t>
      </w:r>
    </w:p>
    <w:p>
      <w:pPr>
        <w:spacing w:line="400" w:lineRule="exact"/>
        <w:ind w:firstLine="472" w:firstLineChars="196"/>
        <w:outlineLvl w:val="2"/>
        <w:rPr>
          <w:rFonts w:ascii="宋体" w:hAnsi="宋体" w:cs="宋体"/>
          <w:b/>
          <w:bCs/>
          <w:sz w:val="24"/>
        </w:rPr>
      </w:pPr>
      <w:r>
        <w:rPr>
          <w:rFonts w:hint="eastAsia" w:ascii="宋体" w:hAnsi="宋体" w:cs="宋体"/>
          <w:b/>
          <w:bCs/>
          <w:sz w:val="24"/>
        </w:rPr>
        <w:t>21.投标文件的解密</w:t>
      </w:r>
    </w:p>
    <w:p>
      <w:pPr>
        <w:spacing w:line="400" w:lineRule="exact"/>
        <w:ind w:firstLine="470" w:firstLineChars="196"/>
        <w:rPr>
          <w:rFonts w:ascii="宋体" w:hAnsi="宋体" w:cs="宋体"/>
          <w:b/>
          <w:bCs/>
          <w:sz w:val="24"/>
        </w:rPr>
      </w:pPr>
      <w:r>
        <w:rPr>
          <w:rFonts w:hint="eastAsia" w:ascii="宋体" w:hAnsi="宋体" w:cs="宋体"/>
          <w:sz w:val="24"/>
        </w:rPr>
        <w:t>投标人登录政府采购云平台，点击“项目采购—开标评标”模块，进入本项目“开标大厅”，等待代理机构开启解密后，进行线上解密。</w:t>
      </w:r>
      <w:r>
        <w:rPr>
          <w:rFonts w:hint="eastAsia" w:ascii="宋体" w:hAnsi="宋体" w:cs="宋体"/>
          <w:b/>
          <w:bCs/>
          <w:sz w:val="24"/>
        </w:rPr>
        <w:t>除因系统发生故障</w:t>
      </w:r>
      <w:r>
        <w:rPr>
          <w:rFonts w:hint="eastAsia" w:ascii="宋体" w:hAnsi="宋体" w:cs="宋体"/>
          <w:b/>
          <w:bCs/>
          <w:sz w:val="24"/>
          <w:lang w:val="zh-CN"/>
        </w:rPr>
        <w:t>（</w:t>
      </w:r>
      <w:r>
        <w:rPr>
          <w:rFonts w:hint="eastAsia" w:ascii="宋体" w:hAnsi="宋体" w:cs="宋体"/>
          <w:b/>
          <w:bCs/>
          <w:sz w:val="24"/>
        </w:rPr>
        <w:t>包括组织场所停电、断网等）导致投标文件无法按时解密外，投标文件未按时解密的作为无效投标处理。</w:t>
      </w:r>
    </w:p>
    <w:p>
      <w:pPr>
        <w:pStyle w:val="2"/>
      </w:pPr>
    </w:p>
    <w:p>
      <w:pPr>
        <w:pStyle w:val="4"/>
        <w:spacing w:line="360" w:lineRule="auto"/>
        <w:jc w:val="center"/>
        <w:rPr>
          <w:rFonts w:cs="仿宋" w:asciiTheme="majorEastAsia" w:hAnsiTheme="majorEastAsia" w:eastAsiaTheme="majorEastAsia"/>
          <w:sz w:val="28"/>
          <w:szCs w:val="28"/>
        </w:rPr>
      </w:pPr>
      <w:bookmarkStart w:id="98" w:name="_Toc183682368"/>
      <w:bookmarkStart w:id="99" w:name="_Toc183582231"/>
      <w:bookmarkStart w:id="100" w:name="_Toc77400782"/>
      <w:bookmarkStart w:id="101" w:name="_Toc217446056"/>
      <w:bookmarkStart w:id="102" w:name="_Toc89075878"/>
      <w:bookmarkStart w:id="103" w:name="_Toc308164805"/>
      <w:r>
        <w:rPr>
          <w:rFonts w:hint="eastAsia" w:cs="仿宋" w:asciiTheme="majorEastAsia" w:hAnsiTheme="majorEastAsia" w:eastAsiaTheme="majorEastAsia"/>
          <w:sz w:val="28"/>
          <w:szCs w:val="28"/>
        </w:rPr>
        <w:t>五、开标和中标</w:t>
      </w:r>
      <w:bookmarkEnd w:id="98"/>
      <w:bookmarkEnd w:id="99"/>
      <w:bookmarkEnd w:id="100"/>
      <w:bookmarkEnd w:id="101"/>
      <w:bookmarkEnd w:id="102"/>
      <w:bookmarkEnd w:id="103"/>
    </w:p>
    <w:p>
      <w:pPr>
        <w:pStyle w:val="5"/>
        <w:spacing w:after="0" w:line="360" w:lineRule="auto"/>
        <w:ind w:firstLine="482" w:firstLineChars="200"/>
        <w:rPr>
          <w:rFonts w:cs="仿宋" w:asciiTheme="majorEastAsia" w:hAnsiTheme="majorEastAsia" w:eastAsiaTheme="majorEastAsia"/>
          <w:bCs w:val="0"/>
          <w:sz w:val="24"/>
        </w:rPr>
      </w:pPr>
      <w:bookmarkStart w:id="104" w:name="_Toc308164806"/>
      <w:bookmarkStart w:id="105" w:name="_Toc183682369"/>
      <w:bookmarkStart w:id="106" w:name="_Toc183582232"/>
      <w:bookmarkStart w:id="107" w:name="_Toc217446057"/>
      <w:r>
        <w:rPr>
          <w:rFonts w:cs="仿宋" w:asciiTheme="majorEastAsia" w:hAnsiTheme="majorEastAsia" w:eastAsiaTheme="majorEastAsia"/>
          <w:bCs w:val="0"/>
          <w:sz w:val="24"/>
        </w:rPr>
        <w:t>22．开标</w:t>
      </w:r>
      <w:bookmarkEnd w:id="104"/>
      <w:bookmarkEnd w:id="105"/>
      <w:bookmarkEnd w:id="106"/>
      <w:bookmarkEnd w:id="107"/>
      <w:r>
        <w:rPr>
          <w:rFonts w:hint="eastAsia" w:cs="仿宋" w:asciiTheme="majorEastAsia" w:hAnsiTheme="majorEastAsia" w:eastAsiaTheme="majorEastAsia"/>
          <w:bCs w:val="0"/>
          <w:sz w:val="24"/>
        </w:rPr>
        <w:t>及开标程序</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22.1</w:t>
      </w:r>
      <w:r>
        <w:rPr>
          <w:rFonts w:hint="eastAsia" w:cs="仿宋" w:asciiTheme="majorEastAsia" w:hAnsiTheme="majorEastAsia" w:eastAsiaTheme="majorEastAsia"/>
          <w:sz w:val="24"/>
        </w:rPr>
        <w:t>本项目为不见面开标项目。（递交电子投标文件的投标人不足3家的，不予开标。）</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22.2</w:t>
      </w:r>
      <w:r>
        <w:rPr>
          <w:rFonts w:hint="eastAsia" w:cs="仿宋" w:asciiTheme="majorEastAsia" w:hAnsiTheme="majorEastAsia" w:eastAsiaTheme="majorEastAsia"/>
          <w:sz w:val="24"/>
        </w:rPr>
        <w:t>开标准备工作。投标人需在开标当日、投标截止时间前登录“政府采购云平台”，通过本项目“开标大厅”参与不见面开标。登录政府采购云平台—项目采购—开标评标—开标大厅（确保进入本项目开标大厅）。</w:t>
      </w:r>
    </w:p>
    <w:p>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bCs/>
          <w:sz w:val="24"/>
        </w:rPr>
        <w:t>提示：投标人未按时登录不见面开标系统，错过开标解密时间的，由投标人自行承担不利后果。</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22.3</w:t>
      </w:r>
      <w:r>
        <w:rPr>
          <w:rFonts w:hint="eastAsia" w:cs="仿宋" w:asciiTheme="majorEastAsia" w:hAnsiTheme="majorEastAsia" w:eastAsiaTheme="majorEastAsia"/>
          <w:sz w:val="24"/>
        </w:rPr>
        <w:t>解密投标文件。等待代理机构开启解密后，投标人进行线上解密。开启解密后，投标人应在</w:t>
      </w:r>
      <w:r>
        <w:rPr>
          <w:rFonts w:cs="仿宋" w:asciiTheme="majorEastAsia" w:hAnsiTheme="majorEastAsia" w:eastAsiaTheme="majorEastAsia"/>
          <w:b/>
          <w:bCs/>
          <w:sz w:val="24"/>
        </w:rPr>
        <w:t>60分钟内</w:t>
      </w:r>
      <w:r>
        <w:rPr>
          <w:rFonts w:hint="eastAsia" w:cs="仿宋" w:asciiTheme="majorEastAsia" w:hAnsiTheme="majorEastAsia" w:eastAsiaTheme="majorEastAsia"/>
          <w:sz w:val="24"/>
        </w:rPr>
        <w:t>，使用加密该投标文件的CA数字证书在线完成投标文件的解密。除因系统故障（包括组织场所停电、断网等）导致系统无法使用外，投标人在规定的解密时间内，未成功解密的投标文件将视为无效投标文件。</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22.4</w:t>
      </w:r>
      <w:r>
        <w:rPr>
          <w:rFonts w:hint="eastAsia" w:cs="仿宋" w:asciiTheme="majorEastAsia" w:hAnsiTheme="majorEastAsia" w:eastAsiaTheme="majorEastAsia"/>
          <w:sz w:val="24"/>
        </w:rPr>
        <w:t>确认开标记录。解密时间截止或者所有投标人投标文件均完成解密后（以发生在先的时间为准），由“政府采购云平台”系统展示投标人名称、投标文件解密情况、投标报价等唱标内容。</w:t>
      </w:r>
      <w:r>
        <w:rPr>
          <w:rFonts w:hint="eastAsia" w:cs="仿宋" w:asciiTheme="majorEastAsia" w:hAnsiTheme="majorEastAsia" w:eastAsiaTheme="majorEastAsia"/>
          <w:b/>
          <w:bCs/>
          <w:sz w:val="24"/>
        </w:rPr>
        <w:t>如成功解密投标文件的投标人不足三家的，则只展示投标人名称、投标文件解密情况。投标人对开标记录（包含解密情况、投标报价、其他情况等）在</w:t>
      </w:r>
      <w:r>
        <w:rPr>
          <w:rFonts w:hint="eastAsia" w:cs="仿宋" w:asciiTheme="majorEastAsia" w:hAnsiTheme="majorEastAsia" w:eastAsiaTheme="majorEastAsia"/>
          <w:b/>
          <w:bCs/>
          <w:sz w:val="24"/>
          <w:lang w:val="en-US" w:eastAsia="zh-CN"/>
        </w:rPr>
        <w:t>20分钟</w:t>
      </w:r>
      <w:r>
        <w:rPr>
          <w:rFonts w:hint="eastAsia" w:cs="仿宋" w:asciiTheme="majorEastAsia" w:hAnsiTheme="majorEastAsia" w:eastAsiaTheme="majorEastAsia"/>
          <w:b/>
          <w:bCs/>
          <w:sz w:val="24"/>
        </w:rPr>
        <w:t>内确认，如未</w:t>
      </w:r>
      <w:r>
        <w:rPr>
          <w:rFonts w:hint="eastAsia" w:cs="仿宋" w:asciiTheme="majorEastAsia" w:hAnsiTheme="majorEastAsia" w:eastAsiaTheme="majorEastAsia"/>
          <w:b/>
          <w:bCs/>
          <w:sz w:val="24"/>
          <w:lang w:val="en-US" w:eastAsia="zh-CN"/>
        </w:rPr>
        <w:t>在规定时间内</w:t>
      </w:r>
      <w:r>
        <w:rPr>
          <w:rFonts w:hint="eastAsia" w:cs="仿宋" w:asciiTheme="majorEastAsia" w:hAnsiTheme="majorEastAsia" w:eastAsiaTheme="majorEastAsia"/>
          <w:b/>
          <w:bCs/>
          <w:sz w:val="24"/>
        </w:rPr>
        <w:t>确认，视为认可开标记录。</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22.5</w:t>
      </w:r>
      <w:r>
        <w:rPr>
          <w:rFonts w:hint="eastAsia" w:cs="仿宋" w:asciiTheme="majorEastAsia" w:hAnsiTheme="majorEastAsia" w:eastAsiaTheme="majorEastAsia"/>
          <w:sz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22.6</w:t>
      </w:r>
      <w:r>
        <w:rPr>
          <w:rFonts w:hint="eastAsia" w:cs="仿宋" w:asciiTheme="majorEastAsia" w:hAnsiTheme="majorEastAsia" w:eastAsiaTheme="majorEastAsia"/>
          <w:sz w:val="24"/>
        </w:rPr>
        <w:t>不见面开标过程中，各方主体均应遵守互联网有关规定，不得发表与交易活动无关的言论。</w:t>
      </w:r>
    </w:p>
    <w:p>
      <w:pPr>
        <w:pStyle w:val="5"/>
        <w:spacing w:after="0" w:line="360" w:lineRule="auto"/>
        <w:ind w:firstLine="482" w:firstLineChars="200"/>
        <w:rPr>
          <w:rFonts w:cs="仿宋" w:asciiTheme="majorEastAsia" w:hAnsiTheme="majorEastAsia" w:eastAsiaTheme="majorEastAsia"/>
          <w:sz w:val="24"/>
        </w:rPr>
      </w:pPr>
      <w:bookmarkStart w:id="108" w:name="_Toc183582238"/>
      <w:bookmarkStart w:id="109" w:name="_Toc183682375"/>
      <w:bookmarkStart w:id="110" w:name="_Toc217446063"/>
      <w:bookmarkStart w:id="111" w:name="_Toc308164809"/>
      <w:r>
        <w:rPr>
          <w:rFonts w:cs="仿宋" w:asciiTheme="majorEastAsia" w:hAnsiTheme="majorEastAsia" w:eastAsiaTheme="majorEastAsia"/>
          <w:sz w:val="24"/>
        </w:rPr>
        <w:t>2</w:t>
      </w:r>
      <w:r>
        <w:rPr>
          <w:rFonts w:hint="eastAsia" w:cs="仿宋" w:asciiTheme="majorEastAsia" w:hAnsiTheme="majorEastAsia" w:eastAsiaTheme="majorEastAsia"/>
          <w:sz w:val="24"/>
        </w:rPr>
        <w:t>3</w:t>
      </w:r>
      <w:r>
        <w:rPr>
          <w:rFonts w:cs="仿宋" w:asciiTheme="majorEastAsia" w:hAnsiTheme="majorEastAsia" w:eastAsiaTheme="majorEastAsia"/>
          <w:sz w:val="24"/>
        </w:rPr>
        <w:t>．开评标过程存档</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开标和评标过程进行全过程电子监控，并将电子监控资料存储介质留存归档。</w:t>
      </w:r>
    </w:p>
    <w:p>
      <w:pPr>
        <w:pStyle w:val="5"/>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4</w:t>
      </w:r>
      <w:r>
        <w:rPr>
          <w:rFonts w:cs="仿宋" w:asciiTheme="majorEastAsia" w:hAnsiTheme="majorEastAsia" w:eastAsiaTheme="majorEastAsia"/>
          <w:sz w:val="24"/>
        </w:rPr>
        <w:t>.评标情况公告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所有供应商投标文件资格性、符合性检查情况、采用综合评分法时的总得分和分项汇总得分情况、评标结果等将在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上采购结果公告栏中予以公告。</w:t>
      </w:r>
    </w:p>
    <w:p>
      <w:pPr>
        <w:pStyle w:val="4"/>
        <w:keepNext w:val="0"/>
        <w:keepLines w:val="0"/>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2</w:t>
      </w:r>
      <w:r>
        <w:rPr>
          <w:rFonts w:hint="eastAsia" w:cs="仿宋" w:asciiTheme="majorEastAsia" w:hAnsiTheme="majorEastAsia" w:eastAsiaTheme="majorEastAsia"/>
          <w:szCs w:val="24"/>
        </w:rPr>
        <w:t>5</w:t>
      </w:r>
      <w:r>
        <w:rPr>
          <w:rFonts w:cs="仿宋" w:asciiTheme="majorEastAsia" w:hAnsiTheme="majorEastAsia" w:eastAsiaTheme="majorEastAsia"/>
          <w:szCs w:val="24"/>
        </w:rPr>
        <w:t>.采购人确定中标人过程中，发现中标候选人有下列情形之一的，应当不予确定其为中标人：</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1）发现中标候选人存在禁止参加本项目采购活动的违法行为的；</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2）中标候选人因不可抗力，不能继续参加政府采购活动；</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3）中标候选人提供虚假材料；</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hint="eastAsia" w:cs="仿宋" w:asciiTheme="majorEastAsia" w:hAnsiTheme="majorEastAsia" w:eastAsiaTheme="majorEastAsia"/>
          <w:b w:val="0"/>
          <w:szCs w:val="24"/>
          <w:lang w:val="en-US" w:eastAsia="zh-CN"/>
        </w:rPr>
        <w:t>4</w:t>
      </w:r>
      <w:r>
        <w:rPr>
          <w:rFonts w:cs="仿宋" w:asciiTheme="majorEastAsia" w:hAnsiTheme="majorEastAsia" w:eastAsiaTheme="majorEastAsia"/>
          <w:b w:val="0"/>
          <w:szCs w:val="24"/>
        </w:rPr>
        <w:t>）</w:t>
      </w:r>
      <w:r>
        <w:rPr>
          <w:rFonts w:hint="eastAsia" w:cs="仿宋" w:asciiTheme="majorEastAsia" w:hAnsiTheme="majorEastAsia" w:eastAsiaTheme="majorEastAsia"/>
          <w:b w:val="0"/>
          <w:szCs w:val="24"/>
        </w:rPr>
        <w:t>中标候选人恶意串通。</w:t>
      </w:r>
    </w:p>
    <w:p>
      <w:pPr>
        <w:pStyle w:val="5"/>
        <w:spacing w:after="0" w:line="360" w:lineRule="auto"/>
        <w:ind w:firstLine="482" w:firstLineChars="200"/>
        <w:rPr>
          <w:rFonts w:cs="仿宋" w:asciiTheme="majorEastAsia" w:hAnsiTheme="majorEastAsia" w:eastAsiaTheme="majorEastAsia"/>
          <w:bCs w:val="0"/>
          <w:sz w:val="24"/>
          <w:szCs w:val="24"/>
        </w:rPr>
      </w:pPr>
      <w:r>
        <w:rPr>
          <w:rFonts w:cs="仿宋" w:asciiTheme="majorEastAsia" w:hAnsiTheme="majorEastAsia" w:eastAsiaTheme="majorEastAsia"/>
          <w:bCs w:val="0"/>
          <w:sz w:val="24"/>
          <w:szCs w:val="24"/>
        </w:rPr>
        <w:t>2</w:t>
      </w:r>
      <w:r>
        <w:rPr>
          <w:rFonts w:hint="eastAsia" w:cs="仿宋" w:asciiTheme="majorEastAsia" w:hAnsiTheme="majorEastAsia" w:eastAsiaTheme="majorEastAsia"/>
          <w:bCs w:val="0"/>
          <w:sz w:val="24"/>
          <w:szCs w:val="24"/>
        </w:rPr>
        <w:t>6</w:t>
      </w:r>
      <w:r>
        <w:rPr>
          <w:rFonts w:cs="仿宋" w:asciiTheme="majorEastAsia" w:hAnsiTheme="majorEastAsia" w:eastAsiaTheme="majorEastAsia"/>
          <w:bCs w:val="0"/>
          <w:sz w:val="24"/>
          <w:szCs w:val="24"/>
        </w:rPr>
        <w:t>.中标通知</w:t>
      </w:r>
      <w:bookmarkEnd w:id="108"/>
      <w:bookmarkEnd w:id="109"/>
      <w:r>
        <w:rPr>
          <w:rFonts w:hint="eastAsia" w:cs="仿宋" w:asciiTheme="majorEastAsia" w:hAnsiTheme="majorEastAsia" w:eastAsiaTheme="majorEastAsia"/>
          <w:bCs w:val="0"/>
          <w:sz w:val="24"/>
          <w:szCs w:val="24"/>
        </w:rPr>
        <w:t>书</w:t>
      </w:r>
      <w:bookmarkEnd w:id="110"/>
      <w:bookmarkEnd w:id="111"/>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6</w:t>
      </w:r>
      <w:r>
        <w:rPr>
          <w:rFonts w:cs="仿宋" w:asciiTheme="majorEastAsia" w:hAnsiTheme="majorEastAsia" w:eastAsiaTheme="majorEastAsia"/>
          <w:bCs/>
          <w:sz w:val="24"/>
        </w:rPr>
        <w:t>.</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中标通知书为签订政府采购合同的依据之一，是合同的有效组成部分。</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6</w:t>
      </w:r>
      <w:r>
        <w:rPr>
          <w:rFonts w:cs="仿宋" w:asciiTheme="majorEastAsia" w:hAnsiTheme="majorEastAsia" w:eastAsiaTheme="majorEastAsia"/>
          <w:sz w:val="24"/>
        </w:rPr>
        <w:t xml:space="preserve">.2 </w:t>
      </w:r>
      <w:r>
        <w:rPr>
          <w:rFonts w:hint="eastAsia" w:cs="仿宋" w:asciiTheme="majorEastAsia" w:hAnsiTheme="majorEastAsia" w:eastAsiaTheme="majorEastAsia"/>
          <w:sz w:val="24"/>
        </w:rPr>
        <w:t>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6</w:t>
      </w:r>
      <w:r>
        <w:rPr>
          <w:rFonts w:cs="仿宋" w:asciiTheme="majorEastAsia" w:hAnsiTheme="majorEastAsia" w:eastAsiaTheme="majorEastAsia"/>
          <w:sz w:val="24"/>
        </w:rPr>
        <w:t>．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60" w:lineRule="auto"/>
        <w:ind w:firstLine="480"/>
        <w:rPr>
          <w:rFonts w:cs="仿宋" w:asciiTheme="majorEastAsia" w:hAnsiTheme="majorEastAsia" w:eastAsiaTheme="majorEastAsia"/>
          <w:b/>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6</w:t>
      </w:r>
      <w:r>
        <w:rPr>
          <w:rFonts w:cs="仿宋" w:asciiTheme="majorEastAsia" w:hAnsiTheme="majorEastAsia" w:eastAsiaTheme="majorEastAsia"/>
          <w:sz w:val="24"/>
        </w:rPr>
        <w:t>.4</w:t>
      </w:r>
      <w:r>
        <w:rPr>
          <w:rFonts w:hint="eastAsia" w:cs="仿宋" w:asciiTheme="majorEastAsia" w:hAnsiTheme="majorEastAsia" w:eastAsiaTheme="majorEastAsia"/>
          <w:sz w:val="24"/>
          <w:lang w:val="zh-CN"/>
        </w:rPr>
        <w:t>在四川政府采购网公告中标结果同时发出中标通知书，中标供应商自行登录政府采购云平台下载中标通知书。</w:t>
      </w:r>
    </w:p>
    <w:p>
      <w:pPr>
        <w:pStyle w:val="4"/>
        <w:spacing w:line="360" w:lineRule="auto"/>
        <w:jc w:val="center"/>
        <w:rPr>
          <w:rFonts w:cs="仿宋" w:asciiTheme="majorEastAsia" w:hAnsiTheme="majorEastAsia" w:eastAsiaTheme="majorEastAsia"/>
          <w:sz w:val="28"/>
          <w:szCs w:val="28"/>
        </w:rPr>
      </w:pPr>
      <w:bookmarkStart w:id="112" w:name="_Toc308164810"/>
      <w:bookmarkStart w:id="113" w:name="_Toc217446064"/>
      <w:bookmarkStart w:id="114" w:name="_Toc183682377"/>
      <w:bookmarkStart w:id="115" w:name="_Toc183582240"/>
      <w:r>
        <w:rPr>
          <w:rFonts w:hint="eastAsia" w:cs="仿宋" w:asciiTheme="majorEastAsia" w:hAnsiTheme="majorEastAsia" w:eastAsiaTheme="majorEastAsia"/>
          <w:sz w:val="28"/>
          <w:szCs w:val="28"/>
        </w:rPr>
        <w:t>六、签订及履行合同和验收</w:t>
      </w:r>
      <w:bookmarkEnd w:id="112"/>
      <w:bookmarkEnd w:id="113"/>
    </w:p>
    <w:p>
      <w:pPr>
        <w:pStyle w:val="5"/>
        <w:spacing w:after="0" w:line="360" w:lineRule="auto"/>
        <w:ind w:firstLine="482" w:firstLineChars="200"/>
        <w:rPr>
          <w:rFonts w:cs="仿宋" w:asciiTheme="majorEastAsia" w:hAnsiTheme="majorEastAsia" w:eastAsiaTheme="majorEastAsia"/>
          <w:b w:val="0"/>
          <w:sz w:val="24"/>
          <w:szCs w:val="24"/>
        </w:rPr>
      </w:pPr>
      <w:bookmarkStart w:id="116" w:name="_Toc308164811"/>
      <w:bookmarkStart w:id="117" w:name="_Toc217446065"/>
      <w:r>
        <w:rPr>
          <w:rFonts w:cs="仿宋" w:asciiTheme="majorEastAsia" w:hAnsiTheme="majorEastAsia" w:eastAsiaTheme="majorEastAsia"/>
          <w:sz w:val="24"/>
        </w:rPr>
        <w:t>2</w:t>
      </w:r>
      <w:r>
        <w:rPr>
          <w:rFonts w:hint="eastAsia" w:cs="仿宋" w:asciiTheme="majorEastAsia" w:hAnsiTheme="majorEastAsia" w:eastAsiaTheme="majorEastAsia"/>
          <w:sz w:val="24"/>
        </w:rPr>
        <w:t>7</w:t>
      </w:r>
      <w:r>
        <w:rPr>
          <w:rFonts w:cs="仿宋" w:asciiTheme="majorEastAsia" w:hAnsiTheme="majorEastAsia" w:eastAsiaTheme="majorEastAsia"/>
          <w:sz w:val="24"/>
        </w:rPr>
        <w:t>.</w:t>
      </w:r>
      <w:r>
        <w:rPr>
          <w:rFonts w:hint="eastAsia" w:cs="仿宋" w:asciiTheme="majorEastAsia" w:hAnsiTheme="majorEastAsia" w:eastAsiaTheme="majorEastAsia"/>
          <w:sz w:val="24"/>
          <w:szCs w:val="24"/>
        </w:rPr>
        <w:t>签订合同</w:t>
      </w:r>
      <w:bookmarkEnd w:id="116"/>
      <w:bookmarkEnd w:id="117"/>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7</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7</w:t>
      </w:r>
      <w:r>
        <w:rPr>
          <w:rFonts w:cs="仿宋" w:asciiTheme="majorEastAsia" w:hAnsiTheme="majorEastAsia" w:eastAsiaTheme="majorEastAsia"/>
          <w:sz w:val="24"/>
        </w:rPr>
        <w:t xml:space="preserve">.2 </w:t>
      </w:r>
      <w:r>
        <w:rPr>
          <w:rFonts w:hint="eastAsia" w:cs="仿宋" w:asciiTheme="majorEastAsia" w:hAnsiTheme="majorEastAsia" w:eastAsiaTheme="majorEastAsia"/>
          <w:sz w:val="24"/>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7</w:t>
      </w:r>
      <w:r>
        <w:rPr>
          <w:rFonts w:cs="仿宋" w:asciiTheme="majorEastAsia" w:hAnsiTheme="majorEastAsia" w:eastAsiaTheme="majorEastAsia"/>
          <w:sz w:val="24"/>
        </w:rPr>
        <w:t xml:space="preserve">.3 </w:t>
      </w:r>
      <w:r>
        <w:rPr>
          <w:rFonts w:hint="eastAsia" w:cs="仿宋" w:asciiTheme="majorEastAsia" w:hAnsiTheme="majorEastAsia" w:eastAsiaTheme="majorEastAsia"/>
          <w:sz w:val="24"/>
        </w:rPr>
        <w:t>中标人拒绝与采购人签订合同的，采购人可以按照评审报告推荐的中标候选人名单排序，确定下一候选人为中标供应商，也可以重新开展政府采购活动。</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7</w:t>
      </w:r>
      <w:r>
        <w:rPr>
          <w:rFonts w:cs="仿宋" w:asciiTheme="majorEastAsia" w:hAnsiTheme="majorEastAsia" w:eastAsiaTheme="majorEastAsia"/>
          <w:sz w:val="24"/>
        </w:rPr>
        <w:t xml:space="preserve">.4 </w:t>
      </w:r>
      <w:r>
        <w:rPr>
          <w:rFonts w:hint="eastAsia" w:cs="仿宋" w:asciiTheme="majorEastAsia" w:hAnsiTheme="majorEastAsia" w:eastAsiaTheme="majorEastAsia"/>
          <w:sz w:val="24"/>
        </w:rPr>
        <w:t>中标人在合同签订之后两个工作日内，将签订的合同原件扫描件发送采购代理机构。（详见须知附表中联系方式）</w:t>
      </w:r>
    </w:p>
    <w:p>
      <w:pPr>
        <w:pStyle w:val="4"/>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2</w:t>
      </w:r>
      <w:r>
        <w:rPr>
          <w:rFonts w:hint="eastAsia" w:cs="仿宋" w:asciiTheme="majorEastAsia" w:hAnsiTheme="majorEastAsia" w:eastAsiaTheme="majorEastAsia"/>
          <w:szCs w:val="24"/>
        </w:rPr>
        <w:t>8</w:t>
      </w:r>
      <w:r>
        <w:rPr>
          <w:rFonts w:cs="仿宋" w:asciiTheme="majorEastAsia" w:hAnsiTheme="majorEastAsia" w:eastAsiaTheme="majorEastAsia"/>
          <w:szCs w:val="24"/>
        </w:rPr>
        <w:t xml:space="preserve">. </w:t>
      </w:r>
      <w:r>
        <w:rPr>
          <w:rFonts w:hint="eastAsia" w:cs="仿宋" w:asciiTheme="majorEastAsia" w:hAnsiTheme="majorEastAsia" w:eastAsiaTheme="majorEastAsia"/>
          <w:szCs w:val="24"/>
        </w:rPr>
        <w:t>合同分包（实质性要求）</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w:t>
      </w:r>
      <w:r>
        <w:rPr>
          <w:rFonts w:hint="eastAsia" w:cs="仿宋" w:asciiTheme="majorEastAsia" w:hAnsiTheme="majorEastAsia" w:eastAsiaTheme="majorEastAsia"/>
          <w:sz w:val="24"/>
        </w:rPr>
        <w:t>8</w:t>
      </w:r>
      <w:r>
        <w:rPr>
          <w:rFonts w:cs="仿宋" w:asciiTheme="majorEastAsia" w:hAnsiTheme="majorEastAsia" w:eastAsiaTheme="majorEastAsia"/>
          <w:sz w:val="24"/>
        </w:rPr>
        <w:t>.1</w:t>
      </w:r>
      <w:r>
        <w:rPr>
          <w:rFonts w:hint="eastAsia" w:cs="仿宋" w:asciiTheme="majorEastAsia" w:hAnsiTheme="majorEastAsia" w:eastAsiaTheme="majorEastAsia"/>
          <w:sz w:val="24"/>
        </w:rPr>
        <w:t>本项目合同接受分包与否，以“投标人须知附表”勾选项为准。</w:t>
      </w:r>
    </w:p>
    <w:p>
      <w:pPr>
        <w:spacing w:line="360" w:lineRule="auto"/>
        <w:ind w:firstLine="480" w:firstLineChars="200"/>
        <w:rPr>
          <w:rFonts w:cs="仿宋" w:asciiTheme="majorEastAsia" w:hAnsiTheme="majorEastAsia" w:eastAsiaTheme="majorEastAsia"/>
          <w:sz w:val="24"/>
          <w:u w:val="single"/>
        </w:rPr>
      </w:pPr>
      <w:r>
        <w:rPr>
          <w:rFonts w:cs="仿宋" w:asciiTheme="majorEastAsia" w:hAnsiTheme="majorEastAsia" w:eastAsiaTheme="majorEastAsia"/>
          <w:sz w:val="24"/>
        </w:rPr>
        <w:t>2</w:t>
      </w:r>
      <w:r>
        <w:rPr>
          <w:rFonts w:hint="eastAsia" w:cs="仿宋" w:asciiTheme="majorEastAsia" w:hAnsiTheme="majorEastAsia" w:eastAsiaTheme="majorEastAsia"/>
          <w:sz w:val="24"/>
        </w:rPr>
        <w:t>8</w:t>
      </w:r>
      <w:r>
        <w:rPr>
          <w:rFonts w:cs="仿宋" w:asciiTheme="majorEastAsia" w:hAnsiTheme="majorEastAsia" w:eastAsiaTheme="majorEastAsia"/>
          <w:sz w:val="24"/>
        </w:rPr>
        <w:t xml:space="preserve">.2 </w:t>
      </w:r>
      <w:r>
        <w:rPr>
          <w:rFonts w:ascii="宋体" w:hAnsi="宋体" w:cs="宋体"/>
          <w:sz w:val="24"/>
        </w:rPr>
        <w:t>依据《政府采购促进中小企业发展管理办法》（财库[2020]46号）规定享受扶持政策获得政府采购合同的，小微企业不得将合同分包给大中型企业，中型企业不得将合同分包给大型企业。</w:t>
      </w:r>
    </w:p>
    <w:p>
      <w:pPr>
        <w:pStyle w:val="4"/>
        <w:spacing w:after="0" w:line="360" w:lineRule="auto"/>
        <w:ind w:firstLine="482" w:firstLineChars="200"/>
        <w:rPr>
          <w:rFonts w:cs="仿宋" w:asciiTheme="majorEastAsia" w:hAnsiTheme="majorEastAsia" w:eastAsiaTheme="majorEastAsia"/>
          <w:szCs w:val="24"/>
        </w:rPr>
      </w:pPr>
      <w:r>
        <w:rPr>
          <w:rFonts w:hint="eastAsia" w:cs="仿宋" w:asciiTheme="majorEastAsia" w:hAnsiTheme="majorEastAsia" w:eastAsiaTheme="majorEastAsia"/>
          <w:szCs w:val="24"/>
        </w:rPr>
        <w:t>29</w:t>
      </w:r>
      <w:r>
        <w:rPr>
          <w:rFonts w:cs="仿宋" w:asciiTheme="majorEastAsia" w:hAnsiTheme="majorEastAsia" w:eastAsiaTheme="majorEastAsia"/>
          <w:szCs w:val="24"/>
        </w:rPr>
        <w:t>.合同转包（实质性要求）</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中标人转包的，视同拒绝履行政府采购合同义务，将依法追究法律责任。</w:t>
      </w:r>
    </w:p>
    <w:p>
      <w:pPr>
        <w:pStyle w:val="4"/>
        <w:spacing w:after="0" w:line="360" w:lineRule="auto"/>
        <w:ind w:firstLine="482" w:firstLineChars="200"/>
        <w:rPr>
          <w:rFonts w:cs="仿宋" w:asciiTheme="majorEastAsia" w:hAnsiTheme="majorEastAsia" w:eastAsiaTheme="majorEastAsia"/>
          <w:szCs w:val="24"/>
        </w:rPr>
      </w:pPr>
      <w:bookmarkStart w:id="118" w:name="_Toc217446066"/>
      <w:r>
        <w:rPr>
          <w:rFonts w:cs="仿宋" w:asciiTheme="majorEastAsia" w:hAnsiTheme="majorEastAsia" w:eastAsiaTheme="majorEastAsia"/>
          <w:szCs w:val="24"/>
        </w:rPr>
        <w:t>3</w:t>
      </w:r>
      <w:r>
        <w:rPr>
          <w:rFonts w:hint="eastAsia" w:cs="仿宋" w:asciiTheme="majorEastAsia" w:hAnsiTheme="majorEastAsia" w:eastAsiaTheme="majorEastAsia"/>
          <w:szCs w:val="24"/>
        </w:rPr>
        <w:t>0</w:t>
      </w:r>
      <w:r>
        <w:rPr>
          <w:rFonts w:cs="仿宋" w:asciiTheme="majorEastAsia" w:hAnsiTheme="majorEastAsia" w:eastAsiaTheme="majorEastAsia"/>
          <w:szCs w:val="24"/>
        </w:rPr>
        <w:t>.</w:t>
      </w:r>
      <w:bookmarkEnd w:id="118"/>
      <w:r>
        <w:rPr>
          <w:rFonts w:cs="仿宋" w:asciiTheme="majorEastAsia" w:hAnsiTheme="majorEastAsia" w:eastAsiaTheme="majorEastAsia"/>
          <w:szCs w:val="24"/>
        </w:rPr>
        <w:t xml:space="preserve"> 补充合同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after="0" w:line="360" w:lineRule="auto"/>
        <w:ind w:firstLine="482" w:firstLineChars="200"/>
        <w:rPr>
          <w:rFonts w:cs="仿宋" w:asciiTheme="majorEastAsia" w:hAnsiTheme="majorEastAsia" w:eastAsiaTheme="majorEastAsia"/>
          <w:b w:val="0"/>
          <w:sz w:val="24"/>
          <w:szCs w:val="24"/>
        </w:rPr>
      </w:pPr>
      <w:bookmarkStart w:id="119" w:name="_Toc217446068"/>
      <w:bookmarkStart w:id="120" w:name="_Toc308164812"/>
      <w:r>
        <w:rPr>
          <w:rFonts w:cs="仿宋" w:asciiTheme="majorEastAsia" w:hAnsiTheme="majorEastAsia" w:eastAsiaTheme="majorEastAsia"/>
          <w:sz w:val="24"/>
          <w:szCs w:val="24"/>
        </w:rPr>
        <w:t>3</w:t>
      </w:r>
      <w:r>
        <w:rPr>
          <w:rFonts w:hint="eastAsia" w:cs="仿宋" w:asciiTheme="majorEastAsia" w:hAnsiTheme="majorEastAsia" w:eastAsiaTheme="majorEastAsia"/>
          <w:sz w:val="24"/>
          <w:szCs w:val="24"/>
        </w:rPr>
        <w:t>1</w:t>
      </w:r>
      <w:r>
        <w:rPr>
          <w:rFonts w:cs="仿宋" w:asciiTheme="majorEastAsia" w:hAnsiTheme="majorEastAsia" w:eastAsiaTheme="majorEastAsia"/>
          <w:b w:val="0"/>
          <w:sz w:val="24"/>
          <w:szCs w:val="24"/>
        </w:rPr>
        <w:t xml:space="preserve">. </w:t>
      </w:r>
      <w:r>
        <w:rPr>
          <w:rFonts w:hint="eastAsia" w:cs="仿宋" w:asciiTheme="majorEastAsia" w:hAnsiTheme="majorEastAsia" w:eastAsiaTheme="majorEastAsia"/>
          <w:sz w:val="24"/>
          <w:szCs w:val="24"/>
        </w:rPr>
        <w:t>履约保证金</w:t>
      </w:r>
      <w:bookmarkEnd w:id="119"/>
      <w:bookmarkEnd w:id="120"/>
      <w:r>
        <w:rPr>
          <w:rFonts w:hint="eastAsia" w:cs="仿宋" w:asciiTheme="majorEastAsia" w:hAnsiTheme="majorEastAsia" w:eastAsiaTheme="majorEastAsia"/>
          <w:sz w:val="24"/>
          <w:szCs w:val="24"/>
        </w:rPr>
        <w:t>（实质性要求）</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w:t>
      </w:r>
      <w:r>
        <w:rPr>
          <w:rFonts w:hint="eastAsia" w:cs="仿宋" w:asciiTheme="majorEastAsia" w:hAnsiTheme="majorEastAsia" w:eastAsiaTheme="majorEastAsia"/>
          <w:sz w:val="24"/>
        </w:rPr>
        <w:t>1</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中标人应在合同签订之前交纳招标文件规定数额的履约保证金。</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w:t>
      </w:r>
      <w:r>
        <w:rPr>
          <w:rFonts w:hint="eastAsia" w:cs="仿宋" w:asciiTheme="majorEastAsia" w:hAnsiTheme="majorEastAsia" w:eastAsiaTheme="majorEastAsia"/>
          <w:sz w:val="24"/>
        </w:rPr>
        <w:t>1</w:t>
      </w:r>
      <w:r>
        <w:rPr>
          <w:rFonts w:cs="仿宋" w:asciiTheme="majorEastAsia" w:hAnsiTheme="majorEastAsia" w:eastAsiaTheme="majorEastAsia"/>
          <w:sz w:val="24"/>
        </w:rPr>
        <w:t xml:space="preserve">.2 </w:t>
      </w:r>
      <w:r>
        <w:rPr>
          <w:rFonts w:hint="eastAsia" w:cs="仿宋" w:asciiTheme="majorEastAsia" w:hAnsiTheme="majorEastAsia" w:eastAsiaTheme="majorEastAsia"/>
          <w:sz w:val="24"/>
        </w:rPr>
        <w:t>如果中标人在规定的合同签订时间内，没有按照招标文件的规定交纳履约保证金，且又无正当理由的，将视为放弃中标。</w:t>
      </w:r>
    </w:p>
    <w:p>
      <w:pPr>
        <w:pStyle w:val="5"/>
        <w:spacing w:after="0" w:line="360" w:lineRule="auto"/>
        <w:ind w:firstLine="482" w:firstLineChars="200"/>
        <w:rPr>
          <w:rFonts w:cs="仿宋" w:asciiTheme="majorEastAsia" w:hAnsiTheme="majorEastAsia" w:eastAsiaTheme="majorEastAsia"/>
          <w:sz w:val="24"/>
          <w:szCs w:val="24"/>
        </w:rPr>
      </w:pPr>
      <w:bookmarkStart w:id="121" w:name="_Toc217446069"/>
      <w:bookmarkStart w:id="122" w:name="_Toc308164813"/>
      <w:r>
        <w:rPr>
          <w:rFonts w:cs="仿宋" w:asciiTheme="majorEastAsia" w:hAnsiTheme="majorEastAsia" w:eastAsiaTheme="majorEastAsia"/>
          <w:sz w:val="24"/>
          <w:szCs w:val="24"/>
        </w:rPr>
        <w:t>3</w:t>
      </w:r>
      <w:r>
        <w:rPr>
          <w:rFonts w:hint="eastAsia" w:cs="仿宋" w:asciiTheme="majorEastAsia" w:hAnsiTheme="majorEastAsia" w:eastAsiaTheme="majorEastAsia"/>
          <w:sz w:val="24"/>
          <w:szCs w:val="24"/>
        </w:rPr>
        <w:t>2</w:t>
      </w:r>
      <w:r>
        <w:rPr>
          <w:rFonts w:cs="仿宋" w:asciiTheme="majorEastAsia" w:hAnsiTheme="majorEastAsia" w:eastAsiaTheme="majorEastAsia"/>
          <w:sz w:val="24"/>
          <w:szCs w:val="24"/>
        </w:rPr>
        <w:t>.合同公告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采购人应当自政府采购合同签订（双方当事人均已签字盖章）之日起</w:t>
      </w:r>
      <w:r>
        <w:rPr>
          <w:rFonts w:cs="仿宋" w:asciiTheme="majorEastAsia" w:hAnsiTheme="majorEastAsia" w:eastAsiaTheme="majorEastAsia"/>
          <w:sz w:val="24"/>
        </w:rPr>
        <w:t>2个工作日内，将政府采购合同在省级以上人民政府财政部门指定的媒体</w:t>
      </w:r>
      <w:r>
        <w:rPr>
          <w:rFonts w:hint="eastAsia" w:cs="仿宋" w:asciiTheme="majorEastAsia" w:hAnsiTheme="majorEastAsia" w:eastAsiaTheme="majorEastAsia"/>
          <w:b/>
          <w:sz w:val="24"/>
          <w:szCs w:val="21"/>
        </w:rPr>
        <w:t>《四川政府采购网》</w:t>
      </w:r>
      <w:r>
        <w:rPr>
          <w:rFonts w:cs="仿宋" w:asciiTheme="majorEastAsia" w:hAnsiTheme="majorEastAsia" w:eastAsiaTheme="majorEastAsia"/>
          <w:sz w:val="24"/>
        </w:rPr>
        <w:t>上公告，但政府采购合同中涉及国家秘密、商业秘密的内容除外。</w:t>
      </w:r>
    </w:p>
    <w:p>
      <w:pPr>
        <w:pStyle w:val="5"/>
        <w:spacing w:after="0" w:line="360" w:lineRule="auto"/>
        <w:ind w:firstLine="482"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3</w:t>
      </w:r>
      <w:r>
        <w:rPr>
          <w:rFonts w:hint="eastAsia" w:cs="仿宋" w:asciiTheme="majorEastAsia" w:hAnsiTheme="majorEastAsia" w:eastAsiaTheme="majorEastAsia"/>
          <w:sz w:val="24"/>
          <w:szCs w:val="24"/>
        </w:rPr>
        <w:t>3.</w:t>
      </w:r>
      <w:r>
        <w:rPr>
          <w:rFonts w:cs="仿宋" w:asciiTheme="majorEastAsia" w:hAnsiTheme="majorEastAsia" w:eastAsiaTheme="majorEastAsia"/>
          <w:sz w:val="24"/>
          <w:szCs w:val="24"/>
        </w:rPr>
        <w:t>合同备案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采购人应当将政府采购合同副本自签订（双方当事人均已签字盖章）之日起七个工作日内通过</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报同级财政部门备案。</w:t>
      </w:r>
    </w:p>
    <w:p>
      <w:pPr>
        <w:pStyle w:val="5"/>
        <w:spacing w:after="0" w:line="360" w:lineRule="auto"/>
        <w:ind w:firstLine="482" w:firstLineChars="200"/>
        <w:rPr>
          <w:rFonts w:cs="仿宋" w:asciiTheme="majorEastAsia" w:hAnsiTheme="majorEastAsia" w:eastAsiaTheme="majorEastAsia"/>
          <w:b w:val="0"/>
          <w:sz w:val="24"/>
          <w:szCs w:val="24"/>
        </w:rPr>
      </w:pPr>
      <w:r>
        <w:rPr>
          <w:rFonts w:cs="仿宋" w:asciiTheme="majorEastAsia" w:hAnsiTheme="majorEastAsia" w:eastAsiaTheme="majorEastAsia"/>
          <w:sz w:val="24"/>
          <w:szCs w:val="24"/>
        </w:rPr>
        <w:t>3</w:t>
      </w:r>
      <w:r>
        <w:rPr>
          <w:rFonts w:hint="eastAsia" w:cs="仿宋" w:asciiTheme="majorEastAsia" w:hAnsiTheme="majorEastAsia" w:eastAsiaTheme="majorEastAsia"/>
          <w:sz w:val="24"/>
          <w:szCs w:val="24"/>
        </w:rPr>
        <w:t>4</w:t>
      </w:r>
      <w:r>
        <w:rPr>
          <w:rFonts w:cs="仿宋" w:asciiTheme="majorEastAsia" w:hAnsiTheme="majorEastAsia" w:eastAsiaTheme="majorEastAsia"/>
          <w:sz w:val="24"/>
          <w:szCs w:val="24"/>
        </w:rPr>
        <w:t xml:space="preserve">. </w:t>
      </w:r>
      <w:r>
        <w:rPr>
          <w:rFonts w:hint="eastAsia" w:cs="仿宋" w:asciiTheme="majorEastAsia" w:hAnsiTheme="majorEastAsia" w:eastAsiaTheme="majorEastAsia"/>
          <w:sz w:val="24"/>
          <w:szCs w:val="24"/>
        </w:rPr>
        <w:t>履行合同</w:t>
      </w:r>
      <w:bookmarkEnd w:id="121"/>
      <w:bookmarkEnd w:id="122"/>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w:t>
      </w:r>
      <w:r>
        <w:rPr>
          <w:rFonts w:hint="eastAsia" w:cs="仿宋" w:asciiTheme="majorEastAsia" w:hAnsiTheme="majorEastAsia" w:eastAsiaTheme="majorEastAsia"/>
          <w:sz w:val="24"/>
        </w:rPr>
        <w:t>4</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中标人与采购人签订合同后，合同双方应严格执行合同条款，履行合同规定的义务，保证合同的顺利完成。</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w:t>
      </w:r>
      <w:r>
        <w:rPr>
          <w:rFonts w:hint="eastAsia" w:cs="仿宋" w:asciiTheme="majorEastAsia" w:hAnsiTheme="majorEastAsia" w:eastAsiaTheme="majorEastAsia"/>
          <w:sz w:val="24"/>
        </w:rPr>
        <w:t>4</w:t>
      </w:r>
      <w:r>
        <w:rPr>
          <w:rFonts w:cs="仿宋" w:asciiTheme="majorEastAsia" w:hAnsiTheme="majorEastAsia" w:eastAsiaTheme="majorEastAsia"/>
          <w:sz w:val="24"/>
        </w:rPr>
        <w:t xml:space="preserve">.2 </w:t>
      </w:r>
      <w:r>
        <w:rPr>
          <w:rFonts w:hint="eastAsia" w:cs="仿宋" w:asciiTheme="majorEastAsia" w:hAnsiTheme="majorEastAsia" w:eastAsiaTheme="majorEastAsia"/>
          <w:sz w:val="24"/>
        </w:rPr>
        <w:t>在合同履行过程中，如发生合同纠纷，合同双方应按照</w:t>
      </w:r>
      <w:r>
        <w:rPr>
          <w:rFonts w:ascii="宋体" w:hAnsi="宋体" w:cs="宋体"/>
          <w:sz w:val="24"/>
        </w:rPr>
        <w:t>《中华人民共和国民法典》</w:t>
      </w:r>
      <w:r>
        <w:rPr>
          <w:rFonts w:hint="eastAsia" w:cs="仿宋" w:asciiTheme="majorEastAsia" w:hAnsiTheme="majorEastAsia" w:eastAsiaTheme="majorEastAsia"/>
          <w:sz w:val="24"/>
        </w:rPr>
        <w:t>的有关规定进行处理。</w:t>
      </w:r>
    </w:p>
    <w:p>
      <w:pPr>
        <w:pStyle w:val="5"/>
        <w:spacing w:after="0" w:line="360" w:lineRule="auto"/>
        <w:ind w:firstLine="482" w:firstLineChars="200"/>
        <w:rPr>
          <w:rFonts w:cs="仿宋" w:asciiTheme="majorEastAsia" w:hAnsiTheme="majorEastAsia" w:eastAsiaTheme="majorEastAsia"/>
          <w:b w:val="0"/>
          <w:sz w:val="24"/>
          <w:szCs w:val="24"/>
        </w:rPr>
      </w:pPr>
      <w:bookmarkStart w:id="123" w:name="_Toc217446070"/>
      <w:bookmarkStart w:id="124" w:name="_Toc308164814"/>
      <w:r>
        <w:rPr>
          <w:rFonts w:cs="仿宋" w:asciiTheme="majorEastAsia" w:hAnsiTheme="majorEastAsia" w:eastAsiaTheme="majorEastAsia"/>
          <w:sz w:val="24"/>
          <w:szCs w:val="24"/>
        </w:rPr>
        <w:t>3</w:t>
      </w:r>
      <w:r>
        <w:rPr>
          <w:rFonts w:hint="eastAsia" w:cs="仿宋" w:asciiTheme="majorEastAsia" w:hAnsiTheme="majorEastAsia" w:eastAsiaTheme="majorEastAsia"/>
          <w:sz w:val="24"/>
          <w:szCs w:val="24"/>
        </w:rPr>
        <w:t>5</w:t>
      </w:r>
      <w:r>
        <w:rPr>
          <w:rFonts w:cs="仿宋" w:asciiTheme="majorEastAsia" w:hAnsiTheme="majorEastAsia" w:eastAsiaTheme="majorEastAsia"/>
          <w:sz w:val="24"/>
          <w:szCs w:val="24"/>
        </w:rPr>
        <w:t xml:space="preserve">. </w:t>
      </w:r>
      <w:r>
        <w:rPr>
          <w:rFonts w:hint="eastAsia" w:cs="仿宋" w:asciiTheme="majorEastAsia" w:hAnsiTheme="majorEastAsia" w:eastAsiaTheme="majorEastAsia"/>
          <w:sz w:val="24"/>
          <w:szCs w:val="24"/>
        </w:rPr>
        <w:t>验收</w:t>
      </w:r>
      <w:bookmarkEnd w:id="123"/>
      <w:bookmarkEnd w:id="124"/>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w:t>
      </w:r>
      <w:r>
        <w:rPr>
          <w:rFonts w:hint="eastAsia" w:cs="仿宋" w:asciiTheme="majorEastAsia" w:hAnsiTheme="majorEastAsia" w:eastAsiaTheme="majorEastAsia"/>
          <w:sz w:val="24"/>
        </w:rPr>
        <w:t>5</w:t>
      </w:r>
      <w:r>
        <w:rPr>
          <w:rFonts w:cs="仿宋" w:asciiTheme="majorEastAsia" w:hAnsiTheme="majorEastAsia" w:eastAsiaTheme="majorEastAsia"/>
          <w:sz w:val="24"/>
        </w:rPr>
        <w:t>.1本项目采购人及其委托的采购代理机构将严格按照政府采购相关法律法规以及</w:t>
      </w:r>
      <w:r>
        <w:rPr>
          <w:rFonts w:ascii="宋体" w:hAnsi="宋体" w:cs="宋体"/>
          <w:sz w:val="24"/>
        </w:rPr>
        <w:t>《财政部关于进一步加强政府采购需求和履约验收管理的指导意见》（财库【2016】205号）</w:t>
      </w:r>
      <w:r>
        <w:rPr>
          <w:rFonts w:cs="仿宋" w:asciiTheme="majorEastAsia" w:hAnsiTheme="majorEastAsia" w:eastAsiaTheme="majorEastAsia"/>
          <w:sz w:val="24"/>
        </w:rPr>
        <w:t>的要求进行验收。</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w:t>
      </w:r>
      <w:r>
        <w:rPr>
          <w:rFonts w:hint="eastAsia" w:cs="仿宋" w:asciiTheme="majorEastAsia" w:hAnsiTheme="majorEastAsia" w:eastAsiaTheme="majorEastAsia"/>
          <w:sz w:val="24"/>
        </w:rPr>
        <w:t>5</w:t>
      </w:r>
      <w:r>
        <w:rPr>
          <w:rFonts w:cs="仿宋" w:asciiTheme="majorEastAsia" w:hAnsiTheme="majorEastAsia" w:eastAsiaTheme="majorEastAsia"/>
          <w:sz w:val="24"/>
        </w:rPr>
        <w:t xml:space="preserve">.2 </w:t>
      </w:r>
      <w:r>
        <w:rPr>
          <w:rFonts w:hint="eastAsia" w:cs="仿宋" w:asciiTheme="majorEastAsia" w:hAnsiTheme="majorEastAsia" w:eastAsiaTheme="majorEastAsia"/>
          <w:sz w:val="24"/>
        </w:rPr>
        <w:t>验收结果合格的，中标人凭验收报告办理相关手续；验收结果不合格的，履约保证金将不予退还，也将不予支付采购资金，还可能会报告本项目同级财政部门按照政府采购法律法规</w:t>
      </w:r>
      <w:r>
        <w:rPr>
          <w:rFonts w:cs="仿宋" w:asciiTheme="majorEastAsia" w:hAnsiTheme="majorEastAsia" w:eastAsiaTheme="majorEastAsia"/>
          <w:sz w:val="24"/>
        </w:rPr>
        <w:t>规定给予行政处罚。</w:t>
      </w:r>
      <w:bookmarkStart w:id="125" w:name="_Toc217446071"/>
    </w:p>
    <w:p>
      <w:pPr>
        <w:pStyle w:val="5"/>
        <w:spacing w:after="0" w:line="360" w:lineRule="auto"/>
        <w:ind w:firstLine="482" w:firstLineChars="200"/>
        <w:rPr>
          <w:rFonts w:cs="仿宋" w:asciiTheme="majorEastAsia" w:hAnsiTheme="majorEastAsia" w:eastAsiaTheme="majorEastAsia"/>
          <w:sz w:val="24"/>
          <w:szCs w:val="24"/>
        </w:rPr>
      </w:pPr>
      <w:bookmarkStart w:id="126" w:name="_Toc217446077"/>
      <w:bookmarkStart w:id="127" w:name="_Toc308164818"/>
      <w:r>
        <w:rPr>
          <w:rFonts w:cs="仿宋" w:asciiTheme="majorEastAsia" w:hAnsiTheme="majorEastAsia" w:eastAsiaTheme="majorEastAsia"/>
          <w:sz w:val="24"/>
          <w:szCs w:val="24"/>
        </w:rPr>
        <w:t>3</w:t>
      </w:r>
      <w:r>
        <w:rPr>
          <w:rFonts w:hint="eastAsia" w:cs="仿宋" w:asciiTheme="majorEastAsia" w:hAnsiTheme="majorEastAsia" w:eastAsiaTheme="majorEastAsia"/>
          <w:sz w:val="24"/>
          <w:szCs w:val="24"/>
        </w:rPr>
        <w:t>6</w:t>
      </w:r>
      <w:r>
        <w:rPr>
          <w:rFonts w:cs="仿宋" w:asciiTheme="majorEastAsia" w:hAnsiTheme="majorEastAsia" w:eastAsiaTheme="majorEastAsia"/>
          <w:sz w:val="24"/>
          <w:szCs w:val="24"/>
        </w:rPr>
        <w:t>.资金支付</w:t>
      </w:r>
      <w:bookmarkEnd w:id="126"/>
      <w:bookmarkEnd w:id="127"/>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采购人将按照政府采购合同规定，及时向中标供应商支付采购资金。</w:t>
      </w:r>
    </w:p>
    <w:bookmarkEnd w:id="114"/>
    <w:bookmarkEnd w:id="115"/>
    <w:bookmarkEnd w:id="125"/>
    <w:p>
      <w:pPr>
        <w:pStyle w:val="4"/>
        <w:spacing w:line="360" w:lineRule="auto"/>
        <w:jc w:val="center"/>
        <w:rPr>
          <w:rFonts w:cs="仿宋" w:asciiTheme="majorEastAsia" w:hAnsiTheme="majorEastAsia" w:eastAsiaTheme="majorEastAsia"/>
          <w:sz w:val="28"/>
          <w:szCs w:val="28"/>
        </w:rPr>
      </w:pPr>
      <w:bookmarkStart w:id="128" w:name="_Toc217446074"/>
      <w:bookmarkStart w:id="129" w:name="_Toc308164815"/>
      <w:bookmarkStart w:id="130" w:name="_Toc183682380"/>
      <w:bookmarkStart w:id="131" w:name="_Toc183582243"/>
      <w:r>
        <w:rPr>
          <w:rFonts w:hint="eastAsia" w:cs="仿宋" w:asciiTheme="majorEastAsia" w:hAnsiTheme="majorEastAsia" w:eastAsiaTheme="majorEastAsia"/>
          <w:sz w:val="28"/>
          <w:szCs w:val="28"/>
        </w:rPr>
        <w:t>七、投标纪律要求</w:t>
      </w:r>
      <w:bookmarkEnd w:id="128"/>
      <w:bookmarkEnd w:id="129"/>
    </w:p>
    <w:p>
      <w:pPr>
        <w:pStyle w:val="5"/>
        <w:spacing w:after="0" w:line="360" w:lineRule="auto"/>
        <w:ind w:firstLine="482" w:firstLineChars="200"/>
        <w:rPr>
          <w:rFonts w:cs="仿宋" w:asciiTheme="majorEastAsia" w:hAnsiTheme="majorEastAsia" w:eastAsiaTheme="majorEastAsia"/>
          <w:bCs w:val="0"/>
          <w:sz w:val="24"/>
          <w:szCs w:val="24"/>
        </w:rPr>
      </w:pPr>
      <w:bookmarkStart w:id="132" w:name="_Toc217446075"/>
      <w:bookmarkStart w:id="133" w:name="_Toc308164816"/>
      <w:r>
        <w:rPr>
          <w:rFonts w:cs="仿宋" w:asciiTheme="majorEastAsia" w:hAnsiTheme="majorEastAsia" w:eastAsiaTheme="majorEastAsia"/>
          <w:sz w:val="24"/>
        </w:rPr>
        <w:t>3</w:t>
      </w:r>
      <w:r>
        <w:rPr>
          <w:rFonts w:hint="eastAsia" w:cs="仿宋" w:asciiTheme="majorEastAsia" w:hAnsiTheme="majorEastAsia" w:eastAsiaTheme="majorEastAsia"/>
          <w:sz w:val="24"/>
        </w:rPr>
        <w:t>7</w:t>
      </w:r>
      <w:r>
        <w:rPr>
          <w:rFonts w:cs="仿宋" w:asciiTheme="majorEastAsia" w:hAnsiTheme="majorEastAsia" w:eastAsiaTheme="majorEastAsia"/>
          <w:sz w:val="24"/>
        </w:rPr>
        <w:t xml:space="preserve">. </w:t>
      </w:r>
      <w:r>
        <w:rPr>
          <w:rFonts w:hint="eastAsia" w:cs="仿宋" w:asciiTheme="majorEastAsia" w:hAnsiTheme="majorEastAsia" w:eastAsiaTheme="majorEastAsia"/>
          <w:bCs w:val="0"/>
          <w:sz w:val="24"/>
          <w:szCs w:val="24"/>
        </w:rPr>
        <w:t>投标人</w:t>
      </w:r>
      <w:bookmarkEnd w:id="132"/>
      <w:bookmarkEnd w:id="133"/>
      <w:r>
        <w:rPr>
          <w:rFonts w:hint="eastAsia" w:cs="仿宋" w:asciiTheme="majorEastAsia" w:hAnsiTheme="majorEastAsia" w:eastAsiaTheme="majorEastAsia"/>
          <w:bCs w:val="0"/>
          <w:sz w:val="24"/>
          <w:szCs w:val="24"/>
        </w:rPr>
        <w:t>纪律要求</w:t>
      </w:r>
    </w:p>
    <w:p>
      <w:pPr>
        <w:pStyle w:val="9"/>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投标人应当遵循公平竞争的原则，不得恶意串通，不得妨碍其他投标人的竞争行为，不得损害采购人或者其他投标人的合法权益。</w:t>
      </w:r>
    </w:p>
    <w:p>
      <w:pPr>
        <w:pStyle w:val="9"/>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在评标过程中发现投标人有上述情形的，评标委员会应当认定其投标无效，并书面报告本级财政部门。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w:t>
      </w:r>
      <w:r>
        <w:rPr>
          <w:rFonts w:hint="eastAsia" w:cs="仿宋" w:asciiTheme="majorEastAsia" w:hAnsiTheme="majorEastAsia" w:eastAsiaTheme="majorEastAsia"/>
          <w:sz w:val="24"/>
        </w:rPr>
        <w:t>7</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投标人参加本项目投标不得有下列情形：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1）提供虚假材料谋取中标；</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2）采取不正当手段诋毁、排挤其他投标人；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3）与招标采购单位、其他投标人恶意串通；</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4）向招标采购单位、评标委员会成员行贿或者提供其他不正当利益；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5）在招标过程中与招标采购单位进行协商谈判；</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6）中标或者成交后无正当理由拒不与采购人签订政府采购合同；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7）未按照采购文件确定的事项签订政府采购合同；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8）将政府采购合同转包或者违规分包；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9）提供假冒伪劣产品；</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10）擅自变更、中止或者终止政府采购合同；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11）拒绝有关部门的监督检查或者向监督检查部门提供虚假情况；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12）法律法规规定的其他情形。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投标人有上述情形的，按照规定追究法律责任，具备（</w:t>
      </w:r>
      <w:r>
        <w:rPr>
          <w:rFonts w:cs="仿宋" w:asciiTheme="majorEastAsia" w:hAnsiTheme="majorEastAsia" w:eastAsiaTheme="majorEastAsia"/>
          <w:sz w:val="24"/>
        </w:rPr>
        <w:t>1）-（10）条情形之一的，同时将取消中标资格或者认定中标无效。</w:t>
      </w:r>
      <w:bookmarkEnd w:id="49"/>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w:t>
      </w:r>
      <w:r>
        <w:rPr>
          <w:rFonts w:hint="eastAsia" w:cs="仿宋" w:asciiTheme="majorEastAsia" w:hAnsiTheme="majorEastAsia" w:eastAsiaTheme="majorEastAsia"/>
          <w:sz w:val="24"/>
        </w:rPr>
        <w:t>7</w:t>
      </w:r>
      <w:r>
        <w:rPr>
          <w:rFonts w:cs="仿宋" w:asciiTheme="majorEastAsia" w:hAnsiTheme="majorEastAsia" w:eastAsiaTheme="majorEastAsia"/>
          <w:sz w:val="24"/>
        </w:rPr>
        <w:t xml:space="preserve">.2 </w:t>
      </w:r>
      <w:r>
        <w:rPr>
          <w:rFonts w:hint="eastAsia" w:cs="仿宋" w:asciiTheme="majorEastAsia" w:hAnsiTheme="majorEastAsia" w:eastAsiaTheme="majorEastAsia"/>
          <w:sz w:val="24"/>
        </w:rPr>
        <w:t>投标人有下列情形之一的，视为投标人串通投标，其投标无效：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1）不同投标人的投标文件由同一单位或者个人编制；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2）不同投标人委托同一单位或者个人办理投标事宜；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3）不同投标人的投标文件载明的项目管理成员或者联系人员为同一人；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4）不同投标人的投标文件异常一致或者投标报价呈规律性差异；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5）不同投标人的投标文件相互混装；</w:t>
      </w:r>
    </w:p>
    <w:p>
      <w:pPr>
        <w:spacing w:line="360" w:lineRule="auto"/>
        <w:ind w:firstLine="480" w:firstLineChars="20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w:t>
      </w:r>
      <w:r>
        <w:rPr>
          <w:rFonts w:cs="仿宋" w:asciiTheme="majorEastAsia" w:hAnsiTheme="majorEastAsia" w:eastAsiaTheme="majorEastAsia"/>
          <w:sz w:val="24"/>
        </w:rPr>
        <w:t>6）不同投标人的投标保证金从同一单位或者个人的账户转出</w:t>
      </w:r>
      <w:r>
        <w:rPr>
          <w:rFonts w:hint="eastAsia" w:cs="仿宋" w:asciiTheme="majorEastAsia" w:hAnsiTheme="majorEastAsia" w:eastAsiaTheme="majorEastAsia"/>
          <w:sz w:val="24"/>
          <w:lang w:eastAsia="zh-CN"/>
        </w:rPr>
        <w:t>；</w:t>
      </w:r>
    </w:p>
    <w:p>
      <w:pPr>
        <w:spacing w:line="360" w:lineRule="auto"/>
        <w:ind w:firstLine="480" w:firstLineChars="20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lang w:eastAsia="zh-CN"/>
        </w:rPr>
        <w:t>（</w:t>
      </w:r>
      <w:r>
        <w:rPr>
          <w:rFonts w:hint="eastAsia" w:cs="仿宋" w:asciiTheme="majorEastAsia" w:hAnsiTheme="majorEastAsia" w:eastAsiaTheme="majorEastAsia"/>
          <w:sz w:val="24"/>
          <w:lang w:val="en-US" w:eastAsia="zh-CN"/>
        </w:rPr>
        <w:t>7</w:t>
      </w:r>
      <w:r>
        <w:rPr>
          <w:rFonts w:hint="eastAsia" w:cs="仿宋" w:asciiTheme="majorEastAsia" w:hAnsiTheme="majorEastAsia" w:eastAsiaTheme="majorEastAsia"/>
          <w:sz w:val="24"/>
          <w:lang w:eastAsia="zh-CN"/>
        </w:rPr>
        <w:t>）</w:t>
      </w:r>
      <w:r>
        <w:rPr>
          <w:rFonts w:cs="仿宋" w:asciiTheme="majorEastAsia" w:hAnsiTheme="majorEastAsia" w:eastAsiaTheme="majorEastAsia"/>
          <w:sz w:val="24"/>
        </w:rPr>
        <w:t>不同投标人MAC地址相同的</w:t>
      </w:r>
      <w:r>
        <w:rPr>
          <w:rFonts w:hint="eastAsia" w:cs="仿宋" w:asciiTheme="majorEastAsia" w:hAnsiTheme="majorEastAsia" w:eastAsiaTheme="majorEastAsia"/>
          <w:sz w:val="24"/>
          <w:lang w:eastAsia="zh-CN"/>
        </w:rPr>
        <w:t>。</w:t>
      </w:r>
    </w:p>
    <w:p>
      <w:pPr>
        <w:pStyle w:val="4"/>
        <w:spacing w:line="360" w:lineRule="auto"/>
        <w:jc w:val="center"/>
        <w:rPr>
          <w:rFonts w:cs="仿宋" w:asciiTheme="majorEastAsia" w:hAnsiTheme="majorEastAsia" w:eastAsiaTheme="majorEastAsia"/>
          <w:bCs w:val="0"/>
          <w:sz w:val="28"/>
          <w:szCs w:val="28"/>
        </w:rPr>
      </w:pPr>
      <w:bookmarkStart w:id="134" w:name="_Toc217446078"/>
      <w:bookmarkStart w:id="135" w:name="_Toc308164819"/>
      <w:r>
        <w:rPr>
          <w:rFonts w:hint="eastAsia" w:cs="仿宋" w:asciiTheme="majorEastAsia" w:hAnsiTheme="majorEastAsia" w:eastAsiaTheme="majorEastAsia"/>
          <w:bCs w:val="0"/>
          <w:sz w:val="28"/>
          <w:szCs w:val="28"/>
        </w:rPr>
        <w:t>八、询问、质疑和投诉</w:t>
      </w:r>
      <w:bookmarkEnd w:id="134"/>
      <w:bookmarkEnd w:id="135"/>
      <w:bookmarkStart w:id="136" w:name="_Toc217446079"/>
    </w:p>
    <w:bookmarkEnd w:id="136"/>
    <w:p>
      <w:pPr>
        <w:widowControl/>
        <w:spacing w:line="360" w:lineRule="auto"/>
        <w:ind w:firstLine="472" w:firstLineChars="196"/>
        <w:jc w:val="left"/>
        <w:outlineLvl w:val="1"/>
        <w:rPr>
          <w:rFonts w:cs="仿宋" w:asciiTheme="majorEastAsia" w:hAnsiTheme="majorEastAsia" w:eastAsiaTheme="majorEastAsia"/>
          <w:sz w:val="24"/>
        </w:rPr>
      </w:pPr>
      <w:r>
        <w:rPr>
          <w:rFonts w:cs="仿宋" w:asciiTheme="majorEastAsia" w:hAnsiTheme="majorEastAsia" w:eastAsiaTheme="majorEastAsia"/>
          <w:b/>
          <w:sz w:val="24"/>
        </w:rPr>
        <w:t>3</w:t>
      </w:r>
      <w:bookmarkEnd w:id="130"/>
      <w:bookmarkEnd w:id="131"/>
      <w:r>
        <w:rPr>
          <w:rFonts w:hint="eastAsia" w:cs="仿宋" w:asciiTheme="majorEastAsia" w:hAnsiTheme="majorEastAsia" w:eastAsiaTheme="majorEastAsia"/>
          <w:b/>
          <w:sz w:val="24"/>
        </w:rPr>
        <w:t>8</w:t>
      </w:r>
      <w:r>
        <w:rPr>
          <w:rFonts w:cs="仿宋" w:asciiTheme="majorEastAsia" w:hAnsiTheme="majorEastAsia" w:eastAsiaTheme="majorEastAsia"/>
          <w:b/>
          <w:sz w:val="24"/>
        </w:rPr>
        <w:t>．</w:t>
      </w:r>
      <w:r>
        <w:rPr>
          <w:rFonts w:hint="eastAsia" w:cs="仿宋" w:asciiTheme="majorEastAsia" w:hAnsiTheme="majorEastAsia" w:eastAsiaTheme="majorEastAsia"/>
          <w:sz w:val="24"/>
        </w:rPr>
        <w:t>询问、质疑、投诉的接收和处理严格按照《中华人民共和国政府采购法》、《中华人民共和国政府采购法实施条例》、《政府采购货物和服务招标投标管理办法》、《</w:t>
      </w:r>
      <w:r>
        <w:rPr>
          <w:rFonts w:hint="eastAsia" w:cs="仿宋" w:asciiTheme="majorEastAsia" w:hAnsiTheme="majorEastAsia" w:eastAsiaTheme="majorEastAsia"/>
          <w:bCs/>
          <w:sz w:val="24"/>
        </w:rPr>
        <w:t>政府采购质疑和投诉办法</w:t>
      </w:r>
      <w:r>
        <w:rPr>
          <w:rFonts w:hint="eastAsia" w:cs="仿宋" w:asciiTheme="majorEastAsia" w:hAnsiTheme="majorEastAsia" w:eastAsiaTheme="majorEastAsia"/>
          <w:sz w:val="24"/>
        </w:rPr>
        <w:t>》、《财政部关于加强政府采购供应商投诉受理审查工作的通知》和《四川省政府采购供应商投诉处理工作规程》的规定办理（详细规定请在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政策法规模块查询）。</w:t>
      </w:r>
    </w:p>
    <w:p>
      <w:pPr>
        <w:pStyle w:val="4"/>
        <w:spacing w:line="360" w:lineRule="auto"/>
        <w:jc w:val="center"/>
        <w:rPr>
          <w:rFonts w:cs="仿宋" w:asciiTheme="majorEastAsia" w:hAnsiTheme="majorEastAsia" w:eastAsiaTheme="majorEastAsia"/>
          <w:bCs w:val="0"/>
          <w:sz w:val="28"/>
          <w:szCs w:val="28"/>
        </w:rPr>
      </w:pPr>
      <w:r>
        <w:rPr>
          <w:rFonts w:hint="eastAsia" w:cs="仿宋" w:asciiTheme="majorEastAsia" w:hAnsiTheme="majorEastAsia" w:eastAsiaTheme="majorEastAsia"/>
          <w:bCs w:val="0"/>
          <w:sz w:val="28"/>
          <w:szCs w:val="28"/>
        </w:rPr>
        <w:t>九、其他</w:t>
      </w:r>
    </w:p>
    <w:p>
      <w:pPr>
        <w:widowControl/>
        <w:spacing w:line="360" w:lineRule="auto"/>
        <w:ind w:firstLine="482"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b/>
          <w:bCs/>
          <w:sz w:val="24"/>
        </w:rPr>
        <w:t>39</w:t>
      </w:r>
      <w:r>
        <w:rPr>
          <w:rFonts w:cs="仿宋" w:asciiTheme="majorEastAsia" w:hAnsiTheme="majorEastAsia" w:eastAsiaTheme="majorEastAsia"/>
          <w:b/>
          <w:bCs/>
          <w:sz w:val="24"/>
        </w:rPr>
        <w:t>.</w:t>
      </w:r>
      <w:r>
        <w:rPr>
          <w:rFonts w:hint="eastAsia" w:cs="仿宋" w:asciiTheme="majorEastAsia" w:hAnsiTheme="majorEastAsia" w:eastAsiaTheme="majorEastAsia"/>
          <w:sz w:val="24"/>
        </w:rPr>
        <w:t>本招标文件中所引相关法律制度规定，在政府采购中有变化的，按照变化后的相关法律制度规定执行。本章和第七章中“</w:t>
      </w:r>
      <w:r>
        <w:rPr>
          <w:rFonts w:cs="仿宋" w:asciiTheme="majorEastAsia" w:hAnsiTheme="majorEastAsia" w:eastAsiaTheme="majorEastAsia"/>
          <w:sz w:val="24"/>
        </w:rPr>
        <w:t>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ind w:firstLine="482" w:firstLineChars="200"/>
        <w:jc w:val="left"/>
        <w:rPr>
          <w:rFonts w:cs="仿宋" w:asciiTheme="majorEastAsia" w:hAnsiTheme="majorEastAsia" w:eastAsiaTheme="majorEastAsia"/>
          <w:kern w:val="0"/>
          <w:sz w:val="24"/>
        </w:rPr>
      </w:pPr>
      <w:r>
        <w:rPr>
          <w:rFonts w:cs="仿宋" w:asciiTheme="majorEastAsia" w:hAnsiTheme="majorEastAsia" w:eastAsiaTheme="majorEastAsia"/>
          <w:b/>
          <w:sz w:val="24"/>
        </w:rPr>
        <w:t>4</w:t>
      </w:r>
      <w:r>
        <w:rPr>
          <w:rFonts w:hint="eastAsia" w:cs="仿宋" w:asciiTheme="majorEastAsia" w:hAnsiTheme="majorEastAsia" w:eastAsiaTheme="majorEastAsia"/>
          <w:b/>
          <w:sz w:val="24"/>
        </w:rPr>
        <w:t>0</w:t>
      </w:r>
      <w:r>
        <w:rPr>
          <w:rFonts w:cs="仿宋" w:asciiTheme="majorEastAsia" w:hAnsiTheme="majorEastAsia" w:eastAsiaTheme="majorEastAsia"/>
          <w:b/>
          <w:sz w:val="24"/>
        </w:rPr>
        <w:t>．</w:t>
      </w:r>
      <w:r>
        <w:rPr>
          <w:rFonts w:cs="仿宋" w:asciiTheme="majorEastAsia" w:hAnsiTheme="majorEastAsia" w:eastAsiaTheme="majorEastAsia"/>
          <w:sz w:val="24"/>
        </w:rPr>
        <w:t>国家</w:t>
      </w:r>
      <w:r>
        <w:rPr>
          <w:rFonts w:hint="eastAsia" w:cs="仿宋" w:asciiTheme="majorEastAsia" w:hAnsiTheme="majorEastAsia" w:eastAsiaTheme="majorEastAsia"/>
          <w:sz w:val="24"/>
        </w:rPr>
        <w:t>或行业主管部门</w:t>
      </w:r>
      <w:r>
        <w:rPr>
          <w:rFonts w:cs="仿宋" w:asciiTheme="majorEastAsia" w:hAnsiTheme="majorEastAsia" w:eastAsiaTheme="majorEastAsia"/>
          <w:sz w:val="24"/>
        </w:rPr>
        <w:t>对</w:t>
      </w:r>
      <w:r>
        <w:rPr>
          <w:rFonts w:hint="eastAsia" w:cs="仿宋" w:asciiTheme="majorEastAsia" w:hAnsiTheme="majorEastAsia" w:eastAsiaTheme="majorEastAsia"/>
          <w:sz w:val="24"/>
        </w:rPr>
        <w:t>采购产品的</w:t>
      </w:r>
      <w:r>
        <w:rPr>
          <w:rFonts w:cs="仿宋" w:asciiTheme="majorEastAsia" w:hAnsiTheme="majorEastAsia" w:eastAsiaTheme="majorEastAsia"/>
          <w:sz w:val="24"/>
        </w:rPr>
        <w:t>技术</w:t>
      </w:r>
      <w:r>
        <w:rPr>
          <w:rFonts w:hint="eastAsia" w:cs="仿宋" w:asciiTheme="majorEastAsia" w:hAnsiTheme="majorEastAsia" w:eastAsiaTheme="majorEastAsia"/>
          <w:sz w:val="24"/>
        </w:rPr>
        <w:t>标准、</w:t>
      </w:r>
      <w:r>
        <w:rPr>
          <w:rFonts w:cs="仿宋" w:asciiTheme="majorEastAsia" w:hAnsiTheme="majorEastAsia" w:eastAsiaTheme="majorEastAsia"/>
          <w:sz w:val="24"/>
        </w:rPr>
        <w:t>质量</w:t>
      </w:r>
      <w:r>
        <w:rPr>
          <w:rFonts w:hint="eastAsia" w:cs="仿宋" w:asciiTheme="majorEastAsia" w:hAnsiTheme="majorEastAsia" w:eastAsiaTheme="majorEastAsia"/>
          <w:sz w:val="24"/>
        </w:rPr>
        <w:t>标准和资格资质条件</w:t>
      </w:r>
      <w:r>
        <w:rPr>
          <w:rFonts w:cs="仿宋" w:asciiTheme="majorEastAsia" w:hAnsiTheme="majorEastAsia" w:eastAsiaTheme="majorEastAsia"/>
          <w:sz w:val="24"/>
        </w:rPr>
        <w:t>等有</w:t>
      </w:r>
      <w:r>
        <w:rPr>
          <w:rFonts w:hint="eastAsia" w:cs="仿宋" w:asciiTheme="majorEastAsia" w:hAnsiTheme="majorEastAsia" w:eastAsiaTheme="majorEastAsia"/>
          <w:sz w:val="24"/>
        </w:rPr>
        <w:t>强制性规定</w:t>
      </w:r>
      <w:r>
        <w:rPr>
          <w:rFonts w:cs="仿宋" w:asciiTheme="majorEastAsia" w:hAnsiTheme="majorEastAsia" w:eastAsiaTheme="majorEastAsia"/>
          <w:sz w:val="24"/>
        </w:rPr>
        <w:t>的</w:t>
      </w:r>
      <w:r>
        <w:rPr>
          <w:rFonts w:hint="eastAsia" w:cs="仿宋" w:asciiTheme="majorEastAsia" w:hAnsiTheme="majorEastAsia" w:eastAsiaTheme="majorEastAsia"/>
          <w:sz w:val="24"/>
        </w:rPr>
        <w:t>，必须符合其要求。</w:t>
      </w:r>
      <w:r>
        <w:rPr>
          <w:rFonts w:hint="eastAsia" w:cs="仿宋" w:asciiTheme="majorEastAsia" w:hAnsiTheme="majorEastAsia" w:eastAsiaTheme="majorEastAsia"/>
          <w:b/>
          <w:sz w:val="24"/>
        </w:rPr>
        <w:t>（实质性要求）</w:t>
      </w:r>
    </w:p>
    <w:bookmarkEnd w:id="16"/>
    <w:bookmarkEnd w:id="17"/>
    <w:bookmarkEnd w:id="18"/>
    <w:bookmarkEnd w:id="19"/>
    <w:p>
      <w:pPr>
        <w:spacing w:line="360" w:lineRule="auto"/>
        <w:ind w:firstLine="482" w:firstLineChars="200"/>
        <w:rPr>
          <w:rFonts w:cs="仿宋" w:asciiTheme="majorEastAsia" w:hAnsiTheme="majorEastAsia" w:eastAsiaTheme="majorEastAsia"/>
          <w:b/>
          <w:bCs/>
          <w:kern w:val="44"/>
          <w:sz w:val="24"/>
          <w:szCs w:val="44"/>
        </w:rPr>
        <w:sectPr>
          <w:pgSz w:w="11906" w:h="16838"/>
          <w:pgMar w:top="1843" w:right="1701" w:bottom="1417" w:left="1418" w:header="851" w:footer="992" w:gutter="0"/>
          <w:cols w:space="720" w:num="1"/>
          <w:docGrid w:linePitch="312" w:charSpace="0"/>
        </w:sectPr>
      </w:pPr>
      <w:bookmarkStart w:id="137" w:name="_Toc495165808"/>
      <w:bookmarkStart w:id="138" w:name="_Toc495913052"/>
      <w:bookmarkStart w:id="139" w:name="_Toc217446083"/>
      <w:r>
        <w:rPr>
          <w:rFonts w:cs="仿宋" w:asciiTheme="majorEastAsia" w:hAnsiTheme="majorEastAsia" w:eastAsiaTheme="majorEastAsia"/>
          <w:b/>
          <w:sz w:val="24"/>
        </w:rPr>
        <w:t>4</w:t>
      </w:r>
      <w:r>
        <w:rPr>
          <w:rFonts w:hint="eastAsia" w:cs="仿宋" w:asciiTheme="majorEastAsia" w:hAnsiTheme="majorEastAsia" w:eastAsiaTheme="majorEastAsia"/>
          <w:b/>
          <w:sz w:val="24"/>
        </w:rPr>
        <w:t>1</w:t>
      </w:r>
      <w:r>
        <w:rPr>
          <w:rFonts w:cs="仿宋" w:asciiTheme="majorEastAsia" w:hAnsiTheme="majorEastAsia" w:eastAsiaTheme="majorEastAsia"/>
          <w:b/>
          <w:sz w:val="24"/>
        </w:rPr>
        <w:t>.</w:t>
      </w:r>
      <w:r>
        <w:rPr>
          <w:rFonts w:cs="仿宋" w:asciiTheme="majorEastAsia" w:hAnsiTheme="majorEastAsia" w:eastAsiaTheme="majorEastAsia"/>
          <w:color w:val="000000"/>
          <w:kern w:val="0"/>
          <w:sz w:val="24"/>
        </w:rPr>
        <w:t xml:space="preserve"> 本项目是否允许采购进口产品，</w:t>
      </w:r>
      <w:r>
        <w:rPr>
          <w:rFonts w:hint="eastAsia" w:cs="仿宋" w:asciiTheme="majorEastAsia" w:hAnsiTheme="majorEastAsia" w:eastAsiaTheme="majorEastAsia"/>
          <w:color w:val="000000"/>
          <w:sz w:val="24"/>
        </w:rPr>
        <w:t>见供应商须知附表。</w:t>
      </w:r>
    </w:p>
    <w:p>
      <w:pPr>
        <w:spacing w:line="360" w:lineRule="auto"/>
        <w:jc w:val="center"/>
        <w:rPr>
          <w:rFonts w:ascii="黑体" w:hAnsi="黑体" w:eastAsia="黑体" w:cs="仿宋"/>
          <w:b/>
          <w:sz w:val="32"/>
          <w:szCs w:val="32"/>
        </w:rPr>
      </w:pPr>
      <w:r>
        <w:rPr>
          <w:rFonts w:hint="eastAsia" w:ascii="黑体" w:hAnsi="黑体" w:eastAsia="黑体" w:cs="仿宋"/>
          <w:b/>
          <w:sz w:val="32"/>
          <w:szCs w:val="32"/>
        </w:rPr>
        <w:t>第三章  投标文件格式</w:t>
      </w:r>
      <w:bookmarkEnd w:id="137"/>
      <w:bookmarkEnd w:id="138"/>
      <w:bookmarkStart w:id="140" w:name="_Toc217446082"/>
      <w:bookmarkStart w:id="141" w:name="_Toc308164821"/>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说明</w:t>
      </w:r>
      <w:r>
        <w:rPr>
          <w:rFonts w:cs="仿宋" w:asciiTheme="majorEastAsia" w:hAnsiTheme="majorEastAsia" w:eastAsiaTheme="majorEastAsia"/>
          <w:b/>
          <w:sz w:val="24"/>
        </w:rPr>
        <w:t>：</w:t>
      </w:r>
    </w:p>
    <w:p>
      <w:pPr>
        <w:widowControl/>
        <w:spacing w:line="360" w:lineRule="auto"/>
        <w:ind w:firstLine="470" w:firstLineChars="196"/>
        <w:outlineLvl w:val="1"/>
        <w:rPr>
          <w:rFonts w:cs="仿宋" w:asciiTheme="majorEastAsia" w:hAnsiTheme="majorEastAsia" w:eastAsiaTheme="majorEastAsia"/>
          <w:sz w:val="24"/>
        </w:rPr>
      </w:pPr>
      <w:bookmarkStart w:id="142" w:name="_Toc495521083"/>
      <w:bookmarkStart w:id="143" w:name="_Toc495165809"/>
      <w:bookmarkStart w:id="144" w:name="_Toc495570291"/>
      <w:r>
        <w:rPr>
          <w:rFonts w:hint="eastAsia" w:cs="仿宋" w:asciiTheme="majorEastAsia" w:hAnsiTheme="majorEastAsia" w:eastAsiaTheme="majorEastAsia"/>
          <w:sz w:val="24"/>
        </w:rPr>
        <w:t>一、本章所制投标文件格式，除格式中明确将该格式作为实质性要求的，一律不具有强制性。</w:t>
      </w:r>
      <w:bookmarkEnd w:id="142"/>
      <w:bookmarkEnd w:id="143"/>
      <w:bookmarkEnd w:id="144"/>
    </w:p>
    <w:p>
      <w:pPr>
        <w:widowControl/>
        <w:spacing w:line="360" w:lineRule="auto"/>
        <w:ind w:firstLine="470" w:firstLineChars="196"/>
        <w:outlineLvl w:val="1"/>
        <w:rPr>
          <w:rFonts w:cs="仿宋" w:asciiTheme="majorEastAsia" w:hAnsiTheme="majorEastAsia" w:eastAsiaTheme="majorEastAsia"/>
          <w:sz w:val="24"/>
        </w:rPr>
      </w:pPr>
      <w:bookmarkStart w:id="145" w:name="_Toc495521084"/>
      <w:bookmarkStart w:id="146" w:name="_Toc495165810"/>
      <w:bookmarkStart w:id="147" w:name="_Toc495570292"/>
      <w:r>
        <w:rPr>
          <w:rFonts w:hint="eastAsia" w:cs="仿宋" w:asciiTheme="majorEastAsia" w:hAnsiTheme="majorEastAsia" w:eastAsiaTheme="majorEastAsia"/>
          <w:sz w:val="24"/>
        </w:rPr>
        <w:t>二、本章所制投标文件格式有关表格中的备注栏，由投标人根据自身投标情况作解释性说明，不作为必填项。</w:t>
      </w:r>
      <w:bookmarkEnd w:id="145"/>
      <w:bookmarkEnd w:id="146"/>
      <w:bookmarkEnd w:id="147"/>
    </w:p>
    <w:p>
      <w:pPr>
        <w:widowControl/>
        <w:spacing w:line="360" w:lineRule="auto"/>
        <w:ind w:firstLine="470" w:firstLineChars="196"/>
        <w:outlineLvl w:val="1"/>
        <w:rPr>
          <w:rFonts w:cs="仿宋" w:asciiTheme="majorEastAsia" w:hAnsiTheme="majorEastAsia" w:eastAsiaTheme="majorEastAsia"/>
          <w:sz w:val="24"/>
        </w:rPr>
      </w:pPr>
      <w:bookmarkStart w:id="148" w:name="_Toc495521085"/>
      <w:bookmarkStart w:id="149" w:name="_Toc495165811"/>
      <w:bookmarkStart w:id="150" w:name="_Toc495570293"/>
      <w:r>
        <w:rPr>
          <w:rFonts w:hint="eastAsia" w:cs="仿宋" w:asciiTheme="majorEastAsia" w:hAnsiTheme="majorEastAsia" w:eastAsiaTheme="majorEastAsia"/>
          <w:sz w:val="24"/>
        </w:rPr>
        <w:t>三、本章所制投标文件格式中需要填写的相关内容事项，可能会与本采购项目无关，在不改变投标文件原义、不影响本项目采购需求的情况下，投标人可以不予填写，但应当注明。</w:t>
      </w:r>
      <w:bookmarkEnd w:id="148"/>
      <w:bookmarkEnd w:id="149"/>
      <w:bookmarkEnd w:id="150"/>
    </w:p>
    <w:p>
      <w:pPr>
        <w:pStyle w:val="2"/>
      </w:pPr>
    </w:p>
    <w:p>
      <w:pPr>
        <w:widowControl/>
        <w:spacing w:line="360" w:lineRule="auto"/>
        <w:ind w:firstLine="470" w:firstLineChars="196"/>
        <w:outlineLvl w:val="1"/>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p>
    <w:p>
      <w:pPr>
        <w:spacing w:line="360" w:lineRule="auto"/>
        <w:jc w:val="center"/>
        <w:rPr>
          <w:rFonts w:cs="仿宋" w:asciiTheme="majorEastAsia" w:hAnsiTheme="majorEastAsia" w:eastAsiaTheme="majorEastAsia"/>
          <w:sz w:val="52"/>
          <w:szCs w:val="52"/>
        </w:rPr>
      </w:pPr>
    </w:p>
    <w:p>
      <w:pPr>
        <w:spacing w:line="360" w:lineRule="auto"/>
        <w:jc w:val="center"/>
        <w:rPr>
          <w:rFonts w:cs="仿宋" w:asciiTheme="majorEastAsia" w:hAnsiTheme="majorEastAsia" w:eastAsiaTheme="majorEastAsia"/>
          <w:b/>
          <w:sz w:val="52"/>
          <w:szCs w:val="52"/>
          <w:u w:val="single"/>
        </w:rPr>
      </w:pPr>
    </w:p>
    <w:p>
      <w:pPr>
        <w:spacing w:line="360" w:lineRule="auto"/>
        <w:jc w:val="center"/>
        <w:rPr>
          <w:rFonts w:cs="仿宋" w:asciiTheme="majorEastAsia" w:hAnsiTheme="majorEastAsia" w:eastAsiaTheme="majorEastAsia"/>
          <w:b/>
          <w:sz w:val="52"/>
          <w:szCs w:val="52"/>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b/>
          <w:sz w:val="52"/>
          <w:szCs w:val="52"/>
        </w:rPr>
      </w:pPr>
    </w:p>
    <w:p>
      <w:pPr>
        <w:pStyle w:val="2"/>
      </w:pPr>
    </w:p>
    <w:p>
      <w:pPr>
        <w:spacing w:line="360" w:lineRule="auto"/>
        <w:jc w:val="center"/>
        <w:rPr>
          <w:rFonts w:cs="仿宋" w:asciiTheme="majorEastAsia" w:hAnsiTheme="majorEastAsia" w:eastAsiaTheme="majorEastAsia"/>
          <w:bCs/>
          <w:sz w:val="52"/>
          <w:szCs w:val="52"/>
        </w:rPr>
      </w:pPr>
    </w:p>
    <w:p>
      <w:pPr>
        <w:spacing w:line="360" w:lineRule="auto"/>
        <w:jc w:val="center"/>
        <w:rPr>
          <w:rFonts w:ascii="黑体" w:hAnsi="黑体" w:eastAsia="黑体" w:cs="仿宋"/>
          <w:sz w:val="72"/>
          <w:szCs w:val="72"/>
        </w:rPr>
      </w:pPr>
      <w:bookmarkStart w:id="151" w:name="_Toc495165812"/>
      <w:r>
        <w:rPr>
          <w:rFonts w:hint="eastAsia" w:ascii="黑体" w:hAnsi="黑体" w:eastAsia="黑体" w:cs="仿宋"/>
          <w:sz w:val="72"/>
          <w:szCs w:val="72"/>
        </w:rPr>
        <w:t xml:space="preserve">投 标 </w:t>
      </w:r>
      <w:r>
        <w:rPr>
          <w:rFonts w:ascii="黑体" w:hAnsi="黑体" w:eastAsia="黑体" w:cs="仿宋"/>
          <w:sz w:val="72"/>
          <w:szCs w:val="72"/>
        </w:rPr>
        <w:t>文件</w:t>
      </w:r>
      <w:bookmarkEnd w:id="151"/>
    </w:p>
    <w:p>
      <w:pPr>
        <w:spacing w:line="360" w:lineRule="auto"/>
        <w:jc w:val="center"/>
        <w:rPr>
          <w:rFonts w:cs="仿宋" w:asciiTheme="majorEastAsia" w:hAnsiTheme="majorEastAsia" w:eastAsiaTheme="majorEastAsia"/>
          <w:sz w:val="40"/>
          <w:szCs w:val="40"/>
        </w:rPr>
      </w:pPr>
      <w:r>
        <w:rPr>
          <w:rFonts w:cs="仿宋" w:asciiTheme="majorEastAsia" w:hAnsiTheme="majorEastAsia" w:eastAsiaTheme="majorEastAsia"/>
          <w:sz w:val="40"/>
          <w:szCs w:val="40"/>
        </w:rPr>
        <w:t>(资格</w:t>
      </w:r>
      <w:r>
        <w:rPr>
          <w:rFonts w:hint="eastAsia" w:cs="仿宋" w:asciiTheme="majorEastAsia" w:hAnsiTheme="majorEastAsia" w:eastAsiaTheme="majorEastAsia"/>
          <w:sz w:val="40"/>
          <w:szCs w:val="40"/>
        </w:rPr>
        <w:t>性</w:t>
      </w:r>
      <w:r>
        <w:rPr>
          <w:rFonts w:cs="仿宋" w:asciiTheme="majorEastAsia" w:hAnsiTheme="majorEastAsia" w:eastAsiaTheme="majorEastAsia"/>
          <w:sz w:val="40"/>
          <w:szCs w:val="40"/>
        </w:rPr>
        <w:t>部分)</w:t>
      </w:r>
    </w:p>
    <w:p>
      <w:pPr>
        <w:spacing w:line="360" w:lineRule="auto"/>
        <w:jc w:val="center"/>
        <w:rPr>
          <w:rFonts w:cs="仿宋" w:asciiTheme="majorEastAsia" w:hAnsiTheme="majorEastAsia" w:eastAsiaTheme="majorEastAsia"/>
          <w:b/>
          <w:sz w:val="48"/>
          <w:szCs w:val="48"/>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pStyle w:val="2"/>
      </w:pPr>
    </w:p>
    <w:p>
      <w:pPr>
        <w:spacing w:line="360" w:lineRule="auto"/>
        <w:jc w:val="center"/>
        <w:rPr>
          <w:rFonts w:cs="仿宋" w:asciiTheme="majorEastAsia" w:hAnsiTheme="majorEastAsia" w:eastAsiaTheme="majorEastAsia"/>
          <w:sz w:val="24"/>
        </w:rPr>
      </w:pP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u w:val="single"/>
        </w:rPr>
        <w:sectPr>
          <w:headerReference r:id="rId8" w:type="even"/>
          <w:footerReference r:id="rId9" w:type="even"/>
          <w:pgSz w:w="11906" w:h="16838"/>
          <w:pgMar w:top="1843" w:right="1701" w:bottom="1417" w:left="1418" w:header="851" w:footer="992" w:gutter="0"/>
          <w:cols w:space="720" w:num="1"/>
          <w:docGrid w:linePitch="312" w:charSpace="0"/>
        </w:sectPr>
      </w:pPr>
      <w:r>
        <w:rPr>
          <w:rFonts w:hint="eastAsia" w:cs="仿宋" w:asciiTheme="majorEastAsia" w:hAnsiTheme="majorEastAsia" w:eastAsiaTheme="majorEastAsia"/>
          <w:sz w:val="24"/>
        </w:rPr>
        <w:t>日  期</w:t>
      </w:r>
      <w:r>
        <w:rPr>
          <w:rFonts w:cs="仿宋" w:asciiTheme="majorEastAsia" w:hAnsiTheme="majorEastAsia" w:eastAsiaTheme="majorEastAsia"/>
          <w:sz w:val="24"/>
        </w:rPr>
        <w:t>：</w:t>
      </w:r>
      <w:r>
        <w:rPr>
          <w:rFonts w:hint="eastAsia" w:cs="仿宋" w:asciiTheme="majorEastAsia" w:hAnsiTheme="majorEastAsia" w:eastAsiaTheme="majorEastAsia"/>
          <w:sz w:val="24"/>
        </w:rPr>
        <w:t>X</w:t>
      </w:r>
      <w:r>
        <w:rPr>
          <w:rFonts w:cs="仿宋" w:asciiTheme="majorEastAsia" w:hAnsiTheme="majorEastAsia" w:eastAsiaTheme="majorEastAsia"/>
          <w:sz w:val="24"/>
        </w:rPr>
        <w:t>年</w:t>
      </w:r>
      <w:r>
        <w:rPr>
          <w:rFonts w:hint="eastAsia" w:cs="仿宋" w:asciiTheme="majorEastAsia" w:hAnsiTheme="majorEastAsia" w:eastAsiaTheme="majorEastAsia"/>
          <w:sz w:val="24"/>
        </w:rPr>
        <w:t>X</w:t>
      </w:r>
      <w:r>
        <w:rPr>
          <w:rFonts w:cs="仿宋" w:asciiTheme="majorEastAsia" w:hAnsiTheme="majorEastAsia" w:eastAsiaTheme="majorEastAsia"/>
          <w:sz w:val="24"/>
        </w:rPr>
        <w:t>月</w:t>
      </w:r>
      <w:r>
        <w:rPr>
          <w:rFonts w:hint="eastAsia" w:cs="仿宋" w:asciiTheme="majorEastAsia" w:hAnsiTheme="majorEastAsia" w:eastAsiaTheme="majorEastAsia"/>
          <w:sz w:val="24"/>
        </w:rPr>
        <w:t>X</w:t>
      </w:r>
      <w:r>
        <w:rPr>
          <w:rFonts w:cs="仿宋" w:asciiTheme="majorEastAsia" w:hAnsiTheme="majorEastAsia" w:eastAsiaTheme="majorEastAsia"/>
          <w:sz w:val="24"/>
        </w:rPr>
        <w:t>日</w:t>
      </w:r>
    </w:p>
    <w:p>
      <w:pPr>
        <w:pStyle w:val="22"/>
        <w:widowControl/>
        <w:spacing w:before="100" w:beforeAutospacing="1" w:after="100" w:afterAutospacing="1" w:line="360" w:lineRule="auto"/>
        <w:jc w:val="both"/>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格式</w:t>
      </w:r>
      <w:r>
        <w:rPr>
          <w:rFonts w:cs="仿宋" w:asciiTheme="majorEastAsia" w:hAnsiTheme="majorEastAsia" w:eastAsiaTheme="majorEastAsia"/>
          <w:sz w:val="28"/>
          <w:szCs w:val="28"/>
        </w:rPr>
        <w:t>1-1</w:t>
      </w:r>
    </w:p>
    <w:p>
      <w:pPr>
        <w:widowControl/>
        <w:spacing w:before="100" w:beforeAutospacing="1" w:after="100" w:afterAutospacing="1" w:line="360" w:lineRule="auto"/>
        <w:jc w:val="center"/>
        <w:rPr>
          <w:rFonts w:cs="仿宋" w:asciiTheme="majorEastAsia" w:hAnsiTheme="majorEastAsia" w:eastAsiaTheme="majorEastAsia"/>
          <w:b/>
          <w:sz w:val="28"/>
          <w:szCs w:val="28"/>
        </w:rPr>
      </w:pPr>
      <w:r>
        <w:rPr>
          <w:rFonts w:cs="仿宋" w:asciiTheme="majorEastAsia" w:hAnsiTheme="majorEastAsia" w:eastAsiaTheme="majorEastAsia"/>
          <w:b/>
          <w:sz w:val="28"/>
          <w:szCs w:val="28"/>
        </w:rPr>
        <w:t>一</w:t>
      </w:r>
      <w:r>
        <w:rPr>
          <w:rFonts w:hint="eastAsia" w:cs="仿宋" w:asciiTheme="majorEastAsia" w:hAnsiTheme="majorEastAsia" w:eastAsiaTheme="majorEastAsia"/>
          <w:b/>
          <w:sz w:val="28"/>
          <w:szCs w:val="28"/>
        </w:rPr>
        <w:t>、具有独立承担民事责任的能力的证明材料</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① 供应商若为企业法人：提供“统一社会信用代码营业执照”；</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② 若为事业法人：提供“统一社会信用代码法人登记证书”；</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③ 若为其他组织：提供“对应主管部门颁发的准许执业证明文件或营业执照”；</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④ 若为自然人：提供“身份证明材料”（身份证明材料是指居民身份证（正反面）或军官证或护照等）。</w:t>
      </w:r>
    </w:p>
    <w:p>
      <w:pPr>
        <w:widowControl/>
        <w:spacing w:line="360" w:lineRule="auto"/>
        <w:ind w:firstLine="602" w:firstLineChars="250"/>
        <w:jc w:val="left"/>
        <w:rPr>
          <w:rFonts w:cs="仿宋" w:asciiTheme="majorEastAsia" w:hAnsiTheme="majorEastAsia" w:eastAsiaTheme="majorEastAsia"/>
          <w:b/>
          <w:sz w:val="28"/>
          <w:szCs w:val="28"/>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
          <w:color w:val="000000" w:themeColor="text1"/>
          <w:sz w:val="24"/>
          <w14:textFill>
            <w14:solidFill>
              <w14:schemeClr w14:val="tx1"/>
            </w14:solidFill>
          </w14:textFill>
        </w:rPr>
        <w:t>注：以上第</w:t>
      </w:r>
      <w:r>
        <w:rPr>
          <w:rFonts w:cs="仿宋" w:asciiTheme="majorEastAsia" w:hAnsiTheme="majorEastAsia" w:eastAsiaTheme="majorEastAsia"/>
          <w:b/>
          <w:color w:val="000000" w:themeColor="text1"/>
          <w:sz w:val="24"/>
          <w14:textFill>
            <w14:solidFill>
              <w14:schemeClr w14:val="tx1"/>
            </w14:solidFill>
          </w14:textFill>
        </w:rPr>
        <w:t>1项-第3项提供复印件加盖</w:t>
      </w:r>
      <w:r>
        <w:rPr>
          <w:rFonts w:hint="eastAsia" w:cs="仿宋" w:asciiTheme="majorEastAsia" w:hAnsiTheme="majorEastAsia" w:eastAsiaTheme="majorEastAsia"/>
          <w:b/>
          <w:color w:val="000000" w:themeColor="text1"/>
          <w:sz w:val="24"/>
          <w14:textFill>
            <w14:solidFill>
              <w14:schemeClr w14:val="tx1"/>
            </w14:solidFill>
          </w14:textFill>
        </w:rPr>
        <w:t>电子印章</w:t>
      </w:r>
      <w:r>
        <w:rPr>
          <w:rFonts w:cs="仿宋" w:asciiTheme="majorEastAsia" w:hAnsiTheme="majorEastAsia" w:eastAsiaTheme="majorEastAsia"/>
          <w:b/>
          <w:color w:val="000000" w:themeColor="text1"/>
          <w:sz w:val="24"/>
          <w14:textFill>
            <w14:solidFill>
              <w14:schemeClr w14:val="tx1"/>
            </w14:solidFill>
          </w14:textFill>
        </w:rPr>
        <w:t>，第4项提供复印件并签字。</w:t>
      </w:r>
    </w:p>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2</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二、法定代表人（主要负责人）身份证明书</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单位性质：</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地    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成立时间：X年X月X日</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经营期限：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姓   名：</w:t>
      </w:r>
      <w:r>
        <w:rPr>
          <w:rFonts w:hint="eastAsia" w:cs="仿宋" w:asciiTheme="majorEastAsia" w:hAnsiTheme="majorEastAsia" w:eastAsiaTheme="majorEastAsia"/>
          <w:sz w:val="24"/>
          <w:lang w:val="en-US" w:eastAsia="zh-CN"/>
        </w:rPr>
        <w:t xml:space="preserve">      </w:t>
      </w:r>
      <w:r>
        <w:rPr>
          <w:rFonts w:hint="eastAsia" w:cs="仿宋" w:asciiTheme="majorEastAsia" w:hAnsiTheme="majorEastAsia" w:eastAsiaTheme="majorEastAsia"/>
          <w:sz w:val="24"/>
        </w:rPr>
        <w:t xml:space="preserve">性别：  </w:t>
      </w:r>
      <w:r>
        <w:rPr>
          <w:rFonts w:hint="eastAsia" w:cs="仿宋" w:asciiTheme="majorEastAsia" w:hAnsiTheme="majorEastAsia" w:eastAsiaTheme="majorEastAsia"/>
          <w:sz w:val="24"/>
          <w:lang w:val="en-US" w:eastAsia="zh-CN"/>
        </w:rPr>
        <w:t xml:space="preserve">     </w:t>
      </w:r>
      <w:r>
        <w:rPr>
          <w:rFonts w:hint="eastAsia" w:cs="仿宋" w:asciiTheme="majorEastAsia" w:hAnsiTheme="majorEastAsia" w:eastAsiaTheme="majorEastAsia"/>
          <w:sz w:val="24"/>
        </w:rPr>
        <w:t>年龄：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职    务：</w:t>
      </w:r>
      <w:r>
        <w:rPr>
          <w:rFonts w:hint="eastAsia" w:cs="仿宋" w:asciiTheme="majorEastAsia" w:hAnsiTheme="majorEastAsia" w:eastAsiaTheme="majorEastAsia"/>
          <w:sz w:val="24"/>
          <w:lang w:val="en-US" w:eastAsia="zh-CN"/>
        </w:rPr>
        <w:t xml:space="preserve">      </w:t>
      </w:r>
      <w:r>
        <w:rPr>
          <w:rFonts w:hint="eastAsia" w:cs="仿宋" w:asciiTheme="majorEastAsia" w:hAnsiTheme="majorEastAsia" w:eastAsiaTheme="majorEastAsia"/>
          <w:sz w:val="24"/>
        </w:rPr>
        <w:t>系</w:t>
      </w:r>
      <w:r>
        <w:rPr>
          <w:rFonts w:hint="eastAsia" w:cs="仿宋" w:asciiTheme="majorEastAsia" w:hAnsiTheme="majorEastAsia" w:eastAsiaTheme="majorEastAsia"/>
          <w:sz w:val="24"/>
          <w:u w:val="single"/>
        </w:rPr>
        <w:t>（投标人名称）</w:t>
      </w:r>
      <w:r>
        <w:rPr>
          <w:rFonts w:hint="eastAsia" w:cs="仿宋" w:asciiTheme="majorEastAsia" w:hAnsiTheme="majorEastAsia" w:eastAsiaTheme="majorEastAsia"/>
          <w:sz w:val="24"/>
        </w:rPr>
        <w:t>的法定代表人（主要负责人</w:t>
      </w:r>
      <w:r>
        <w:rPr>
          <w:rFonts w:cs="仿宋" w:asciiTheme="majorEastAsia" w:hAnsiTheme="majorEastAsia" w:eastAsiaTheme="majorEastAsia"/>
          <w:sz w:val="24"/>
        </w:rPr>
        <w:t>）</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特此证明。</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附：身份证明材料（法定代表人</w:t>
      </w:r>
      <w:r>
        <w:rPr>
          <w:rFonts w:cs="仿宋" w:asciiTheme="majorEastAsia" w:hAnsiTheme="majorEastAsia" w:eastAsiaTheme="majorEastAsia"/>
          <w:sz w:val="24"/>
        </w:rPr>
        <w:t>/</w:t>
      </w:r>
      <w:r>
        <w:rPr>
          <w:rFonts w:hint="eastAsia" w:cs="仿宋" w:asciiTheme="majorEastAsia" w:hAnsiTheme="majorEastAsia" w:eastAsiaTheme="majorEastAsia"/>
          <w:sz w:val="24"/>
        </w:rPr>
        <w:t>主要负责人居民身份证（正反面）或军官证或护照等复印件盖</w:t>
      </w:r>
      <w:r>
        <w:rPr>
          <w:rFonts w:hint="eastAsia" w:cs="仿宋" w:asciiTheme="majorEastAsia" w:hAnsiTheme="majorEastAsia" w:eastAsiaTheme="majorEastAsia"/>
          <w:sz w:val="24"/>
          <w:lang w:eastAsia="zh-CN"/>
        </w:rPr>
        <w:t>电子印章</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p>
    <w:p>
      <w:pPr>
        <w:spacing w:line="360" w:lineRule="auto"/>
        <w:ind w:right="480" w:firstLine="480" w:firstLineChars="200"/>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投标人名称（盖</w:t>
      </w:r>
      <w:r>
        <w:rPr>
          <w:rFonts w:hint="eastAsia" w:cs="仿宋" w:asciiTheme="majorEastAsia" w:hAnsiTheme="majorEastAsia" w:eastAsiaTheme="majorEastAsia"/>
          <w:sz w:val="24"/>
          <w:lang w:eastAsia="zh-CN"/>
        </w:rPr>
        <w:t>电子印章</w:t>
      </w:r>
      <w:r>
        <w:rPr>
          <w:rFonts w:hint="eastAsia" w:cs="仿宋" w:asciiTheme="majorEastAsia" w:hAnsiTheme="majorEastAsia" w:eastAsiaTheme="majorEastAsia"/>
          <w:sz w:val="24"/>
        </w:rPr>
        <w:t>）：</w:t>
      </w:r>
    </w:p>
    <w:p>
      <w:pPr>
        <w:spacing w:line="360" w:lineRule="auto"/>
        <w:ind w:right="480"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w:t>
      </w:r>
      <w:r>
        <w:rPr>
          <w:rFonts w:cs="仿宋" w:asciiTheme="majorEastAsia" w:hAnsiTheme="majorEastAsia" w:eastAsiaTheme="majorEastAsia"/>
          <w:sz w:val="24"/>
        </w:rPr>
        <w:t>X</w:t>
      </w:r>
      <w:r>
        <w:rPr>
          <w:rFonts w:hint="eastAsia" w:cs="仿宋" w:asciiTheme="majorEastAsia" w:hAnsiTheme="majorEastAsia" w:eastAsiaTheme="majorEastAsia"/>
          <w:sz w:val="24"/>
        </w:rPr>
        <w:t>年X月X日</w:t>
      </w:r>
    </w:p>
    <w:p>
      <w:pPr>
        <w:spacing w:line="360" w:lineRule="auto"/>
        <w:ind w:right="480" w:firstLine="422" w:firstLineChars="200"/>
        <w:jc w:val="left"/>
        <w:rPr>
          <w:rFonts w:cs="仿宋" w:asciiTheme="majorEastAsia" w:hAnsiTheme="majorEastAsia" w:eastAsiaTheme="majorEastAsia"/>
          <w:b/>
          <w:bCs/>
          <w:szCs w:val="21"/>
        </w:rPr>
      </w:pPr>
    </w:p>
    <w:p>
      <w:pPr>
        <w:pStyle w:val="2"/>
      </w:pPr>
    </w:p>
    <w:p/>
    <w:p>
      <w:pPr>
        <w:pStyle w:val="2"/>
        <w:sectPr>
          <w:pgSz w:w="11907" w:h="16840"/>
          <w:pgMar w:top="1843" w:right="1701" w:bottom="1418" w:left="1418" w:header="851" w:footer="851" w:gutter="0"/>
          <w:cols w:space="425" w:num="1"/>
          <w:docGrid w:linePitch="312" w:charSpace="0"/>
        </w:sectPr>
      </w:pPr>
    </w:p>
    <w:p>
      <w:pPr>
        <w:widowControl/>
        <w:spacing w:before="100" w:beforeAutospacing="1" w:after="100" w:afterAutospacing="1"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3</w:t>
      </w:r>
    </w:p>
    <w:bookmarkEnd w:id="140"/>
    <w:bookmarkEnd w:id="141"/>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lang w:val="en-US" w:eastAsia="zh-CN"/>
        </w:rPr>
        <w:t>三</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bookmarkStart w:id="152" w:name="_Toc495521086"/>
      <w:bookmarkStart w:id="153" w:name="_Toc495570294"/>
      <w:bookmarkStart w:id="154" w:name="_Toc495165815"/>
      <w:r>
        <w:rPr>
          <w:rFonts w:hint="eastAsia" w:cs="仿宋" w:asciiTheme="majorEastAsia" w:hAnsiTheme="majorEastAsia" w:eastAsiaTheme="majorEastAsia"/>
          <w:color w:val="000000"/>
          <w:sz w:val="24"/>
        </w:rPr>
        <w:t>我方作为本次采购项目的投标人，根据招标文件要求，现郑重承诺如下：</w:t>
      </w:r>
      <w:bookmarkEnd w:id="152"/>
      <w:bookmarkEnd w:id="153"/>
      <w:bookmarkEnd w:id="154"/>
    </w:p>
    <w:p>
      <w:pPr>
        <w:widowControl/>
        <w:numPr>
          <w:ilvl w:val="0"/>
          <w:numId w:val="5"/>
        </w:numPr>
        <w:spacing w:line="360" w:lineRule="auto"/>
        <w:ind w:firstLine="480" w:firstLineChars="200"/>
        <w:jc w:val="left"/>
        <w:outlineLvl w:val="1"/>
        <w:rPr>
          <w:rFonts w:cs="仿宋" w:asciiTheme="majorEastAsia" w:hAnsiTheme="majorEastAsia" w:eastAsiaTheme="majorEastAsia"/>
          <w:color w:val="000000"/>
          <w:sz w:val="24"/>
        </w:rPr>
      </w:pPr>
      <w:bookmarkStart w:id="155" w:name="_Toc495521087"/>
      <w:bookmarkStart w:id="156" w:name="_Toc495165816"/>
      <w:bookmarkStart w:id="157" w:name="_Toc495570295"/>
      <w:r>
        <w:rPr>
          <w:rFonts w:hint="eastAsia" w:cs="仿宋" w:asciiTheme="majorEastAsia" w:hAnsiTheme="majorEastAsia" w:eastAsiaTheme="majorEastAsia"/>
          <w:color w:val="000000"/>
          <w:sz w:val="24"/>
        </w:rPr>
        <w:t>我方满足《中华人民共和国政府采购法》第二十二条规定的条件</w:t>
      </w:r>
      <w:bookmarkEnd w:id="155"/>
      <w:bookmarkEnd w:id="156"/>
      <w:bookmarkEnd w:id="157"/>
      <w:r>
        <w:rPr>
          <w:rFonts w:hint="eastAsia" w:cs="仿宋" w:asciiTheme="majorEastAsia" w:hAnsiTheme="majorEastAsia" w:eastAsiaTheme="majorEastAsia"/>
          <w:color w:val="000000"/>
          <w:sz w:val="24"/>
        </w:rPr>
        <w:t>：</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1"/>
        <w:ind w:firstLine="480"/>
      </w:pPr>
      <w:r>
        <w:rPr>
          <w:rFonts w:hint="eastAsia" w:cs="仿宋" w:asciiTheme="majorEastAsia" w:hAnsiTheme="majorEastAsia" w:eastAsiaTheme="majorEastAsia"/>
          <w:sz w:val="24"/>
        </w:rPr>
        <w:t>6.法律、行政法规规定的其他条件。</w:t>
      </w:r>
    </w:p>
    <w:p>
      <w:pPr>
        <w:widowControl/>
        <w:numPr>
          <w:ilvl w:val="0"/>
          <w:numId w:val="5"/>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我方满足本项目落实政府采购政策需满足的资格要求；</w:t>
      </w:r>
    </w:p>
    <w:p>
      <w:pPr>
        <w:widowControl/>
        <w:numPr>
          <w:ilvl w:val="0"/>
          <w:numId w:val="5"/>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我方满足本项目提出的</w:t>
      </w:r>
      <w:r>
        <w:rPr>
          <w:rFonts w:hint="eastAsia" w:cs="仿宋" w:asciiTheme="majorEastAsia" w:hAnsiTheme="majorEastAsia" w:eastAsiaTheme="majorEastAsia"/>
          <w:bCs/>
          <w:sz w:val="24"/>
        </w:rPr>
        <w:t>特定资格要求</w:t>
      </w:r>
      <w:r>
        <w:rPr>
          <w:rFonts w:hint="eastAsia" w:cs="仿宋" w:asciiTheme="majorEastAsia" w:hAnsiTheme="majorEastAsia" w:eastAsiaTheme="majorEastAsia"/>
          <w:color w:val="000000"/>
          <w:sz w:val="24"/>
        </w:rPr>
        <w:t>。</w:t>
      </w:r>
    </w:p>
    <w:p>
      <w:pPr>
        <w:spacing w:line="360" w:lineRule="auto"/>
        <w:ind w:firstLine="480" w:firstLineChars="200"/>
        <w:jc w:val="left"/>
        <w:rPr>
          <w:rFonts w:cs="仿宋" w:asciiTheme="majorEastAsia" w:hAnsiTheme="majorEastAsia" w:eastAsiaTheme="majorEastAsia"/>
          <w:bCs/>
          <w:sz w:val="24"/>
        </w:rPr>
      </w:pPr>
    </w:p>
    <w:p>
      <w:pPr>
        <w:spacing w:line="360" w:lineRule="auto"/>
        <w:ind w:firstLine="480" w:firstLineChars="200"/>
        <w:jc w:val="left"/>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我单位对上述承诺的内容事项真实性负责。如经查实上述承诺的内容事项存在虚假，我单位愿意接受以提供虚假材料谋取中标追究法律责任。</w:t>
      </w:r>
    </w:p>
    <w:p>
      <w:pPr>
        <w:spacing w:line="360" w:lineRule="auto"/>
        <w:jc w:val="left"/>
        <w:rPr>
          <w:rFonts w:cs="仿宋" w:asciiTheme="majorEastAsia" w:hAnsiTheme="majorEastAsia" w:eastAsiaTheme="majorEastAsia"/>
          <w:sz w:val="24"/>
        </w:rPr>
      </w:pPr>
    </w:p>
    <w:p>
      <w:pPr>
        <w:pStyle w:val="2"/>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投标人名称（电子印章）：</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rPr>
          <w:rFonts w:cs="仿宋" w:asciiTheme="majorEastAsia" w:hAnsiTheme="majorEastAsia" w:eastAsiaTheme="majorEastAsia"/>
          <w:sz w:val="24"/>
        </w:rPr>
      </w:pPr>
    </w:p>
    <w:p>
      <w:pPr>
        <w:ind w:firstLine="420" w:firstLineChars="200"/>
        <w:sectPr>
          <w:pgSz w:w="11907" w:h="16840"/>
          <w:pgMar w:top="1843" w:right="1701" w:bottom="1418" w:left="1418" w:header="851" w:footer="851" w:gutter="0"/>
          <w:cols w:space="425" w:num="1"/>
          <w:docGrid w:linePitch="312" w:charSpace="0"/>
        </w:sectPr>
      </w:pPr>
    </w:p>
    <w:p>
      <w:pPr>
        <w:spacing w:before="240" w:after="240" w:line="360" w:lineRule="auto"/>
        <w:ind w:firstLine="691" w:firstLineChars="246"/>
        <w:jc w:val="center"/>
        <w:rPr>
          <w:rFonts w:ascii="黑体" w:hAnsi="黑体" w:eastAsia="黑体" w:cs="仿宋"/>
          <w:b/>
          <w:sz w:val="28"/>
          <w:szCs w:val="28"/>
        </w:rPr>
      </w:pPr>
      <w:r>
        <w:rPr>
          <w:rFonts w:hint="eastAsia" w:ascii="黑体" w:hAnsi="黑体" w:eastAsia="黑体" w:cs="仿宋"/>
          <w:b/>
          <w:color w:val="000000"/>
          <w:sz w:val="28"/>
          <w:szCs w:val="28"/>
          <w:lang w:val="en-US" w:eastAsia="zh-CN"/>
        </w:rPr>
        <w:t>四</w:t>
      </w:r>
      <w:r>
        <w:rPr>
          <w:rFonts w:hint="eastAsia" w:ascii="黑体" w:hAnsi="黑体" w:eastAsia="黑体" w:cs="仿宋"/>
          <w:b/>
          <w:color w:val="000000"/>
          <w:sz w:val="28"/>
          <w:szCs w:val="28"/>
        </w:rPr>
        <w:t>、</w:t>
      </w:r>
      <w:r>
        <w:rPr>
          <w:rFonts w:hint="eastAsia" w:ascii="黑体" w:hAnsi="黑体" w:eastAsia="黑体" w:cs="仿宋"/>
          <w:b/>
          <w:sz w:val="28"/>
          <w:szCs w:val="28"/>
        </w:rPr>
        <w:t>投标人和投标产品其他资格、资质性及其他类似效力要求的相关证明材料</w:t>
      </w:r>
    </w:p>
    <w:p>
      <w:pPr>
        <w:spacing w:line="360" w:lineRule="auto"/>
        <w:rPr>
          <w:rFonts w:cs="仿宋" w:asciiTheme="majorEastAsia" w:hAnsiTheme="majorEastAsia" w:eastAsiaTheme="majorEastAsia"/>
          <w:bCs/>
          <w:szCs w:val="21"/>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Cs/>
          <w:szCs w:val="21"/>
        </w:rPr>
        <w:t>注：投标人应按招标文件第五章相关要求提供佐证材料，有格式要求的从其要求，无格式要求的格式自拟。</w:t>
      </w:r>
    </w:p>
    <w:p>
      <w:pPr>
        <w:tabs>
          <w:tab w:val="left" w:pos="540"/>
        </w:tabs>
        <w:spacing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tabs>
          <w:tab w:val="left" w:pos="540"/>
        </w:tabs>
        <w:spacing w:line="360" w:lineRule="auto"/>
        <w:ind w:firstLine="480" w:firstLineChars="200"/>
        <w:rPr>
          <w:rFonts w:cs="仿宋" w:asciiTheme="majorEastAsia" w:hAnsiTheme="majorEastAsia" w:eastAsiaTheme="majorEastAsia"/>
          <w:bCs/>
          <w:color w:val="000000"/>
          <w:sz w:val="24"/>
        </w:rPr>
      </w:pP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附件一：多证合一承诺函</w:t>
      </w: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p>
    <w:p>
      <w:pPr>
        <w:tabs>
          <w:tab w:val="left" w:pos="540"/>
        </w:tabs>
        <w:spacing w:line="360" w:lineRule="auto"/>
        <w:ind w:firstLine="480" w:firstLineChars="200"/>
        <w:rPr>
          <w:rFonts w:cs="仿宋" w:asciiTheme="majorEastAsia" w:hAnsiTheme="majorEastAsia" w:eastAsiaTheme="majorEastAsia"/>
          <w:bCs/>
          <w:color w:val="000000"/>
          <w:sz w:val="24"/>
        </w:rPr>
      </w:pPr>
    </w:p>
    <w:p>
      <w:pPr>
        <w:pStyle w:val="2"/>
        <w:rPr>
          <w:rFonts w:cs="仿宋" w:asciiTheme="majorEastAsia" w:hAnsiTheme="majorEastAsia" w:eastAsiaTheme="majorEastAsia"/>
          <w:szCs w:val="21"/>
        </w:rPr>
      </w:pPr>
      <w:r>
        <w:rPr>
          <w:rFonts w:hint="eastAsia" w:cs="仿宋" w:asciiTheme="majorEastAsia" w:hAnsiTheme="majorEastAsia" w:eastAsiaTheme="majorEastAsia"/>
          <w:szCs w:val="21"/>
        </w:rPr>
        <w:t>注：以上格式仅作为招标文件有规定或供应商制作投标文件有需要时参考使用。</w:t>
      </w:r>
    </w:p>
    <w:p>
      <w:pPr>
        <w:rPr>
          <w:rFonts w:cs="仿宋" w:asciiTheme="majorEastAsia" w:hAnsiTheme="majorEastAsia" w:eastAsiaTheme="majorEastAsia"/>
          <w:szCs w:val="21"/>
        </w:rPr>
      </w:pPr>
      <w:r>
        <w:rPr>
          <w:rFonts w:hint="eastAsia" w:cs="仿宋" w:asciiTheme="majorEastAsia" w:hAnsiTheme="majorEastAsia" w:eastAsiaTheme="majorEastAsia"/>
          <w:szCs w:val="21"/>
        </w:rPr>
        <w:br w:type="page"/>
      </w:r>
    </w:p>
    <w:p>
      <w:pPr>
        <w:spacing w:line="360" w:lineRule="auto"/>
        <w:rPr>
          <w:rFonts w:cs="仿宋" w:asciiTheme="majorEastAsia" w:hAnsiTheme="majorEastAsia" w:eastAsiaTheme="majorEastAsia"/>
          <w:kern w:val="0"/>
          <w:sz w:val="28"/>
          <w:szCs w:val="28"/>
        </w:rPr>
      </w:pPr>
      <w:r>
        <w:rPr>
          <w:rFonts w:hint="eastAsia" w:cs="仿宋" w:asciiTheme="majorEastAsia" w:hAnsiTheme="majorEastAsia" w:eastAsiaTheme="majorEastAsia"/>
          <w:b/>
          <w:bCs/>
          <w:kern w:val="0"/>
          <w:sz w:val="28"/>
          <w:szCs w:val="28"/>
        </w:rPr>
        <w:t>附件一：</w:t>
      </w:r>
      <w:r>
        <w:rPr>
          <w:rFonts w:hint="eastAsia" w:cs="仿宋" w:asciiTheme="majorEastAsia" w:hAnsiTheme="majorEastAsia" w:eastAsiaTheme="majorEastAsia"/>
          <w:b/>
          <w:kern w:val="0"/>
          <w:sz w:val="28"/>
          <w:szCs w:val="28"/>
        </w:rPr>
        <w:t>多证合一承诺函</w:t>
      </w: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多证合一承诺函</w:t>
      </w:r>
    </w:p>
    <w:p>
      <w:pPr>
        <w:spacing w:before="240" w:after="240" w:line="360" w:lineRule="auto"/>
        <w:rPr>
          <w:rFonts w:cs="仿宋" w:asciiTheme="majorEastAsia" w:hAnsiTheme="majorEastAsia" w:eastAsiaTheme="majorEastAsia"/>
          <w:bCs/>
          <w:sz w:val="24"/>
        </w:rPr>
      </w:pPr>
      <w:r>
        <w:rPr>
          <w:rFonts w:hint="eastAsia" w:cs="仿宋" w:asciiTheme="majorEastAsia" w:hAnsiTheme="majorEastAsia" w:eastAsiaTheme="majorEastAsia"/>
          <w:bCs/>
          <w:sz w:val="24"/>
          <w:u w:val="single"/>
        </w:rPr>
        <w:t>（采购代理机构名称）</w:t>
      </w:r>
      <w:r>
        <w:rPr>
          <w:rFonts w:hint="eastAsia" w:cs="仿宋" w:asciiTheme="majorEastAsia" w:hAnsiTheme="majorEastAsia" w:eastAsiaTheme="majorEastAsia"/>
          <w:bCs/>
          <w:sz w:val="24"/>
        </w:rPr>
        <w:t>：</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我单位作为本次采购项目的供应商，现郑重承诺如下：</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根据本项目招标文件第</w:t>
      </w:r>
      <w:r>
        <w:rPr>
          <w:rFonts w:hint="eastAsia" w:cs="仿宋" w:asciiTheme="majorEastAsia" w:hAnsiTheme="majorEastAsia" w:eastAsiaTheme="majorEastAsia"/>
          <w:bCs/>
          <w:sz w:val="24"/>
          <w:lang w:val="en-US" w:eastAsia="zh-CN"/>
        </w:rPr>
        <w:t>五</w:t>
      </w:r>
      <w:r>
        <w:rPr>
          <w:rFonts w:hint="eastAsia" w:cs="仿宋" w:asciiTheme="majorEastAsia" w:hAnsiTheme="majorEastAsia" w:eastAsiaTheme="majorEastAsia"/>
          <w:bCs/>
          <w:sz w:val="24"/>
        </w:rPr>
        <w:t>章资格证明要求中第一项，我单位应具备</w:t>
      </w:r>
      <w:r>
        <w:rPr>
          <w:rFonts w:hint="eastAsia" w:cs="仿宋" w:asciiTheme="majorEastAsia" w:hAnsiTheme="majorEastAsia" w:eastAsiaTheme="majorEastAsia"/>
          <w:bCs/>
          <w:sz w:val="24"/>
          <w:u w:val="single"/>
          <w:lang w:val="en-US" w:eastAsia="zh-CN"/>
        </w:rPr>
        <w:t xml:space="preserve">    </w:t>
      </w:r>
      <w:r>
        <w:rPr>
          <w:rFonts w:hint="eastAsia" w:cs="仿宋" w:asciiTheme="majorEastAsia" w:hAnsiTheme="majorEastAsia" w:eastAsiaTheme="majorEastAsia"/>
          <w:bCs/>
          <w:sz w:val="24"/>
        </w:rPr>
        <w:t>（备案、登记、其他证照）。但因我单位所在地已对上述备案、登记、其他证照实行“多证合一”，故在此次采购活动中提供满足资格要求：（营业执照中对该备案、登记、其他证照的描述）的“多证合一”营业执照。</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我单位对上述承诺的内容事项真实性负责。如经查实上述承诺内容存在虚假，我单位愿意接受以提供虚假材料谋取成交追究法律责任。</w:t>
      </w:r>
    </w:p>
    <w:p>
      <w:pPr>
        <w:spacing w:line="360" w:lineRule="auto"/>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投标人名称（电子印章）：</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color w:val="000000"/>
          <w:sz w:val="24"/>
        </w:rPr>
        <w:t>日期：X年X月X日</w:t>
      </w:r>
    </w:p>
    <w:p>
      <w:pPr>
        <w:spacing w:line="360" w:lineRule="auto"/>
        <w:rPr>
          <w:rFonts w:cs="仿宋" w:asciiTheme="majorEastAsia" w:hAnsiTheme="majorEastAsia" w:eastAsiaTheme="majorEastAsia"/>
          <w:bCs/>
          <w:sz w:val="24"/>
        </w:rPr>
      </w:pPr>
    </w:p>
    <w:p>
      <w:pPr>
        <w:spacing w:line="360" w:lineRule="auto"/>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1.根据国务院办公厅关于加快推进“多证合一”改革的指导意见（国办发【2017】41号）等政策要求，</w:t>
      </w:r>
      <w:r>
        <w:rPr>
          <w:rFonts w:hint="eastAsia" w:cs="仿宋" w:asciiTheme="majorEastAsia" w:hAnsiTheme="majorEastAsia" w:eastAsiaTheme="majorEastAsia"/>
          <w:b/>
          <w:bCs/>
          <w:szCs w:val="21"/>
        </w:rPr>
        <w:t>若资格要求涉及的登记、备案等有关事项和各类证照已实行多证合一导致供应商无法提供该类证明材料的</w:t>
      </w:r>
      <w:r>
        <w:rPr>
          <w:rFonts w:hint="eastAsia" w:cs="仿宋" w:asciiTheme="majorEastAsia" w:hAnsiTheme="majorEastAsia" w:eastAsiaTheme="majorEastAsia"/>
          <w:bCs/>
          <w:szCs w:val="21"/>
        </w:rPr>
        <w:t>，供应商须提供该承诺。</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2.若已提供资格要求涉及的登记、备案等有关事项和各类证照的证明材料，无需提供该承诺。</w:t>
      </w:r>
    </w:p>
    <w:p>
      <w:pPr>
        <w:pStyle w:val="2"/>
        <w:rPr>
          <w:rFonts w:cs="仿宋" w:asciiTheme="majorEastAsia" w:hAnsiTheme="majorEastAsia" w:eastAsiaTheme="majorEastAsia"/>
          <w:bCs/>
          <w:szCs w:val="21"/>
        </w:rPr>
      </w:pPr>
      <w:r>
        <w:rPr>
          <w:rFonts w:cs="仿宋" w:asciiTheme="majorEastAsia" w:hAnsiTheme="majorEastAsia" w:eastAsiaTheme="majorEastAsia"/>
          <w:bCs/>
          <w:szCs w:val="21"/>
        </w:rPr>
        <w:t>3.若本项目资格要求不涉及，无需提供该承诺。</w:t>
      </w:r>
    </w:p>
    <w:p>
      <w:pPr>
        <w:spacing w:line="360" w:lineRule="auto"/>
        <w:rPr>
          <w:rFonts w:cs="仿宋" w:asciiTheme="majorEastAsia" w:hAnsiTheme="majorEastAsia" w:eastAsiaTheme="majorEastAsia"/>
          <w:bCs/>
          <w:szCs w:val="21"/>
        </w:rPr>
      </w:pPr>
    </w:p>
    <w:p>
      <w:pPr>
        <w:pStyle w:val="2"/>
      </w:pPr>
    </w:p>
    <w:p>
      <w:pPr>
        <w:sectPr>
          <w:pgSz w:w="11905" w:h="16838"/>
          <w:pgMar w:top="1843" w:right="1701" w:bottom="1417" w:left="1418" w:header="851" w:footer="992" w:gutter="0"/>
          <w:cols w:space="0" w:num="1"/>
          <w:docGrid w:linePitch="312" w:charSpace="0"/>
        </w:sectPr>
      </w:pPr>
    </w:p>
    <w:bookmarkEnd w:id="139"/>
    <w:p>
      <w:pPr>
        <w:spacing w:line="360" w:lineRule="auto"/>
        <w:jc w:val="center"/>
        <w:rPr>
          <w:rFonts w:cs="仿宋" w:asciiTheme="majorEastAsia" w:hAnsiTheme="majorEastAsia" w:eastAsiaTheme="majorEastAsia"/>
          <w:b/>
          <w:sz w:val="52"/>
          <w:szCs w:val="52"/>
          <w:u w:val="single"/>
        </w:rPr>
      </w:pPr>
      <w:bookmarkStart w:id="158" w:name="_Toc217446085"/>
    </w:p>
    <w:p>
      <w:pPr>
        <w:spacing w:line="360" w:lineRule="auto"/>
        <w:jc w:val="center"/>
        <w:rPr>
          <w:rFonts w:cs="仿宋" w:asciiTheme="majorEastAsia" w:hAnsiTheme="majorEastAsia" w:eastAsiaTheme="majorEastAsia"/>
          <w:b/>
          <w:color w:val="FF0000"/>
          <w:sz w:val="48"/>
          <w:szCs w:val="48"/>
          <w:u w:val="single"/>
        </w:rPr>
      </w:pP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b/>
          <w:sz w:val="48"/>
          <w:szCs w:val="48"/>
        </w:rPr>
      </w:pPr>
    </w:p>
    <w:p>
      <w:pPr>
        <w:spacing w:line="360" w:lineRule="auto"/>
        <w:jc w:val="center"/>
        <w:rPr>
          <w:rFonts w:cs="仿宋" w:asciiTheme="majorEastAsia" w:hAnsiTheme="majorEastAsia" w:eastAsiaTheme="majorEastAsia"/>
          <w:sz w:val="72"/>
          <w:szCs w:val="72"/>
        </w:rPr>
      </w:pPr>
    </w:p>
    <w:p>
      <w:pPr>
        <w:spacing w:line="360" w:lineRule="auto"/>
        <w:jc w:val="center"/>
        <w:rPr>
          <w:rFonts w:ascii="黑体" w:hAnsi="黑体" w:eastAsia="黑体" w:cs="仿宋"/>
          <w:sz w:val="72"/>
          <w:szCs w:val="72"/>
        </w:rPr>
      </w:pPr>
      <w:r>
        <w:rPr>
          <w:rFonts w:hint="eastAsia" w:ascii="黑体" w:hAnsi="黑体" w:eastAsia="黑体" w:cs="仿宋"/>
          <w:sz w:val="72"/>
          <w:szCs w:val="72"/>
        </w:rPr>
        <w:t>投 标</w:t>
      </w:r>
      <w:r>
        <w:rPr>
          <w:rFonts w:ascii="黑体" w:hAnsi="黑体" w:eastAsia="黑体" w:cs="仿宋"/>
          <w:sz w:val="72"/>
          <w:szCs w:val="72"/>
        </w:rPr>
        <w:t xml:space="preserve"> 文 件</w:t>
      </w:r>
    </w:p>
    <w:p>
      <w:pPr>
        <w:spacing w:line="360" w:lineRule="auto"/>
        <w:jc w:val="center"/>
        <w:rPr>
          <w:rFonts w:cs="仿宋" w:asciiTheme="majorEastAsia" w:hAnsiTheme="majorEastAsia" w:eastAsiaTheme="majorEastAsia"/>
          <w:sz w:val="36"/>
          <w:szCs w:val="44"/>
        </w:rPr>
      </w:pPr>
      <w:r>
        <w:rPr>
          <w:rFonts w:cs="仿宋" w:asciiTheme="majorEastAsia" w:hAnsiTheme="majorEastAsia" w:eastAsiaTheme="majorEastAsia"/>
          <w:sz w:val="36"/>
          <w:szCs w:val="44"/>
        </w:rPr>
        <w:t>(</w:t>
      </w:r>
      <w:r>
        <w:rPr>
          <w:rFonts w:hint="eastAsia" w:cs="仿宋" w:asciiTheme="majorEastAsia" w:hAnsiTheme="majorEastAsia" w:eastAsiaTheme="majorEastAsia"/>
          <w:sz w:val="36"/>
          <w:szCs w:val="44"/>
        </w:rPr>
        <w:t>技术商务报价</w:t>
      </w:r>
      <w:r>
        <w:rPr>
          <w:rFonts w:cs="仿宋" w:asciiTheme="majorEastAsia" w:hAnsiTheme="majorEastAsia" w:eastAsiaTheme="majorEastAsia"/>
          <w:sz w:val="36"/>
          <w:szCs w:val="44"/>
        </w:rPr>
        <w:t>部分)</w:t>
      </w: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p>
    <w:p>
      <w:pPr>
        <w:widowControl/>
        <w:spacing w:line="360" w:lineRule="auto"/>
        <w:ind w:firstLine="960" w:firstLineChars="400"/>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before="480" w:beforeLines="200" w:after="360" w:afterLines="150" w:line="360" w:lineRule="auto"/>
        <w:jc w:val="center"/>
        <w:rPr>
          <w:rFonts w:cs="仿宋" w:asciiTheme="majorEastAsia" w:hAnsiTheme="majorEastAsia" w:eastAsiaTheme="majorEastAsia"/>
          <w:b/>
          <w:sz w:val="30"/>
          <w:szCs w:val="30"/>
        </w:rPr>
        <w:sectPr>
          <w:pgSz w:w="11906" w:h="16838"/>
          <w:pgMar w:top="1843" w:right="1701" w:bottom="1417" w:left="1418" w:header="851" w:footer="992" w:gutter="0"/>
          <w:cols w:space="720" w:num="1"/>
          <w:docGrid w:linePitch="312" w:charSpace="0"/>
        </w:sectPr>
      </w:pPr>
    </w:p>
    <w:p>
      <w:pPr>
        <w:spacing w:line="360" w:lineRule="auto"/>
        <w:jc w:val="left"/>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格式</w:t>
      </w:r>
      <w:r>
        <w:rPr>
          <w:rFonts w:cs="仿宋" w:asciiTheme="majorEastAsia" w:hAnsiTheme="majorEastAsia" w:eastAsiaTheme="majorEastAsia"/>
          <w:b/>
          <w:color w:val="000000"/>
          <w:sz w:val="28"/>
          <w:szCs w:val="28"/>
        </w:rPr>
        <w:t>2-1</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一、投标函</w:t>
      </w:r>
    </w:p>
    <w:p>
      <w:pPr>
        <w:spacing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我方全面研究了</w:t>
      </w:r>
      <w:r>
        <w:rPr>
          <w:rFonts w:hint="eastAsia" w:cs="仿宋" w:asciiTheme="majorEastAsia" w:hAnsiTheme="majorEastAsia" w:eastAsiaTheme="majorEastAsia"/>
          <w:bCs/>
          <w:color w:val="000000"/>
          <w:sz w:val="24"/>
          <w:u w:val="single"/>
        </w:rPr>
        <w:t>（项目名称）</w:t>
      </w:r>
      <w:r>
        <w:rPr>
          <w:rFonts w:hint="eastAsia" w:cs="仿宋" w:asciiTheme="majorEastAsia" w:hAnsiTheme="majorEastAsia" w:eastAsiaTheme="majorEastAsia"/>
          <w:bCs/>
          <w:color w:val="000000"/>
          <w:sz w:val="24"/>
        </w:rPr>
        <w:t>（招标编号：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）（包号：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）招标文件，决定参加贵单位组织的本项目投标。我方授权</w:t>
      </w:r>
      <w:r>
        <w:rPr>
          <w:rFonts w:hint="eastAsia" w:cs="仿宋" w:asciiTheme="majorEastAsia" w:hAnsiTheme="majorEastAsia" w:eastAsiaTheme="majorEastAsia"/>
          <w:bCs/>
          <w:color w:val="000000"/>
          <w:sz w:val="24"/>
          <w:u w:val="single"/>
        </w:rPr>
        <w:t>（姓名、职务）</w:t>
      </w:r>
      <w:r>
        <w:rPr>
          <w:rFonts w:hint="eastAsia" w:cs="仿宋" w:asciiTheme="majorEastAsia" w:hAnsiTheme="majorEastAsia" w:eastAsiaTheme="majorEastAsia"/>
          <w:bCs/>
          <w:color w:val="000000"/>
          <w:sz w:val="24"/>
        </w:rPr>
        <w:t>代表我方</w:t>
      </w:r>
      <w:r>
        <w:rPr>
          <w:rFonts w:hint="eastAsia" w:cs="仿宋" w:asciiTheme="majorEastAsia" w:hAnsiTheme="majorEastAsia" w:eastAsiaTheme="majorEastAsia"/>
          <w:bCs/>
          <w:color w:val="000000"/>
          <w:sz w:val="24"/>
          <w:u w:val="single"/>
        </w:rPr>
        <w:t>（投标单位的名称）</w:t>
      </w:r>
      <w:r>
        <w:rPr>
          <w:rFonts w:hint="eastAsia" w:cs="仿宋" w:asciiTheme="majorEastAsia" w:hAnsiTheme="majorEastAsia" w:eastAsiaTheme="majorEastAsia"/>
          <w:bCs/>
          <w:color w:val="000000"/>
          <w:sz w:val="24"/>
        </w:rPr>
        <w:t>全权处理本项目投标的有关事宜。</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一、我方自愿按照招标文件规定的各项要求向采购人提供所需服务及货物，投标报价以《开标一览表》为准。</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二、一旦我方中标，我方将严格履行政府采购合同规定的责任和义务。</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三、我方同意本次招标的投标有效期为投标截止时间届满后</w:t>
      </w:r>
      <w:r>
        <w:rPr>
          <w:rFonts w:hint="eastAsia" w:cs="仿宋" w:asciiTheme="majorEastAsia" w:hAnsiTheme="majorEastAsia" w:eastAsiaTheme="majorEastAsia"/>
          <w:b/>
          <w:sz w:val="24"/>
        </w:rPr>
        <w:t>【】日</w:t>
      </w:r>
      <w:r>
        <w:rPr>
          <w:rFonts w:hint="eastAsia" w:cs="仿宋" w:asciiTheme="majorEastAsia" w:hAnsiTheme="majorEastAsia" w:eastAsiaTheme="majorEastAsia"/>
          <w:sz w:val="24"/>
        </w:rPr>
        <w:t>，</w:t>
      </w:r>
      <w:r>
        <w:rPr>
          <w:rFonts w:cs="仿宋" w:asciiTheme="majorEastAsia" w:hAnsiTheme="majorEastAsia" w:eastAsiaTheme="majorEastAsia"/>
          <w:sz w:val="24"/>
        </w:rPr>
        <w:t>并满足招标文件</w:t>
      </w:r>
      <w:r>
        <w:rPr>
          <w:rFonts w:hint="eastAsia" w:cs="仿宋" w:asciiTheme="majorEastAsia" w:hAnsiTheme="majorEastAsia" w:eastAsiaTheme="majorEastAsia"/>
          <w:sz w:val="24"/>
        </w:rPr>
        <w:t>中其他</w:t>
      </w:r>
      <w:r>
        <w:rPr>
          <w:rFonts w:cs="仿宋" w:asciiTheme="majorEastAsia" w:hAnsiTheme="majorEastAsia" w:eastAsiaTheme="majorEastAsia"/>
          <w:sz w:val="24"/>
        </w:rPr>
        <w:t>关于</w:t>
      </w:r>
      <w:r>
        <w:rPr>
          <w:rFonts w:hint="eastAsia" w:cs="仿宋" w:asciiTheme="majorEastAsia" w:hAnsiTheme="majorEastAsia" w:eastAsiaTheme="majorEastAsia"/>
          <w:sz w:val="24"/>
        </w:rPr>
        <w:t>投标有效期的</w:t>
      </w:r>
      <w:r>
        <w:rPr>
          <w:rFonts w:cs="仿宋" w:asciiTheme="majorEastAsia" w:hAnsiTheme="majorEastAsia" w:eastAsiaTheme="majorEastAsia"/>
          <w:sz w:val="24"/>
        </w:rPr>
        <w:t>实质性要求</w:t>
      </w:r>
      <w:r>
        <w:rPr>
          <w:rFonts w:hint="eastAsia" w:cs="仿宋" w:asciiTheme="majorEastAsia" w:hAnsiTheme="majorEastAsia" w:eastAsiaTheme="majorEastAsia"/>
          <w:sz w:val="24"/>
        </w:rPr>
        <w:t>。</w:t>
      </w:r>
    </w:p>
    <w:p>
      <w:pPr>
        <w:widowControl/>
        <w:spacing w:line="360" w:lineRule="auto"/>
        <w:ind w:firstLine="470" w:firstLineChars="196"/>
        <w:jc w:val="left"/>
        <w:outlineLvl w:val="1"/>
        <w:rPr>
          <w:rFonts w:hint="eastAsia" w:cs="仿宋" w:asciiTheme="majorEastAsia" w:hAnsiTheme="majorEastAsia" w:eastAsiaTheme="majorEastAsia"/>
          <w:sz w:val="24"/>
        </w:rPr>
      </w:pPr>
      <w:r>
        <w:rPr>
          <w:rFonts w:hint="eastAsia" w:cs="仿宋" w:asciiTheme="majorEastAsia" w:hAnsiTheme="majorEastAsia" w:eastAsiaTheme="majorEastAsia"/>
          <w:sz w:val="24"/>
        </w:rPr>
        <w:t>四、我方愿意提供贵单位可能另外要求的，与投标有关的文件资料，并保证我方已提供和将要提供的文件资料是真实、准确的。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hint="eastAsia" w:cs="仿宋" w:asciiTheme="majorEastAsia" w:hAnsiTheme="majorEastAsia" w:eastAsiaTheme="majorEastAsia"/>
          <w:sz w:val="24"/>
        </w:rPr>
      </w:pPr>
      <w:r>
        <w:rPr>
          <w:rFonts w:hint="eastAsia" w:cs="仿宋" w:asciiTheme="majorEastAsia" w:hAnsiTheme="majorEastAsia" w:eastAsiaTheme="majorEastAsia"/>
          <w:sz w:val="24"/>
        </w:rPr>
        <w:t>五、我方承诺在参加本项目投标过程中，已认真研读并充分理解招标文件及招标公告的相关内容，完全识别招标投标相关风险(含不利因素)并已采取有效的风险防控应对措施，积极主动尽职尽责，愿意承担错过在“政府采购云平台”递交电子投标文件时间、错过开标解密时间、错过澄清、说明、补正时间、以及电子签章过期或失效、投标人电脑终端或系统故障、投标人网络不稳定或故障等情形(不可抗力因素除外)所导致的一切不利后果。</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六、我方充分认识，理解、包容电子招投标过程中可能出现的细微偏差、瑕疵、不足、失误等(影响公平竞争的除外)情形，并积极将发现的具体问题向招标采购单位如实反映。</w:t>
      </w:r>
    </w:p>
    <w:p>
      <w:pPr>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sz w:val="24"/>
        </w:rPr>
        <w:t>电子印章</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通讯地址：</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邮政编码：</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联系电话：</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传    真：</w:t>
      </w:r>
    </w:p>
    <w:p>
      <w:pPr>
        <w:widowControl/>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ind w:firstLine="211" w:firstLineChars="100"/>
        <w:rPr>
          <w:rFonts w:cs="仿宋" w:asciiTheme="majorEastAsia" w:hAnsiTheme="majorEastAsia" w:eastAsiaTheme="majorEastAsia"/>
          <w:b/>
          <w:bCs/>
          <w:szCs w:val="21"/>
        </w:rPr>
      </w:pPr>
    </w:p>
    <w:p>
      <w:pPr>
        <w:pStyle w:val="2"/>
      </w:pPr>
    </w:p>
    <w:p/>
    <w:p>
      <w:pPr>
        <w:spacing w:line="360" w:lineRule="auto"/>
        <w:rPr>
          <w:rFonts w:cs="仿宋" w:asciiTheme="majorEastAsia" w:hAnsiTheme="majorEastAsia" w:eastAsiaTheme="majorEastAsia"/>
          <w:sz w:val="24"/>
          <w:u w:val="single"/>
        </w:rPr>
        <w:sectPr>
          <w:pgSz w:w="11906" w:h="16838"/>
          <w:pgMar w:top="1843" w:right="1701" w:bottom="1440"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2-2</w:t>
      </w:r>
    </w:p>
    <w:p>
      <w:pPr>
        <w:spacing w:before="240" w:after="240" w:line="360" w:lineRule="auto"/>
        <w:ind w:firstLine="424" w:firstLineChars="15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二、开标一览表</w:t>
      </w:r>
    </w:p>
    <w:p>
      <w:pPr>
        <w:spacing w:line="360" w:lineRule="auto"/>
        <w:ind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包号</w:t>
      </w:r>
      <w:r>
        <w:rPr>
          <w:rFonts w:cs="仿宋" w:asciiTheme="majorEastAsia" w:hAnsiTheme="majorEastAsia" w:eastAsiaTheme="majorEastAsia"/>
          <w:sz w:val="24"/>
        </w:rPr>
        <w:t>：</w:t>
      </w:r>
      <w:r>
        <w:rPr>
          <w:rFonts w:hint="eastAsia" w:cs="仿宋" w:asciiTheme="majorEastAsia" w:hAnsiTheme="majorEastAsia" w:eastAsiaTheme="majorEastAsia"/>
          <w:sz w:val="24"/>
        </w:rPr>
        <w:t xml:space="preserve">                                                          </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3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1"/>
        <w:gridCol w:w="63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1961" w:type="dxa"/>
            <w:tcBorders>
              <w:top w:val="double" w:color="000000" w:sz="6" w:space="0"/>
              <w:left w:val="double" w:color="000000" w:sz="6" w:space="0"/>
              <w:bottom w:val="sing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项目名称</w:t>
            </w:r>
          </w:p>
        </w:tc>
        <w:tc>
          <w:tcPr>
            <w:tcW w:w="6360" w:type="dxa"/>
            <w:tcBorders>
              <w:top w:val="doub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jc w:val="center"/>
        </w:trPr>
        <w:tc>
          <w:tcPr>
            <w:tcW w:w="1961" w:type="dxa"/>
            <w:tcBorders>
              <w:top w:val="single" w:color="000000" w:sz="6" w:space="0"/>
              <w:left w:val="double" w:color="000000" w:sz="6" w:space="0"/>
              <w:bottom w:val="sing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招标编号</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87" w:hRule="atLeast"/>
          <w:jc w:val="center"/>
        </w:trPr>
        <w:tc>
          <w:tcPr>
            <w:tcW w:w="1961" w:type="dxa"/>
            <w:tcBorders>
              <w:top w:val="single" w:color="auto" w:sz="4" w:space="0"/>
              <w:left w:val="double" w:color="000000" w:sz="6" w:space="0"/>
              <w:bottom w:val="single" w:color="auto" w:sz="4"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投标总价（元）</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（大写）</w:t>
            </w:r>
          </w:p>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（小写）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79" w:hRule="atLeast"/>
          <w:jc w:val="center"/>
        </w:trPr>
        <w:tc>
          <w:tcPr>
            <w:tcW w:w="1961" w:type="dxa"/>
            <w:tcBorders>
              <w:top w:val="single" w:color="auto" w:sz="4" w:space="0"/>
              <w:left w:val="double" w:color="000000" w:sz="6" w:space="0"/>
              <w:bottom w:val="single" w:color="auto" w:sz="4"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合同履行期限（实施工期要求）</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3" w:hRule="atLeast"/>
          <w:jc w:val="center"/>
        </w:trPr>
        <w:tc>
          <w:tcPr>
            <w:tcW w:w="1961" w:type="dxa"/>
            <w:tcBorders>
              <w:top w:val="single" w:color="auto" w:sz="4" w:space="0"/>
              <w:left w:val="double" w:color="000000" w:sz="6" w:space="0"/>
              <w:bottom w:val="doub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备注</w:t>
            </w:r>
          </w:p>
        </w:tc>
        <w:tc>
          <w:tcPr>
            <w:tcW w:w="6360" w:type="dxa"/>
            <w:tcBorders>
              <w:top w:val="single" w:color="000000" w:sz="6" w:space="0"/>
              <w:left w:val="single" w:color="000000" w:sz="6" w:space="0"/>
              <w:bottom w:val="double" w:color="000000" w:sz="6" w:space="0"/>
              <w:right w:val="double" w:color="000000" w:sz="6" w:space="0"/>
            </w:tcBorders>
            <w:vAlign w:val="bottom"/>
          </w:tcPr>
          <w:p>
            <w:pPr>
              <w:snapToGrid w:val="0"/>
              <w:spacing w:line="360" w:lineRule="auto"/>
              <w:jc w:val="center"/>
              <w:rPr>
                <w:rFonts w:cs="仿宋" w:asciiTheme="majorEastAsia" w:hAnsiTheme="majorEastAsia" w:eastAsiaTheme="majorEastAsia"/>
                <w:sz w:val="24"/>
              </w:rPr>
            </w:pPr>
          </w:p>
        </w:tc>
      </w:tr>
    </w:tbl>
    <w:p>
      <w:pPr>
        <w:spacing w:before="240" w:line="360" w:lineRule="auto"/>
        <w:ind w:left="796" w:leftChars="29" w:hanging="735" w:hangingChars="350"/>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p>
    <w:p>
      <w:pPr>
        <w:numPr>
          <w:ilvl w:val="0"/>
          <w:numId w:val="6"/>
        </w:numPr>
        <w:spacing w:line="360" w:lineRule="auto"/>
        <w:ind w:left="434" w:leftChars="29" w:hanging="373" w:hangingChars="178"/>
        <w:jc w:val="left"/>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报价应是最终用户验收合格后的总价，包括但不限于</w:t>
      </w:r>
      <w:r>
        <w:rPr>
          <w:rFonts w:hint="eastAsia" w:cs="仿宋" w:asciiTheme="majorEastAsia" w:hAnsiTheme="majorEastAsia" w:eastAsiaTheme="majorEastAsia"/>
          <w:szCs w:val="21"/>
        </w:rPr>
        <w:t>人工、代理、培训、税费</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利润和完成</w:t>
      </w:r>
      <w:r>
        <w:rPr>
          <w:rFonts w:hint="eastAsia" w:cs="仿宋" w:asciiTheme="majorEastAsia" w:hAnsiTheme="majorEastAsia" w:eastAsiaTheme="majorEastAsia"/>
          <w:szCs w:val="21"/>
        </w:rPr>
        <w:t>本项目的所有费用。</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2.</w:t>
      </w:r>
      <w:r>
        <w:rPr>
          <w:rFonts w:hint="eastAsia" w:cs="仿宋" w:asciiTheme="majorEastAsia" w:hAnsiTheme="majorEastAsia" w:eastAsiaTheme="majorEastAsia"/>
          <w:color w:val="000000"/>
          <w:szCs w:val="21"/>
        </w:rPr>
        <w:t>“开标一览表”以包为单位填写。</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“开标一览表”投标总价应与“分项报价明细表”分项报价合计一致。</w:t>
      </w:r>
    </w:p>
    <w:p>
      <w:pPr>
        <w:spacing w:line="360" w:lineRule="auto"/>
        <w:ind w:firstLine="105" w:firstLineChars="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4．其它：。</w:t>
      </w:r>
    </w:p>
    <w:p>
      <w:pPr>
        <w:spacing w:line="360" w:lineRule="auto"/>
        <w:ind w:firstLine="480" w:firstLineChars="200"/>
        <w:jc w:val="left"/>
        <w:rPr>
          <w:rFonts w:cs="仿宋" w:asciiTheme="majorEastAsia" w:hAnsiTheme="majorEastAsia" w:eastAsiaTheme="majorEastAsia"/>
          <w:color w:val="000000"/>
          <w:sz w:val="24"/>
          <w:szCs w:val="20"/>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投标人名称（电子印章）：</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center"/>
        <w:rPr>
          <w:rFonts w:cs="仿宋" w:asciiTheme="majorEastAsia" w:hAnsiTheme="majorEastAsia" w:eastAsiaTheme="majorEastAsia"/>
          <w:b/>
          <w:sz w:val="32"/>
          <w:szCs w:val="32"/>
        </w:rPr>
        <w:sectPr>
          <w:headerReference r:id="rId10" w:type="default"/>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2-3</w:t>
      </w:r>
    </w:p>
    <w:p>
      <w:pPr>
        <w:spacing w:before="240" w:after="240" w:line="360" w:lineRule="auto"/>
        <w:jc w:val="center"/>
        <w:rPr>
          <w:rFonts w:cs="仿宋" w:asciiTheme="majorEastAsia" w:hAnsiTheme="majorEastAsia" w:eastAsiaTheme="majorEastAsia"/>
          <w:color w:val="000000"/>
          <w:kern w:val="0"/>
          <w:sz w:val="24"/>
        </w:rPr>
      </w:pPr>
      <w:r>
        <w:rPr>
          <w:rFonts w:hint="eastAsia" w:cs="仿宋" w:asciiTheme="majorEastAsia" w:hAnsiTheme="majorEastAsia" w:eastAsiaTheme="majorEastAsia"/>
          <w:b/>
          <w:sz w:val="28"/>
          <w:szCs w:val="28"/>
        </w:rPr>
        <w:t>三、分项报价明细表</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sz w:val="24"/>
        </w:rPr>
        <w:t>包号：第X包</w:t>
      </w:r>
    </w:p>
    <w:tbl>
      <w:tblPr>
        <w:tblStyle w:val="33"/>
        <w:tblW w:w="9784"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50"/>
        <w:gridCol w:w="683"/>
        <w:gridCol w:w="700"/>
        <w:gridCol w:w="684"/>
        <w:gridCol w:w="666"/>
        <w:gridCol w:w="800"/>
        <w:gridCol w:w="784"/>
        <w:gridCol w:w="646"/>
        <w:gridCol w:w="1020"/>
        <w:gridCol w:w="118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7"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序号</w:t>
            </w:r>
          </w:p>
        </w:tc>
        <w:tc>
          <w:tcPr>
            <w:tcW w:w="6633" w:type="dxa"/>
            <w:gridSpan w:val="9"/>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服务内容</w:t>
            </w:r>
          </w:p>
        </w:tc>
        <w:tc>
          <w:tcPr>
            <w:tcW w:w="1184"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单项价格（元）</w:t>
            </w:r>
          </w:p>
        </w:tc>
        <w:tc>
          <w:tcPr>
            <w:tcW w:w="1250"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lang w:val="en-US" w:eastAsia="zh-CN"/>
              </w:rPr>
              <w:t>小计</w:t>
            </w:r>
            <w:r>
              <w:rPr>
                <w:rFonts w:hint="eastAsia" w:cs="仿宋" w:asciiTheme="majorEastAsia" w:hAnsiTheme="majorEastAsia" w:eastAsiaTheme="majorEastAsia"/>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7"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1</w:t>
            </w:r>
          </w:p>
        </w:tc>
        <w:tc>
          <w:tcPr>
            <w:tcW w:w="6633" w:type="dxa"/>
            <w:gridSpan w:val="9"/>
            <w:vAlign w:val="center"/>
          </w:tcPr>
          <w:p>
            <w:pPr>
              <w:spacing w:line="360" w:lineRule="auto"/>
              <w:jc w:val="center"/>
              <w:rPr>
                <w:rFonts w:hint="eastAsia" w:cs="仿宋" w:asciiTheme="majorEastAsia" w:hAnsiTheme="majorEastAsia" w:eastAsiaTheme="majorEastAsia"/>
                <w:color w:val="000000"/>
                <w:szCs w:val="21"/>
              </w:rPr>
            </w:pPr>
          </w:p>
        </w:tc>
        <w:tc>
          <w:tcPr>
            <w:tcW w:w="1184" w:type="dxa"/>
            <w:vAlign w:val="center"/>
          </w:tcPr>
          <w:p>
            <w:pPr>
              <w:spacing w:line="360" w:lineRule="auto"/>
              <w:jc w:val="center"/>
              <w:rPr>
                <w:rFonts w:hint="eastAsia" w:cs="仿宋" w:asciiTheme="majorEastAsia" w:hAnsiTheme="majorEastAsia" w:eastAsiaTheme="majorEastAsia"/>
                <w:color w:val="000000"/>
                <w:szCs w:val="21"/>
              </w:rPr>
            </w:pPr>
          </w:p>
        </w:tc>
        <w:tc>
          <w:tcPr>
            <w:tcW w:w="1250" w:type="dxa"/>
            <w:vAlign w:val="center"/>
          </w:tcPr>
          <w:p>
            <w:pPr>
              <w:spacing w:line="360" w:lineRule="auto"/>
              <w:jc w:val="center"/>
              <w:rPr>
                <w:rFonts w:hint="eastAsia"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7"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2</w:t>
            </w:r>
          </w:p>
        </w:tc>
        <w:tc>
          <w:tcPr>
            <w:tcW w:w="6633" w:type="dxa"/>
            <w:gridSpan w:val="9"/>
            <w:vAlign w:val="center"/>
          </w:tcPr>
          <w:p>
            <w:pPr>
              <w:spacing w:line="360" w:lineRule="auto"/>
              <w:jc w:val="center"/>
              <w:rPr>
                <w:rFonts w:hint="eastAsia" w:cs="仿宋" w:asciiTheme="majorEastAsia" w:hAnsiTheme="majorEastAsia" w:eastAsiaTheme="majorEastAsia"/>
                <w:color w:val="000000"/>
                <w:szCs w:val="21"/>
              </w:rPr>
            </w:pPr>
          </w:p>
        </w:tc>
        <w:tc>
          <w:tcPr>
            <w:tcW w:w="1184" w:type="dxa"/>
            <w:vAlign w:val="center"/>
          </w:tcPr>
          <w:p>
            <w:pPr>
              <w:spacing w:line="360" w:lineRule="auto"/>
              <w:jc w:val="center"/>
              <w:rPr>
                <w:rFonts w:hint="eastAsia" w:cs="仿宋" w:asciiTheme="majorEastAsia" w:hAnsiTheme="majorEastAsia" w:eastAsiaTheme="majorEastAsia"/>
                <w:color w:val="000000"/>
                <w:szCs w:val="21"/>
              </w:rPr>
            </w:pPr>
          </w:p>
        </w:tc>
        <w:tc>
          <w:tcPr>
            <w:tcW w:w="1250" w:type="dxa"/>
            <w:vAlign w:val="center"/>
          </w:tcPr>
          <w:p>
            <w:pPr>
              <w:spacing w:line="360" w:lineRule="auto"/>
              <w:jc w:val="center"/>
              <w:rPr>
                <w:rFonts w:hint="eastAsia"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7"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w:t>
            </w:r>
          </w:p>
        </w:tc>
        <w:tc>
          <w:tcPr>
            <w:tcW w:w="6633" w:type="dxa"/>
            <w:gridSpan w:val="9"/>
            <w:vAlign w:val="center"/>
          </w:tcPr>
          <w:p>
            <w:pPr>
              <w:spacing w:line="360" w:lineRule="auto"/>
              <w:jc w:val="center"/>
              <w:rPr>
                <w:rFonts w:hint="eastAsia" w:cs="仿宋" w:asciiTheme="majorEastAsia" w:hAnsiTheme="majorEastAsia" w:eastAsiaTheme="majorEastAsia"/>
                <w:color w:val="000000"/>
                <w:szCs w:val="21"/>
              </w:rPr>
            </w:pPr>
          </w:p>
        </w:tc>
        <w:tc>
          <w:tcPr>
            <w:tcW w:w="1184" w:type="dxa"/>
            <w:vAlign w:val="center"/>
          </w:tcPr>
          <w:p>
            <w:pPr>
              <w:spacing w:line="360" w:lineRule="auto"/>
              <w:jc w:val="center"/>
              <w:rPr>
                <w:rFonts w:hint="eastAsia" w:cs="仿宋" w:asciiTheme="majorEastAsia" w:hAnsiTheme="majorEastAsia" w:eastAsiaTheme="majorEastAsia"/>
                <w:color w:val="000000"/>
                <w:szCs w:val="21"/>
              </w:rPr>
            </w:pPr>
          </w:p>
        </w:tc>
        <w:tc>
          <w:tcPr>
            <w:tcW w:w="1250" w:type="dxa"/>
            <w:vAlign w:val="center"/>
          </w:tcPr>
          <w:p>
            <w:pPr>
              <w:spacing w:line="360" w:lineRule="auto"/>
              <w:jc w:val="center"/>
              <w:rPr>
                <w:rFonts w:hint="eastAsia" w:cs="仿宋"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17"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序号</w:t>
            </w:r>
          </w:p>
        </w:tc>
        <w:tc>
          <w:tcPr>
            <w:tcW w:w="650"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商品</w:t>
            </w:r>
          </w:p>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名称</w:t>
            </w:r>
          </w:p>
        </w:tc>
        <w:tc>
          <w:tcPr>
            <w:tcW w:w="683"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品牌</w:t>
            </w:r>
          </w:p>
        </w:tc>
        <w:tc>
          <w:tcPr>
            <w:tcW w:w="700"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规格型号</w:t>
            </w:r>
          </w:p>
        </w:tc>
        <w:tc>
          <w:tcPr>
            <w:tcW w:w="684"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制造商家</w:t>
            </w:r>
          </w:p>
        </w:tc>
        <w:tc>
          <w:tcPr>
            <w:tcW w:w="666"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产地</w:t>
            </w:r>
          </w:p>
        </w:tc>
        <w:tc>
          <w:tcPr>
            <w:tcW w:w="800"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商品属性</w:t>
            </w:r>
          </w:p>
        </w:tc>
        <w:tc>
          <w:tcPr>
            <w:tcW w:w="784"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计量单位</w:t>
            </w:r>
          </w:p>
        </w:tc>
        <w:tc>
          <w:tcPr>
            <w:tcW w:w="646" w:type="dxa"/>
            <w:vAlign w:val="center"/>
          </w:tcPr>
          <w:p>
            <w:pPr>
              <w:spacing w:line="360" w:lineRule="auto"/>
              <w:jc w:val="center"/>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采购数量</w:t>
            </w:r>
          </w:p>
        </w:tc>
        <w:tc>
          <w:tcPr>
            <w:tcW w:w="1020"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是否进口产品</w:t>
            </w:r>
          </w:p>
        </w:tc>
        <w:tc>
          <w:tcPr>
            <w:tcW w:w="1184"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单价（元）</w:t>
            </w:r>
          </w:p>
        </w:tc>
        <w:tc>
          <w:tcPr>
            <w:tcW w:w="1250" w:type="dxa"/>
            <w:vAlign w:val="center"/>
          </w:tcPr>
          <w:p>
            <w:pPr>
              <w:spacing w:line="360" w:lineRule="auto"/>
              <w:jc w:val="center"/>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lang w:val="en-US" w:eastAsia="zh-CN"/>
              </w:rPr>
              <w:t>小计</w:t>
            </w:r>
            <w:r>
              <w:rPr>
                <w:rFonts w:hint="eastAsia" w:cs="仿宋" w:asciiTheme="majorEastAsia" w:hAnsiTheme="majorEastAsia" w:eastAsiaTheme="majorEastAsia"/>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7" w:type="dxa"/>
            <w:vAlign w:val="center"/>
          </w:tcPr>
          <w:p>
            <w:pPr>
              <w:spacing w:line="360" w:lineRule="auto"/>
              <w:jc w:val="center"/>
              <w:rPr>
                <w:rFonts w:cs="仿宋" w:asciiTheme="majorEastAsia" w:hAnsiTheme="majorEastAsia" w:eastAsiaTheme="majorEastAsia"/>
                <w:color w:val="000000"/>
                <w:sz w:val="24"/>
              </w:rPr>
            </w:pPr>
            <w:r>
              <w:rPr>
                <w:rFonts w:cs="仿宋" w:asciiTheme="majorEastAsia" w:hAnsiTheme="majorEastAsia" w:eastAsiaTheme="majorEastAsia"/>
                <w:sz w:val="24"/>
              </w:rPr>
              <w:t>1</w:t>
            </w:r>
          </w:p>
        </w:tc>
        <w:tc>
          <w:tcPr>
            <w:tcW w:w="650" w:type="dxa"/>
            <w:vAlign w:val="center"/>
          </w:tcPr>
          <w:p>
            <w:pPr>
              <w:spacing w:line="360" w:lineRule="auto"/>
              <w:jc w:val="center"/>
              <w:rPr>
                <w:rFonts w:cs="仿宋" w:asciiTheme="majorEastAsia" w:hAnsiTheme="majorEastAsia" w:eastAsiaTheme="majorEastAsia"/>
                <w:color w:val="000000"/>
                <w:sz w:val="24"/>
              </w:rPr>
            </w:pPr>
          </w:p>
        </w:tc>
        <w:tc>
          <w:tcPr>
            <w:tcW w:w="683" w:type="dxa"/>
            <w:vAlign w:val="center"/>
          </w:tcPr>
          <w:p>
            <w:pPr>
              <w:spacing w:line="360" w:lineRule="auto"/>
              <w:jc w:val="center"/>
              <w:rPr>
                <w:rFonts w:cs="仿宋" w:asciiTheme="majorEastAsia" w:hAnsiTheme="majorEastAsia" w:eastAsiaTheme="majorEastAsia"/>
                <w:color w:val="000000"/>
                <w:sz w:val="24"/>
              </w:rPr>
            </w:pPr>
          </w:p>
        </w:tc>
        <w:tc>
          <w:tcPr>
            <w:tcW w:w="700" w:type="dxa"/>
            <w:vAlign w:val="center"/>
          </w:tcPr>
          <w:p>
            <w:pPr>
              <w:spacing w:line="360" w:lineRule="auto"/>
              <w:jc w:val="center"/>
              <w:rPr>
                <w:rFonts w:cs="仿宋" w:asciiTheme="majorEastAsia" w:hAnsiTheme="majorEastAsia" w:eastAsiaTheme="majorEastAsia"/>
                <w:color w:val="000000"/>
                <w:sz w:val="24"/>
              </w:rPr>
            </w:pPr>
          </w:p>
        </w:tc>
        <w:tc>
          <w:tcPr>
            <w:tcW w:w="684" w:type="dxa"/>
            <w:vAlign w:val="center"/>
          </w:tcPr>
          <w:p>
            <w:pPr>
              <w:spacing w:line="360" w:lineRule="auto"/>
              <w:jc w:val="center"/>
              <w:rPr>
                <w:rFonts w:cs="仿宋" w:asciiTheme="majorEastAsia" w:hAnsiTheme="majorEastAsia" w:eastAsiaTheme="majorEastAsia"/>
                <w:color w:val="000000"/>
                <w:sz w:val="24"/>
              </w:rPr>
            </w:pPr>
          </w:p>
        </w:tc>
        <w:tc>
          <w:tcPr>
            <w:tcW w:w="666" w:type="dxa"/>
            <w:vAlign w:val="center"/>
          </w:tcPr>
          <w:p>
            <w:pPr>
              <w:spacing w:line="360" w:lineRule="auto"/>
              <w:jc w:val="center"/>
              <w:rPr>
                <w:rFonts w:cs="仿宋" w:asciiTheme="majorEastAsia" w:hAnsiTheme="majorEastAsia" w:eastAsiaTheme="majorEastAsia"/>
                <w:color w:val="000000"/>
                <w:sz w:val="24"/>
              </w:rPr>
            </w:pPr>
          </w:p>
        </w:tc>
        <w:tc>
          <w:tcPr>
            <w:tcW w:w="800" w:type="dxa"/>
            <w:vAlign w:val="center"/>
          </w:tcPr>
          <w:p>
            <w:pPr>
              <w:spacing w:line="360" w:lineRule="auto"/>
              <w:jc w:val="center"/>
              <w:rPr>
                <w:rFonts w:cs="仿宋" w:asciiTheme="majorEastAsia" w:hAnsiTheme="majorEastAsia" w:eastAsiaTheme="majorEastAsia"/>
                <w:color w:val="000000"/>
                <w:sz w:val="24"/>
              </w:rPr>
            </w:pPr>
          </w:p>
        </w:tc>
        <w:tc>
          <w:tcPr>
            <w:tcW w:w="784" w:type="dxa"/>
            <w:vAlign w:val="center"/>
          </w:tcPr>
          <w:p>
            <w:pPr>
              <w:spacing w:line="360" w:lineRule="auto"/>
              <w:jc w:val="center"/>
              <w:rPr>
                <w:rFonts w:cs="仿宋" w:asciiTheme="majorEastAsia" w:hAnsiTheme="majorEastAsia" w:eastAsiaTheme="majorEastAsia"/>
                <w:color w:val="000000"/>
                <w:sz w:val="24"/>
              </w:rPr>
            </w:pPr>
          </w:p>
        </w:tc>
        <w:tc>
          <w:tcPr>
            <w:tcW w:w="646" w:type="dxa"/>
            <w:vAlign w:val="center"/>
          </w:tcPr>
          <w:p>
            <w:pPr>
              <w:spacing w:line="360" w:lineRule="auto"/>
              <w:jc w:val="center"/>
              <w:rPr>
                <w:rFonts w:cs="仿宋" w:asciiTheme="majorEastAsia" w:hAnsiTheme="majorEastAsia" w:eastAsiaTheme="majorEastAsia"/>
                <w:color w:val="000000"/>
                <w:sz w:val="24"/>
              </w:rPr>
            </w:pPr>
          </w:p>
        </w:tc>
        <w:tc>
          <w:tcPr>
            <w:tcW w:w="1020" w:type="dxa"/>
            <w:vAlign w:val="center"/>
          </w:tcPr>
          <w:p>
            <w:pPr>
              <w:spacing w:line="360" w:lineRule="auto"/>
              <w:jc w:val="center"/>
              <w:rPr>
                <w:rFonts w:cs="仿宋" w:asciiTheme="majorEastAsia" w:hAnsiTheme="majorEastAsia" w:eastAsiaTheme="majorEastAsia"/>
                <w:color w:val="000000"/>
                <w:sz w:val="24"/>
              </w:rPr>
            </w:pPr>
          </w:p>
        </w:tc>
        <w:tc>
          <w:tcPr>
            <w:tcW w:w="1184" w:type="dxa"/>
            <w:vAlign w:val="center"/>
          </w:tcPr>
          <w:p>
            <w:pPr>
              <w:spacing w:line="360" w:lineRule="auto"/>
              <w:jc w:val="center"/>
              <w:rPr>
                <w:rFonts w:cs="仿宋" w:asciiTheme="majorEastAsia" w:hAnsiTheme="majorEastAsia" w:eastAsiaTheme="majorEastAsia"/>
                <w:color w:val="000000"/>
                <w:sz w:val="24"/>
              </w:rPr>
            </w:pPr>
          </w:p>
        </w:tc>
        <w:tc>
          <w:tcPr>
            <w:tcW w:w="1250"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7" w:type="dxa"/>
            <w:vAlign w:val="center"/>
          </w:tcPr>
          <w:p>
            <w:pPr>
              <w:spacing w:line="360" w:lineRule="auto"/>
              <w:jc w:val="center"/>
              <w:rPr>
                <w:rFonts w:cs="仿宋" w:asciiTheme="majorEastAsia" w:hAnsiTheme="majorEastAsia" w:eastAsiaTheme="majorEastAsia"/>
                <w:color w:val="000000"/>
                <w:sz w:val="24"/>
              </w:rPr>
            </w:pPr>
            <w:r>
              <w:rPr>
                <w:rFonts w:cs="仿宋" w:asciiTheme="majorEastAsia" w:hAnsiTheme="majorEastAsia" w:eastAsiaTheme="majorEastAsia"/>
                <w:sz w:val="24"/>
              </w:rPr>
              <w:t>2</w:t>
            </w:r>
          </w:p>
        </w:tc>
        <w:tc>
          <w:tcPr>
            <w:tcW w:w="650" w:type="dxa"/>
            <w:vAlign w:val="center"/>
          </w:tcPr>
          <w:p>
            <w:pPr>
              <w:spacing w:line="360" w:lineRule="auto"/>
              <w:jc w:val="center"/>
              <w:rPr>
                <w:rFonts w:cs="仿宋" w:asciiTheme="majorEastAsia" w:hAnsiTheme="majorEastAsia" w:eastAsiaTheme="majorEastAsia"/>
                <w:color w:val="000000"/>
                <w:sz w:val="24"/>
              </w:rPr>
            </w:pPr>
          </w:p>
        </w:tc>
        <w:tc>
          <w:tcPr>
            <w:tcW w:w="683" w:type="dxa"/>
            <w:vAlign w:val="center"/>
          </w:tcPr>
          <w:p>
            <w:pPr>
              <w:spacing w:line="360" w:lineRule="auto"/>
              <w:jc w:val="center"/>
              <w:rPr>
                <w:rFonts w:cs="仿宋" w:asciiTheme="majorEastAsia" w:hAnsiTheme="majorEastAsia" w:eastAsiaTheme="majorEastAsia"/>
                <w:color w:val="000000"/>
                <w:sz w:val="24"/>
              </w:rPr>
            </w:pPr>
          </w:p>
        </w:tc>
        <w:tc>
          <w:tcPr>
            <w:tcW w:w="700" w:type="dxa"/>
            <w:vAlign w:val="center"/>
          </w:tcPr>
          <w:p>
            <w:pPr>
              <w:spacing w:line="360" w:lineRule="auto"/>
              <w:jc w:val="center"/>
              <w:rPr>
                <w:rFonts w:cs="仿宋" w:asciiTheme="majorEastAsia" w:hAnsiTheme="majorEastAsia" w:eastAsiaTheme="majorEastAsia"/>
                <w:color w:val="000000"/>
                <w:sz w:val="24"/>
              </w:rPr>
            </w:pPr>
          </w:p>
        </w:tc>
        <w:tc>
          <w:tcPr>
            <w:tcW w:w="684" w:type="dxa"/>
            <w:vAlign w:val="center"/>
          </w:tcPr>
          <w:p>
            <w:pPr>
              <w:spacing w:line="360" w:lineRule="auto"/>
              <w:jc w:val="center"/>
              <w:rPr>
                <w:rFonts w:cs="仿宋" w:asciiTheme="majorEastAsia" w:hAnsiTheme="majorEastAsia" w:eastAsiaTheme="majorEastAsia"/>
                <w:color w:val="000000"/>
                <w:sz w:val="24"/>
              </w:rPr>
            </w:pPr>
          </w:p>
        </w:tc>
        <w:tc>
          <w:tcPr>
            <w:tcW w:w="666" w:type="dxa"/>
            <w:vAlign w:val="center"/>
          </w:tcPr>
          <w:p>
            <w:pPr>
              <w:spacing w:line="360" w:lineRule="auto"/>
              <w:jc w:val="center"/>
              <w:rPr>
                <w:rFonts w:cs="仿宋" w:asciiTheme="majorEastAsia" w:hAnsiTheme="majorEastAsia" w:eastAsiaTheme="majorEastAsia"/>
                <w:color w:val="000000"/>
                <w:sz w:val="24"/>
              </w:rPr>
            </w:pPr>
          </w:p>
        </w:tc>
        <w:tc>
          <w:tcPr>
            <w:tcW w:w="800" w:type="dxa"/>
            <w:vAlign w:val="center"/>
          </w:tcPr>
          <w:p>
            <w:pPr>
              <w:spacing w:line="360" w:lineRule="auto"/>
              <w:jc w:val="center"/>
              <w:rPr>
                <w:rFonts w:cs="仿宋" w:asciiTheme="majorEastAsia" w:hAnsiTheme="majorEastAsia" w:eastAsiaTheme="majorEastAsia"/>
                <w:color w:val="000000"/>
                <w:sz w:val="24"/>
              </w:rPr>
            </w:pPr>
          </w:p>
        </w:tc>
        <w:tc>
          <w:tcPr>
            <w:tcW w:w="784" w:type="dxa"/>
            <w:vAlign w:val="center"/>
          </w:tcPr>
          <w:p>
            <w:pPr>
              <w:spacing w:line="360" w:lineRule="auto"/>
              <w:jc w:val="center"/>
              <w:rPr>
                <w:rFonts w:cs="仿宋" w:asciiTheme="majorEastAsia" w:hAnsiTheme="majorEastAsia" w:eastAsiaTheme="majorEastAsia"/>
                <w:color w:val="000000"/>
                <w:sz w:val="24"/>
              </w:rPr>
            </w:pPr>
          </w:p>
        </w:tc>
        <w:tc>
          <w:tcPr>
            <w:tcW w:w="646" w:type="dxa"/>
            <w:vAlign w:val="center"/>
          </w:tcPr>
          <w:p>
            <w:pPr>
              <w:spacing w:line="360" w:lineRule="auto"/>
              <w:jc w:val="center"/>
              <w:rPr>
                <w:rFonts w:cs="仿宋" w:asciiTheme="majorEastAsia" w:hAnsiTheme="majorEastAsia" w:eastAsiaTheme="majorEastAsia"/>
                <w:color w:val="000000"/>
                <w:sz w:val="24"/>
              </w:rPr>
            </w:pPr>
          </w:p>
        </w:tc>
        <w:tc>
          <w:tcPr>
            <w:tcW w:w="1020" w:type="dxa"/>
            <w:vAlign w:val="center"/>
          </w:tcPr>
          <w:p>
            <w:pPr>
              <w:spacing w:line="360" w:lineRule="auto"/>
              <w:jc w:val="center"/>
              <w:rPr>
                <w:rFonts w:cs="仿宋" w:asciiTheme="majorEastAsia" w:hAnsiTheme="majorEastAsia" w:eastAsiaTheme="majorEastAsia"/>
                <w:color w:val="000000"/>
                <w:sz w:val="24"/>
              </w:rPr>
            </w:pPr>
          </w:p>
        </w:tc>
        <w:tc>
          <w:tcPr>
            <w:tcW w:w="1184" w:type="dxa"/>
            <w:vAlign w:val="center"/>
          </w:tcPr>
          <w:p>
            <w:pPr>
              <w:spacing w:line="360" w:lineRule="auto"/>
              <w:jc w:val="center"/>
              <w:rPr>
                <w:rFonts w:cs="仿宋" w:asciiTheme="majorEastAsia" w:hAnsiTheme="majorEastAsia" w:eastAsiaTheme="majorEastAsia"/>
                <w:color w:val="000000"/>
                <w:sz w:val="24"/>
              </w:rPr>
            </w:pPr>
          </w:p>
        </w:tc>
        <w:tc>
          <w:tcPr>
            <w:tcW w:w="1250"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7" w:type="dxa"/>
            <w:vAlign w:val="center"/>
          </w:tcPr>
          <w:p>
            <w:pPr>
              <w:spacing w:line="360" w:lineRule="auto"/>
              <w:jc w:val="center"/>
              <w:rPr>
                <w:rFonts w:cs="仿宋" w:asciiTheme="majorEastAsia" w:hAnsiTheme="majorEastAsia" w:eastAsiaTheme="majorEastAsia"/>
                <w:color w:val="000000"/>
                <w:sz w:val="24"/>
              </w:rPr>
            </w:pPr>
            <w:r>
              <w:rPr>
                <w:rFonts w:cs="仿宋" w:asciiTheme="majorEastAsia" w:hAnsiTheme="majorEastAsia" w:eastAsiaTheme="majorEastAsia"/>
                <w:sz w:val="24"/>
              </w:rPr>
              <w:t>…</w:t>
            </w:r>
          </w:p>
        </w:tc>
        <w:tc>
          <w:tcPr>
            <w:tcW w:w="650" w:type="dxa"/>
            <w:vAlign w:val="center"/>
          </w:tcPr>
          <w:p>
            <w:pPr>
              <w:spacing w:line="360" w:lineRule="auto"/>
              <w:jc w:val="center"/>
              <w:rPr>
                <w:rFonts w:cs="仿宋" w:asciiTheme="majorEastAsia" w:hAnsiTheme="majorEastAsia" w:eastAsiaTheme="majorEastAsia"/>
                <w:color w:val="000000"/>
                <w:sz w:val="24"/>
              </w:rPr>
            </w:pPr>
          </w:p>
        </w:tc>
        <w:tc>
          <w:tcPr>
            <w:tcW w:w="683" w:type="dxa"/>
            <w:vAlign w:val="center"/>
          </w:tcPr>
          <w:p>
            <w:pPr>
              <w:spacing w:line="360" w:lineRule="auto"/>
              <w:jc w:val="center"/>
              <w:rPr>
                <w:rFonts w:cs="仿宋" w:asciiTheme="majorEastAsia" w:hAnsiTheme="majorEastAsia" w:eastAsiaTheme="majorEastAsia"/>
                <w:color w:val="000000"/>
                <w:sz w:val="24"/>
              </w:rPr>
            </w:pPr>
          </w:p>
        </w:tc>
        <w:tc>
          <w:tcPr>
            <w:tcW w:w="700" w:type="dxa"/>
            <w:vAlign w:val="center"/>
          </w:tcPr>
          <w:p>
            <w:pPr>
              <w:spacing w:line="360" w:lineRule="auto"/>
              <w:jc w:val="center"/>
              <w:rPr>
                <w:rFonts w:cs="仿宋" w:asciiTheme="majorEastAsia" w:hAnsiTheme="majorEastAsia" w:eastAsiaTheme="majorEastAsia"/>
                <w:color w:val="000000"/>
                <w:sz w:val="24"/>
              </w:rPr>
            </w:pPr>
          </w:p>
        </w:tc>
        <w:tc>
          <w:tcPr>
            <w:tcW w:w="684" w:type="dxa"/>
            <w:vAlign w:val="center"/>
          </w:tcPr>
          <w:p>
            <w:pPr>
              <w:spacing w:line="360" w:lineRule="auto"/>
              <w:jc w:val="center"/>
              <w:rPr>
                <w:rFonts w:cs="仿宋" w:asciiTheme="majorEastAsia" w:hAnsiTheme="majorEastAsia" w:eastAsiaTheme="majorEastAsia"/>
                <w:color w:val="000000"/>
                <w:sz w:val="24"/>
              </w:rPr>
            </w:pPr>
          </w:p>
        </w:tc>
        <w:tc>
          <w:tcPr>
            <w:tcW w:w="666" w:type="dxa"/>
            <w:vAlign w:val="center"/>
          </w:tcPr>
          <w:p>
            <w:pPr>
              <w:spacing w:line="360" w:lineRule="auto"/>
              <w:jc w:val="center"/>
              <w:rPr>
                <w:rFonts w:cs="仿宋" w:asciiTheme="majorEastAsia" w:hAnsiTheme="majorEastAsia" w:eastAsiaTheme="majorEastAsia"/>
                <w:color w:val="000000"/>
                <w:sz w:val="24"/>
              </w:rPr>
            </w:pPr>
          </w:p>
        </w:tc>
        <w:tc>
          <w:tcPr>
            <w:tcW w:w="800" w:type="dxa"/>
            <w:vAlign w:val="center"/>
          </w:tcPr>
          <w:p>
            <w:pPr>
              <w:spacing w:line="360" w:lineRule="auto"/>
              <w:jc w:val="center"/>
              <w:rPr>
                <w:rFonts w:cs="仿宋" w:asciiTheme="majorEastAsia" w:hAnsiTheme="majorEastAsia" w:eastAsiaTheme="majorEastAsia"/>
                <w:color w:val="000000"/>
                <w:sz w:val="24"/>
              </w:rPr>
            </w:pPr>
          </w:p>
        </w:tc>
        <w:tc>
          <w:tcPr>
            <w:tcW w:w="784" w:type="dxa"/>
            <w:vAlign w:val="center"/>
          </w:tcPr>
          <w:p>
            <w:pPr>
              <w:spacing w:line="360" w:lineRule="auto"/>
              <w:jc w:val="center"/>
              <w:rPr>
                <w:rFonts w:cs="仿宋" w:asciiTheme="majorEastAsia" w:hAnsiTheme="majorEastAsia" w:eastAsiaTheme="majorEastAsia"/>
                <w:color w:val="000000"/>
                <w:sz w:val="24"/>
              </w:rPr>
            </w:pPr>
          </w:p>
        </w:tc>
        <w:tc>
          <w:tcPr>
            <w:tcW w:w="646" w:type="dxa"/>
            <w:vAlign w:val="center"/>
          </w:tcPr>
          <w:p>
            <w:pPr>
              <w:spacing w:line="360" w:lineRule="auto"/>
              <w:jc w:val="center"/>
              <w:rPr>
                <w:rFonts w:cs="仿宋" w:asciiTheme="majorEastAsia" w:hAnsiTheme="majorEastAsia" w:eastAsiaTheme="majorEastAsia"/>
                <w:color w:val="000000"/>
                <w:sz w:val="24"/>
              </w:rPr>
            </w:pPr>
          </w:p>
        </w:tc>
        <w:tc>
          <w:tcPr>
            <w:tcW w:w="1020" w:type="dxa"/>
            <w:vAlign w:val="center"/>
          </w:tcPr>
          <w:p>
            <w:pPr>
              <w:spacing w:line="360" w:lineRule="auto"/>
              <w:jc w:val="center"/>
              <w:rPr>
                <w:rFonts w:cs="仿宋" w:asciiTheme="majorEastAsia" w:hAnsiTheme="majorEastAsia" w:eastAsiaTheme="majorEastAsia"/>
                <w:color w:val="000000"/>
                <w:sz w:val="24"/>
              </w:rPr>
            </w:pPr>
          </w:p>
        </w:tc>
        <w:tc>
          <w:tcPr>
            <w:tcW w:w="1184" w:type="dxa"/>
            <w:vAlign w:val="center"/>
          </w:tcPr>
          <w:p>
            <w:pPr>
              <w:spacing w:line="360" w:lineRule="auto"/>
              <w:jc w:val="center"/>
              <w:rPr>
                <w:rFonts w:cs="仿宋" w:asciiTheme="majorEastAsia" w:hAnsiTheme="majorEastAsia" w:eastAsiaTheme="majorEastAsia"/>
                <w:color w:val="000000"/>
                <w:sz w:val="24"/>
              </w:rPr>
            </w:pPr>
          </w:p>
        </w:tc>
        <w:tc>
          <w:tcPr>
            <w:tcW w:w="1250"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84" w:type="dxa"/>
            <w:gridSpan w:val="12"/>
            <w:vAlign w:val="center"/>
          </w:tcPr>
          <w:p>
            <w:pPr>
              <w:spacing w:line="360" w:lineRule="auto"/>
              <w:rPr>
                <w:rFonts w:hint="eastAsia" w:cs="仿宋" w:asciiTheme="majorEastAsia" w:hAnsiTheme="majorEastAsia" w:eastAsiaTheme="majorEastAsia"/>
                <w:color w:val="000000"/>
                <w:sz w:val="24"/>
              </w:rPr>
            </w:pPr>
            <w:r>
              <w:rPr>
                <w:rFonts w:hint="eastAsia" w:cs="仿宋" w:asciiTheme="majorEastAsia" w:hAnsiTheme="majorEastAsia" w:eastAsiaTheme="majorEastAsia"/>
                <w:b/>
                <w:bCs/>
                <w:color w:val="000000"/>
                <w:sz w:val="24"/>
              </w:rPr>
              <w:t>分项报价合计（大写）：</w:t>
            </w:r>
            <w:r>
              <w:rPr>
                <w:rFonts w:hint="eastAsia" w:cs="仿宋" w:asciiTheme="majorEastAsia" w:hAnsiTheme="majorEastAsia" w:eastAsiaTheme="majorEastAsia"/>
                <w:b/>
                <w:bCs/>
                <w:color w:val="000000"/>
                <w:sz w:val="24"/>
                <w:lang w:val="en-US" w:eastAsia="zh-CN"/>
              </w:rPr>
              <w:t xml:space="preserve">      </w:t>
            </w:r>
            <w:r>
              <w:rPr>
                <w:rFonts w:hint="eastAsia" w:cs="仿宋" w:asciiTheme="majorEastAsia" w:hAnsiTheme="majorEastAsia" w:eastAsiaTheme="majorEastAsia"/>
                <w:b/>
                <w:bCs/>
                <w:color w:val="000000"/>
                <w:sz w:val="24"/>
              </w:rPr>
              <w:t>小写：</w:t>
            </w:r>
            <w:r>
              <w:rPr>
                <w:rFonts w:hint="eastAsia" w:cs="仿宋" w:asciiTheme="majorEastAsia" w:hAnsiTheme="majorEastAsia" w:eastAsiaTheme="majorEastAsia"/>
                <w:b/>
                <w:bCs/>
                <w:sz w:val="24"/>
              </w:rPr>
              <w:t>￥</w:t>
            </w:r>
            <w:r>
              <w:rPr>
                <w:rFonts w:hint="eastAsia" w:cs="仿宋" w:asciiTheme="majorEastAsia" w:hAnsiTheme="majorEastAsia" w:eastAsiaTheme="majorEastAsia"/>
                <w:b/>
                <w:bCs/>
                <w:sz w:val="24"/>
                <w:lang w:val="en-US" w:eastAsia="zh-CN"/>
              </w:rPr>
              <w:t xml:space="preserve">    </w:t>
            </w:r>
            <w:r>
              <w:rPr>
                <w:rFonts w:hint="eastAsia" w:cs="仿宋" w:asciiTheme="majorEastAsia" w:hAnsiTheme="majorEastAsia" w:eastAsiaTheme="majorEastAsia"/>
                <w:b/>
                <w:bCs/>
                <w:sz w:val="24"/>
              </w:rPr>
              <w:t>元</w:t>
            </w:r>
          </w:p>
        </w:tc>
      </w:tr>
    </w:tbl>
    <w:p>
      <w:pPr>
        <w:spacing w:line="360" w:lineRule="auto"/>
        <w:rPr>
          <w:rFonts w:hint="default" w:cs="仿宋" w:asciiTheme="majorEastAsia" w:hAnsiTheme="majorEastAsia" w:eastAsiaTheme="majorEastAsia"/>
          <w:color w:val="000000"/>
          <w:szCs w:val="21"/>
          <w:lang w:val="en-US" w:eastAsia="zh-CN"/>
        </w:rPr>
      </w:pPr>
      <w:r>
        <w:rPr>
          <w:rFonts w:hint="eastAsia" w:cs="仿宋" w:asciiTheme="majorEastAsia" w:hAnsiTheme="majorEastAsia" w:eastAsiaTheme="majorEastAsia"/>
          <w:color w:val="000000"/>
          <w:szCs w:val="21"/>
          <w:lang w:val="en-US" w:eastAsia="zh-CN"/>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color w:val="000000"/>
          <w:szCs w:val="21"/>
        </w:rPr>
        <w:t>1.投标人按“</w:t>
      </w:r>
      <w:r>
        <w:rPr>
          <w:rFonts w:hint="eastAsia" w:cs="仿宋" w:asciiTheme="majorEastAsia" w:hAnsiTheme="majorEastAsia" w:eastAsiaTheme="majorEastAsia"/>
          <w:bCs/>
          <w:color w:val="000000"/>
          <w:szCs w:val="21"/>
        </w:rPr>
        <w:t>分项报价明细表”的格式</w:t>
      </w:r>
      <w:r>
        <w:rPr>
          <w:rFonts w:hint="eastAsia" w:cs="仿宋" w:asciiTheme="majorEastAsia" w:hAnsiTheme="majorEastAsia" w:eastAsiaTheme="majorEastAsia"/>
          <w:color w:val="000000"/>
          <w:szCs w:val="21"/>
        </w:rPr>
        <w:t>详细报出投标总价的各个组成部分的报价。</w:t>
      </w:r>
    </w:p>
    <w:p>
      <w:pPr>
        <w:spacing w:line="360" w:lineRule="auto"/>
        <w:jc w:val="left"/>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color w:val="000000"/>
          <w:szCs w:val="21"/>
        </w:rPr>
        <w:t>“</w:t>
      </w:r>
      <w:r>
        <w:rPr>
          <w:rFonts w:hint="eastAsia" w:cs="仿宋" w:asciiTheme="majorEastAsia" w:hAnsiTheme="majorEastAsia" w:eastAsiaTheme="majorEastAsia"/>
          <w:bCs/>
          <w:color w:val="000000"/>
          <w:szCs w:val="21"/>
        </w:rPr>
        <w:t>分项报价明细表”分项报价合计应当与“开标一览表”投标总价一致。</w:t>
      </w:r>
    </w:p>
    <w:p>
      <w:pPr>
        <w:spacing w:line="360" w:lineRule="auto"/>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除招标文件要求采购进口产品外，只能用国内产品投标报价，否则为无效投标。</w:t>
      </w:r>
    </w:p>
    <w:p>
      <w:pPr>
        <w:spacing w:line="360" w:lineRule="auto"/>
        <w:jc w:val="left"/>
        <w:rPr>
          <w:rFonts w:cs="仿宋" w:asciiTheme="majorEastAsia" w:hAnsiTheme="majorEastAsia" w:eastAsiaTheme="majorEastAsia"/>
          <w:color w:val="000000"/>
          <w:szCs w:val="21"/>
        </w:rPr>
      </w:pPr>
      <w:r>
        <w:rPr>
          <w:rFonts w:cs="仿宋" w:asciiTheme="majorEastAsia" w:hAnsiTheme="majorEastAsia" w:eastAsiaTheme="majorEastAsia"/>
          <w:bCs/>
          <w:color w:val="000000"/>
          <w:szCs w:val="21"/>
        </w:rPr>
        <w:t>4.</w:t>
      </w:r>
      <w:r>
        <w:rPr>
          <w:rFonts w:hint="eastAsia" w:cs="仿宋" w:asciiTheme="majorEastAsia" w:hAnsiTheme="majorEastAsia" w:eastAsiaTheme="majorEastAsia"/>
          <w:color w:val="000000"/>
          <w:szCs w:val="21"/>
        </w:rPr>
        <w:t>商品属性应在“环保产品”、“节能”、“自主知识产权产品”、“无”四个选择项中选择填写。</w:t>
      </w:r>
    </w:p>
    <w:p>
      <w:pPr>
        <w:spacing w:line="360" w:lineRule="auto"/>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lang w:val="en-US" w:eastAsia="zh-CN"/>
        </w:rPr>
        <w:t>5</w:t>
      </w:r>
      <w:r>
        <w:rPr>
          <w:rFonts w:cs="仿宋" w:asciiTheme="majorEastAsia" w:hAnsiTheme="majorEastAsia" w:eastAsiaTheme="majorEastAsia"/>
          <w:color w:val="000000"/>
          <w:szCs w:val="21"/>
        </w:rPr>
        <w:t>．其它：。</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投标人名称（电子印章）：</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left"/>
        <w:rPr>
          <w:rFonts w:cs="仿宋" w:asciiTheme="majorEastAsia" w:hAnsiTheme="majorEastAsia" w:eastAsiaTheme="majorEastAsia"/>
          <w:sz w:val="24"/>
          <w:u w:val="single"/>
        </w:rPr>
        <w:sectPr>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2-4</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四、技术服务应答表</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3376"/>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87"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3376"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招标文件要求</w:t>
            </w:r>
          </w:p>
        </w:tc>
        <w:tc>
          <w:tcPr>
            <w:tcW w:w="3595"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bl>
    <w:p>
      <w:pPr>
        <w:widowControl/>
        <w:spacing w:before="240" w:line="360" w:lineRule="auto"/>
        <w:ind w:firstLine="412"/>
        <w:jc w:val="left"/>
        <w:outlineLvl w:val="1"/>
        <w:rPr>
          <w:rFonts w:ascii="宋体" w:hAnsi="宋体" w:cs="仿宋"/>
          <w:color w:val="000000"/>
          <w:szCs w:val="21"/>
        </w:rPr>
      </w:pPr>
      <w:r>
        <w:rPr>
          <w:rFonts w:hint="eastAsia" w:ascii="宋体" w:hAnsi="宋体" w:cs="仿宋"/>
          <w:color w:val="000000"/>
          <w:szCs w:val="21"/>
        </w:rPr>
        <w:t>注：1、投标人必须根据招标文件</w:t>
      </w:r>
      <w:r>
        <w:rPr>
          <w:rFonts w:hint="eastAsia" w:ascii="宋体" w:hAnsi="宋体" w:cs="仿宋"/>
          <w:b/>
          <w:color w:val="000000"/>
          <w:szCs w:val="21"/>
        </w:rPr>
        <w:t>第六章技术服务要求</w:t>
      </w:r>
      <w:r>
        <w:rPr>
          <w:rFonts w:hint="eastAsia" w:ascii="宋体" w:hAnsi="宋体" w:cs="仿宋"/>
          <w:color w:val="000000"/>
          <w:szCs w:val="21"/>
        </w:rPr>
        <w:t>的内容据实逐条填写。</w:t>
      </w:r>
    </w:p>
    <w:p>
      <w:pPr>
        <w:widowControl/>
        <w:spacing w:line="360" w:lineRule="auto"/>
        <w:ind w:firstLine="411" w:firstLineChars="196"/>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w:t>
      </w:r>
      <w:r>
        <w:rPr>
          <w:rFonts w:hint="eastAsia" w:cs="仿宋" w:asciiTheme="majorEastAsia" w:hAnsiTheme="majorEastAsia" w:eastAsiaTheme="majorEastAsia"/>
          <w:szCs w:val="21"/>
        </w:rPr>
        <w:t>技术服务</w:t>
      </w:r>
      <w:r>
        <w:rPr>
          <w:rFonts w:cs="仿宋" w:asciiTheme="majorEastAsia" w:hAnsiTheme="majorEastAsia" w:eastAsiaTheme="majorEastAsia"/>
          <w:szCs w:val="21"/>
        </w:rPr>
        <w:t>要求的顺序对应填写。</w:t>
      </w:r>
    </w:p>
    <w:p>
      <w:pPr>
        <w:widowControl/>
        <w:spacing w:line="360" w:lineRule="auto"/>
        <w:ind w:firstLine="411" w:firstLineChars="196"/>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pStyle w:val="32"/>
        <w:widowControl/>
        <w:spacing w:line="360" w:lineRule="auto"/>
        <w:ind w:firstLine="411" w:firstLineChars="196"/>
        <w:jc w:val="left"/>
        <w:outlineLvl w:val="1"/>
        <w:rPr>
          <w:rFonts w:cs="仿宋" w:asciiTheme="majorEastAsia" w:hAnsiTheme="majorEastAsia" w:eastAsiaTheme="majorEastAsia"/>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投标人名称（电子印章）：</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widowControl/>
        <w:spacing w:line="360" w:lineRule="auto"/>
        <w:jc w:val="center"/>
        <w:rPr>
          <w:rFonts w:cs="仿宋" w:asciiTheme="majorEastAsia" w:hAnsiTheme="majorEastAsia" w:eastAsiaTheme="majorEastAsia"/>
          <w:b/>
          <w:bCs/>
          <w:sz w:val="32"/>
          <w:szCs w:val="32"/>
        </w:rPr>
        <w:sectPr>
          <w:footerReference r:id="rId11" w:type="even"/>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2-5</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sz w:val="28"/>
          <w:szCs w:val="28"/>
        </w:rPr>
        <w:t>五、</w:t>
      </w:r>
      <w:r>
        <w:rPr>
          <w:rFonts w:hint="eastAsia" w:cs="仿宋" w:asciiTheme="majorEastAsia" w:hAnsiTheme="majorEastAsia" w:eastAsiaTheme="majorEastAsia"/>
          <w:b/>
          <w:bCs/>
          <w:color w:val="000000"/>
          <w:kern w:val="0"/>
          <w:sz w:val="28"/>
          <w:szCs w:val="28"/>
        </w:rPr>
        <w:t>商务应答表</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68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9"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序号</w:t>
            </w:r>
          </w:p>
        </w:tc>
        <w:tc>
          <w:tcPr>
            <w:tcW w:w="3681"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招标要求</w:t>
            </w:r>
          </w:p>
        </w:tc>
        <w:tc>
          <w:tcPr>
            <w:tcW w:w="3372"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bl>
    <w:p>
      <w:pPr>
        <w:widowControl/>
        <w:spacing w:before="240" w:line="360" w:lineRule="auto"/>
        <w:jc w:val="left"/>
        <w:outlineLvl w:val="1"/>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szCs w:val="21"/>
        </w:rPr>
        <w:t xml:space="preserve">1. </w:t>
      </w:r>
      <w:r>
        <w:rPr>
          <w:rFonts w:hint="eastAsia" w:cs="仿宋" w:asciiTheme="majorEastAsia" w:hAnsiTheme="majorEastAsia" w:eastAsiaTheme="majorEastAsia"/>
          <w:szCs w:val="21"/>
        </w:rPr>
        <w:t>供应商必须把招标文件第六章的</w:t>
      </w:r>
      <w:r>
        <w:rPr>
          <w:rFonts w:hint="eastAsia" w:cs="仿宋" w:asciiTheme="majorEastAsia" w:hAnsiTheme="majorEastAsia" w:eastAsiaTheme="majorEastAsia"/>
          <w:b/>
          <w:szCs w:val="21"/>
        </w:rPr>
        <w:t>全部商务要求</w:t>
      </w:r>
      <w:r>
        <w:rPr>
          <w:rFonts w:hint="eastAsia" w:cs="仿宋" w:asciiTheme="majorEastAsia" w:hAnsiTheme="majorEastAsia" w:eastAsiaTheme="majorEastAsia"/>
          <w:szCs w:val="21"/>
        </w:rPr>
        <w:t>列入此表。</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2．按照招标项目商务要求的顺序对应填写。</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spacing w:line="360" w:lineRule="auto"/>
        <w:rPr>
          <w:rFonts w:cs="仿宋" w:asciiTheme="majorEastAsia" w:hAnsiTheme="majorEastAsia" w:eastAsiaTheme="majorEastAsia"/>
          <w:color w:val="000000"/>
          <w:szCs w:val="21"/>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投标人名称（电子印章）：</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left="600" w:leftChars="57" w:hanging="480" w:hanging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2-6</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六、投标人基本情况表</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42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1035"/>
        <w:gridCol w:w="1286"/>
        <w:gridCol w:w="1320"/>
        <w:gridCol w:w="11"/>
        <w:gridCol w:w="12"/>
        <w:gridCol w:w="1391"/>
        <w:gridCol w:w="168"/>
        <w:gridCol w:w="567"/>
        <w:gridCol w:w="12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投标人</w:t>
            </w:r>
            <w:r>
              <w:rPr>
                <w:rFonts w:cs="仿宋" w:asciiTheme="majorEastAsia" w:hAnsiTheme="majorEastAsia" w:eastAsiaTheme="majorEastAsia"/>
                <w:color w:val="000000"/>
                <w:kern w:val="0"/>
                <w:szCs w:val="21"/>
              </w:rPr>
              <w:t>名称</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注册地址</w:t>
            </w:r>
          </w:p>
        </w:tc>
        <w:tc>
          <w:tcPr>
            <w:tcW w:w="3652" w:type="dxa"/>
            <w:gridSpan w:val="4"/>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03"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邮政编码</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73" w:hRule="atLeast"/>
          <w:jc w:val="center"/>
        </w:trPr>
        <w:tc>
          <w:tcPr>
            <w:tcW w:w="1400" w:type="dxa"/>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联系方式</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联系人</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1400" w:type="dxa"/>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传真</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网址</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组织结构</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法定代表人</w:t>
            </w:r>
            <w:r>
              <w:rPr>
                <w:rFonts w:hint="eastAsia" w:cs="仿宋" w:asciiTheme="majorEastAsia" w:hAnsiTheme="majorEastAsia" w:eastAsiaTheme="majorEastAsia"/>
                <w:color w:val="000000"/>
                <w:kern w:val="0"/>
                <w:szCs w:val="21"/>
              </w:rPr>
              <w:t>（负责人）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成立时间</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tcBorders>
              <w:right w:val="single" w:color="auto" w:sz="4" w:space="0"/>
            </w:tcBorders>
            <w:vAlign w:val="center"/>
          </w:tcPr>
          <w:p>
            <w:pPr>
              <w:autoSpaceDE w:val="0"/>
              <w:autoSpaceDN w:val="0"/>
              <w:spacing w:line="360" w:lineRule="auto"/>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员工总人数</w:t>
            </w:r>
          </w:p>
        </w:tc>
        <w:tc>
          <w:tcPr>
            <w:tcW w:w="3362" w:type="dxa"/>
            <w:gridSpan w:val="4"/>
            <w:tcBorders>
              <w:left w:val="single" w:color="auto" w:sz="4" w:space="0"/>
            </w:tcBorders>
            <w:vAlign w:val="center"/>
          </w:tcPr>
          <w:p>
            <w:pPr>
              <w:autoSpaceDE w:val="0"/>
              <w:autoSpaceDN w:val="0"/>
              <w:spacing w:line="360" w:lineRule="auto"/>
              <w:ind w:firstLine="735" w:firstLineChars="350"/>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企业资质</w:t>
            </w:r>
          </w:p>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等级</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其中</w:t>
            </w: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项目经理</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营业执照号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高级职称人员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注册资金</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中级职称人员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开户银行</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初级职称人员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账号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技工</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经营范围</w:t>
            </w:r>
          </w:p>
        </w:tc>
        <w:tc>
          <w:tcPr>
            <w:tcW w:w="7026" w:type="dxa"/>
            <w:gridSpan w:val="9"/>
            <w:vAlign w:val="center"/>
          </w:tcPr>
          <w:p>
            <w:pPr>
              <w:autoSpaceDE w:val="0"/>
              <w:autoSpaceDN w:val="0"/>
              <w:spacing w:line="360" w:lineRule="auto"/>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1" w:hRule="atLeast"/>
          <w:jc w:val="center"/>
        </w:trPr>
        <w:tc>
          <w:tcPr>
            <w:tcW w:w="1400" w:type="dxa"/>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备注</w:t>
            </w:r>
          </w:p>
        </w:tc>
        <w:tc>
          <w:tcPr>
            <w:tcW w:w="7026" w:type="dxa"/>
            <w:gridSpan w:val="9"/>
          </w:tcPr>
          <w:p>
            <w:pPr>
              <w:autoSpaceDE w:val="0"/>
              <w:autoSpaceDN w:val="0"/>
              <w:spacing w:line="360" w:lineRule="auto"/>
              <w:jc w:val="left"/>
              <w:rPr>
                <w:rFonts w:cs="仿宋" w:asciiTheme="majorEastAsia" w:hAnsiTheme="majorEastAsia" w:eastAsiaTheme="majorEastAsia"/>
                <w:color w:val="000000"/>
                <w:kern w:val="0"/>
                <w:szCs w:val="21"/>
              </w:rPr>
            </w:pPr>
          </w:p>
        </w:tc>
      </w:tr>
    </w:tbl>
    <w:p>
      <w:pPr>
        <w:spacing w:line="360" w:lineRule="auto"/>
        <w:rPr>
          <w:rFonts w:cs="仿宋" w:asciiTheme="majorEastAsia" w:hAnsiTheme="majorEastAsia" w:eastAsiaTheme="majorEastAsia"/>
          <w:color w:val="000000"/>
          <w:sz w:val="24"/>
        </w:rPr>
      </w:pPr>
    </w:p>
    <w:p>
      <w:pPr>
        <w:spacing w:line="360" w:lineRule="auto"/>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w:t>
      </w:r>
      <w:r>
        <w:rPr>
          <w:rFonts w:hint="eastAsia" w:cs="仿宋" w:asciiTheme="majorEastAsia" w:hAnsiTheme="majorEastAsia" w:eastAsiaTheme="majorEastAsia"/>
          <w:sz w:val="24"/>
        </w:rPr>
        <w:t>电子印章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pPr>
    </w:p>
    <w:p>
      <w:pPr>
        <w:spacing w:line="360" w:lineRule="auto"/>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2-7</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七、投标人类似项目业绩一览表</w:t>
      </w:r>
    </w:p>
    <w:tbl>
      <w:tblPr>
        <w:tblStyle w:val="33"/>
        <w:tblW w:w="83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63"/>
        <w:gridCol w:w="1378"/>
        <w:gridCol w:w="1575"/>
        <w:gridCol w:w="1576"/>
        <w:gridCol w:w="1480"/>
        <w:gridCol w:w="10"/>
        <w:gridCol w:w="10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263" w:type="dxa"/>
            <w:tcBorders>
              <w:top w:val="single" w:color="auto" w:sz="4" w:space="0"/>
            </w:tcBorders>
            <w:vAlign w:val="center"/>
          </w:tcPr>
          <w:p>
            <w:pPr>
              <w:spacing w:line="360" w:lineRule="auto"/>
              <w:ind w:firstLine="105" w:firstLineChars="50"/>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年份</w:t>
            </w:r>
          </w:p>
        </w:tc>
        <w:tc>
          <w:tcPr>
            <w:tcW w:w="1378" w:type="dxa"/>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用户名称</w:t>
            </w:r>
          </w:p>
        </w:tc>
        <w:tc>
          <w:tcPr>
            <w:tcW w:w="1575"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项目名称</w:t>
            </w:r>
          </w:p>
        </w:tc>
        <w:tc>
          <w:tcPr>
            <w:tcW w:w="1576"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完成时间</w:t>
            </w:r>
          </w:p>
        </w:tc>
        <w:tc>
          <w:tcPr>
            <w:tcW w:w="1480" w:type="dxa"/>
            <w:vAlign w:val="center"/>
          </w:tcPr>
          <w:p>
            <w:pPr>
              <w:spacing w:line="360" w:lineRule="auto"/>
              <w:ind w:firstLine="105" w:firstLineChars="50"/>
              <w:rPr>
                <w:rFonts w:cs="仿宋" w:asciiTheme="majorEastAsia" w:hAnsiTheme="majorEastAsia" w:eastAsiaTheme="majorEastAsia"/>
                <w:b/>
                <w:color w:val="000000"/>
              </w:rPr>
            </w:pPr>
            <w:r>
              <w:rPr>
                <w:rFonts w:cs="仿宋" w:asciiTheme="majorEastAsia" w:hAnsiTheme="majorEastAsia" w:eastAsiaTheme="majorEastAsia"/>
                <w:b/>
                <w:color w:val="000000"/>
              </w:rPr>
              <w:t>合同金额</w:t>
            </w: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3" w:hRule="atLeast"/>
          <w:jc w:val="center"/>
        </w:trPr>
        <w:tc>
          <w:tcPr>
            <w:tcW w:w="1263"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p>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注：1</w:t>
      </w:r>
      <w:r>
        <w:rPr>
          <w:rFonts w:cs="仿宋" w:asciiTheme="majorEastAsia" w:hAnsiTheme="majorEastAsia" w:eastAsiaTheme="majorEastAsia"/>
          <w:color w:val="000000"/>
          <w:szCs w:val="21"/>
        </w:rPr>
        <w:t>.</w:t>
      </w:r>
      <w:r>
        <w:rPr>
          <w:rFonts w:hint="eastAsia" w:cs="仿宋" w:asciiTheme="majorEastAsia" w:hAnsiTheme="majorEastAsia" w:eastAsiaTheme="majorEastAsia"/>
          <w:color w:val="000000"/>
          <w:szCs w:val="21"/>
        </w:rPr>
        <w:t>投标人需按招标文件要求提供相关业绩证明材料。</w:t>
      </w:r>
    </w:p>
    <w:p>
      <w:pPr>
        <w:spacing w:line="360" w:lineRule="auto"/>
        <w:ind w:left="360"/>
        <w:jc w:val="center"/>
        <w:rPr>
          <w:rFonts w:cs="仿宋" w:asciiTheme="majorEastAsia" w:hAnsiTheme="majorEastAsia" w:eastAsiaTheme="majorEastAsia"/>
          <w:color w:val="000000"/>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w:t>
      </w:r>
      <w:r>
        <w:rPr>
          <w:rFonts w:hint="eastAsia" w:cs="仿宋" w:asciiTheme="majorEastAsia" w:hAnsiTheme="majorEastAsia" w:eastAsiaTheme="majorEastAsia"/>
          <w:sz w:val="24"/>
        </w:rPr>
        <w:t>电子印章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firstLine="480" w:firstLine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2-8</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sz w:val="28"/>
          <w:szCs w:val="28"/>
        </w:rPr>
        <w:t>八、投标人拟派本项目管理、服务、其他人员情况表</w:t>
      </w:r>
    </w:p>
    <w:p>
      <w:pPr>
        <w:tabs>
          <w:tab w:val="left" w:pos="7020"/>
        </w:tabs>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993"/>
        <w:gridCol w:w="1134"/>
        <w:gridCol w:w="892"/>
        <w:gridCol w:w="1179"/>
        <w:gridCol w:w="851"/>
        <w:gridCol w:w="8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类别</w:t>
            </w:r>
          </w:p>
        </w:tc>
        <w:tc>
          <w:tcPr>
            <w:tcW w:w="850"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职务</w:t>
            </w:r>
          </w:p>
        </w:tc>
        <w:tc>
          <w:tcPr>
            <w:tcW w:w="993"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姓名</w:t>
            </w:r>
          </w:p>
        </w:tc>
        <w:tc>
          <w:tcPr>
            <w:tcW w:w="1134"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职称（附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c>
          <w:tcPr>
            <w:tcW w:w="892"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常住地</w:t>
            </w:r>
          </w:p>
        </w:tc>
        <w:tc>
          <w:tcPr>
            <w:tcW w:w="3720" w:type="dxa"/>
            <w:gridSpan w:val="4"/>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资格证明（附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vMerge w:val="continue"/>
            <w:vAlign w:val="center"/>
          </w:tcPr>
          <w:p>
            <w:pPr>
              <w:spacing w:line="360" w:lineRule="auto"/>
              <w:jc w:val="center"/>
              <w:rPr>
                <w:rFonts w:cs="仿宋" w:asciiTheme="majorEastAsia" w:hAnsiTheme="majorEastAsia" w:eastAsiaTheme="majorEastAsia"/>
                <w:color w:val="000000"/>
              </w:rPr>
            </w:pPr>
          </w:p>
        </w:tc>
        <w:tc>
          <w:tcPr>
            <w:tcW w:w="993" w:type="dxa"/>
            <w:vMerge w:val="continue"/>
            <w:vAlign w:val="center"/>
          </w:tcPr>
          <w:p>
            <w:pPr>
              <w:spacing w:line="360" w:lineRule="auto"/>
              <w:jc w:val="center"/>
              <w:rPr>
                <w:rFonts w:cs="仿宋" w:asciiTheme="majorEastAsia" w:hAnsiTheme="majorEastAsia" w:eastAsiaTheme="majorEastAsia"/>
                <w:color w:val="000000"/>
              </w:rPr>
            </w:pPr>
          </w:p>
        </w:tc>
        <w:tc>
          <w:tcPr>
            <w:tcW w:w="1134" w:type="dxa"/>
            <w:vMerge w:val="continue"/>
            <w:vAlign w:val="center"/>
          </w:tcPr>
          <w:p>
            <w:pPr>
              <w:spacing w:line="360" w:lineRule="auto"/>
              <w:jc w:val="center"/>
              <w:rPr>
                <w:rFonts w:cs="仿宋" w:asciiTheme="majorEastAsia" w:hAnsiTheme="majorEastAsia" w:eastAsiaTheme="majorEastAsia"/>
                <w:color w:val="000000"/>
              </w:rPr>
            </w:pPr>
          </w:p>
        </w:tc>
        <w:tc>
          <w:tcPr>
            <w:tcW w:w="892" w:type="dxa"/>
            <w:vMerge w:val="continue"/>
            <w:vAlign w:val="center"/>
          </w:tcPr>
          <w:p>
            <w:pPr>
              <w:spacing w:line="360" w:lineRule="auto"/>
              <w:jc w:val="center"/>
              <w:rPr>
                <w:rFonts w:cs="仿宋" w:asciiTheme="majorEastAsia" w:hAnsiTheme="majorEastAsia" w:eastAsiaTheme="majorEastAsia"/>
                <w:color w:val="000000"/>
              </w:rPr>
            </w:pPr>
          </w:p>
        </w:tc>
        <w:tc>
          <w:tcPr>
            <w:tcW w:w="1179" w:type="dxa"/>
            <w:vAlign w:val="center"/>
          </w:tcPr>
          <w:p>
            <w:pPr>
              <w:spacing w:line="360" w:lineRule="auto"/>
              <w:rPr>
                <w:rFonts w:cs="仿宋" w:asciiTheme="majorEastAsia" w:hAnsiTheme="majorEastAsia" w:eastAsiaTheme="majorEastAsia"/>
                <w:color w:val="000000"/>
              </w:rPr>
            </w:pPr>
            <w:r>
              <w:rPr>
                <w:rFonts w:hint="eastAsia" w:cs="仿宋" w:asciiTheme="majorEastAsia" w:hAnsiTheme="majorEastAsia" w:eastAsiaTheme="majorEastAsia"/>
                <w:color w:val="000000"/>
              </w:rPr>
              <w:t>证书名称</w:t>
            </w:r>
          </w:p>
        </w:tc>
        <w:tc>
          <w:tcPr>
            <w:tcW w:w="851"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级别</w:t>
            </w:r>
          </w:p>
        </w:tc>
        <w:tc>
          <w:tcPr>
            <w:tcW w:w="85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证号</w:t>
            </w:r>
          </w:p>
        </w:tc>
        <w:tc>
          <w:tcPr>
            <w:tcW w:w="84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管理</w:t>
            </w:r>
          </w:p>
          <w:p>
            <w:pPr>
              <w:spacing w:line="360" w:lineRule="auto"/>
              <w:jc w:val="center"/>
              <w:rPr>
                <w:rFonts w:cs="仿宋" w:asciiTheme="majorEastAsia" w:hAnsiTheme="majorEastAsia" w:eastAsiaTheme="majorEastAsia"/>
                <w:color w:val="000000"/>
                <w:sz w:val="28"/>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服务</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cs="仿宋" w:asciiTheme="majorEastAsia" w:hAnsiTheme="majorEastAsia" w:eastAsiaTheme="majorEastAsia"/>
                <w:color w:val="000000"/>
              </w:rPr>
              <w:t>其他</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bl>
    <w:p>
      <w:pPr>
        <w:spacing w:before="240" w:line="360" w:lineRule="auto"/>
        <w:rPr>
          <w:rFonts w:cs="仿宋" w:asciiTheme="majorEastAsia" w:hAnsiTheme="majorEastAsia" w:eastAsiaTheme="majorEastAsia"/>
          <w:bCs/>
          <w:color w:val="000000"/>
          <w:szCs w:val="21"/>
        </w:rPr>
      </w:pPr>
      <w:r>
        <w:rPr>
          <w:rFonts w:hint="eastAsia" w:cs="仿宋" w:asciiTheme="majorEastAsia" w:hAnsiTheme="majorEastAsia" w:eastAsiaTheme="majorEastAsia"/>
          <w:bCs/>
          <w:color w:val="000000"/>
          <w:szCs w:val="21"/>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1、以上表格</w:t>
      </w:r>
      <w:r>
        <w:rPr>
          <w:rFonts w:hint="eastAsia" w:cs="仿宋" w:asciiTheme="majorEastAsia" w:hAnsiTheme="majorEastAsia" w:eastAsiaTheme="majorEastAsia"/>
          <w:bCs/>
          <w:color w:val="000000"/>
          <w:szCs w:val="21"/>
        </w:rPr>
        <w:t>认为无需提供的可空白或填“</w:t>
      </w:r>
      <w:r>
        <w:rPr>
          <w:rFonts w:cs="仿宋" w:asciiTheme="majorEastAsia" w:hAnsiTheme="majorEastAsia" w:eastAsiaTheme="majorEastAsia"/>
          <w:bCs/>
          <w:color w:val="000000"/>
          <w:szCs w:val="21"/>
        </w:rPr>
        <w:t>/”；</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bCs/>
          <w:color w:val="000000"/>
          <w:szCs w:val="21"/>
        </w:rPr>
        <w:t>投标人需按招标文件要求提供人员相关资格证明材料。</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w:t>
      </w:r>
      <w:r>
        <w:rPr>
          <w:rFonts w:hint="eastAsia" w:cs="仿宋" w:asciiTheme="majorEastAsia" w:hAnsiTheme="majorEastAsia" w:eastAsiaTheme="majorEastAsia"/>
          <w:sz w:val="24"/>
        </w:rPr>
        <w:t>电子印章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rPr>
          <w:rFonts w:cs="仿宋" w:asciiTheme="majorEastAsia" w:hAnsiTheme="majorEastAsia" w:eastAsiaTheme="majorEastAsia"/>
          <w:bCs/>
          <w:color w:val="000000"/>
          <w:sz w:val="32"/>
          <w:szCs w:val="32"/>
        </w:rPr>
      </w:pPr>
      <w:r>
        <w:rPr>
          <w:rFonts w:cs="仿宋" w:asciiTheme="majorEastAsia" w:hAnsiTheme="majorEastAsia" w:eastAsiaTheme="majorEastAsia"/>
          <w:bCs/>
          <w:color w:val="000000"/>
          <w:sz w:val="32"/>
          <w:szCs w:val="32"/>
        </w:rPr>
        <w:br w:type="page"/>
      </w:r>
    </w:p>
    <w:p>
      <w:pPr>
        <w:spacing w:line="360" w:lineRule="auto"/>
        <w:rPr>
          <w:rFonts w:cs="仿宋" w:asciiTheme="majorEastAsia" w:hAnsiTheme="majorEastAsia" w:eastAsiaTheme="majorEastAsia"/>
          <w:b/>
          <w:bCs/>
          <w:color w:val="000000"/>
          <w:sz w:val="28"/>
          <w:szCs w:val="28"/>
        </w:rPr>
      </w:pPr>
      <w:r>
        <w:rPr>
          <w:rFonts w:hint="eastAsia" w:cs="仿宋" w:asciiTheme="majorEastAsia" w:hAnsiTheme="majorEastAsia" w:eastAsiaTheme="majorEastAsia"/>
          <w:b/>
          <w:bCs/>
          <w:color w:val="000000"/>
          <w:sz w:val="28"/>
          <w:szCs w:val="28"/>
        </w:rPr>
        <w:t>格式</w:t>
      </w:r>
      <w:r>
        <w:rPr>
          <w:rFonts w:cs="仿宋" w:asciiTheme="majorEastAsia" w:hAnsiTheme="majorEastAsia" w:eastAsiaTheme="majorEastAsia"/>
          <w:b/>
          <w:bCs/>
          <w:color w:val="000000"/>
          <w:sz w:val="28"/>
          <w:szCs w:val="28"/>
        </w:rPr>
        <w:t>2-9-1</w:t>
      </w:r>
    </w:p>
    <w:p>
      <w:pPr>
        <w:spacing w:before="240" w:after="240" w:line="360" w:lineRule="auto"/>
        <w:jc w:val="center"/>
        <w:rPr>
          <w:rFonts w:cs="仿宋" w:asciiTheme="majorEastAsia" w:hAnsiTheme="majorEastAsia" w:eastAsiaTheme="majorEastAsia"/>
          <w:b/>
          <w:bCs/>
          <w:color w:val="000000"/>
          <w:sz w:val="28"/>
          <w:szCs w:val="28"/>
        </w:rPr>
      </w:pPr>
      <w:r>
        <w:rPr>
          <w:rFonts w:hint="eastAsia" w:cs="仿宋" w:asciiTheme="majorEastAsia" w:hAnsiTheme="majorEastAsia" w:eastAsiaTheme="majorEastAsia"/>
          <w:b/>
          <w:bCs/>
          <w:color w:val="000000"/>
          <w:sz w:val="28"/>
          <w:szCs w:val="28"/>
        </w:rPr>
        <w:t>九、</w:t>
      </w:r>
      <w:r>
        <w:rPr>
          <w:rFonts w:cs="仿宋" w:asciiTheme="majorEastAsia" w:hAnsiTheme="majorEastAsia" w:eastAsiaTheme="majorEastAsia"/>
          <w:b/>
          <w:bCs/>
          <w:color w:val="000000"/>
          <w:sz w:val="28"/>
          <w:szCs w:val="28"/>
        </w:rPr>
        <w:t>中小企业声明函</w:t>
      </w:r>
    </w:p>
    <w:p>
      <w:pPr>
        <w:spacing w:line="360" w:lineRule="auto"/>
        <w:ind w:firstLine="480" w:firstLineChars="200"/>
        <w:rPr>
          <w:rFonts w:ascii="宋体" w:hAnsi="宋体" w:cs="仿宋"/>
          <w:sz w:val="24"/>
        </w:rPr>
      </w:pPr>
      <w:r>
        <w:rPr>
          <w:rFonts w:hint="eastAsia" w:ascii="宋体" w:hAnsi="宋体" w:cs="仿宋"/>
          <w:sz w:val="24"/>
        </w:rPr>
        <w:t>本公司（联合体）郑重声明，根据《政府采购促进中小企业发展管理办法》（财库﹝2020﹞46号）的规定，本公司（联合体）参加</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（单位名称） </w:t>
      </w:r>
      <w:r>
        <w:rPr>
          <w:rFonts w:ascii="宋体" w:hAnsi="宋体" w:cs="仿宋"/>
          <w:sz w:val="24"/>
          <w:u w:val="single"/>
        </w:rPr>
        <w:t xml:space="preserve"> </w:t>
      </w:r>
      <w:r>
        <w:rPr>
          <w:rFonts w:hint="eastAsia" w:ascii="宋体" w:hAnsi="宋体" w:cs="仿宋"/>
          <w:sz w:val="24"/>
        </w:rPr>
        <w:t>的</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（项目名称） </w:t>
      </w:r>
      <w:r>
        <w:rPr>
          <w:rFonts w:ascii="宋体" w:hAnsi="宋体" w:cs="仿宋"/>
          <w:sz w:val="24"/>
          <w:u w:val="single"/>
        </w:rPr>
        <w:t xml:space="preserve"> </w:t>
      </w:r>
      <w:r>
        <w:rPr>
          <w:rFonts w:hint="eastAsia" w:ascii="宋体" w:hAnsi="宋体" w:cs="仿宋"/>
          <w:sz w:val="24"/>
        </w:rPr>
        <w:t>采购活动，服务全部由符合政策要求的中小企业承接。相关企业（含联合体中的中小企业、签订分包意向协议的中小企业）的具体情况如下：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仿宋"/>
          <w:sz w:val="24"/>
        </w:rPr>
      </w:pPr>
      <w:r>
        <w:rPr>
          <w:rFonts w:hint="eastAsia" w:ascii="宋体" w:hAnsi="宋体" w:cs="仿宋"/>
          <w:sz w:val="24"/>
        </w:rPr>
        <w:t>1.</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行业；承接企业为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ascii="宋体" w:hAnsi="宋体" w:cs="仿宋"/>
          <w:sz w:val="24"/>
        </w:rPr>
      </w:pPr>
      <w:r>
        <w:rPr>
          <w:rFonts w:hint="eastAsia" w:ascii="宋体" w:hAnsi="宋体" w:cs="仿宋"/>
          <w:sz w:val="24"/>
        </w:rPr>
        <w:t>2.</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；承接企业为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ascii="宋体" w:hAnsi="宋体" w:cs="仿宋"/>
          <w:sz w:val="24"/>
        </w:rPr>
      </w:pPr>
      <w:r>
        <w:rPr>
          <w:rFonts w:ascii="宋体" w:hAnsi="宋体" w:cs="仿宋"/>
          <w:sz w:val="24"/>
        </w:rPr>
        <w:t xml:space="preserve"> …… </w:t>
      </w:r>
    </w:p>
    <w:p>
      <w:pPr>
        <w:spacing w:line="360" w:lineRule="auto"/>
        <w:ind w:firstLine="480" w:firstLineChars="200"/>
        <w:rPr>
          <w:rFonts w:ascii="宋体" w:hAnsi="宋体" w:cs="仿宋"/>
          <w:sz w:val="24"/>
        </w:rPr>
      </w:pPr>
      <w:r>
        <w:rPr>
          <w:rFonts w:hint="eastAsia" w:ascii="宋体" w:hAnsi="宋体" w:cs="仿宋"/>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sz w:val="24"/>
        </w:rPr>
      </w:pPr>
      <w:r>
        <w:rPr>
          <w:rFonts w:hint="eastAsia" w:ascii="宋体" w:hAnsi="宋体" w:cs="仿宋"/>
          <w:sz w:val="24"/>
        </w:rPr>
        <w:t>本企业对上述声明内容的真实性负责。如有虚假，将依法承担相应责任。</w:t>
      </w:r>
    </w:p>
    <w:p>
      <w:pPr>
        <w:spacing w:line="360" w:lineRule="auto"/>
        <w:rPr>
          <w:rFonts w:ascii="宋体" w:hAnsi="宋体" w:cs="仿宋"/>
          <w:sz w:val="24"/>
        </w:rPr>
      </w:pPr>
    </w:p>
    <w:p>
      <w:pPr>
        <w:spacing w:line="360" w:lineRule="auto"/>
        <w:rPr>
          <w:rFonts w:ascii="宋体" w:hAnsi="宋体" w:cs="仿宋"/>
          <w:sz w:val="24"/>
        </w:rPr>
      </w:pPr>
    </w:p>
    <w:p>
      <w:pPr>
        <w:spacing w:line="360" w:lineRule="auto"/>
        <w:jc w:val="center"/>
        <w:rPr>
          <w:rFonts w:ascii="宋体" w:hAnsi="宋体" w:cs="仿宋"/>
          <w:sz w:val="24"/>
        </w:rPr>
      </w:pPr>
      <w:r>
        <w:rPr>
          <w:rFonts w:hint="eastAsia" w:ascii="宋体" w:hAnsi="宋体" w:cs="仿宋"/>
          <w:sz w:val="24"/>
        </w:rPr>
        <w:t>企业名称（</w:t>
      </w:r>
      <w:r>
        <w:rPr>
          <w:rFonts w:hint="eastAsia" w:cs="仿宋" w:asciiTheme="majorEastAsia" w:hAnsiTheme="majorEastAsia" w:eastAsiaTheme="majorEastAsia"/>
          <w:sz w:val="24"/>
        </w:rPr>
        <w:t>电子印章</w:t>
      </w:r>
      <w:r>
        <w:rPr>
          <w:rFonts w:hint="eastAsia" w:ascii="宋体" w:hAnsi="宋体" w:cs="仿宋"/>
          <w:sz w:val="24"/>
        </w:rPr>
        <w:t>）：</w:t>
      </w:r>
    </w:p>
    <w:p>
      <w:pPr>
        <w:spacing w:line="360" w:lineRule="auto"/>
        <w:rPr>
          <w:rFonts w:ascii="宋体" w:hAnsi="宋体" w:cs="仿宋"/>
          <w:sz w:val="24"/>
        </w:rPr>
      </w:pPr>
    </w:p>
    <w:p>
      <w:pPr>
        <w:spacing w:line="360" w:lineRule="auto"/>
        <w:jc w:val="center"/>
        <w:rPr>
          <w:rFonts w:ascii="宋体" w:hAnsi="宋体" w:cs="仿宋"/>
          <w:sz w:val="24"/>
        </w:rPr>
      </w:pPr>
      <w:r>
        <w:rPr>
          <w:rFonts w:hint="eastAsia" w:ascii="宋体" w:hAnsi="宋体" w:cs="仿宋"/>
          <w:sz w:val="24"/>
        </w:rPr>
        <w:t>日 期：X年X月X日</w:t>
      </w:r>
    </w:p>
    <w:p>
      <w:pPr>
        <w:spacing w:line="360" w:lineRule="auto"/>
        <w:rPr>
          <w:rFonts w:ascii="宋体" w:hAnsi="宋体" w:cs="仿宋"/>
          <w:sz w:val="24"/>
        </w:rPr>
      </w:pPr>
    </w:p>
    <w:p>
      <w:pPr>
        <w:pStyle w:val="2"/>
        <w:rPr>
          <w:rFonts w:hint="eastAsia" w:ascii="宋体" w:hAnsi="宋体" w:cs="仿宋"/>
          <w:sz w:val="24"/>
        </w:rPr>
      </w:pPr>
      <w:r>
        <w:rPr>
          <w:rFonts w:hint="eastAsia" w:ascii="宋体" w:hAnsi="宋体" w:cs="仿宋"/>
          <w:sz w:val="24"/>
        </w:rPr>
        <w:t>注：从业人员、营业收入、资产总额填报上一年度数据，无上一年度数据的新成立企业可不填报。</w:t>
      </w:r>
    </w:p>
    <w:p>
      <w:pPr>
        <w:spacing w:line="360" w:lineRule="auto"/>
        <w:rPr>
          <w:rFonts w:cs="仿宋" w:asciiTheme="majorEastAsia" w:hAnsiTheme="majorEastAsia" w:eastAsiaTheme="majorEastAsia"/>
          <w:b/>
          <w:color w:val="000000"/>
          <w:sz w:val="28"/>
          <w:szCs w:val="28"/>
        </w:rPr>
      </w:pPr>
      <w:r>
        <w:rPr>
          <w:rFonts w:cs="仿宋" w:asciiTheme="majorEastAsia" w:hAnsiTheme="majorEastAsia" w:eastAsiaTheme="majorEastAsia"/>
          <w:szCs w:val="21"/>
        </w:rPr>
        <w:br w:type="page"/>
      </w:r>
      <w:r>
        <w:rPr>
          <w:rFonts w:hint="eastAsia" w:cs="仿宋" w:asciiTheme="majorEastAsia" w:hAnsiTheme="majorEastAsia" w:eastAsiaTheme="majorEastAsia"/>
          <w:b/>
          <w:color w:val="000000"/>
          <w:sz w:val="28"/>
          <w:szCs w:val="28"/>
        </w:rPr>
        <w:t>格式</w:t>
      </w:r>
      <w:r>
        <w:rPr>
          <w:rFonts w:cs="仿宋" w:asciiTheme="majorEastAsia" w:hAnsiTheme="majorEastAsia" w:eastAsiaTheme="majorEastAsia"/>
          <w:b/>
          <w:color w:val="000000"/>
          <w:sz w:val="28"/>
          <w:szCs w:val="28"/>
        </w:rPr>
        <w:t>2-9-2</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残疾人福利性单位声明函</w:t>
      </w:r>
    </w:p>
    <w:p>
      <w:pPr>
        <w:autoSpaceDE w:val="0"/>
        <w:autoSpaceDN w:val="0"/>
        <w:spacing w:line="360" w:lineRule="auto"/>
        <w:ind w:firstLine="480" w:firstLineChars="200"/>
        <w:jc w:val="left"/>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本单位郑重声明，根据《财政部民政部中国残疾人联合会关于促进残疾人就业政府采购政策的通知》（财库〔</w:t>
      </w:r>
      <w:r>
        <w:rPr>
          <w:rFonts w:cs="仿宋" w:asciiTheme="majorEastAsia" w:hAnsiTheme="majorEastAsia" w:eastAsiaTheme="majorEastAsia"/>
          <w:color w:val="000000"/>
          <w:kern w:val="0"/>
          <w:sz w:val="24"/>
        </w:rPr>
        <w:t>2017</w:t>
      </w:r>
      <w:r>
        <w:rPr>
          <w:rFonts w:hint="eastAsia" w:cs="仿宋" w:asciiTheme="majorEastAsia" w:hAnsiTheme="majorEastAsia" w:eastAsiaTheme="majorEastAsia"/>
          <w:color w:val="000000"/>
          <w:kern w:val="0"/>
          <w:sz w:val="24"/>
        </w:rPr>
        <w:t>〕</w:t>
      </w:r>
      <w:r>
        <w:rPr>
          <w:rFonts w:cs="仿宋" w:asciiTheme="majorEastAsia" w:hAnsiTheme="majorEastAsia" w:eastAsiaTheme="majorEastAsia"/>
          <w:color w:val="000000"/>
          <w:kern w:val="0"/>
          <w:sz w:val="24"/>
        </w:rPr>
        <w:t>141</w:t>
      </w:r>
      <w:r>
        <w:rPr>
          <w:rFonts w:hint="eastAsia" w:cs="仿宋" w:asciiTheme="majorEastAsia" w:hAnsiTheme="majorEastAsia" w:eastAsiaTheme="majorEastAsia"/>
          <w:color w:val="000000"/>
          <w:kern w:val="0"/>
          <w:sz w:val="24"/>
        </w:rPr>
        <w:t>号）的规定，本单位为符合条件的残疾人福利性单位，且本单位参加</w:t>
      </w:r>
      <w:r>
        <w:rPr>
          <w:rFonts w:hint="eastAsia" w:cs="仿宋" w:asciiTheme="majorEastAsia" w:hAnsiTheme="majorEastAsia" w:eastAsiaTheme="majorEastAsia"/>
          <w:color w:val="000000"/>
          <w:kern w:val="0"/>
          <w:sz w:val="24"/>
          <w:u w:val="single"/>
        </w:rPr>
        <w:t xml:space="preserve">       </w:t>
      </w:r>
      <w:r>
        <w:rPr>
          <w:rFonts w:hint="eastAsia" w:cs="仿宋" w:asciiTheme="majorEastAsia" w:hAnsiTheme="majorEastAsia" w:eastAsiaTheme="majorEastAsia"/>
          <w:color w:val="000000"/>
          <w:kern w:val="0"/>
          <w:sz w:val="24"/>
        </w:rPr>
        <w:t>单位的</w:t>
      </w:r>
      <w:r>
        <w:rPr>
          <w:rFonts w:hint="eastAsia" w:cs="仿宋" w:asciiTheme="majorEastAsia" w:hAnsiTheme="majorEastAsia" w:eastAsiaTheme="majorEastAsia"/>
          <w:color w:val="000000"/>
          <w:kern w:val="0"/>
          <w:sz w:val="24"/>
          <w:u w:val="single"/>
        </w:rPr>
        <w:t xml:space="preserve">       </w:t>
      </w:r>
      <w:r>
        <w:rPr>
          <w:rFonts w:hint="eastAsia" w:cs="仿宋" w:asciiTheme="majorEastAsia" w:hAnsiTheme="majorEastAsia" w:eastAsiaTheme="majorEastAsia"/>
          <w:color w:val="000000"/>
          <w:kern w:val="0"/>
          <w:sz w:val="24"/>
        </w:rPr>
        <w:t>项目采购活动提供本单位制造的货物（由本单位承担工程</w:t>
      </w:r>
      <w:r>
        <w:rPr>
          <w:rFonts w:cs="仿宋" w:asciiTheme="majorEastAsia" w:hAnsiTheme="majorEastAsia" w:eastAsiaTheme="majorEastAsia"/>
          <w:color w:val="000000"/>
          <w:kern w:val="0"/>
          <w:sz w:val="24"/>
        </w:rPr>
        <w:t>/</w:t>
      </w:r>
      <w:r>
        <w:rPr>
          <w:rFonts w:hint="eastAsia" w:cs="仿宋" w:asciiTheme="majorEastAsia" w:hAnsiTheme="majorEastAsia" w:eastAsiaTheme="majorEastAsia"/>
          <w:color w:val="000000"/>
          <w:kern w:val="0"/>
          <w:sz w:val="24"/>
        </w:rPr>
        <w:t>提供服务），或者提供其他残疾人福利性单位制造的货物（不包括使用非残疾人福利性单位注册商标的货物）。</w:t>
      </w:r>
    </w:p>
    <w:p>
      <w:pPr>
        <w:autoSpaceDE w:val="0"/>
        <w:autoSpaceDN w:val="0"/>
        <w:spacing w:line="360" w:lineRule="auto"/>
        <w:ind w:firstLine="480" w:firstLineChars="200"/>
        <w:jc w:val="left"/>
        <w:rPr>
          <w:rFonts w:cs="仿宋" w:asciiTheme="majorEastAsia" w:hAnsiTheme="majorEastAsia" w:eastAsiaTheme="majorEastAsia"/>
          <w:color w:val="000000"/>
          <w:spacing w:val="6"/>
          <w:sz w:val="30"/>
          <w:szCs w:val="30"/>
        </w:rPr>
      </w:pPr>
      <w:r>
        <w:rPr>
          <w:rFonts w:hint="eastAsia" w:cs="仿宋" w:asciiTheme="majorEastAsia" w:hAnsiTheme="majorEastAsia" w:eastAsiaTheme="majorEastAsia"/>
          <w:color w:val="000000"/>
          <w:kern w:val="0"/>
          <w:sz w:val="24"/>
        </w:rPr>
        <w:t>本单位对上述声明的真实性负责。如有虚假，将依法承担相应责任。</w:t>
      </w:r>
    </w:p>
    <w:p>
      <w:pPr>
        <w:spacing w:line="360" w:lineRule="auto"/>
        <w:ind w:firstLine="624" w:firstLineChars="200"/>
        <w:rPr>
          <w:rFonts w:cs="仿宋" w:asciiTheme="majorEastAsia" w:hAnsiTheme="majorEastAsia" w:eastAsiaTheme="majorEastAsia"/>
          <w:color w:val="000000"/>
          <w:spacing w:val="6"/>
          <w:sz w:val="30"/>
          <w:szCs w:val="30"/>
        </w:rPr>
      </w:pPr>
    </w:p>
    <w:p>
      <w:pPr>
        <w:widowControl/>
        <w:spacing w:line="360" w:lineRule="auto"/>
        <w:ind w:firstLine="3840" w:firstLineChars="1600"/>
        <w:jc w:val="left"/>
        <w:rPr>
          <w:rFonts w:cs="仿宋" w:asciiTheme="majorEastAsia" w:hAnsiTheme="majorEastAsia" w:eastAsiaTheme="majorEastAsia"/>
          <w:color w:val="000000"/>
          <w:kern w:val="0"/>
          <w:sz w:val="24"/>
          <w:u w:val="single"/>
        </w:rPr>
      </w:pPr>
      <w:r>
        <w:rPr>
          <w:rFonts w:hint="eastAsia" w:cs="仿宋" w:asciiTheme="majorEastAsia" w:hAnsiTheme="majorEastAsia" w:eastAsiaTheme="majorEastAsia"/>
          <w:color w:val="000000"/>
          <w:kern w:val="0"/>
          <w:sz w:val="24"/>
        </w:rPr>
        <w:t>投标人名称（</w:t>
      </w:r>
      <w:r>
        <w:rPr>
          <w:rFonts w:hint="eastAsia" w:cs="仿宋" w:asciiTheme="majorEastAsia" w:hAnsiTheme="majorEastAsia" w:eastAsiaTheme="majorEastAsia"/>
          <w:sz w:val="24"/>
        </w:rPr>
        <w:t>电子印章</w:t>
      </w:r>
      <w:r>
        <w:rPr>
          <w:rFonts w:hint="eastAsia" w:cs="仿宋" w:asciiTheme="majorEastAsia" w:hAnsiTheme="majorEastAsia" w:eastAsiaTheme="majorEastAsia"/>
          <w:color w:val="000000"/>
          <w:kern w:val="0"/>
          <w:sz w:val="24"/>
        </w:rPr>
        <w:t>）</w:t>
      </w:r>
      <w:r>
        <w:rPr>
          <w:rFonts w:cs="仿宋" w:asciiTheme="majorEastAsia" w:hAnsiTheme="majorEastAsia" w:eastAsiaTheme="majorEastAsia"/>
          <w:color w:val="000000"/>
          <w:kern w:val="0"/>
          <w:sz w:val="24"/>
        </w:rPr>
        <w:t>：</w:t>
      </w:r>
    </w:p>
    <w:p>
      <w:pPr>
        <w:widowControl/>
        <w:spacing w:line="360" w:lineRule="auto"/>
        <w:ind w:firstLine="3840" w:firstLineChars="1600"/>
        <w:jc w:val="left"/>
        <w:rPr>
          <w:rFonts w:cs="仿宋" w:asciiTheme="majorEastAsia" w:hAnsiTheme="majorEastAsia" w:eastAsiaTheme="majorEastAsia"/>
          <w:bCs/>
          <w:color w:val="000000"/>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widowControl/>
        <w:spacing w:line="360" w:lineRule="auto"/>
        <w:jc w:val="left"/>
        <w:rPr>
          <w:rFonts w:cs="仿宋" w:asciiTheme="majorEastAsia" w:hAnsiTheme="majorEastAsia" w:eastAsiaTheme="majorEastAsia"/>
          <w:b/>
          <w:color w:val="000000"/>
          <w:szCs w:val="21"/>
        </w:rPr>
      </w:pPr>
    </w:p>
    <w:p>
      <w:pPr>
        <w:widowControl/>
        <w:spacing w:line="360" w:lineRule="auto"/>
        <w:jc w:val="left"/>
        <w:rPr>
          <w:rFonts w:hint="eastAsia"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注：</w:t>
      </w:r>
      <w:r>
        <w:rPr>
          <w:rFonts w:hint="eastAsia" w:cs="仿宋" w:asciiTheme="majorEastAsia" w:hAnsiTheme="majorEastAsia" w:eastAsiaTheme="majorEastAsia"/>
          <w:color w:val="000000"/>
          <w:sz w:val="24"/>
          <w:szCs w:val="24"/>
          <w:lang w:val="en-US" w:eastAsia="zh-CN"/>
        </w:rPr>
        <w:t>1.</w:t>
      </w:r>
      <w:r>
        <w:rPr>
          <w:rFonts w:hint="eastAsia" w:cs="仿宋" w:asciiTheme="majorEastAsia" w:hAnsiTheme="majorEastAsia" w:eastAsiaTheme="majorEastAsia"/>
          <w:color w:val="000000"/>
          <w:sz w:val="24"/>
          <w:szCs w:val="24"/>
        </w:rPr>
        <w:t>供应商为非残疾人福利性单位的，不得提供此声明，提供此声明的，声明无效。</w:t>
      </w:r>
    </w:p>
    <w:p>
      <w:pPr>
        <w:pStyle w:val="2"/>
      </w:pPr>
    </w:p>
    <w:p>
      <w:pPr>
        <w:numPr>
          <w:ilvl w:val="255"/>
          <w:numId w:val="0"/>
        </w:numPr>
        <w:spacing w:line="360" w:lineRule="auto"/>
        <w:rPr>
          <w:rFonts w:cs="仿宋" w:asciiTheme="majorEastAsia" w:hAnsiTheme="majorEastAsia" w:eastAsiaTheme="majorEastAsia"/>
          <w:b/>
          <w:sz w:val="28"/>
          <w:szCs w:val="28"/>
        </w:rPr>
        <w:sectPr>
          <w:pgSz w:w="11906" w:h="16838"/>
          <w:pgMar w:top="1843" w:right="1701" w:bottom="1417" w:left="1418" w:header="851" w:footer="992" w:gutter="0"/>
          <w:cols w:space="720" w:num="1"/>
          <w:docGrid w:linePitch="312" w:charSpace="0"/>
        </w:sectPr>
      </w:pPr>
    </w:p>
    <w:p>
      <w:pPr>
        <w:numPr>
          <w:ilvl w:val="255"/>
          <w:numId w:val="0"/>
        </w:num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2-10</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十</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我单位作为本次招标项目的供应商，根据招标要求，现郑重承诺如下：</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一</w:t>
      </w:r>
      <w:r>
        <w:rPr>
          <w:rFonts w:cs="仿宋" w:asciiTheme="majorEastAsia" w:hAnsiTheme="majorEastAsia" w:eastAsiaTheme="majorEastAsia"/>
          <w:color w:val="000000"/>
          <w:sz w:val="24"/>
        </w:rPr>
        <w:t>、</w:t>
      </w:r>
      <w:r>
        <w:rPr>
          <w:rFonts w:hint="eastAsia" w:cs="仿宋" w:asciiTheme="majorEastAsia" w:hAnsiTheme="majorEastAsia" w:eastAsiaTheme="majorEastAsia"/>
          <w:color w:val="000000"/>
          <w:sz w:val="24"/>
        </w:rPr>
        <w:t>我方</w:t>
      </w:r>
      <w:r>
        <w:rPr>
          <w:rFonts w:cs="仿宋" w:asciiTheme="majorEastAsia" w:hAnsiTheme="majorEastAsia" w:eastAsiaTheme="majorEastAsia"/>
          <w:color w:val="000000"/>
          <w:sz w:val="24"/>
        </w:rPr>
        <w:t>完全接受和满足本项目</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文件中规定的实质性要求，如对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，已</w:t>
      </w:r>
      <w:r>
        <w:rPr>
          <w:rFonts w:hint="eastAsia" w:cs="仿宋" w:asciiTheme="majorEastAsia" w:hAnsiTheme="majorEastAsia" w:eastAsiaTheme="majorEastAsia"/>
          <w:color w:val="000000"/>
          <w:sz w:val="24"/>
        </w:rPr>
        <w:t>按该项目招标文件第二章总则“（八）询问、质疑和投诉”的相关规定</w:t>
      </w:r>
      <w:r>
        <w:rPr>
          <w:rFonts w:cs="仿宋" w:asciiTheme="majorEastAsia" w:hAnsiTheme="majorEastAsia" w:eastAsiaTheme="majorEastAsia"/>
          <w:color w:val="000000"/>
          <w:sz w:val="24"/>
        </w:rPr>
        <w:t>依法进行维权救济，不存在对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的同时又参加</w:t>
      </w:r>
      <w:r>
        <w:rPr>
          <w:rFonts w:hint="eastAsia" w:cs="仿宋" w:asciiTheme="majorEastAsia" w:hAnsiTheme="majorEastAsia" w:eastAsiaTheme="majorEastAsia"/>
          <w:color w:val="000000"/>
          <w:sz w:val="24"/>
        </w:rPr>
        <w:t>投标</w:t>
      </w:r>
      <w:r>
        <w:rPr>
          <w:rFonts w:cs="仿宋" w:asciiTheme="majorEastAsia" w:hAnsiTheme="majorEastAsia" w:eastAsiaTheme="majorEastAsia"/>
          <w:color w:val="000000"/>
          <w:sz w:val="24"/>
        </w:rPr>
        <w:t>以求侥幸</w:t>
      </w:r>
      <w:r>
        <w:rPr>
          <w:rFonts w:hint="eastAsia" w:cs="仿宋" w:asciiTheme="majorEastAsia" w:hAnsiTheme="majorEastAsia" w:eastAsiaTheme="majorEastAsia"/>
          <w:color w:val="000000"/>
          <w:sz w:val="24"/>
        </w:rPr>
        <w:t>中选</w:t>
      </w:r>
      <w:r>
        <w:rPr>
          <w:rFonts w:cs="仿宋" w:asciiTheme="majorEastAsia" w:hAnsiTheme="majorEastAsia" w:eastAsiaTheme="majorEastAsia"/>
          <w:color w:val="000000"/>
          <w:sz w:val="24"/>
        </w:rPr>
        <w:t>或者为实现其他非法目的的行为。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二、我单位参加本次投标活动，不存在与法定代表人（主要负责人）为同一人或者存在直接控股、管理关系的其他供应商参与同一合同项下的政府采购活动的行为。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三、我单位参加本次投标活动，不存在和其他供应商在同一合同项下的采购项目中，同时委托同一个自然人、同一家庭的人员、同一单位的人员作为代理人的行为。</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五、我单位在投标文件中提供的能够给予采购人带来优惠、好处的任何材料资料和技术、服务、商务等响应承诺情况都是真实、有效、合法的。</w:t>
      </w:r>
    </w:p>
    <w:p>
      <w:pPr>
        <w:pStyle w:val="68"/>
        <w:spacing w:after="0"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六、为采购项目提供整体设计、规范编制或者项目管理、监理、检测等服务的供应商，不得再参加该采购项目的其他采购活动，我单位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不属于此类禁止参加本项目的供应商</w:t>
      </w:r>
      <w:r>
        <w:rPr>
          <w:rFonts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七、我单位实际控制人或者中高级管理人员，不存在同时是采购代理机构工作人员的情形。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八、我单位与采购代理机构不存在关联关系，也不是采购代理机构的母公司或子公司。</w:t>
      </w:r>
    </w:p>
    <w:p>
      <w:pPr>
        <w:widowControl/>
        <w:spacing w:line="360" w:lineRule="auto"/>
        <w:ind w:firstLine="480" w:firstLineChars="200"/>
        <w:jc w:val="left"/>
        <w:outlineLvl w:val="1"/>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九、我单位、其现任法定代表人（主要负责人）、拟委任的项目负责人在参加本项目投标文件递交截止日起前三年内没有行贿犯罪的记录。</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color w:val="000000"/>
          <w:sz w:val="24"/>
        </w:rPr>
        <w:t>十、截至投标文件递交截止日我单位未被列为失信被执行人、重大税收违法案件当事人名单、政府采购严重违法失信行</w:t>
      </w:r>
      <w:r>
        <w:rPr>
          <w:rFonts w:hint="eastAsia" w:cs="仿宋" w:asciiTheme="majorEastAsia" w:hAnsiTheme="majorEastAsia" w:eastAsiaTheme="majorEastAsia"/>
          <w:sz w:val="24"/>
        </w:rPr>
        <w:t>为记录名单。</w:t>
      </w:r>
    </w:p>
    <w:p>
      <w:pPr>
        <w:spacing w:line="360" w:lineRule="auto"/>
        <w:ind w:firstLine="420" w:firstLineChars="200"/>
        <w:rPr>
          <w:rFonts w:cs="仿宋" w:asciiTheme="majorEastAsia" w:hAnsiTheme="majorEastAsia" w:eastAsiaTheme="majorEastAsia"/>
          <w:sz w:val="24"/>
        </w:rPr>
      </w:pPr>
      <w:r>
        <w:rPr>
          <w:rFonts w:hint="eastAsia" w:eastAsiaTheme="majorEastAsia"/>
        </w:rPr>
        <w:t>十一</w:t>
      </w:r>
      <w:r>
        <w:rPr>
          <w:rFonts w:hint="eastAsia" w:cs="仿宋" w:asciiTheme="majorEastAsia" w:hAnsiTheme="majorEastAsia" w:eastAsiaTheme="majorEastAsia"/>
          <w:sz w:val="24"/>
        </w:rPr>
        <w:t>、我单位在投标文件中提供的任何资料和技术、服务、商务等投标承诺情况都是真实的、有效的、合法的。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十二</w:t>
      </w:r>
      <w:r>
        <w:rPr>
          <w:rFonts w:cs="仿宋" w:asciiTheme="majorEastAsia" w:hAnsiTheme="majorEastAsia" w:eastAsiaTheme="majorEastAsia"/>
          <w:sz w:val="24"/>
        </w:rPr>
        <w:t>、</w:t>
      </w:r>
      <w:r>
        <w:rPr>
          <w:rFonts w:hint="eastAsia" w:cs="仿宋" w:asciiTheme="majorEastAsia" w:hAnsiTheme="majorEastAsia" w:eastAsiaTheme="majorEastAsia"/>
          <w:sz w:val="24"/>
        </w:rPr>
        <w:t>如本项目投标过程中需要提供样品，则我单位提供的样品即为中标后将要提供的成交产品标准，我单位对提供样品的性能和质量负责，因样品存在缺陷或者不符合招标文件要求导致未能成交的，我方愿意承担相应不利后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三、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除非招标文件特别规定，采购人享有本项目实施过程中产生的知识成果及知识产权。如我单位在采购项目实施过程中采用自有或者第三方知识成果的，使用该知识成果后，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提供开发接口和开发手册等技术资料，并提供无限期支持，采购人享有使用权（含采购人委托第三方在该项目后续开发的使用权）。如我单位在项目实施过程中采用非自有的知识产权，则在报价中已包括合法获取该知识产权的相关费用。</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十四、国家或行业主管部门对采购产品的技术标准、质量标准和资格资质条件等有强制性规定的，我单位承诺符合其要求。</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十五、在本次递交投标文件之截止之日前一周年内，供应商本次招标中对同一品牌同一型号的产品报价与其在中国境内其他地方的最低报价相比不得高于</w:t>
      </w:r>
      <w:r>
        <w:rPr>
          <w:rFonts w:cs="仿宋" w:asciiTheme="majorEastAsia" w:hAnsiTheme="majorEastAsia" w:eastAsiaTheme="majorEastAsia"/>
          <w:sz w:val="24"/>
        </w:rPr>
        <w:t>20%，我单位承诺符合该要求。</w:t>
      </w:r>
    </w:p>
    <w:p>
      <w:pPr>
        <w:spacing w:line="360" w:lineRule="auto"/>
        <w:ind w:firstLine="480" w:firstLineChars="200"/>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我单位对上述承诺的内容事项真实性负责。如经查实上述承诺的内容事项存在虚假，我单位愿意接受以提供虚假材料谋取成交的法律责任。</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w:t>
      </w:r>
      <w:r>
        <w:rPr>
          <w:rFonts w:hint="eastAsia" w:cs="仿宋" w:asciiTheme="majorEastAsia" w:hAnsiTheme="majorEastAsia" w:eastAsiaTheme="majorEastAsia"/>
          <w:sz w:val="24"/>
        </w:rPr>
        <w:t>电子印章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color w:val="000000"/>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pPr>
    </w:p>
    <w:p>
      <w:pPr>
        <w:sectPr>
          <w:pgSz w:w="11906" w:h="16838"/>
          <w:pgMar w:top="1843" w:right="1701" w:bottom="1417" w:left="1418" w:header="851" w:footer="992" w:gutter="0"/>
          <w:cols w:space="720" w:num="1"/>
          <w:docGrid w:linePitch="312" w:charSpace="0"/>
        </w:sectPr>
      </w:pPr>
    </w:p>
    <w:p>
      <w:pPr>
        <w:numPr>
          <w:ilvl w:val="255"/>
          <w:numId w:val="0"/>
        </w:num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十一、技术服务方案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投标人按照招标文件要求做出的技术、服务和商务方案，主要是针对招标项目的技术指标、参数和技术要求做出的实质性响应和满足。投标人的技术与服务方案应包括（但不限于）下列内容（如涉及）：</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w:t>
      </w:r>
      <w:r>
        <w:rPr>
          <w:rFonts w:hint="eastAsia" w:cs="仿宋" w:asciiTheme="majorEastAsia" w:hAnsiTheme="majorEastAsia" w:eastAsiaTheme="majorEastAsia"/>
          <w:color w:val="000000"/>
          <w:sz w:val="24"/>
          <w:szCs w:val="20"/>
        </w:rPr>
        <w:t>服务方案、项目实施方案；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2）提供服务所涉及产品的品牌、型号、配置；详细的技术指标和参数；</w:t>
      </w:r>
    </w:p>
    <w:p>
      <w:pPr>
        <w:pStyle w:val="32"/>
        <w:numPr>
          <w:ilvl w:val="255"/>
          <w:numId w:val="0"/>
        </w:numPr>
        <w:spacing w:line="360" w:lineRule="auto"/>
        <w:ind w:firstLine="480" w:firstLineChars="200"/>
        <w:rPr>
          <w:rFonts w:cs="仿宋" w:asciiTheme="majorEastAsia" w:hAnsiTheme="majorEastAsia" w:eastAsiaTheme="majorEastAsia"/>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w:t>
      </w:r>
      <w:r>
        <w:rPr>
          <w:rFonts w:hint="eastAsia" w:cs="仿宋" w:asciiTheme="majorEastAsia" w:hAnsiTheme="majorEastAsia" w:eastAsiaTheme="majorEastAsia"/>
          <w:color w:val="000000"/>
          <w:sz w:val="24"/>
          <w:szCs w:val="20"/>
        </w:rPr>
        <w:t>）评分标</w:t>
      </w:r>
      <w:r>
        <w:rPr>
          <w:rFonts w:hint="eastAsia" w:cs="仿宋" w:asciiTheme="majorEastAsia" w:hAnsiTheme="majorEastAsia" w:eastAsiaTheme="majorEastAsia"/>
          <w:color w:val="000000"/>
          <w:sz w:val="24"/>
        </w:rPr>
        <w:t>准的内容。</w:t>
      </w:r>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十二、投标人认为需要提供的其他材料</w:t>
      </w:r>
    </w:p>
    <w:p>
      <w:pPr>
        <w:spacing w:line="360" w:lineRule="auto"/>
        <w:jc w:val="left"/>
        <w:rPr>
          <w:rFonts w:cs="仿宋" w:asciiTheme="majorEastAsia" w:hAnsiTheme="majorEastAsia" w:eastAsiaTheme="majorEastAsia"/>
          <w:b/>
          <w:sz w:val="24"/>
          <w:szCs w:val="32"/>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投标人认为需要提供的其他资料，格式不作要求，认为不提供的可以空白或填写“无”。</w:t>
      </w:r>
    </w:p>
    <w:p>
      <w:pPr>
        <w:tabs>
          <w:tab w:val="left" w:pos="540"/>
        </w:tabs>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tabs>
          <w:tab w:val="left" w:pos="540"/>
        </w:tabs>
        <w:spacing w:line="360" w:lineRule="auto"/>
        <w:ind w:firstLine="480" w:firstLineChars="200"/>
        <w:jc w:val="left"/>
        <w:rPr>
          <w:rFonts w:cs="仿宋" w:asciiTheme="majorEastAsia" w:hAnsiTheme="majorEastAsia" w:eastAsiaTheme="majorEastAsia"/>
          <w:sz w:val="24"/>
        </w:rPr>
      </w:pPr>
      <w:bookmarkStart w:id="159" w:name="_Hlk49434325"/>
      <w:r>
        <w:rPr>
          <w:rFonts w:hint="eastAsia" w:cs="仿宋" w:asciiTheme="majorEastAsia" w:hAnsiTheme="majorEastAsia" w:eastAsiaTheme="majorEastAsia"/>
          <w:bCs/>
          <w:color w:val="000000"/>
          <w:sz w:val="24"/>
        </w:rPr>
        <w:t>附件</w:t>
      </w:r>
      <w:r>
        <w:rPr>
          <w:rFonts w:hint="eastAsia" w:cs="仿宋" w:asciiTheme="majorEastAsia" w:hAnsiTheme="majorEastAsia" w:eastAsiaTheme="majorEastAsia"/>
          <w:bCs/>
          <w:color w:val="000000"/>
          <w:sz w:val="24"/>
          <w:lang w:val="en-US" w:eastAsia="zh-CN"/>
        </w:rPr>
        <w:t>二</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sz w:val="24"/>
        </w:rPr>
        <w:t>强制性产品的认证（</w:t>
      </w:r>
      <w:r>
        <w:rPr>
          <w:rFonts w:cs="仿宋" w:asciiTheme="majorEastAsia" w:hAnsiTheme="majorEastAsia" w:eastAsiaTheme="majorEastAsia"/>
          <w:sz w:val="24"/>
        </w:rPr>
        <w:t>3C）证书承诺函</w:t>
      </w:r>
    </w:p>
    <w:bookmarkEnd w:id="159"/>
    <w:p>
      <w:pPr>
        <w:tabs>
          <w:tab w:val="left" w:pos="540"/>
        </w:tabs>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注：以上格式仅作为招标文件有规定或供应商制作投标文件有需要时参考使用</w:t>
      </w:r>
      <w:r>
        <w:rPr>
          <w:rFonts w:hint="eastAsia" w:cs="仿宋" w:asciiTheme="majorEastAsia" w:hAnsiTheme="majorEastAsia" w:eastAsiaTheme="majorEastAsia"/>
          <w:sz w:val="24"/>
          <w:lang w:eastAsia="zh-CN"/>
        </w:rPr>
        <w:t>。</w:t>
      </w:r>
    </w:p>
    <w:p>
      <w:pPr>
        <w:pStyle w:val="2"/>
        <w:spacing w:line="360" w:lineRule="auto"/>
        <w:rPr>
          <w:rFonts w:cs="仿宋" w:asciiTheme="majorEastAsia" w:hAnsiTheme="majorEastAsia" w:eastAsiaTheme="majorEastAsia"/>
          <w:b/>
          <w:color w:val="000000"/>
          <w:sz w:val="28"/>
          <w:szCs w:val="28"/>
        </w:rPr>
      </w:pPr>
      <w:bookmarkStart w:id="160" w:name="_Toc495165835"/>
      <w:bookmarkStart w:id="161" w:name="_Toc495913053"/>
      <w:bookmarkStart w:id="162" w:name="_Toc469988658"/>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val="en-US" w:eastAsia="zh-CN"/>
        </w:rPr>
        <w:t>二</w:t>
      </w:r>
      <w:r>
        <w:rPr>
          <w:rFonts w:hint="eastAsia" w:cs="仿宋" w:asciiTheme="majorEastAsia" w:hAnsiTheme="majorEastAsia" w:eastAsiaTheme="majorEastAsia"/>
          <w:kern w:val="0"/>
          <w:sz w:val="28"/>
          <w:szCs w:val="28"/>
        </w:rPr>
        <w:t>：</w:t>
      </w:r>
      <w:r>
        <w:rPr>
          <w:rFonts w:hint="eastAsia" w:cs="仿宋" w:asciiTheme="majorEastAsia" w:hAnsiTheme="majorEastAsia" w:eastAsiaTheme="majorEastAsia"/>
          <w:b/>
          <w:sz w:val="28"/>
          <w:szCs w:val="28"/>
        </w:rPr>
        <w:t>强制性产品的认证（</w:t>
      </w:r>
      <w:r>
        <w:rPr>
          <w:rFonts w:cs="仿宋" w:asciiTheme="majorEastAsia" w:hAnsiTheme="majorEastAsia" w:eastAsiaTheme="majorEastAsia"/>
          <w:b/>
          <w:sz w:val="28"/>
          <w:szCs w:val="28"/>
        </w:rPr>
        <w:t>3C）证书承诺函</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强制性产品的认证（</w:t>
      </w:r>
      <w:r>
        <w:rPr>
          <w:rFonts w:cs="仿宋" w:asciiTheme="majorEastAsia" w:hAnsiTheme="majorEastAsia" w:eastAsiaTheme="majorEastAsia"/>
          <w:b/>
          <w:bCs/>
          <w:sz w:val="28"/>
          <w:szCs w:val="28"/>
        </w:rPr>
        <w:t>3C）证书承诺函</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480" w:lineRule="auto"/>
        <w:ind w:firstLine="424" w:firstLineChars="177"/>
        <w:rPr>
          <w:rFonts w:cs="仿宋" w:asciiTheme="majorEastAsia" w:hAnsiTheme="majorEastAsia" w:eastAsiaTheme="majorEastAsia"/>
          <w:sz w:val="24"/>
        </w:rPr>
      </w:pPr>
      <w:bookmarkStart w:id="163" w:name="_Hlk49434313"/>
      <w:r>
        <w:rPr>
          <w:rFonts w:hint="eastAsia" w:cs="仿宋" w:asciiTheme="majorEastAsia" w:hAnsiTheme="majorEastAsia" w:eastAsiaTheme="majorEastAsia"/>
          <w:sz w:val="24"/>
        </w:rPr>
        <w:t>我单位作为本次招标项目的供应商，现郑重承诺如下：</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我单位所投产品若涉及《中华人民共和国产品质量法》、《强制性产品认证管理规定》（质检总局令第</w:t>
      </w:r>
      <w:r>
        <w:rPr>
          <w:rFonts w:cs="仿宋" w:asciiTheme="majorEastAsia" w:hAnsiTheme="majorEastAsia" w:eastAsiaTheme="majorEastAsia"/>
          <w:sz w:val="24"/>
        </w:rPr>
        <w:t>117号）及国家法律法规规定的其它强制性规定的认证，承诺具有有效的强制性产品认证（3C）证书，</w:t>
      </w:r>
      <w:r>
        <w:rPr>
          <w:rFonts w:hint="eastAsia" w:cs="仿宋" w:asciiTheme="majorEastAsia" w:hAnsiTheme="majorEastAsia" w:eastAsiaTheme="majorEastAsia"/>
          <w:sz w:val="24"/>
        </w:rPr>
        <w:t>并</w:t>
      </w:r>
      <w:r>
        <w:rPr>
          <w:rFonts w:cs="仿宋" w:asciiTheme="majorEastAsia" w:hAnsiTheme="majorEastAsia" w:eastAsiaTheme="majorEastAsia"/>
          <w:sz w:val="24"/>
        </w:rPr>
        <w:t>在中标后签订采购合同前向采购人提供所涉及强制性产品的认证（3C）证书。</w:t>
      </w:r>
    </w:p>
    <w:p>
      <w:pPr>
        <w:spacing w:line="480" w:lineRule="auto"/>
        <w:ind w:firstLine="424" w:firstLineChars="177"/>
        <w:rPr>
          <w:rFonts w:cs="仿宋" w:asciiTheme="majorEastAsia" w:hAnsiTheme="majorEastAsia" w:eastAsiaTheme="majorEastAsia"/>
        </w:rPr>
      </w:pPr>
      <w:r>
        <w:rPr>
          <w:rFonts w:hint="eastAsia" w:cs="仿宋" w:asciiTheme="majorEastAsia" w:hAnsiTheme="majorEastAsia" w:eastAsiaTheme="majorEastAsia"/>
          <w:sz w:val="24"/>
        </w:rPr>
        <w:t>我单位对上述承诺内容事项真实性负责，如经查实上述承诺的内容事项存在虚假，</w:t>
      </w:r>
      <w:r>
        <w:rPr>
          <w:rFonts w:cs="仿宋" w:asciiTheme="majorEastAsia" w:hAnsiTheme="majorEastAsia" w:eastAsiaTheme="majorEastAsia"/>
          <w:sz w:val="24"/>
        </w:rPr>
        <w:t>愿意按提供虚假材料谋求中标接受处罚。</w:t>
      </w:r>
    </w:p>
    <w:bookmarkEnd w:id="163"/>
    <w:p>
      <w:pPr>
        <w:spacing w:line="360" w:lineRule="auto"/>
        <w:ind w:firstLine="480" w:firstLineChars="200"/>
        <w:jc w:val="left"/>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w:t>
      </w:r>
      <w:r>
        <w:rPr>
          <w:rFonts w:hint="eastAsia" w:cs="仿宋" w:asciiTheme="majorEastAsia" w:hAnsiTheme="majorEastAsia" w:eastAsiaTheme="majorEastAsia"/>
          <w:sz w:val="24"/>
        </w:rPr>
        <w:t>电子印章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b/>
          <w:sz w:val="32"/>
          <w:szCs w:val="32"/>
        </w:rPr>
      </w:pPr>
      <w:r>
        <w:rPr>
          <w:rFonts w:hint="eastAsia" w:cs="仿宋" w:asciiTheme="majorEastAsia" w:hAnsiTheme="majorEastAsia" w:eastAsiaTheme="majorEastAsia"/>
          <w:bCs/>
          <w:color w:val="000000"/>
          <w:sz w:val="24"/>
        </w:rPr>
        <w:t>日  期</w:t>
      </w:r>
      <w:r>
        <w:rPr>
          <w:rFonts w:hint="eastAsia" w:cs="仿宋" w:asciiTheme="majorEastAsia" w:hAnsiTheme="majorEastAsia" w:eastAsiaTheme="majorEastAsia"/>
          <w:color w:val="000000"/>
          <w:sz w:val="24"/>
        </w:rPr>
        <w:t>：X年X月X日</w:t>
      </w:r>
    </w:p>
    <w:p>
      <w:pPr>
        <w:pStyle w:val="32"/>
        <w:spacing w:line="360" w:lineRule="auto"/>
        <w:ind w:firstLine="0" w:firstLineChars="0"/>
        <w:jc w:val="left"/>
        <w:rPr>
          <w:rFonts w:cs="仿宋" w:asciiTheme="majorEastAsia" w:hAnsiTheme="majorEastAsia" w:eastAsiaTheme="majorEastAsia"/>
          <w:b/>
          <w:bCs/>
          <w:szCs w:val="21"/>
        </w:rPr>
      </w:pPr>
    </w:p>
    <w:p>
      <w:pPr>
        <w:pStyle w:val="32"/>
        <w:spacing w:line="360" w:lineRule="auto"/>
        <w:ind w:firstLine="321"/>
        <w:rPr>
          <w:rFonts w:cs="仿宋" w:asciiTheme="majorEastAsia" w:hAnsiTheme="majorEastAsia" w:eastAsiaTheme="majorEastAsia"/>
          <w:b/>
          <w:sz w:val="32"/>
          <w:szCs w:val="32"/>
        </w:rPr>
      </w:pPr>
    </w:p>
    <w:p>
      <w:pPr>
        <w:pStyle w:val="32"/>
        <w:spacing w:line="360" w:lineRule="auto"/>
        <w:ind w:firstLine="321"/>
        <w:jc w:val="center"/>
        <w:rPr>
          <w:rFonts w:cs="仿宋" w:asciiTheme="majorEastAsia" w:hAnsiTheme="majorEastAsia" w:eastAsiaTheme="majorEastAsia"/>
          <w:b/>
          <w:sz w:val="32"/>
          <w:szCs w:val="32"/>
        </w:rPr>
      </w:pPr>
    </w:p>
    <w:p>
      <w:pPr>
        <w:pStyle w:val="32"/>
        <w:spacing w:line="360" w:lineRule="auto"/>
        <w:ind w:firstLine="321"/>
        <w:jc w:val="center"/>
        <w:rPr>
          <w:rFonts w:cs="仿宋" w:asciiTheme="majorEastAsia" w:hAnsiTheme="majorEastAsia" w:eastAsiaTheme="majorEastAsia"/>
          <w:b/>
          <w:sz w:val="32"/>
          <w:szCs w:val="32"/>
        </w:rPr>
        <w:sectPr>
          <w:headerReference r:id="rId12" w:type="default"/>
          <w:pgSz w:w="11906" w:h="16838"/>
          <w:pgMar w:top="1843" w:right="1701" w:bottom="1417" w:left="1418" w:header="851" w:footer="992" w:gutter="0"/>
          <w:cols w:space="720" w:num="1"/>
          <w:docGrid w:linePitch="312" w:charSpace="0"/>
        </w:sectPr>
      </w:pPr>
    </w:p>
    <w:p>
      <w:pPr>
        <w:spacing w:before="240" w:after="24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第四章  投标人和投标产品的资格、资质性</w:t>
      </w:r>
      <w:bookmarkEnd w:id="160"/>
      <w:bookmarkStart w:id="164" w:name="_Toc495165836"/>
    </w:p>
    <w:p>
      <w:pPr>
        <w:spacing w:before="240" w:after="24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及其他类似效力要求</w:t>
      </w:r>
      <w:bookmarkEnd w:id="161"/>
      <w:bookmarkEnd w:id="164"/>
    </w:p>
    <w:p>
      <w:pPr>
        <w:spacing w:line="360" w:lineRule="auto"/>
        <w:ind w:firstLine="540" w:firstLineChars="225"/>
        <w:rPr>
          <w:rFonts w:cs="仿宋" w:asciiTheme="majorEastAsia" w:hAnsiTheme="majorEastAsia" w:eastAsiaTheme="majorEastAsia"/>
          <w:color w:val="000000"/>
          <w:sz w:val="24"/>
        </w:rPr>
      </w:pPr>
      <w:bookmarkStart w:id="165" w:name="_Hlk31894114"/>
      <w:r>
        <w:rPr>
          <w:rFonts w:hint="eastAsia" w:cs="仿宋" w:asciiTheme="majorEastAsia" w:hAnsiTheme="majorEastAsia" w:eastAsiaTheme="majorEastAsia"/>
          <w:color w:val="000000"/>
          <w:sz w:val="24"/>
        </w:rPr>
        <w:t>一、满足《中华人民共和国政府采购法》第二十二条</w:t>
      </w:r>
      <w:r>
        <w:rPr>
          <w:rFonts w:cs="仿宋" w:asciiTheme="majorEastAsia" w:hAnsiTheme="majorEastAsia" w:eastAsiaTheme="majorEastAsia"/>
          <w:color w:val="000000"/>
          <w:sz w:val="24"/>
        </w:rPr>
        <w:t>规定</w:t>
      </w:r>
      <w:r>
        <w:rPr>
          <w:rFonts w:hint="eastAsia" w:cs="仿宋" w:asciiTheme="majorEastAsia" w:hAnsiTheme="majorEastAsia" w:eastAsiaTheme="majorEastAsia"/>
          <w:color w:val="000000"/>
          <w:sz w:val="24"/>
        </w:rPr>
        <w:t>：详见第五章资格性审查要求。</w:t>
      </w:r>
    </w:p>
    <w:p>
      <w:pPr>
        <w:pStyle w:val="41"/>
        <w:ind w:firstLine="480"/>
        <w:rPr>
          <w:rFonts w:cs="仿宋" w:asciiTheme="majorEastAsia" w:hAnsiTheme="majorEastAsia" w:eastAsiaTheme="majorEastAsia"/>
          <w:sz w:val="24"/>
        </w:rPr>
      </w:pPr>
      <w:r>
        <w:rPr>
          <w:rFonts w:hint="eastAsia" w:cs="仿宋" w:asciiTheme="majorEastAsia" w:hAnsiTheme="majorEastAsia" w:eastAsiaTheme="majorEastAsia"/>
          <w:sz w:val="24"/>
        </w:rPr>
        <w:t>二、落实政府采购政策需满足的资格要求：详见第五章资格性审查要求。</w:t>
      </w:r>
    </w:p>
    <w:p>
      <w:pPr>
        <w:pStyle w:val="41"/>
        <w:ind w:firstLine="480"/>
        <w:rPr>
          <w:rFonts w:cs="仿宋" w:asciiTheme="majorEastAsia" w:hAnsiTheme="majorEastAsia" w:eastAsiaTheme="majorEastAsia"/>
          <w:bCs/>
          <w:sz w:val="24"/>
        </w:rPr>
      </w:pPr>
      <w:r>
        <w:rPr>
          <w:rFonts w:hint="eastAsia" w:cs="仿宋" w:asciiTheme="majorEastAsia" w:hAnsiTheme="majorEastAsia" w:eastAsiaTheme="majorEastAsia"/>
          <w:sz w:val="24"/>
        </w:rPr>
        <w:t>三、</w:t>
      </w:r>
      <w:r>
        <w:rPr>
          <w:rFonts w:hint="eastAsia" w:cs="仿宋" w:asciiTheme="majorEastAsia" w:hAnsiTheme="majorEastAsia" w:eastAsiaTheme="majorEastAsia"/>
          <w:bCs/>
          <w:sz w:val="24"/>
        </w:rPr>
        <w:t>本项目的特定资格要求：详见第五章资格性审查要求。</w:t>
      </w:r>
    </w:p>
    <w:p>
      <w:pPr>
        <w:pStyle w:val="41"/>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四、投标人应提供的报价产品的资格、资质性及其他类似效力要求的相关证明材料：</w:t>
      </w:r>
    </w:p>
    <w:p>
      <w:pPr>
        <w:spacing w:after="50" w:line="400" w:lineRule="exact"/>
        <w:ind w:firstLine="480"/>
        <w:rPr>
          <w:rFonts w:cs="仿宋" w:asciiTheme="majorEastAsia" w:hAnsiTheme="majorEastAsia" w:eastAsiaTheme="majorEastAsia"/>
          <w:sz w:val="24"/>
          <w:highlight w:val="none"/>
        </w:rPr>
      </w:pPr>
      <w:r>
        <w:rPr>
          <w:rFonts w:cs="仿宋" w:asciiTheme="majorEastAsia" w:hAnsiTheme="majorEastAsia" w:eastAsiaTheme="majorEastAsia"/>
          <w:sz w:val="24"/>
          <w:highlight w:val="none"/>
        </w:rPr>
        <w:t>1、资格要求相关证明材料：</w:t>
      </w:r>
      <w:r>
        <w:rPr>
          <w:rFonts w:hint="eastAsia" w:cs="仿宋" w:asciiTheme="majorEastAsia" w:hAnsiTheme="majorEastAsia" w:eastAsiaTheme="majorEastAsia"/>
          <w:sz w:val="24"/>
          <w:highlight w:val="none"/>
        </w:rPr>
        <w:t>详见第五章资格性审查要求。</w:t>
      </w:r>
    </w:p>
    <w:p>
      <w:pPr>
        <w:spacing w:after="50" w:line="400" w:lineRule="exact"/>
        <w:ind w:firstLine="480"/>
        <w:rPr>
          <w:rFonts w:cs="仿宋" w:asciiTheme="majorEastAsia" w:hAnsiTheme="majorEastAsia" w:eastAsiaTheme="majorEastAsia"/>
          <w:sz w:val="24"/>
          <w:highlight w:val="none"/>
        </w:rPr>
      </w:pPr>
      <w:r>
        <w:rPr>
          <w:rFonts w:cs="仿宋" w:asciiTheme="majorEastAsia" w:hAnsiTheme="majorEastAsia" w:eastAsiaTheme="majorEastAsia"/>
          <w:sz w:val="24"/>
          <w:highlight w:val="none"/>
        </w:rPr>
        <w:t>2、资质性要求相关证明材料：</w:t>
      </w:r>
      <w:r>
        <w:rPr>
          <w:rFonts w:hint="eastAsia" w:cs="仿宋" w:asciiTheme="majorEastAsia" w:hAnsiTheme="majorEastAsia" w:eastAsiaTheme="majorEastAsia"/>
          <w:sz w:val="24"/>
          <w:highlight w:val="none"/>
        </w:rPr>
        <w:t>详见第五章资格性审查要求。</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3、</w:t>
      </w:r>
      <w:r>
        <w:rPr>
          <w:rFonts w:hint="eastAsia" w:cs="仿宋" w:asciiTheme="majorEastAsia" w:hAnsiTheme="majorEastAsia" w:eastAsiaTheme="majorEastAsia"/>
          <w:sz w:val="24"/>
        </w:rPr>
        <w:t>其他类似效力要求相关证明材料：详见第五章资格性审查要求。</w:t>
      </w:r>
    </w:p>
    <w:p>
      <w:pPr>
        <w:spacing w:line="360" w:lineRule="auto"/>
        <w:rPr>
          <w:rFonts w:cs="仿宋" w:asciiTheme="majorEastAsia" w:hAnsiTheme="majorEastAsia" w:eastAsiaTheme="majorEastAsia"/>
          <w:color w:val="000000"/>
          <w:szCs w:val="21"/>
        </w:rPr>
      </w:pPr>
    </w:p>
    <w:p>
      <w:pPr>
        <w:spacing w:line="360" w:lineRule="auto"/>
        <w:ind w:firstLine="472" w:firstLineChars="225"/>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color w:val="000000"/>
          <w:szCs w:val="21"/>
        </w:rPr>
        <w:t>1.</w:t>
      </w:r>
      <w:r>
        <w:rPr>
          <w:rFonts w:hint="eastAsia" w:cs="仿宋" w:asciiTheme="majorEastAsia" w:hAnsiTheme="majorEastAsia" w:eastAsiaTheme="majorEastAsia"/>
          <w:color w:val="000000"/>
          <w:szCs w:val="21"/>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892" w:firstLineChars="425"/>
        <w:rPr>
          <w:rFonts w:cs="仿宋" w:asciiTheme="majorEastAsia" w:hAnsiTheme="majorEastAsia" w:eastAsiaTheme="majorEastAsia"/>
          <w:b/>
          <w:sz w:val="32"/>
          <w:szCs w:val="32"/>
        </w:rPr>
      </w:pPr>
      <w:r>
        <w:rPr>
          <w:rFonts w:cs="仿宋" w:asciiTheme="majorEastAsia" w:hAnsiTheme="majorEastAsia" w:eastAsiaTheme="majorEastAsia"/>
          <w:color w:val="000000"/>
          <w:szCs w:val="21"/>
        </w:rPr>
        <w:t>2.供应</w:t>
      </w:r>
      <w:r>
        <w:rPr>
          <w:rFonts w:hint="eastAsia" w:cs="仿宋" w:asciiTheme="majorEastAsia" w:hAnsiTheme="majorEastAsia" w:eastAsiaTheme="majorEastAsia"/>
          <w:color w:val="000000"/>
          <w:szCs w:val="21"/>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End w:id="162"/>
      <w:bookmarkEnd w:id="165"/>
      <w:bookmarkStart w:id="166" w:name="_Toc495165837"/>
      <w:bookmarkStart w:id="167" w:name="_Toc495913054"/>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第五章  投标人应当提供的资格、资质性</w:t>
      </w:r>
      <w:bookmarkEnd w:id="166"/>
      <w:bookmarkStart w:id="168" w:name="_Toc495165838"/>
      <w:r>
        <w:rPr>
          <w:rFonts w:hint="eastAsia" w:ascii="黑体" w:hAnsi="黑体" w:eastAsia="黑体" w:cs="仿宋"/>
          <w:b/>
          <w:sz w:val="32"/>
          <w:szCs w:val="32"/>
        </w:rPr>
        <w:t>及其他类似效力要求的相关证明材料</w:t>
      </w:r>
      <w:bookmarkEnd w:id="167"/>
      <w:bookmarkEnd w:id="168"/>
    </w:p>
    <w:p>
      <w:pPr>
        <w:spacing w:line="400" w:lineRule="exact"/>
        <w:ind w:firstLine="403" w:firstLineChars="192"/>
        <w:rPr>
          <w:rFonts w:cs="仿宋" w:asciiTheme="majorEastAsia" w:hAnsiTheme="majorEastAsia" w:eastAsiaTheme="majorEastAsia"/>
          <w:kern w:val="0"/>
          <w:szCs w:val="21"/>
        </w:rPr>
      </w:pPr>
      <w:r>
        <w:rPr>
          <w:rFonts w:hint="eastAsia" w:cs="仿宋" w:asciiTheme="majorEastAsia" w:hAnsiTheme="majorEastAsia" w:eastAsiaTheme="majorEastAsia"/>
          <w:kern w:val="0"/>
          <w:szCs w:val="21"/>
          <w:lang w:val="en-US" w:eastAsia="zh-CN"/>
        </w:rPr>
        <w:t>一、</w:t>
      </w:r>
      <w:r>
        <w:rPr>
          <w:rFonts w:hint="eastAsia" w:cs="仿宋" w:asciiTheme="majorEastAsia" w:hAnsiTheme="majorEastAsia" w:eastAsiaTheme="majorEastAsia"/>
          <w:kern w:val="0"/>
          <w:szCs w:val="21"/>
        </w:rPr>
        <w:t>采购人或者采购代理机构应当依法对投标人的资格进行审查，资格审查内容详见下表。</w:t>
      </w:r>
    </w:p>
    <w:tbl>
      <w:tblPr>
        <w:tblStyle w:val="34"/>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065"/>
        <w:gridCol w:w="459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575"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2065"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第四章  投标人和投标产品的资格、资质性及其他类似效力要求</w:t>
            </w:r>
          </w:p>
        </w:tc>
        <w:tc>
          <w:tcPr>
            <w:tcW w:w="4597" w:type="dxa"/>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资格审查要求</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sz w:val="24"/>
                <w:szCs w:val="24"/>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67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206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tc>
        <w:tc>
          <w:tcPr>
            <w:tcW w:w="459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sz w:val="24"/>
                <w:szCs w:val="24"/>
              </w:rPr>
              <w:t>1.1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明材料”（身份证明材料是指居民身份证（正反面）或军官证或护照等）。以上均提供复印件。</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p>
        </w:tc>
        <w:tc>
          <w:tcPr>
            <w:tcW w:w="2065"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p>
        </w:tc>
        <w:tc>
          <w:tcPr>
            <w:tcW w:w="459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1.2具备良好商业信誉的证明材料：提供承诺函，格式详见第三章格式1-</w:t>
            </w:r>
            <w:r>
              <w:rPr>
                <w:rFonts w:hint="eastAsia" w:ascii="宋体" w:hAnsi="宋体" w:cs="宋体"/>
                <w:sz w:val="24"/>
                <w:szCs w:val="24"/>
                <w:lang w:val="en-US" w:eastAsia="zh-CN"/>
              </w:rPr>
              <w:t>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注：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p>
        </w:tc>
        <w:tc>
          <w:tcPr>
            <w:tcW w:w="2065"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p>
        </w:tc>
        <w:tc>
          <w:tcPr>
            <w:tcW w:w="459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1.3具备健全的财务会计制度的证明材料：①可提供</w:t>
            </w:r>
            <w:r>
              <w:rPr>
                <w:rFonts w:hint="eastAsia" w:ascii="宋体" w:hAnsi="宋体" w:eastAsia="宋体" w:cs="宋体"/>
                <w:sz w:val="24"/>
                <w:szCs w:val="24"/>
                <w:highlight w:val="none"/>
                <w:lang w:val="en-US" w:eastAsia="zh-CN"/>
              </w:rPr>
              <w:t>2020</w:t>
            </w:r>
            <w:r>
              <w:rPr>
                <w:rFonts w:hint="eastAsia" w:ascii="宋体" w:hAnsi="宋体" w:eastAsia="宋体" w:cs="宋体"/>
                <w:sz w:val="24"/>
                <w:szCs w:val="24"/>
                <w:highlight w:val="none"/>
              </w:rPr>
              <w:t>年度经审计的财务报告，②也可提供</w:t>
            </w:r>
            <w:r>
              <w:rPr>
                <w:rFonts w:hint="eastAsia" w:ascii="宋体" w:hAnsi="宋体" w:eastAsia="宋体" w:cs="宋体"/>
                <w:sz w:val="24"/>
                <w:szCs w:val="24"/>
                <w:highlight w:val="none"/>
                <w:lang w:val="en-US" w:eastAsia="zh-CN"/>
              </w:rPr>
              <w:t>2020</w:t>
            </w:r>
            <w:r>
              <w:rPr>
                <w:rFonts w:hint="eastAsia" w:ascii="宋体" w:hAnsi="宋体" w:eastAsia="宋体" w:cs="宋体"/>
                <w:sz w:val="24"/>
                <w:szCs w:val="24"/>
              </w:rPr>
              <w:t>年度供应商内部的财务报表复印件（至少包含资产负债表），③也可提供截至投标文件递交截止日前三个月银行出具的资信证明（复印件）。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70" w:firstLineChars="196"/>
              <w:textAlignment w:val="auto"/>
              <w:rPr>
                <w:rFonts w:hint="eastAsia" w:ascii="宋体" w:hAnsi="宋体" w:eastAsia="宋体" w:cs="宋体"/>
                <w:bCs/>
                <w:sz w:val="24"/>
                <w:szCs w:val="24"/>
              </w:rPr>
            </w:pPr>
            <w:r>
              <w:rPr>
                <w:rFonts w:hint="eastAsia" w:ascii="宋体" w:hAnsi="宋体" w:eastAsia="宋体" w:cs="宋体"/>
                <w:sz w:val="24"/>
                <w:szCs w:val="24"/>
              </w:rPr>
              <w:t>特别说明：①供应商注册时间截至投标文件递交截止日不足一年的，也可提供加盖备案主管部门印章的章程复印件。②</w:t>
            </w:r>
            <w:r>
              <w:rPr>
                <w:rFonts w:hint="eastAsia" w:ascii="宋体" w:hAnsi="宋体" w:eastAsia="宋体" w:cs="宋体"/>
                <w:color w:val="000000"/>
                <w:kern w:val="0"/>
                <w:sz w:val="24"/>
                <w:szCs w:val="24"/>
              </w:rPr>
              <w:t>提供的证明资料满足以上任意一项均视为符合要求。</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p>
        </w:tc>
        <w:tc>
          <w:tcPr>
            <w:tcW w:w="2065"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p>
        </w:tc>
        <w:tc>
          <w:tcPr>
            <w:tcW w:w="459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1.4具有依法缴纳税收的良好记录：①可提供</w:t>
            </w:r>
            <w:r>
              <w:rPr>
                <w:rFonts w:hint="eastAsia" w:ascii="宋体" w:hAnsi="宋体" w:eastAsia="宋体" w:cs="宋体"/>
                <w:sz w:val="24"/>
                <w:szCs w:val="24"/>
                <w:highlight w:val="none"/>
                <w:lang w:val="en-US" w:eastAsia="zh-CN"/>
              </w:rPr>
              <w:t>2021</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月起任意</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个月的银行纳税回单或税务局出具的纳税证明或纳税发票复印件（盖单位公章），</w:t>
            </w:r>
            <w:r>
              <w:rPr>
                <w:rFonts w:hint="eastAsia" w:ascii="宋体" w:hAnsi="宋体" w:eastAsia="宋体" w:cs="宋体"/>
                <w:sz w:val="24"/>
                <w:szCs w:val="24"/>
                <w:highlight w:val="none"/>
              </w:rPr>
              <w:t>②也可</w:t>
            </w:r>
            <w:r>
              <w:rPr>
                <w:rFonts w:hint="eastAsia" w:ascii="宋体" w:hAnsi="宋体" w:eastAsia="宋体" w:cs="宋体"/>
                <w:color w:val="000000"/>
                <w:kern w:val="0"/>
                <w:sz w:val="24"/>
                <w:szCs w:val="24"/>
                <w:highlight w:val="none"/>
              </w:rPr>
              <w:t>提供承诺函（</w:t>
            </w:r>
            <w:r>
              <w:rPr>
                <w:rFonts w:hint="eastAsia" w:ascii="宋体" w:hAnsi="宋体" w:eastAsia="宋体" w:cs="宋体"/>
                <w:sz w:val="24"/>
                <w:szCs w:val="24"/>
                <w:highlight w:val="none"/>
              </w:rPr>
              <w:t>格式详见第三章格式1-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的内容</w:t>
            </w:r>
            <w:r>
              <w:rPr>
                <w:rFonts w:hint="eastAsia" w:ascii="宋体" w:hAnsi="宋体" w:eastAsia="宋体" w:cs="宋体"/>
                <w:color w:val="000000"/>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color w:val="000000"/>
                <w:kern w:val="0"/>
                <w:sz w:val="24"/>
                <w:szCs w:val="24"/>
                <w:highlight w:val="none"/>
              </w:rPr>
              <w:t>提供的证明资料满足以上任意一项均视为符合要求。</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p>
        </w:tc>
        <w:tc>
          <w:tcPr>
            <w:tcW w:w="2065"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p>
        </w:tc>
        <w:tc>
          <w:tcPr>
            <w:tcW w:w="459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1.5具有依法缴纳社会保障资金的良好记录：①可提供</w:t>
            </w:r>
            <w:r>
              <w:rPr>
                <w:rFonts w:hint="eastAsia" w:ascii="宋体" w:hAnsi="宋体" w:eastAsia="宋体" w:cs="宋体"/>
                <w:sz w:val="24"/>
                <w:szCs w:val="24"/>
                <w:highlight w:val="none"/>
                <w:lang w:val="en-US" w:eastAsia="zh-CN"/>
              </w:rPr>
              <w:t>2021</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月起任意</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个月的银行社保缴纳回单或社保局出具的社保缴纳证明复印件（盖单位公章）；</w:t>
            </w:r>
            <w:r>
              <w:rPr>
                <w:rFonts w:hint="eastAsia" w:ascii="宋体" w:hAnsi="宋体" w:eastAsia="宋体" w:cs="宋体"/>
                <w:sz w:val="24"/>
                <w:szCs w:val="24"/>
                <w:highlight w:val="none"/>
              </w:rPr>
              <w:t>②也可</w:t>
            </w:r>
            <w:r>
              <w:rPr>
                <w:rFonts w:hint="eastAsia" w:ascii="宋体" w:hAnsi="宋体" w:eastAsia="宋体" w:cs="宋体"/>
                <w:color w:val="000000"/>
                <w:kern w:val="0"/>
                <w:sz w:val="24"/>
                <w:szCs w:val="24"/>
                <w:highlight w:val="none"/>
              </w:rPr>
              <w:t>提供承诺函（</w:t>
            </w:r>
            <w:r>
              <w:rPr>
                <w:rFonts w:hint="eastAsia" w:ascii="宋体" w:hAnsi="宋体" w:eastAsia="宋体" w:cs="宋体"/>
                <w:sz w:val="24"/>
                <w:szCs w:val="24"/>
                <w:highlight w:val="none"/>
              </w:rPr>
              <w:t>格式详见第三章格式1-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的内容</w:t>
            </w:r>
            <w:r>
              <w:rPr>
                <w:rFonts w:hint="eastAsia" w:ascii="宋体" w:hAnsi="宋体" w:eastAsia="宋体" w:cs="宋体"/>
                <w:color w:val="000000"/>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70" w:firstLineChars="196"/>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注：</w:t>
            </w:r>
            <w:r>
              <w:rPr>
                <w:rFonts w:hint="eastAsia" w:ascii="宋体" w:hAnsi="宋体" w:eastAsia="宋体" w:cs="宋体"/>
                <w:sz w:val="24"/>
                <w:szCs w:val="24"/>
                <w:highlight w:val="none"/>
              </w:rPr>
              <w:t>①</w:t>
            </w:r>
            <w:r>
              <w:rPr>
                <w:rFonts w:hint="eastAsia" w:ascii="宋体" w:hAnsi="宋体" w:eastAsia="宋体" w:cs="宋体"/>
                <w:color w:val="000000"/>
                <w:kern w:val="0"/>
                <w:sz w:val="24"/>
                <w:szCs w:val="24"/>
                <w:highlight w:val="none"/>
              </w:rPr>
              <w:t>依法不需要缴纳社会保障资金的供应商，应提供相应文件证明其依法不需要缴纳社会保障资金。</w:t>
            </w:r>
            <w:r>
              <w:rPr>
                <w:rFonts w:hint="eastAsia" w:ascii="宋体" w:hAnsi="宋体" w:eastAsia="宋体" w:cs="宋体"/>
                <w:sz w:val="24"/>
                <w:szCs w:val="24"/>
                <w:highlight w:val="none"/>
              </w:rPr>
              <w:t>②</w:t>
            </w:r>
            <w:r>
              <w:rPr>
                <w:rFonts w:hint="eastAsia" w:ascii="宋体" w:hAnsi="宋体" w:eastAsia="宋体" w:cs="宋体"/>
                <w:color w:val="000000"/>
                <w:kern w:val="0"/>
                <w:sz w:val="24"/>
                <w:szCs w:val="24"/>
                <w:highlight w:val="none"/>
              </w:rPr>
              <w:t>提供的证明资料满足以上任意一项均视为符合要求。</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p>
        </w:tc>
        <w:tc>
          <w:tcPr>
            <w:tcW w:w="2065"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p>
        </w:tc>
        <w:tc>
          <w:tcPr>
            <w:tcW w:w="4597" w:type="dxa"/>
            <w:vAlign w:val="center"/>
          </w:tcPr>
          <w:p>
            <w:pPr>
              <w:pStyle w:val="41"/>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textAlignment w:val="auto"/>
              <w:rPr>
                <w:rFonts w:hint="eastAsia" w:ascii="宋体" w:hAnsi="宋体" w:eastAsia="宋体" w:cs="宋体"/>
                <w:bCs/>
                <w:sz w:val="24"/>
                <w:szCs w:val="24"/>
              </w:rPr>
            </w:pPr>
            <w:r>
              <w:rPr>
                <w:rFonts w:hint="eastAsia" w:ascii="宋体" w:hAnsi="宋体" w:eastAsia="宋体" w:cs="宋体"/>
                <w:sz w:val="24"/>
                <w:szCs w:val="24"/>
              </w:rPr>
              <w:t>1.6具备履行合同所必需的设备和专业技术能力的证明材料：提供承诺函，格式详见第三章格式1-</w:t>
            </w:r>
            <w:r>
              <w:rPr>
                <w:rFonts w:hint="eastAsia" w:ascii="宋体" w:hAnsi="宋体" w:cs="宋体"/>
                <w:sz w:val="24"/>
                <w:szCs w:val="24"/>
                <w:lang w:val="en-US" w:eastAsia="zh-CN"/>
              </w:rPr>
              <w:t>3</w:t>
            </w:r>
            <w:r>
              <w:rPr>
                <w:rFonts w:hint="eastAsia" w:ascii="宋体" w:hAnsi="宋体" w:eastAsia="宋体" w:cs="宋体"/>
                <w:sz w:val="24"/>
                <w:szCs w:val="24"/>
              </w:rPr>
              <w:t>；</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676"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p>
        </w:tc>
        <w:tc>
          <w:tcPr>
            <w:tcW w:w="2065"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p>
        </w:tc>
        <w:tc>
          <w:tcPr>
            <w:tcW w:w="4597" w:type="dxa"/>
          </w:tcPr>
          <w:p>
            <w:pPr>
              <w:pStyle w:val="41"/>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1.7参加政府采购活动前3年内在经营活动中没有重大违法记录的承诺函（格式详见第三章格式1-</w:t>
            </w:r>
            <w:r>
              <w:rPr>
                <w:rFonts w:hint="eastAsia" w:ascii="宋体" w:hAnsi="宋体" w:cs="宋体"/>
                <w:sz w:val="24"/>
                <w:szCs w:val="24"/>
                <w:lang w:val="en-US" w:eastAsia="zh-CN"/>
              </w:rPr>
              <w:t>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注：“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p>
        </w:tc>
        <w:tc>
          <w:tcPr>
            <w:tcW w:w="2065" w:type="dxa"/>
            <w:vMerge w:val="continue"/>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p>
        </w:tc>
        <w:tc>
          <w:tcPr>
            <w:tcW w:w="459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sz w:val="24"/>
                <w:szCs w:val="24"/>
              </w:rPr>
              <w:t>1.8具备法律、行政法规规定的其他条件的证明材料（可提供承诺函，格式详见第三章格式1-</w:t>
            </w:r>
            <w:r>
              <w:rPr>
                <w:rFonts w:hint="eastAsia" w:ascii="宋体" w:hAnsi="宋体" w:cs="宋体"/>
                <w:sz w:val="24"/>
                <w:szCs w:val="24"/>
                <w:lang w:val="en-US" w:eastAsia="zh-CN"/>
              </w:rPr>
              <w:t>3</w:t>
            </w:r>
            <w:r>
              <w:rPr>
                <w:rFonts w:hint="eastAsia" w:ascii="宋体" w:hAnsi="宋体" w:eastAsia="宋体" w:cs="宋体"/>
                <w:sz w:val="24"/>
                <w:szCs w:val="24"/>
              </w:rPr>
              <w:t>）；</w:t>
            </w:r>
          </w:p>
        </w:tc>
        <w:tc>
          <w:tcPr>
            <w:tcW w:w="223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2065" w:type="dxa"/>
            <w:vAlign w:val="center"/>
          </w:tcPr>
          <w:p>
            <w:pPr>
              <w:keepNext w:val="0"/>
              <w:keepLines w:val="0"/>
              <w:pageBreakBefore w:val="0"/>
              <w:widowControl w:val="0"/>
              <w:tabs>
                <w:tab w:val="left" w:pos="7665"/>
              </w:tabs>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tc>
        <w:tc>
          <w:tcPr>
            <w:tcW w:w="4597" w:type="dxa"/>
            <w:vAlign w:val="center"/>
          </w:tcPr>
          <w:p>
            <w:pPr>
              <w:pStyle w:val="11"/>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lang w:eastAsia="zh-CN"/>
              </w:rPr>
              <w:t>本项目不是专门面向中小企业采购的项目，投标人提供承诺函（格式详见第三章格式</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的内容</w:t>
            </w:r>
            <w:r>
              <w:rPr>
                <w:rFonts w:hint="eastAsia" w:ascii="宋体" w:hAnsi="宋体" w:eastAsia="宋体" w:cs="宋体"/>
                <w:sz w:val="24"/>
                <w:szCs w:val="24"/>
                <w:lang w:eastAsia="zh-CN"/>
              </w:rPr>
              <w:t>）</w:t>
            </w:r>
          </w:p>
        </w:tc>
        <w:tc>
          <w:tcPr>
            <w:tcW w:w="223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2065" w:type="dxa"/>
            <w:vAlign w:val="center"/>
          </w:tcPr>
          <w:p>
            <w:pPr>
              <w:pStyle w:val="4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Cs/>
                <w:sz w:val="24"/>
                <w:szCs w:val="24"/>
              </w:rPr>
            </w:pPr>
            <w:r>
              <w:rPr>
                <w:rFonts w:hint="eastAsia" w:ascii="宋体" w:hAnsi="宋体" w:eastAsia="宋体" w:cs="宋体"/>
                <w:sz w:val="24"/>
                <w:szCs w:val="24"/>
              </w:rPr>
              <w:t>3、本项目的特定资格要求</w:t>
            </w:r>
          </w:p>
        </w:tc>
        <w:tc>
          <w:tcPr>
            <w:tcW w:w="4597" w:type="dxa"/>
            <w:vAlign w:val="center"/>
          </w:tcPr>
          <w:p>
            <w:pPr>
              <w:keepNext w:val="0"/>
              <w:keepLines w:val="0"/>
              <w:pageBreakBefore w:val="0"/>
              <w:widowControl w:val="0"/>
              <w:tabs>
                <w:tab w:val="left" w:pos="7665"/>
              </w:tabs>
              <w:kinsoku/>
              <w:wordWrap/>
              <w:overflowPunct/>
              <w:topLinePunct w:val="0"/>
              <w:autoSpaceDE/>
              <w:autoSpaceDN/>
              <w:bidi w:val="0"/>
              <w:adjustRightInd/>
              <w:snapToGrid/>
              <w:spacing w:line="500" w:lineRule="exact"/>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3.1本项目</w:t>
            </w:r>
            <w:r>
              <w:rPr>
                <w:rFonts w:hint="eastAsia" w:ascii="宋体" w:hAnsi="宋体" w:eastAsia="宋体" w:cs="宋体"/>
                <w:i w:val="0"/>
                <w:iCs/>
                <w:sz w:val="24"/>
                <w:szCs w:val="24"/>
                <w:highlight w:val="none"/>
                <w:u w:val="single"/>
              </w:rPr>
              <w:t>不接受</w:t>
            </w:r>
            <w:r>
              <w:rPr>
                <w:rFonts w:hint="eastAsia" w:ascii="宋体" w:hAnsi="宋体" w:eastAsia="宋体" w:cs="宋体"/>
                <w:sz w:val="24"/>
                <w:szCs w:val="24"/>
                <w:highlight w:val="none"/>
              </w:rPr>
              <w:t>联合体投标。</w:t>
            </w:r>
          </w:p>
          <w:p>
            <w:pPr>
              <w:pStyle w:val="41"/>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highlight w:val="none"/>
              </w:rPr>
              <w:t>3.2根据本项目提出的特殊条件：</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rPr>
                <w:rFonts w:hint="eastAsia" w:ascii="宋体" w:hAnsi="宋体" w:eastAsia="宋体" w:cs="宋体"/>
                <w:bCs/>
                <w:sz w:val="24"/>
                <w:szCs w:val="24"/>
              </w:rPr>
            </w:pPr>
            <w:r>
              <w:rPr>
                <w:rFonts w:hint="eastAsia" w:ascii="宋体" w:hAnsi="宋体" w:eastAsia="宋体" w:cs="宋体"/>
                <w:bCs/>
                <w:sz w:val="24"/>
                <w:szCs w:val="24"/>
              </w:rPr>
              <w:t xml:space="preserve">注：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三章）。 </w:t>
            </w:r>
          </w:p>
        </w:tc>
        <w:tc>
          <w:tcPr>
            <w:tcW w:w="223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若涉及“多证合一”，投标人须提供“多证合一”的营业执照，并就被“多证合一”整合的相关登记、备案和各类证照的真实性作出承诺（承诺函格式详见第三章）。</w:t>
            </w:r>
          </w:p>
          <w:p>
            <w:pPr>
              <w:pStyle w:val="2"/>
              <w:keepNext w:val="0"/>
              <w:keepLines w:val="0"/>
              <w:pageBreakBefore w:val="0"/>
              <w:widowControl w:val="0"/>
              <w:kinsoku/>
              <w:wordWrap/>
              <w:overflowPunct/>
              <w:topLinePunct w:val="0"/>
              <w:autoSpaceDE/>
              <w:autoSpaceDN/>
              <w:bidi w:val="0"/>
              <w:adjustRightInd/>
              <w:snapToGrid/>
              <w:spacing w:after="0" w:line="500" w:lineRule="exact"/>
              <w:ind w:right="0" w:rightChars="0" w:firstLine="0" w:firstLineChars="0"/>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不接受联合体或非联合体投标</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eastAsia="宋体" w:cs="宋体"/>
                <w:color w:val="000000" w:themeColor="text1"/>
                <w:sz w:val="24"/>
                <w:szCs w:val="24"/>
                <w14:textFill>
                  <w14:solidFill>
                    <w14:schemeClr w14:val="tx1"/>
                  </w14:solidFill>
                </w14:textFill>
              </w:rPr>
              <w:t>无须提供证明材料，不上传或上传空白页即可，不对本项上传的材料作资格审查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2065"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sz w:val="24"/>
                <w:szCs w:val="24"/>
              </w:rPr>
              <w:t>4、根据《关于在政府采购活动中查询及使用信用记录有关问题的通知》（财库〔2016〕125号）的要求，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tc>
        <w:tc>
          <w:tcPr>
            <w:tcW w:w="459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sz w:val="24"/>
                <w:szCs w:val="24"/>
              </w:rPr>
              <w:t>4、采购人/采购代理机构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r>
              <w:rPr>
                <w:rFonts w:hint="eastAsia" w:ascii="宋体" w:hAnsi="宋体" w:eastAsia="宋体" w:cs="宋体"/>
                <w:b/>
                <w:bCs/>
                <w:sz w:val="24"/>
                <w:szCs w:val="24"/>
              </w:rPr>
              <w:t>（此项由采购人或采购代理机构查询，投标人不提供证明材料）</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投标人可上传空白页，上传内容不作资格审查。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5</w:t>
            </w:r>
          </w:p>
        </w:tc>
        <w:tc>
          <w:tcPr>
            <w:tcW w:w="2065" w:type="dxa"/>
            <w:vAlign w:val="center"/>
          </w:tcPr>
          <w:p>
            <w:pPr>
              <w:pStyle w:val="41"/>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rPr>
                <w:rFonts w:hint="eastAsia" w:ascii="宋体" w:hAnsi="宋体" w:eastAsia="宋体" w:cs="宋体"/>
                <w:bCs/>
                <w:sz w:val="24"/>
                <w:szCs w:val="24"/>
              </w:rPr>
            </w:pPr>
            <w:r>
              <w:rPr>
                <w:rFonts w:hint="eastAsia" w:ascii="宋体" w:hAnsi="宋体" w:eastAsia="宋体" w:cs="宋体"/>
                <w:b/>
                <w:bCs/>
                <w:sz w:val="24"/>
                <w:szCs w:val="24"/>
              </w:rPr>
              <w:t>资质性要求</w:t>
            </w:r>
          </w:p>
        </w:tc>
        <w:tc>
          <w:tcPr>
            <w:tcW w:w="459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无</w:t>
            </w:r>
          </w:p>
        </w:tc>
        <w:tc>
          <w:tcPr>
            <w:tcW w:w="223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2065" w:type="dxa"/>
            <w:vAlign w:val="center"/>
          </w:tcPr>
          <w:p>
            <w:pPr>
              <w:pStyle w:val="41"/>
              <w:keepNext w:val="0"/>
              <w:keepLines w:val="0"/>
              <w:pageBreakBefore w:val="0"/>
              <w:widowControl w:val="0"/>
              <w:kinsoku/>
              <w:wordWrap/>
              <w:overflowPunct/>
              <w:topLinePunct w:val="0"/>
              <w:autoSpaceDE/>
              <w:autoSpaceDN/>
              <w:bidi w:val="0"/>
              <w:adjustRightInd/>
              <w:snapToGrid/>
              <w:spacing w:line="500" w:lineRule="exact"/>
              <w:ind w:right="0" w:rightChars="0" w:firstLine="0" w:firstLineChars="0"/>
              <w:jc w:val="center"/>
              <w:textAlignment w:val="auto"/>
              <w:rPr>
                <w:rFonts w:hint="eastAsia" w:ascii="宋体" w:hAnsi="宋体" w:eastAsia="宋体" w:cs="宋体"/>
                <w:bCs/>
                <w:sz w:val="24"/>
                <w:szCs w:val="24"/>
              </w:rPr>
            </w:pPr>
            <w:r>
              <w:rPr>
                <w:rFonts w:hint="eastAsia" w:ascii="宋体" w:hAnsi="宋体" w:eastAsia="宋体" w:cs="宋体"/>
                <w:b/>
                <w:bCs/>
                <w:sz w:val="24"/>
                <w:szCs w:val="24"/>
              </w:rPr>
              <w:t>其他类似效力要求</w:t>
            </w:r>
          </w:p>
        </w:tc>
        <w:tc>
          <w:tcPr>
            <w:tcW w:w="459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6.1投标人提供</w:t>
            </w:r>
            <w:r>
              <w:rPr>
                <w:rFonts w:hint="eastAsia" w:ascii="宋体" w:hAnsi="宋体" w:eastAsia="宋体" w:cs="宋体"/>
                <w:sz w:val="24"/>
                <w:szCs w:val="24"/>
              </w:rPr>
              <w:t>法定代表人（主要负责人）身份证明书原件及法定代表人（主要负责人）身份证明材料复印件（格式详见第三章格式1-2的内容）</w:t>
            </w:r>
          </w:p>
        </w:tc>
        <w:tc>
          <w:tcPr>
            <w:tcW w:w="223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投标人按照要求上传证明材料，</w:t>
            </w:r>
            <w:r>
              <w:rPr>
                <w:rFonts w:hint="eastAsia" w:ascii="宋体" w:hAnsi="宋体" w:eastAsia="宋体" w:cs="宋体"/>
                <w:sz w:val="24"/>
                <w:szCs w:val="24"/>
              </w:rPr>
              <w:t>采购人或者采购代理机构</w:t>
            </w:r>
            <w:r>
              <w:rPr>
                <w:rFonts w:hint="eastAsia" w:ascii="宋体" w:hAnsi="宋体" w:eastAsia="宋体" w:cs="宋体"/>
                <w:bCs/>
                <w:sz w:val="24"/>
                <w:szCs w:val="24"/>
              </w:rPr>
              <w:t>根据上传内容</w:t>
            </w:r>
            <w:r>
              <w:rPr>
                <w:rFonts w:hint="eastAsia" w:ascii="宋体" w:hAnsi="宋体" w:eastAsia="宋体" w:cs="宋体"/>
                <w:sz w:val="24"/>
                <w:szCs w:val="24"/>
              </w:rPr>
              <w:t>对投标人的资格进行审查。</w:t>
            </w:r>
          </w:p>
        </w:tc>
      </w:tr>
    </w:tbl>
    <w:p>
      <w:pPr>
        <w:spacing w:before="100" w:beforeAutospacing="1" w:after="100" w:afterAutospacing="1" w:line="360" w:lineRule="auto"/>
        <w:jc w:val="center"/>
        <w:rPr>
          <w:rFonts w:ascii="黑体" w:hAnsi="黑体" w:eastAsia="黑体" w:cs="仿宋"/>
          <w:b/>
          <w:sz w:val="32"/>
          <w:szCs w:val="32"/>
        </w:rPr>
      </w:pPr>
      <w:r>
        <w:rPr>
          <w:rFonts w:cs="仿宋" w:asciiTheme="majorEastAsia" w:hAnsiTheme="majorEastAsia" w:eastAsiaTheme="majorEastAsia"/>
        </w:rPr>
        <w:br w:type="page"/>
      </w:r>
      <w:bookmarkEnd w:id="158"/>
      <w:bookmarkStart w:id="169" w:name="_Toc495913055"/>
      <w:bookmarkStart w:id="170" w:name="_Toc217446093"/>
      <w:bookmarkStart w:id="171" w:name="_Toc495165845"/>
      <w:r>
        <w:rPr>
          <w:rFonts w:hint="eastAsia" w:ascii="黑体" w:hAnsi="黑体" w:eastAsia="黑体" w:cs="仿宋"/>
          <w:b/>
          <w:sz w:val="32"/>
          <w:szCs w:val="32"/>
        </w:rPr>
        <w:t>第六章  招标项目技术、商务及其他要求</w:t>
      </w:r>
      <w:bookmarkEnd w:id="169"/>
    </w:p>
    <w:p>
      <w:pPr>
        <w:pStyle w:val="2"/>
        <w:spacing w:after="0" w:line="360" w:lineRule="auto"/>
        <w:jc w:val="left"/>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21"/>
        </w:rPr>
        <w:t>前提：本章中标注“★”号的条款为本项目的实质性要求，供应商应全部满足，否</w:t>
      </w:r>
      <w:r>
        <w:rPr>
          <w:rFonts w:hint="eastAsia" w:cs="仿宋" w:asciiTheme="majorEastAsia" w:hAnsiTheme="majorEastAsia" w:eastAsiaTheme="majorEastAsia"/>
          <w:b/>
          <w:sz w:val="24"/>
          <w:szCs w:val="21"/>
          <w:u w:val="none"/>
        </w:rPr>
        <w:t>则</w:t>
      </w:r>
      <w:r>
        <w:rPr>
          <w:rFonts w:hint="eastAsia" w:cs="仿宋" w:asciiTheme="majorEastAsia" w:hAnsiTheme="majorEastAsia" w:eastAsiaTheme="majorEastAsia"/>
          <w:b/>
          <w:sz w:val="24"/>
          <w:szCs w:val="21"/>
        </w:rPr>
        <w:t>其投标文件作无效处理。</w:t>
      </w:r>
      <w:r>
        <w:rPr>
          <w:rFonts w:hint="eastAsia" w:cs="仿宋" w:asciiTheme="majorEastAsia" w:hAnsiTheme="majorEastAsia" w:eastAsiaTheme="majorEastAsia"/>
          <w:b/>
          <w:sz w:val="24"/>
        </w:rPr>
        <w:t>“▲”符号的条款为本项目的重要参数条款，</w:t>
      </w:r>
      <w:r>
        <w:rPr>
          <w:rFonts w:hint="eastAsia" w:cs="仿宋" w:asciiTheme="majorEastAsia" w:hAnsiTheme="majorEastAsia" w:eastAsiaTheme="majorEastAsia"/>
          <w:b/>
          <w:sz w:val="24"/>
          <w:lang w:eastAsia="zh-CN"/>
        </w:rPr>
        <w:t>“</w:t>
      </w:r>
      <w:r>
        <w:rPr>
          <w:rFonts w:hint="eastAsia" w:cs="仿宋" w:asciiTheme="majorEastAsia" w:hAnsiTheme="majorEastAsia" w:eastAsiaTheme="majorEastAsia"/>
          <w:b/>
          <w:sz w:val="24"/>
          <w:lang w:val="zh-CN" w:eastAsia="zh-CN"/>
        </w:rPr>
        <w:t>●</w:t>
      </w:r>
      <w:r>
        <w:rPr>
          <w:rFonts w:hint="eastAsia" w:cs="仿宋" w:asciiTheme="majorEastAsia" w:hAnsiTheme="majorEastAsia" w:eastAsiaTheme="majorEastAsia"/>
          <w:b/>
          <w:sz w:val="24"/>
          <w:lang w:eastAsia="zh-CN"/>
        </w:rPr>
        <w:t>”</w:t>
      </w:r>
      <w:r>
        <w:rPr>
          <w:rFonts w:hint="eastAsia" w:cs="仿宋" w:asciiTheme="majorEastAsia" w:hAnsiTheme="majorEastAsia" w:eastAsiaTheme="majorEastAsia"/>
          <w:b/>
          <w:sz w:val="24"/>
        </w:rPr>
        <w:t>符号的条款为一般参数条款。</w:t>
      </w:r>
    </w:p>
    <w:p>
      <w:pPr>
        <w:pStyle w:val="4"/>
        <w:spacing w:before="0" w:after="0" w:line="500" w:lineRule="exact"/>
        <w:ind w:firstLine="482" w:firstLineChars="200"/>
        <w:rPr>
          <w:rFonts w:cs="仿宋" w:asciiTheme="majorEastAsia" w:hAnsiTheme="majorEastAsia" w:eastAsiaTheme="majorEastAsia"/>
          <w:b w:val="0"/>
          <w:szCs w:val="24"/>
        </w:rPr>
      </w:pPr>
      <w:bookmarkStart w:id="172" w:name="_Toc217446094"/>
      <w:r>
        <w:rPr>
          <w:rFonts w:hint="eastAsia" w:cs="仿宋" w:asciiTheme="majorEastAsia" w:hAnsiTheme="majorEastAsia" w:eastAsiaTheme="majorEastAsia"/>
        </w:rPr>
        <w:t>一、 项目概述</w:t>
      </w:r>
      <w:bookmarkEnd w:id="172"/>
    </w:p>
    <w:p>
      <w:pPr>
        <w:pStyle w:val="9"/>
        <w:spacing w:line="500" w:lineRule="exact"/>
        <w:ind w:firstLine="480"/>
        <w:rPr>
          <w:rFonts w:ascii="宋体" w:hAnsi="宋体"/>
          <w:sz w:val="24"/>
          <w:lang w:val="zh-CN" w:eastAsia="zh-CN"/>
        </w:rPr>
      </w:pPr>
      <w:bookmarkStart w:id="173" w:name="_Toc217446095"/>
      <w:r>
        <w:rPr>
          <w:rFonts w:hint="eastAsia" w:ascii="宋体" w:hAnsi="宋体"/>
          <w:sz w:val="24"/>
          <w:lang w:val="zh-CN" w:eastAsia="zh-CN"/>
        </w:rPr>
        <w:t>市住建局数据中心建设项目，是成都市住建局贯彻中央、省、市有关“互联网+政务服务”工作要求，落实“放管服”改革及营商环境建设的重要信息化项目。项目拟运用大数据、“互联网+”思维，构建数据驱动型、开放型的行业数据应用模式，实现行业数据的全面融合、挖掘和利用，是构建我市住建领域业务体系优化、应用门户统一、数据广泛协同、政务应用智能的“数字住建一张网”体系的数据平台支撑。</w:t>
      </w:r>
    </w:p>
    <w:p>
      <w:pPr>
        <w:pStyle w:val="9"/>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lang w:val="zh-CN" w:eastAsia="zh-CN"/>
        </w:rPr>
      </w:pPr>
      <w:r>
        <w:rPr>
          <w:rFonts w:hint="eastAsia" w:ascii="宋体" w:hAnsi="宋体"/>
          <w:sz w:val="24"/>
          <w:lang w:val="zh-CN" w:eastAsia="zh-CN"/>
        </w:rPr>
        <w:t>数据中心建设主要实现以下政务目标：1.支撑业务体系优化。以项目全生命周期为主线，推进政务服务流程再造、数据共享、业务协同，构建起扁平化、便捷化的住建业务体系，支持提供全时域、场景式、高效能政务服务。2.支撑数据共享管理。支持我市住建政务信息资源跨部门跨层级共享共用。横向上，与其他政府部门数据共享协同；纵向上，实现与部、省、市、区（市）县系统数据联通，数据管理和数据服务更加高效便捷。3.支撑智慧监管与服务。支撑大数据、人工智能、物联网等新技术运用，通过数据感知、挖掘与分析，构建住建智慧监管体系，提升监管与决策科学水平；4.支撑业务工作合规性管理。建立关键业务数据及业务行为的合规性预警模型，实现业务和系统的实时自动健康性自动化审查和预警，防范和减少业务风险的发生，实现工作效率和公众满意度的增长。</w:t>
      </w:r>
    </w:p>
    <w:p>
      <w:pPr>
        <w:rPr>
          <w:rFonts w:hint="eastAsia" w:cs="仿宋" w:asciiTheme="majorEastAsia" w:hAnsiTheme="majorEastAsia" w:eastAsiaTheme="majorEastAsia"/>
          <w:lang w:val="en-US" w:eastAsia="zh-CN"/>
        </w:rPr>
      </w:pPr>
      <w:r>
        <w:rPr>
          <w:rFonts w:hint="eastAsia" w:cs="仿宋" w:asciiTheme="majorEastAsia" w:hAnsiTheme="majorEastAsia" w:eastAsiaTheme="majorEastAsia"/>
          <w:lang w:val="en-US" w:eastAsia="zh-CN"/>
        </w:rPr>
        <w:br w:type="page"/>
      </w:r>
    </w:p>
    <w:p>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pPr>
      <w:r>
        <w:rPr>
          <w:rFonts w:hint="eastAsia" w:cs="仿宋" w:asciiTheme="majorEastAsia" w:hAnsiTheme="majorEastAsia" w:eastAsiaTheme="majorEastAsia"/>
          <w:lang w:val="en-US" w:eastAsia="zh-CN"/>
        </w:rPr>
        <w:t>二、</w:t>
      </w:r>
      <w:r>
        <w:rPr>
          <w:rFonts w:hint="eastAsia" w:cs="仿宋" w:asciiTheme="majorEastAsia" w:hAnsiTheme="majorEastAsia" w:eastAsiaTheme="majorEastAsia"/>
        </w:rPr>
        <w:t>服务清单</w:t>
      </w:r>
    </w:p>
    <w:tbl>
      <w:tblPr>
        <w:tblStyle w:val="33"/>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71"/>
        <w:gridCol w:w="3862"/>
        <w:gridCol w:w="98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833"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服务内容</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03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5833"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bCs/>
                <w:sz w:val="24"/>
                <w:szCs w:val="24"/>
              </w:rPr>
              <w:t>编制标准规范</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w:t>
            </w:r>
          </w:p>
        </w:tc>
        <w:tc>
          <w:tcPr>
            <w:tcW w:w="103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3"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1971"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bCs/>
                <w:sz w:val="24"/>
                <w:szCs w:val="24"/>
                <w:lang w:val="zh-CN"/>
              </w:rPr>
              <w:t>大数据应用支撑平台建设</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数据资源治理平台</w:t>
            </w:r>
          </w:p>
        </w:tc>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1项</w:t>
            </w:r>
          </w:p>
        </w:tc>
        <w:tc>
          <w:tcPr>
            <w:tcW w:w="1034"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zh-CN"/>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信息资源中心</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470" w:firstLineChars="196"/>
              <w:jc w:val="center"/>
              <w:textAlignment w:val="auto"/>
              <w:outlineLvl w:val="1"/>
              <w:rPr>
                <w:rFonts w:hint="eastAsia" w:ascii="宋体" w:hAnsi="宋体" w:eastAsia="宋体" w:cs="宋体"/>
                <w:b w:val="0"/>
                <w:bCs w:val="0"/>
                <w:sz w:val="24"/>
                <w:szCs w:val="24"/>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470" w:firstLineChars="196"/>
              <w:jc w:val="center"/>
              <w:textAlignment w:val="auto"/>
              <w:outlineLvl w:val="1"/>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数据资源管理中心</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数据资源服务中心</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对接成都市政务信息资源共享平台</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33"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971"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bCs/>
                <w:sz w:val="24"/>
                <w:szCs w:val="24"/>
              </w:rPr>
              <w:t>可视化监测</w:t>
            </w: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模型定义及预测规则管理</w:t>
            </w:r>
          </w:p>
        </w:tc>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1项</w:t>
            </w:r>
          </w:p>
        </w:tc>
        <w:tc>
          <w:tcPr>
            <w:tcW w:w="1034"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全局业务</w:t>
            </w:r>
            <w:r>
              <w:rPr>
                <w:rFonts w:hint="eastAsia" w:ascii="宋体" w:hAnsi="宋体" w:eastAsia="宋体" w:cs="宋体"/>
                <w:b w:val="0"/>
                <w:bCs w:val="0"/>
                <w:sz w:val="24"/>
                <w:szCs w:val="24"/>
                <w:lang w:val="en-US" w:eastAsia="zh-CN"/>
              </w:rPr>
              <w:t>数据</w:t>
            </w:r>
            <w:r>
              <w:rPr>
                <w:rFonts w:hint="eastAsia" w:ascii="宋体" w:hAnsi="宋体" w:eastAsia="宋体" w:cs="宋体"/>
                <w:b w:val="0"/>
                <w:bCs w:val="0"/>
                <w:sz w:val="24"/>
                <w:szCs w:val="24"/>
              </w:rPr>
              <w:t>检索</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多维数据分析</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日常监测</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建管</w:t>
            </w:r>
            <w:r>
              <w:rPr>
                <w:rFonts w:hint="eastAsia" w:ascii="宋体" w:hAnsi="宋体" w:eastAsia="宋体" w:cs="宋体"/>
                <w:b w:val="0"/>
                <w:bCs w:val="0"/>
                <w:sz w:val="24"/>
                <w:szCs w:val="24"/>
              </w:rPr>
              <w:t>行业监测</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1971"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rPr>
            </w:pPr>
          </w:p>
        </w:tc>
        <w:tc>
          <w:tcPr>
            <w:tcW w:w="386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业务及系统风险监测</w:t>
            </w:r>
          </w:p>
        </w:tc>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p>
        </w:tc>
        <w:tc>
          <w:tcPr>
            <w:tcW w:w="1034"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5833"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图形工作站</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103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5833"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数据同步软件</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w:t>
            </w:r>
          </w:p>
        </w:tc>
        <w:tc>
          <w:tcPr>
            <w:tcW w:w="103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5833"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基础设施</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1项</w:t>
            </w:r>
          </w:p>
        </w:tc>
        <w:tc>
          <w:tcPr>
            <w:tcW w:w="103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5833"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安全性要求</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w:t>
            </w:r>
          </w:p>
        </w:tc>
        <w:tc>
          <w:tcPr>
            <w:tcW w:w="103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5833"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软件技术要求</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1项</w:t>
            </w:r>
          </w:p>
        </w:tc>
        <w:tc>
          <w:tcPr>
            <w:tcW w:w="103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5833"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软件开发及项目管理</w:t>
            </w:r>
          </w:p>
        </w:tc>
        <w:tc>
          <w:tcPr>
            <w:tcW w:w="98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1项</w:t>
            </w:r>
          </w:p>
        </w:tc>
        <w:tc>
          <w:tcPr>
            <w:tcW w:w="1034"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w:t>
            </w:r>
          </w:p>
        </w:tc>
      </w:tr>
    </w:tbl>
    <w:p>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cs="仿宋" w:asciiTheme="majorEastAsia" w:hAnsiTheme="majorEastAsia" w:eastAsiaTheme="majorEastAsia"/>
          <w:b w:val="0"/>
          <w:szCs w:val="24"/>
        </w:rPr>
      </w:pPr>
      <w:r>
        <w:rPr>
          <w:rFonts w:hint="eastAsia" w:cs="仿宋" w:asciiTheme="majorEastAsia" w:hAnsiTheme="majorEastAsia" w:eastAsiaTheme="majorEastAsia"/>
          <w:lang w:val="en-US" w:eastAsia="zh-CN"/>
        </w:rPr>
        <w:t>三</w:t>
      </w:r>
      <w:r>
        <w:rPr>
          <w:rFonts w:hint="eastAsia" w:cs="仿宋" w:asciiTheme="majorEastAsia" w:hAnsiTheme="majorEastAsia" w:eastAsiaTheme="majorEastAsia"/>
        </w:rPr>
        <w:t>、项目要求</w:t>
      </w:r>
      <w:bookmarkEnd w:id="173"/>
    </w:p>
    <w:p>
      <w:pPr>
        <w:pStyle w:val="9"/>
        <w:pageBreakBefore w:val="0"/>
        <w:widowControl w:val="0"/>
        <w:kinsoku/>
        <w:wordWrap/>
        <w:overflowPunct/>
        <w:topLinePunct w:val="0"/>
        <w:autoSpaceDE/>
        <w:autoSpaceDN/>
        <w:bidi w:val="0"/>
        <w:adjustRightInd/>
        <w:snapToGrid/>
        <w:spacing w:line="500" w:lineRule="exact"/>
        <w:ind w:firstLine="482"/>
        <w:textAlignment w:val="auto"/>
        <w:rPr>
          <w:rStyle w:val="38"/>
          <w:rFonts w:cs="仿宋" w:asciiTheme="majorEastAsia" w:hAnsiTheme="majorEastAsia" w:eastAsiaTheme="majorEastAsia"/>
          <w:b/>
        </w:rPr>
      </w:pPr>
      <w:r>
        <w:rPr>
          <w:rFonts w:hint="eastAsia" w:cs="仿宋" w:asciiTheme="majorEastAsia" w:hAnsiTheme="majorEastAsia" w:eastAsiaTheme="majorEastAsia"/>
          <w:b/>
          <w:sz w:val="24"/>
        </w:rPr>
        <w:t>（一）技术</w:t>
      </w:r>
      <w:r>
        <w:rPr>
          <w:rFonts w:hint="eastAsia" w:cs="仿宋" w:asciiTheme="majorEastAsia" w:hAnsiTheme="majorEastAsia" w:eastAsiaTheme="majorEastAsia"/>
          <w:b/>
          <w:bCs/>
          <w:sz w:val="24"/>
        </w:rPr>
        <w:t>服务要求</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cs="仿宋" w:asciiTheme="majorEastAsia" w:hAnsiTheme="majorEastAsia" w:eastAsiaTheme="majorEastAsia"/>
          <w:bCs/>
          <w:sz w:val="24"/>
        </w:rPr>
      </w:pPr>
      <w:r>
        <w:rPr>
          <w:rFonts w:hint="eastAsia" w:cs="仿宋" w:asciiTheme="majorEastAsia" w:hAnsiTheme="majorEastAsia" w:eastAsiaTheme="majorEastAsia"/>
          <w:b/>
          <w:bCs/>
          <w:sz w:val="24"/>
        </w:rPr>
        <w:t>1.编制</w:t>
      </w:r>
      <w:r>
        <w:rPr>
          <w:rFonts w:cs="仿宋" w:asciiTheme="majorEastAsia" w:hAnsiTheme="majorEastAsia" w:eastAsiaTheme="majorEastAsia"/>
          <w:b/>
          <w:bCs/>
          <w:sz w:val="24"/>
        </w:rPr>
        <w:t>标准规范</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cs="仿宋" w:asciiTheme="majorEastAsia" w:hAnsiTheme="majorEastAsia" w:eastAsiaTheme="majorEastAsia"/>
          <w:bCs/>
          <w:sz w:val="24"/>
        </w:rPr>
      </w:pPr>
      <w:r>
        <w:rPr>
          <w:rFonts w:hint="eastAsia" w:ascii="宋体" w:hAnsi="宋体"/>
          <w:sz w:val="24"/>
          <w:lang w:val="zh-CN"/>
        </w:rPr>
        <w:t>●</w:t>
      </w:r>
      <w:r>
        <w:rPr>
          <w:rFonts w:hint="eastAsia" w:ascii="宋体" w:hAnsi="宋体"/>
          <w:sz w:val="24"/>
          <w:lang w:val="en-US" w:eastAsia="zh-CN"/>
        </w:rPr>
        <w:t>1.1</w:t>
      </w:r>
      <w:r>
        <w:rPr>
          <w:rFonts w:hint="eastAsia" w:ascii="宋体" w:hAnsi="宋体"/>
          <w:sz w:val="24"/>
          <w:lang w:val="zh-CN" w:eastAsia="zh-CN"/>
        </w:rPr>
        <w:t>依照</w:t>
      </w:r>
      <w:r>
        <w:rPr>
          <w:rFonts w:hint="eastAsia"/>
        </w:rPr>
        <w:t>《</w:t>
      </w:r>
      <w:r>
        <w:rPr>
          <w:rFonts w:hint="eastAsia" w:ascii="宋体" w:hAnsi="宋体"/>
          <w:sz w:val="24"/>
          <w:lang w:val="zh-CN"/>
        </w:rPr>
        <w:t>城市地理空间信息元数据标准（</w:t>
      </w:r>
      <w:r>
        <w:rPr>
          <w:rFonts w:ascii="宋体" w:hAnsi="宋体"/>
          <w:sz w:val="24"/>
          <w:lang w:val="zh-CN"/>
        </w:rPr>
        <w:t>CJJ/T144</w:t>
      </w:r>
      <w:r>
        <w:rPr>
          <w:rFonts w:hint="eastAsia" w:ascii="宋体" w:hAnsi="宋体"/>
          <w:sz w:val="24"/>
          <w:lang w:val="zh-CN"/>
        </w:rPr>
        <w:t>－</w:t>
      </w:r>
      <w:r>
        <w:rPr>
          <w:rFonts w:ascii="宋体" w:hAnsi="宋体"/>
          <w:sz w:val="24"/>
          <w:lang w:val="zh-CN"/>
        </w:rPr>
        <w:t>2019</w:t>
      </w:r>
      <w:r>
        <w:rPr>
          <w:rFonts w:hint="eastAsia" w:ascii="宋体" w:hAnsi="宋体"/>
          <w:sz w:val="24"/>
          <w:lang w:val="zh-CN"/>
        </w:rPr>
        <w:t>）》、《房地产市场基础信息数据标准》（</w:t>
      </w:r>
      <w:r>
        <w:rPr>
          <w:rFonts w:ascii="宋体" w:hAnsi="宋体"/>
          <w:sz w:val="24"/>
          <w:lang w:val="zh-CN"/>
        </w:rPr>
        <w:t>JGJ/T252-2011</w:t>
      </w:r>
      <w:r>
        <w:rPr>
          <w:rFonts w:hint="eastAsia" w:ascii="宋体" w:hAnsi="宋体"/>
          <w:sz w:val="24"/>
          <w:lang w:val="zh-CN"/>
        </w:rPr>
        <w:t>）、《信息技术服务</w:t>
      </w:r>
      <w:r>
        <w:rPr>
          <w:rFonts w:ascii="宋体" w:hAnsi="宋体"/>
          <w:sz w:val="24"/>
          <w:lang w:val="zh-CN"/>
        </w:rPr>
        <w:t xml:space="preserve"> </w:t>
      </w:r>
      <w:r>
        <w:rPr>
          <w:rFonts w:hint="eastAsia" w:ascii="宋体" w:hAnsi="宋体"/>
          <w:sz w:val="24"/>
          <w:lang w:val="zh-CN"/>
        </w:rPr>
        <w:t>治理</w:t>
      </w:r>
      <w:r>
        <w:rPr>
          <w:rFonts w:ascii="宋体" w:hAnsi="宋体"/>
          <w:sz w:val="24"/>
          <w:lang w:val="zh-CN"/>
        </w:rPr>
        <w:t xml:space="preserve"> </w:t>
      </w:r>
      <w:r>
        <w:rPr>
          <w:rFonts w:hint="eastAsia" w:ascii="宋体" w:hAnsi="宋体"/>
          <w:sz w:val="24"/>
          <w:lang w:val="zh-CN"/>
        </w:rPr>
        <w:t>第</w:t>
      </w:r>
      <w:r>
        <w:rPr>
          <w:rFonts w:ascii="宋体" w:hAnsi="宋体"/>
          <w:sz w:val="24"/>
          <w:lang w:val="zh-CN"/>
        </w:rPr>
        <w:t>5</w:t>
      </w:r>
      <w:r>
        <w:rPr>
          <w:rFonts w:hint="eastAsia" w:ascii="宋体" w:hAnsi="宋体"/>
          <w:sz w:val="24"/>
          <w:lang w:val="zh-CN"/>
        </w:rPr>
        <w:t>部分:数据治理规范》</w:t>
      </w:r>
      <w:r>
        <w:rPr>
          <w:rFonts w:ascii="宋体" w:hAnsi="宋体"/>
          <w:sz w:val="24"/>
          <w:lang w:val="zh-CN"/>
        </w:rPr>
        <w:t>GB/T 34960.5-2018</w:t>
      </w:r>
      <w:r>
        <w:rPr>
          <w:rFonts w:hint="eastAsia" w:ascii="宋体" w:hAnsi="宋体"/>
          <w:sz w:val="24"/>
          <w:lang w:val="zh-CN"/>
        </w:rPr>
        <w:t>等国家</w:t>
      </w:r>
      <w:r>
        <w:rPr>
          <w:rFonts w:hint="eastAsia" w:ascii="宋体" w:hAnsi="宋体"/>
          <w:sz w:val="24"/>
          <w:lang w:val="zh-CN" w:eastAsia="zh-CN"/>
        </w:rPr>
        <w:t>标准</w:t>
      </w:r>
      <w:r>
        <w:rPr>
          <w:rFonts w:hint="eastAsia" w:ascii="宋体" w:hAnsi="宋体"/>
          <w:sz w:val="24"/>
          <w:lang w:val="zh-CN"/>
        </w:rPr>
        <w:t>和</w:t>
      </w:r>
      <w:r>
        <w:rPr>
          <w:rFonts w:ascii="宋体" w:hAnsi="宋体"/>
          <w:sz w:val="24"/>
          <w:lang w:val="zh-CN"/>
        </w:rPr>
        <w:t>行业标准</w:t>
      </w:r>
      <w:r>
        <w:rPr>
          <w:rFonts w:hint="eastAsia" w:ascii="宋体" w:hAnsi="宋体"/>
          <w:sz w:val="24"/>
          <w:lang w:val="zh-CN" w:eastAsia="zh-CN"/>
        </w:rPr>
        <w:t>，定义</w:t>
      </w:r>
      <w:r>
        <w:rPr>
          <w:rFonts w:hint="eastAsia" w:ascii="宋体" w:hAnsi="宋体"/>
          <w:sz w:val="24"/>
          <w:lang w:val="zh-CN"/>
        </w:rPr>
        <w:t>住建</w:t>
      </w:r>
      <w:r>
        <w:rPr>
          <w:rFonts w:ascii="宋体" w:hAnsi="宋体"/>
          <w:sz w:val="24"/>
          <w:lang w:val="zh-CN"/>
        </w:rPr>
        <w:t>领域相关</w:t>
      </w:r>
      <w:r>
        <w:rPr>
          <w:rFonts w:hint="eastAsia" w:ascii="宋体" w:hAnsi="宋体"/>
          <w:sz w:val="24"/>
          <w:lang w:val="zh-CN" w:eastAsia="zh-CN"/>
        </w:rPr>
        <w:t>的空间数据、属性数据、权利数据</w:t>
      </w:r>
      <w:r>
        <w:rPr>
          <w:rFonts w:hint="eastAsia" w:ascii="宋体" w:hAnsi="宋体"/>
          <w:sz w:val="24"/>
          <w:lang w:val="zh-CN"/>
        </w:rPr>
        <w:t>、</w:t>
      </w:r>
      <w:r>
        <w:rPr>
          <w:rFonts w:ascii="宋体" w:hAnsi="宋体"/>
          <w:sz w:val="24"/>
          <w:lang w:val="zh-CN"/>
        </w:rPr>
        <w:t>监管数据、信用数据等</w:t>
      </w:r>
      <w:r>
        <w:rPr>
          <w:rFonts w:hint="eastAsia" w:ascii="宋体" w:hAnsi="宋体"/>
          <w:sz w:val="24"/>
          <w:lang w:val="zh-CN"/>
        </w:rPr>
        <w:t>数据</w:t>
      </w:r>
      <w:r>
        <w:rPr>
          <w:rFonts w:ascii="宋体" w:hAnsi="宋体"/>
          <w:sz w:val="24"/>
          <w:lang w:val="zh-CN"/>
        </w:rPr>
        <w:t>标准</w:t>
      </w:r>
      <w:r>
        <w:rPr>
          <w:rFonts w:hint="eastAsia" w:ascii="宋体" w:hAnsi="宋体"/>
          <w:sz w:val="24"/>
          <w:lang w:val="zh-CN" w:eastAsia="zh-CN"/>
        </w:rPr>
        <w:t>，并可根据</w:t>
      </w:r>
      <w:r>
        <w:rPr>
          <w:rFonts w:hint="eastAsia" w:ascii="宋体" w:hAnsi="宋体"/>
          <w:sz w:val="24"/>
          <w:lang w:val="zh-CN"/>
        </w:rPr>
        <w:t>住建领域</w:t>
      </w:r>
      <w:r>
        <w:rPr>
          <w:rFonts w:hint="eastAsia" w:ascii="宋体" w:hAnsi="宋体"/>
          <w:sz w:val="24"/>
          <w:lang w:val="zh-CN" w:eastAsia="zh-CN"/>
        </w:rPr>
        <w:t>业务特点及需要予以扩充，将工程项目立项、规划、</w:t>
      </w:r>
      <w:r>
        <w:rPr>
          <w:rFonts w:hint="eastAsia" w:ascii="宋体" w:hAnsi="宋体"/>
          <w:sz w:val="24"/>
          <w:lang w:val="zh-CN"/>
        </w:rPr>
        <w:t>图审</w:t>
      </w:r>
      <w:r>
        <w:rPr>
          <w:rFonts w:ascii="宋体" w:hAnsi="宋体"/>
          <w:sz w:val="24"/>
          <w:lang w:val="zh-CN"/>
        </w:rPr>
        <w:t>、</w:t>
      </w:r>
      <w:r>
        <w:rPr>
          <w:rFonts w:hint="eastAsia" w:ascii="宋体" w:hAnsi="宋体"/>
          <w:sz w:val="24"/>
          <w:lang w:val="zh-CN" w:eastAsia="zh-CN"/>
        </w:rPr>
        <w:t>施工</w:t>
      </w:r>
      <w:r>
        <w:rPr>
          <w:rFonts w:hint="eastAsia" w:ascii="宋体" w:hAnsi="宋体"/>
          <w:sz w:val="24"/>
          <w:lang w:val="zh-CN"/>
        </w:rPr>
        <w:t>许可</w:t>
      </w:r>
      <w:r>
        <w:rPr>
          <w:rFonts w:hint="eastAsia" w:ascii="宋体" w:hAnsi="宋体"/>
          <w:sz w:val="24"/>
          <w:lang w:val="zh-CN" w:eastAsia="zh-CN"/>
        </w:rPr>
        <w:t>、</w:t>
      </w:r>
      <w:r>
        <w:rPr>
          <w:rFonts w:hint="eastAsia" w:ascii="宋体" w:hAnsi="宋体"/>
          <w:sz w:val="24"/>
          <w:lang w:val="zh-CN"/>
        </w:rPr>
        <w:t>质量</w:t>
      </w:r>
      <w:r>
        <w:rPr>
          <w:rFonts w:ascii="宋体" w:hAnsi="宋体"/>
          <w:sz w:val="24"/>
          <w:lang w:val="zh-CN"/>
        </w:rPr>
        <w:t>安全监督、</w:t>
      </w:r>
      <w:r>
        <w:rPr>
          <w:rFonts w:hint="eastAsia" w:ascii="宋体" w:hAnsi="宋体"/>
          <w:sz w:val="24"/>
          <w:lang w:val="zh-CN" w:eastAsia="zh-CN"/>
        </w:rPr>
        <w:t>竣工</w:t>
      </w:r>
      <w:r>
        <w:rPr>
          <w:rFonts w:hint="eastAsia" w:ascii="宋体" w:hAnsi="宋体"/>
          <w:sz w:val="24"/>
          <w:lang w:val="zh-CN"/>
        </w:rPr>
        <w:t>验收</w:t>
      </w:r>
      <w:r>
        <w:rPr>
          <w:rFonts w:hint="eastAsia" w:ascii="宋体" w:hAnsi="宋体"/>
          <w:sz w:val="24"/>
          <w:lang w:val="zh-CN" w:eastAsia="zh-CN"/>
        </w:rPr>
        <w:t>、</w:t>
      </w:r>
      <w:r>
        <w:rPr>
          <w:rFonts w:hint="eastAsia" w:ascii="宋体" w:hAnsi="宋体"/>
          <w:sz w:val="24"/>
          <w:lang w:val="zh-CN"/>
        </w:rPr>
        <w:t>商品房</w:t>
      </w:r>
      <w:r>
        <w:rPr>
          <w:rFonts w:hint="eastAsia" w:ascii="宋体" w:hAnsi="宋体"/>
          <w:sz w:val="24"/>
          <w:lang w:val="zh-CN" w:eastAsia="zh-CN"/>
        </w:rPr>
        <w:t>预现售、</w:t>
      </w:r>
      <w:r>
        <w:rPr>
          <w:rFonts w:hint="eastAsia" w:ascii="宋体" w:hAnsi="宋体"/>
          <w:sz w:val="24"/>
          <w:lang w:val="zh-CN"/>
        </w:rPr>
        <w:t>房产</w:t>
      </w:r>
      <w:r>
        <w:rPr>
          <w:rFonts w:hint="eastAsia" w:ascii="宋体" w:hAnsi="宋体"/>
          <w:sz w:val="24"/>
          <w:lang w:val="zh-CN" w:eastAsia="zh-CN"/>
        </w:rPr>
        <w:t>交易、租赁、物业等住建</w:t>
      </w:r>
      <w:r>
        <w:rPr>
          <w:rFonts w:hint="eastAsia" w:ascii="宋体" w:hAnsi="宋体"/>
          <w:sz w:val="24"/>
          <w:lang w:val="zh-CN"/>
        </w:rPr>
        <w:t>各</w:t>
      </w:r>
      <w:r>
        <w:rPr>
          <w:rFonts w:hint="eastAsia" w:ascii="宋体" w:hAnsi="宋体"/>
          <w:sz w:val="24"/>
          <w:lang w:val="zh-CN" w:eastAsia="zh-CN"/>
        </w:rPr>
        <w:t>业务环节进行数据关联性设计，</w:t>
      </w:r>
      <w:r>
        <w:rPr>
          <w:rFonts w:hint="eastAsia" w:ascii="宋体" w:hAnsi="宋体"/>
          <w:sz w:val="24"/>
          <w:lang w:val="zh-CN"/>
        </w:rPr>
        <w:t>编制</w:t>
      </w:r>
      <w:r>
        <w:rPr>
          <w:rFonts w:hint="eastAsia" w:ascii="宋体" w:hAnsi="宋体"/>
          <w:sz w:val="24"/>
          <w:lang w:val="zh-CN" w:eastAsia="zh-CN"/>
        </w:rPr>
        <w:t>形成《成都</w:t>
      </w:r>
      <w:r>
        <w:rPr>
          <w:rFonts w:hint="eastAsia" w:ascii="宋体" w:hAnsi="宋体"/>
          <w:sz w:val="24"/>
          <w:lang w:val="zh-CN"/>
        </w:rPr>
        <w:t>市</w:t>
      </w:r>
      <w:r>
        <w:rPr>
          <w:rFonts w:hint="eastAsia" w:ascii="宋体" w:hAnsi="宋体"/>
          <w:sz w:val="24"/>
          <w:lang w:val="zh-CN" w:eastAsia="zh-CN"/>
        </w:rPr>
        <w:t>住建局数据中心业务数据标准》</w:t>
      </w:r>
      <w:r>
        <w:rPr>
          <w:rFonts w:hint="eastAsia" w:ascii="宋体" w:hAnsi="宋体"/>
          <w:sz w:val="24"/>
          <w:lang w:val="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cs="仿宋" w:asciiTheme="majorEastAsia" w:hAnsiTheme="majorEastAsia" w:eastAsiaTheme="majorEastAsia"/>
          <w:bCs/>
          <w:sz w:val="24"/>
        </w:rPr>
      </w:pPr>
      <w:r>
        <w:rPr>
          <w:rFonts w:hint="eastAsia" w:ascii="宋体" w:hAnsi="宋体"/>
          <w:sz w:val="24"/>
          <w:lang w:val="zh-CN"/>
        </w:rPr>
        <w:t>●</w:t>
      </w:r>
      <w:r>
        <w:rPr>
          <w:rFonts w:hint="eastAsia" w:ascii="宋体" w:hAnsi="宋体"/>
          <w:sz w:val="24"/>
          <w:lang w:val="en-US" w:eastAsia="zh-CN"/>
        </w:rPr>
        <w:t>1.2</w:t>
      </w:r>
      <w:r>
        <w:rPr>
          <w:rFonts w:hint="eastAsia" w:ascii="宋体" w:hAnsi="宋体"/>
          <w:sz w:val="24"/>
          <w:lang w:val="zh-CN" w:eastAsia="zh-CN"/>
        </w:rPr>
        <w:t>根据《成都</w:t>
      </w:r>
      <w:r>
        <w:rPr>
          <w:rFonts w:hint="eastAsia" w:ascii="宋体" w:hAnsi="宋体"/>
          <w:sz w:val="24"/>
          <w:lang w:val="zh-CN"/>
        </w:rPr>
        <w:t>市</w:t>
      </w:r>
      <w:r>
        <w:rPr>
          <w:rFonts w:hint="eastAsia" w:ascii="宋体" w:hAnsi="宋体"/>
          <w:sz w:val="24"/>
          <w:lang w:val="zh-CN" w:eastAsia="zh-CN"/>
        </w:rPr>
        <w:t>住建局数据中心业务数据标准》的数据项的规定，明确各类数据项的数据定义、取值管理、编码管理等内容，</w:t>
      </w:r>
      <w:r>
        <w:rPr>
          <w:rFonts w:hint="eastAsia" w:ascii="宋体" w:hAnsi="宋体"/>
          <w:sz w:val="24"/>
          <w:lang w:val="zh-CN"/>
        </w:rPr>
        <w:t>编制</w:t>
      </w:r>
      <w:r>
        <w:rPr>
          <w:rFonts w:hint="eastAsia" w:ascii="宋体" w:hAnsi="宋体"/>
          <w:sz w:val="24"/>
          <w:lang w:val="zh-CN" w:eastAsia="zh-CN"/>
        </w:rPr>
        <w:t>形成《成都</w:t>
      </w:r>
      <w:r>
        <w:rPr>
          <w:rFonts w:hint="eastAsia" w:ascii="宋体" w:hAnsi="宋体"/>
          <w:sz w:val="24"/>
          <w:lang w:val="zh-CN"/>
        </w:rPr>
        <w:t>市</w:t>
      </w:r>
      <w:r>
        <w:rPr>
          <w:rFonts w:hint="eastAsia" w:ascii="宋体" w:hAnsi="宋体"/>
          <w:sz w:val="24"/>
          <w:lang w:val="zh-CN" w:eastAsia="zh-CN"/>
        </w:rPr>
        <w:t>住建局数据中心数据库数据字典》</w:t>
      </w:r>
      <w:r>
        <w:rPr>
          <w:rFonts w:hint="eastAsia" w:ascii="宋体" w:hAnsi="宋体"/>
          <w:sz w:val="24"/>
          <w:lang w:val="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cs="仿宋" w:asciiTheme="majorEastAsia" w:hAnsiTheme="majorEastAsia" w:eastAsiaTheme="majorEastAsia"/>
          <w:bCs/>
          <w:sz w:val="24"/>
        </w:rPr>
      </w:pPr>
      <w:r>
        <w:rPr>
          <w:rFonts w:hint="eastAsia" w:ascii="宋体" w:hAnsi="宋体"/>
          <w:sz w:val="24"/>
          <w:lang w:val="zh-CN"/>
        </w:rPr>
        <w:t>●</w:t>
      </w:r>
      <w:r>
        <w:rPr>
          <w:rFonts w:hint="eastAsia" w:ascii="宋体" w:hAnsi="宋体"/>
          <w:sz w:val="24"/>
          <w:lang w:val="en-US" w:eastAsia="zh-CN"/>
        </w:rPr>
        <w:t>1.3</w:t>
      </w:r>
      <w:r>
        <w:rPr>
          <w:rFonts w:hint="eastAsia" w:ascii="宋体" w:hAnsi="宋体"/>
          <w:sz w:val="24"/>
          <w:lang w:val="zh-CN"/>
        </w:rPr>
        <w:t>编制</w:t>
      </w:r>
      <w:r>
        <w:rPr>
          <w:rFonts w:ascii="宋体" w:hAnsi="宋体"/>
          <w:sz w:val="24"/>
          <w:lang w:val="zh-CN"/>
        </w:rPr>
        <w:t>形成</w:t>
      </w:r>
      <w:r>
        <w:rPr>
          <w:rFonts w:hint="eastAsia" w:ascii="宋体" w:hAnsi="宋体"/>
          <w:sz w:val="24"/>
          <w:lang w:val="zh-CN" w:eastAsia="zh-CN"/>
        </w:rPr>
        <w:t>《成都</w:t>
      </w:r>
      <w:r>
        <w:rPr>
          <w:rFonts w:hint="eastAsia" w:ascii="宋体" w:hAnsi="宋体"/>
          <w:sz w:val="24"/>
          <w:lang w:val="zh-CN"/>
        </w:rPr>
        <w:t>市</w:t>
      </w:r>
      <w:r>
        <w:rPr>
          <w:rFonts w:hint="eastAsia" w:ascii="宋体" w:hAnsi="宋体"/>
          <w:sz w:val="24"/>
          <w:lang w:val="zh-CN" w:eastAsia="zh-CN"/>
        </w:rPr>
        <w:t>住建数据整合建库技术规程》，在规范层面对住建领域的</w:t>
      </w:r>
      <w:r>
        <w:rPr>
          <w:rFonts w:hint="eastAsia" w:ascii="宋体" w:hAnsi="宋体"/>
          <w:sz w:val="24"/>
          <w:lang w:val="zh-CN"/>
        </w:rPr>
        <w:t>各类数据</w:t>
      </w:r>
      <w:r>
        <w:rPr>
          <w:rFonts w:hint="eastAsia" w:ascii="宋体" w:hAnsi="宋体"/>
          <w:sz w:val="24"/>
          <w:lang w:val="zh-CN" w:eastAsia="zh-CN"/>
        </w:rPr>
        <w:t>整合并建立统一的数据库标准提供依据；规定数据整合的技术方法、数据的分类汇总以及最终的数据格式等，</w:t>
      </w:r>
      <w:r>
        <w:rPr>
          <w:rFonts w:hint="eastAsia" w:ascii="宋体" w:hAnsi="宋体"/>
          <w:sz w:val="24"/>
          <w:lang w:val="zh-CN"/>
        </w:rPr>
        <w:t>以</w:t>
      </w:r>
      <w:r>
        <w:rPr>
          <w:rFonts w:hint="eastAsia" w:ascii="宋体" w:hAnsi="宋体"/>
          <w:sz w:val="24"/>
          <w:lang w:val="zh-CN" w:eastAsia="zh-CN"/>
        </w:rPr>
        <w:t>指导数据清理</w:t>
      </w:r>
      <w:r>
        <w:rPr>
          <w:rFonts w:hint="eastAsia" w:ascii="宋体" w:hAnsi="宋体"/>
          <w:sz w:val="24"/>
          <w:lang w:val="zh-CN"/>
        </w:rPr>
        <w:t>、</w:t>
      </w:r>
      <w:r>
        <w:rPr>
          <w:rFonts w:hint="eastAsia" w:ascii="宋体" w:hAnsi="宋体"/>
          <w:sz w:val="24"/>
          <w:lang w:val="zh-CN" w:eastAsia="zh-CN"/>
        </w:rPr>
        <w:t>数据分析等方面的工作</w:t>
      </w:r>
      <w:r>
        <w:rPr>
          <w:rFonts w:hint="eastAsia" w:ascii="宋体" w:hAnsi="宋体"/>
          <w:sz w:val="24"/>
          <w:lang w:val="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lang w:val="zh-CN"/>
        </w:rPr>
      </w:pPr>
      <w:r>
        <w:rPr>
          <w:rFonts w:hint="eastAsia" w:ascii="宋体" w:hAnsi="宋体"/>
          <w:sz w:val="24"/>
          <w:lang w:val="zh-CN"/>
        </w:rPr>
        <w:t>●</w:t>
      </w:r>
      <w:r>
        <w:rPr>
          <w:rFonts w:hint="eastAsia" w:ascii="宋体" w:hAnsi="宋体"/>
          <w:sz w:val="24"/>
          <w:lang w:val="en-US" w:eastAsia="zh-CN"/>
        </w:rPr>
        <w:t>1.4</w:t>
      </w:r>
      <w:r>
        <w:rPr>
          <w:rFonts w:hint="eastAsia" w:ascii="宋体" w:hAnsi="宋体"/>
          <w:sz w:val="24"/>
          <w:lang w:val="zh-CN"/>
        </w:rPr>
        <w:t>编制</w:t>
      </w:r>
      <w:r>
        <w:rPr>
          <w:rFonts w:ascii="宋体" w:hAnsi="宋体"/>
          <w:sz w:val="24"/>
          <w:lang w:val="zh-CN"/>
        </w:rPr>
        <w:t>形成</w:t>
      </w:r>
      <w:r>
        <w:rPr>
          <w:rFonts w:hint="eastAsia" w:ascii="宋体" w:hAnsi="宋体"/>
          <w:sz w:val="24"/>
          <w:lang w:val="zh-CN" w:eastAsia="zh-CN"/>
        </w:rPr>
        <w:t>《成都</w:t>
      </w:r>
      <w:r>
        <w:rPr>
          <w:rFonts w:hint="eastAsia" w:ascii="宋体" w:hAnsi="宋体"/>
          <w:sz w:val="24"/>
          <w:lang w:val="zh-CN"/>
        </w:rPr>
        <w:t>市</w:t>
      </w:r>
      <w:r>
        <w:rPr>
          <w:rFonts w:hint="eastAsia" w:ascii="宋体" w:hAnsi="宋体"/>
          <w:sz w:val="24"/>
          <w:lang w:val="zh-CN" w:eastAsia="zh-CN"/>
        </w:rPr>
        <w:t>住建局数据中心数据共享交换规范》</w:t>
      </w:r>
      <w:r>
        <w:rPr>
          <w:rFonts w:hint="eastAsia" w:ascii="宋体" w:hAnsi="宋体"/>
          <w:sz w:val="24"/>
          <w:lang w:val="zh-CN"/>
        </w:rPr>
        <w:t>，规定市</w:t>
      </w:r>
      <w:r>
        <w:rPr>
          <w:rFonts w:ascii="宋体" w:hAnsi="宋体"/>
          <w:sz w:val="24"/>
          <w:lang w:val="zh-CN"/>
        </w:rPr>
        <w:t>住建局</w:t>
      </w:r>
      <w:r>
        <w:rPr>
          <w:rFonts w:hint="eastAsia" w:ascii="宋体" w:hAnsi="宋体"/>
          <w:sz w:val="24"/>
          <w:lang w:val="zh-CN"/>
        </w:rPr>
        <w:t>内部数据</w:t>
      </w:r>
      <w:r>
        <w:rPr>
          <w:rFonts w:ascii="宋体" w:hAnsi="宋体"/>
          <w:sz w:val="24"/>
          <w:lang w:val="zh-CN"/>
        </w:rPr>
        <w:t>共享</w:t>
      </w:r>
      <w:r>
        <w:rPr>
          <w:rFonts w:hint="eastAsia" w:ascii="宋体" w:hAnsi="宋体"/>
          <w:sz w:val="24"/>
          <w:lang w:val="zh-CN"/>
        </w:rPr>
        <w:t>交换、外部数据</w:t>
      </w:r>
      <w:r>
        <w:rPr>
          <w:rFonts w:ascii="宋体" w:hAnsi="宋体"/>
          <w:sz w:val="24"/>
          <w:lang w:val="zh-CN"/>
        </w:rPr>
        <w:t>共享交换</w:t>
      </w:r>
      <w:r>
        <w:rPr>
          <w:rFonts w:hint="eastAsia" w:ascii="宋体" w:hAnsi="宋体"/>
          <w:sz w:val="24"/>
          <w:lang w:val="zh-CN"/>
        </w:rPr>
        <w:t>的</w:t>
      </w:r>
      <w:r>
        <w:rPr>
          <w:rFonts w:ascii="宋体" w:hAnsi="宋体"/>
          <w:sz w:val="24"/>
          <w:lang w:val="zh-CN"/>
        </w:rPr>
        <w:t>规则，</w:t>
      </w:r>
      <w:r>
        <w:rPr>
          <w:rFonts w:hint="eastAsia" w:ascii="宋体" w:hAnsi="宋体"/>
          <w:sz w:val="24"/>
          <w:lang w:val="zh-CN"/>
        </w:rPr>
        <w:t>以</w:t>
      </w:r>
      <w:r>
        <w:rPr>
          <w:rFonts w:ascii="宋体" w:hAnsi="宋体"/>
          <w:sz w:val="24"/>
          <w:lang w:val="zh-CN"/>
        </w:rPr>
        <w:t>更好地满足数据跨部门、跨层级</w:t>
      </w:r>
      <w:r>
        <w:rPr>
          <w:rFonts w:hint="eastAsia" w:ascii="宋体" w:hAnsi="宋体"/>
          <w:sz w:val="24"/>
          <w:lang w:val="zh-CN"/>
        </w:rPr>
        <w:t>协同</w:t>
      </w:r>
      <w:r>
        <w:rPr>
          <w:rFonts w:ascii="宋体" w:hAnsi="宋体"/>
          <w:sz w:val="24"/>
          <w:lang w:val="zh-CN"/>
        </w:rPr>
        <w:t>的</w:t>
      </w:r>
      <w:r>
        <w:rPr>
          <w:rFonts w:hint="eastAsia" w:ascii="宋体" w:hAnsi="宋体"/>
          <w:sz w:val="24"/>
          <w:lang w:val="zh-CN"/>
        </w:rPr>
        <w:t>相关要求</w:t>
      </w:r>
      <w:r>
        <w:rPr>
          <w:rFonts w:ascii="宋体" w:hAnsi="宋体"/>
          <w:sz w:val="24"/>
          <w:lang w:val="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lang w:val="zh-CN"/>
        </w:rPr>
      </w:pPr>
      <w:r>
        <w:rPr>
          <w:rFonts w:hint="eastAsia" w:ascii="宋体" w:hAnsi="宋体"/>
          <w:sz w:val="24"/>
          <w:lang w:val="zh-CN"/>
        </w:rPr>
        <w:t>●</w:t>
      </w:r>
      <w:r>
        <w:rPr>
          <w:rFonts w:hint="eastAsia" w:ascii="宋体" w:hAnsi="宋体"/>
          <w:sz w:val="24"/>
          <w:lang w:val="en-US" w:eastAsia="zh-CN"/>
        </w:rPr>
        <w:t>1.5</w:t>
      </w:r>
      <w:r>
        <w:rPr>
          <w:rFonts w:hint="eastAsia" w:ascii="宋体" w:hAnsi="宋体"/>
          <w:sz w:val="24"/>
          <w:lang w:val="zh-CN"/>
        </w:rPr>
        <w:t>编制</w:t>
      </w:r>
      <w:r>
        <w:rPr>
          <w:rFonts w:ascii="宋体" w:hAnsi="宋体"/>
          <w:sz w:val="24"/>
          <w:lang w:val="zh-CN"/>
        </w:rPr>
        <w:t>形成</w:t>
      </w:r>
      <w:r>
        <w:rPr>
          <w:rFonts w:hint="eastAsia" w:ascii="宋体" w:hAnsi="宋体"/>
          <w:sz w:val="24"/>
          <w:lang w:val="zh-CN" w:eastAsia="zh-CN"/>
        </w:rPr>
        <w:t>《成都住建局数据中心</w:t>
      </w:r>
      <w:r>
        <w:rPr>
          <w:rFonts w:hint="eastAsia" w:ascii="宋体" w:hAnsi="宋体"/>
          <w:sz w:val="24"/>
          <w:lang w:val="zh-CN"/>
        </w:rPr>
        <w:t>数据应用</w:t>
      </w:r>
      <w:r>
        <w:rPr>
          <w:rFonts w:hint="eastAsia" w:ascii="宋体" w:hAnsi="宋体"/>
          <w:sz w:val="24"/>
          <w:lang w:val="zh-CN" w:eastAsia="zh-CN"/>
        </w:rPr>
        <w:t>规范》</w:t>
      </w:r>
      <w:r>
        <w:rPr>
          <w:rFonts w:hint="eastAsia" w:ascii="宋体" w:hAnsi="宋体"/>
          <w:sz w:val="24"/>
          <w:lang w:val="zh-CN"/>
        </w:rPr>
        <w:t>，</w:t>
      </w:r>
      <w:r>
        <w:rPr>
          <w:rFonts w:hint="eastAsia" w:ascii="宋体" w:hAnsi="宋体"/>
          <w:sz w:val="24"/>
          <w:lang w:val="zh-CN" w:eastAsia="zh-CN"/>
        </w:rPr>
        <w:t>规定住建</w:t>
      </w:r>
      <w:r>
        <w:rPr>
          <w:rFonts w:hint="eastAsia" w:ascii="宋体" w:hAnsi="宋体"/>
          <w:sz w:val="24"/>
          <w:lang w:val="zh-CN"/>
        </w:rPr>
        <w:t>数据应用安全</w:t>
      </w:r>
      <w:r>
        <w:rPr>
          <w:rFonts w:hint="eastAsia" w:ascii="宋体" w:hAnsi="宋体"/>
          <w:sz w:val="24"/>
          <w:lang w:val="zh-CN" w:eastAsia="zh-CN"/>
        </w:rPr>
        <w:t>需要遵循的规则，</w:t>
      </w:r>
      <w:r>
        <w:rPr>
          <w:rFonts w:hint="eastAsia" w:ascii="宋体" w:hAnsi="宋体"/>
          <w:sz w:val="24"/>
          <w:lang w:val="zh-CN"/>
        </w:rPr>
        <w:t>以</w:t>
      </w:r>
      <w:r>
        <w:rPr>
          <w:rFonts w:ascii="宋体" w:hAnsi="宋体"/>
          <w:sz w:val="24"/>
          <w:lang w:val="zh-CN"/>
        </w:rPr>
        <w:t>确保基于数据中心提取、查询、统计</w:t>
      </w:r>
      <w:r>
        <w:rPr>
          <w:rFonts w:hint="eastAsia" w:ascii="宋体" w:hAnsi="宋体"/>
          <w:sz w:val="24"/>
          <w:lang w:val="zh-CN"/>
        </w:rPr>
        <w:t>、</w:t>
      </w:r>
      <w:r>
        <w:rPr>
          <w:rFonts w:ascii="宋体" w:hAnsi="宋体"/>
          <w:sz w:val="24"/>
          <w:lang w:val="zh-CN"/>
        </w:rPr>
        <w:t>共享交换</w:t>
      </w:r>
      <w:r>
        <w:rPr>
          <w:rFonts w:hint="eastAsia" w:ascii="宋体" w:hAnsi="宋体"/>
          <w:sz w:val="24"/>
          <w:lang w:val="zh-CN"/>
        </w:rPr>
        <w:t>的数据满足</w:t>
      </w:r>
      <w:r>
        <w:rPr>
          <w:rFonts w:ascii="宋体" w:hAnsi="宋体"/>
          <w:sz w:val="24"/>
          <w:lang w:val="zh-CN"/>
        </w:rPr>
        <w:t>《</w:t>
      </w:r>
      <w:r>
        <w:rPr>
          <w:rFonts w:hint="eastAsia" w:ascii="宋体" w:hAnsi="宋体"/>
          <w:sz w:val="24"/>
          <w:lang w:val="zh-CN"/>
        </w:rPr>
        <w:t>网络</w:t>
      </w:r>
      <w:r>
        <w:rPr>
          <w:rFonts w:ascii="宋体" w:hAnsi="宋体"/>
          <w:sz w:val="24"/>
          <w:lang w:val="zh-CN"/>
        </w:rPr>
        <w:t>安全法》</w:t>
      </w:r>
      <w:r>
        <w:rPr>
          <w:rFonts w:hint="eastAsia" w:ascii="宋体" w:hAnsi="宋体"/>
          <w:sz w:val="24"/>
          <w:lang w:val="zh-CN"/>
        </w:rPr>
        <w:t>、</w:t>
      </w:r>
      <w:r>
        <w:rPr>
          <w:rFonts w:ascii="宋体" w:hAnsi="宋体"/>
          <w:sz w:val="24"/>
          <w:lang w:val="zh-CN"/>
        </w:rPr>
        <w:t>《</w:t>
      </w:r>
      <w:r>
        <w:rPr>
          <w:rFonts w:hint="eastAsia" w:ascii="宋体" w:hAnsi="宋体"/>
          <w:sz w:val="24"/>
          <w:lang w:val="zh-CN"/>
        </w:rPr>
        <w:t>数据</w:t>
      </w:r>
      <w:r>
        <w:rPr>
          <w:rFonts w:ascii="宋体" w:hAnsi="宋体"/>
          <w:sz w:val="24"/>
          <w:lang w:val="zh-CN"/>
        </w:rPr>
        <w:t>安全法》</w:t>
      </w:r>
      <w:r>
        <w:rPr>
          <w:rFonts w:hint="eastAsia" w:ascii="宋体" w:hAnsi="宋体"/>
          <w:sz w:val="24"/>
          <w:lang w:val="zh-CN"/>
        </w:rPr>
        <w:t>等国家</w:t>
      </w:r>
      <w:r>
        <w:rPr>
          <w:rFonts w:ascii="宋体" w:hAnsi="宋体"/>
          <w:sz w:val="24"/>
          <w:lang w:val="zh-CN"/>
        </w:rPr>
        <w:t>法律法规</w:t>
      </w:r>
      <w:r>
        <w:rPr>
          <w:rFonts w:hint="eastAsia" w:ascii="宋体" w:hAnsi="宋体"/>
          <w:sz w:val="24"/>
          <w:lang w:val="zh-CN"/>
        </w:rPr>
        <w:t>和相关技术规范</w:t>
      </w:r>
      <w:r>
        <w:rPr>
          <w:rFonts w:ascii="宋体" w:hAnsi="宋体"/>
          <w:sz w:val="24"/>
          <w:lang w:val="zh-CN"/>
        </w:rPr>
        <w:t>要求</w:t>
      </w:r>
      <w:r>
        <w:rPr>
          <w:rFonts w:hint="eastAsia" w:ascii="宋体" w:hAnsi="宋体"/>
          <w:sz w:val="24"/>
          <w:lang w:val="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lang w:val="zh-CN"/>
        </w:rPr>
      </w:pPr>
      <w:r>
        <w:rPr>
          <w:rFonts w:hint="eastAsia" w:ascii="宋体" w:hAnsi="宋体"/>
          <w:b/>
          <w:bCs/>
          <w:sz w:val="24"/>
          <w:lang w:val="zh-CN"/>
        </w:rPr>
        <w:t>2</w:t>
      </w:r>
      <w:r>
        <w:rPr>
          <w:rFonts w:ascii="宋体" w:hAnsi="宋体"/>
          <w:b/>
          <w:bCs/>
          <w:sz w:val="24"/>
          <w:lang w:val="zh-CN"/>
        </w:rPr>
        <w:t>.</w:t>
      </w:r>
      <w:r>
        <w:rPr>
          <w:rFonts w:hint="eastAsia" w:ascii="宋体" w:hAnsi="宋体"/>
          <w:b/>
          <w:bCs/>
          <w:sz w:val="24"/>
          <w:lang w:val="zh-CN"/>
        </w:rPr>
        <w:t>大数据</w:t>
      </w:r>
      <w:r>
        <w:rPr>
          <w:rFonts w:ascii="宋体" w:hAnsi="宋体"/>
          <w:b/>
          <w:bCs/>
          <w:sz w:val="24"/>
          <w:lang w:val="zh-CN"/>
        </w:rPr>
        <w:t>应用支撑平台</w:t>
      </w:r>
      <w:r>
        <w:rPr>
          <w:rFonts w:hint="eastAsia" w:ascii="宋体" w:hAnsi="宋体"/>
          <w:b/>
          <w:bCs/>
          <w:sz w:val="24"/>
          <w:lang w:val="zh-CN"/>
        </w:rPr>
        <w:t>建设</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lang w:val="zh-CN"/>
        </w:rPr>
      </w:pPr>
      <w:r>
        <w:rPr>
          <w:rFonts w:hint="eastAsia" w:ascii="宋体" w:hAnsi="宋体"/>
          <w:b/>
          <w:bCs/>
          <w:sz w:val="24"/>
          <w:lang w:val="en-US" w:eastAsia="zh-CN"/>
        </w:rPr>
        <w:t>2.1</w:t>
      </w:r>
      <w:r>
        <w:rPr>
          <w:rFonts w:hint="eastAsia" w:ascii="宋体" w:hAnsi="宋体"/>
          <w:b/>
          <w:bCs/>
          <w:sz w:val="24"/>
          <w:lang w:val="zh-CN"/>
        </w:rPr>
        <w:t>数据</w:t>
      </w:r>
      <w:r>
        <w:rPr>
          <w:rFonts w:ascii="宋体" w:hAnsi="宋体"/>
          <w:b/>
          <w:bCs/>
          <w:sz w:val="24"/>
          <w:lang w:val="zh-CN"/>
        </w:rPr>
        <w:t>资源治理平台</w:t>
      </w:r>
    </w:p>
    <w:p>
      <w:pPr>
        <w:pStyle w:val="9"/>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2.1.1</w:t>
      </w:r>
      <w:r>
        <w:rPr>
          <w:rFonts w:hint="eastAsia" w:ascii="宋体" w:hAnsi="宋体"/>
          <w:sz w:val="24"/>
          <w:lang w:val="zh-CN"/>
        </w:rPr>
        <w:t>总体要求</w:t>
      </w:r>
    </w:p>
    <w:p>
      <w:pPr>
        <w:pStyle w:val="9"/>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b/>
          <w:sz w:val="24"/>
          <w:lang w:val="zh-CN"/>
        </w:rPr>
      </w:pPr>
      <w:r>
        <w:rPr>
          <w:rFonts w:hint="eastAsia" w:ascii="宋体" w:hAnsi="宋体"/>
          <w:sz w:val="24"/>
          <w:lang w:val="zh-CN"/>
        </w:rPr>
        <w:t>本次建设需将各业务系统全部接入数据资源治理平台，梳理形成住建数据中心，同时形成一个具有数据治理、融合交换、数据管控功能的信息资源治理平台。以数据资源治理平台为中心，实现部门之间信息孤岛的互联互通，打通部门之间的数据壁垒，在实现数据资源共享的同时，同时为我市城市</w:t>
      </w:r>
      <w:r>
        <w:rPr>
          <w:rFonts w:ascii="宋体" w:hAnsi="宋体"/>
          <w:sz w:val="24"/>
          <w:lang w:val="zh-CN"/>
        </w:rPr>
        <w:t>智慧治理</w:t>
      </w:r>
      <w:r>
        <w:rPr>
          <w:rFonts w:hint="eastAsia" w:ascii="宋体" w:hAnsi="宋体"/>
          <w:sz w:val="24"/>
          <w:lang w:val="zh-CN"/>
        </w:rPr>
        <w:t>和其他应用提供数据支撑服务。通过数据资源治理平台建设，为住建提供优质的数据治理、融合共享及数据管控服务，担任住建“底层平台”的角色，让住建数据中心的数据展示更具实时性和统一性，全面提高住建政务信息资源治理的工作效率，为发展“互联网+政务服务”打下坚实基础。</w:t>
      </w:r>
    </w:p>
    <w:p>
      <w:pPr>
        <w:pStyle w:val="9"/>
        <w:pageBreakBefore w:val="0"/>
        <w:widowControl w:val="0"/>
        <w:kinsoku/>
        <w:wordWrap/>
        <w:overflowPunct/>
        <w:topLinePunct w:val="0"/>
        <w:autoSpaceDE/>
        <w:autoSpaceDN/>
        <w:bidi w:val="0"/>
        <w:adjustRightInd/>
        <w:snapToGrid/>
        <w:spacing w:line="500" w:lineRule="exact"/>
        <w:ind w:firstLine="482"/>
        <w:textAlignment w:val="auto"/>
        <w:rPr>
          <w:rFonts w:hint="default" w:ascii="宋体" w:hAnsi="宋体"/>
          <w:b/>
          <w:sz w:val="24"/>
          <w:lang w:val="en-US" w:eastAsia="zh-CN"/>
        </w:rPr>
      </w:pPr>
      <w:r>
        <w:rPr>
          <w:rFonts w:hint="eastAsia" w:ascii="宋体" w:hAnsi="宋体"/>
          <w:b w:val="0"/>
          <w:bCs w:val="0"/>
          <w:sz w:val="24"/>
          <w:lang w:val="zh-CN"/>
        </w:rPr>
        <w:t>●</w:t>
      </w:r>
      <w:r>
        <w:rPr>
          <w:rFonts w:hint="eastAsia" w:ascii="宋体" w:hAnsi="宋体"/>
          <w:b w:val="0"/>
          <w:bCs w:val="0"/>
          <w:sz w:val="24"/>
          <w:lang w:val="en-US" w:eastAsia="zh-CN"/>
        </w:rPr>
        <w:t>2.1.2功能要求</w:t>
      </w:r>
    </w:p>
    <w:p>
      <w:pPr>
        <w:pStyle w:val="9"/>
        <w:pageBreakBefore w:val="0"/>
        <w:widowControl w:val="0"/>
        <w:kinsoku/>
        <w:wordWrap/>
        <w:overflowPunct/>
        <w:topLinePunct w:val="0"/>
        <w:autoSpaceDE/>
        <w:autoSpaceDN/>
        <w:bidi w:val="0"/>
        <w:adjustRightInd/>
        <w:snapToGrid/>
        <w:spacing w:line="500" w:lineRule="exact"/>
        <w:ind w:firstLine="482"/>
        <w:textAlignment w:val="auto"/>
        <w:rPr>
          <w:rFonts w:hint="eastAsia" w:cs="仿宋" w:asciiTheme="majorEastAsia" w:hAnsiTheme="majorEastAsia" w:eastAsiaTheme="majorEastAsia"/>
          <w:b/>
          <w:bCs/>
          <w:sz w:val="24"/>
        </w:rPr>
      </w:pPr>
      <w:r>
        <w:rPr>
          <w:rFonts w:hint="eastAsia" w:ascii="宋体" w:hAnsi="宋体"/>
          <w:sz w:val="24"/>
        </w:rPr>
        <w:t>支持对元数据血缘关系的自动解析和手动维护，并以可视化显示查看元数据全链分析、血缘分析</w:t>
      </w:r>
      <w:r>
        <w:rPr>
          <w:rFonts w:hint="eastAsia" w:ascii="宋体" w:hAnsi="宋体"/>
          <w:sz w:val="24"/>
          <w:lang w:eastAsia="zh-CN"/>
        </w:rPr>
        <w:t>；</w:t>
      </w:r>
      <w:r>
        <w:rPr>
          <w:rFonts w:hint="eastAsia" w:ascii="宋体" w:hAnsi="宋体"/>
          <w:sz w:val="24"/>
        </w:rPr>
        <w:t>支持对系统资源的监控，可实时监控本地服务器性能、数据库的连接情况，帮助运维人员对系统资源情况的了解。</w:t>
      </w:r>
    </w:p>
    <w:p>
      <w:pPr>
        <w:pStyle w:val="9"/>
        <w:pageBreakBefore w:val="0"/>
        <w:widowControl w:val="0"/>
        <w:kinsoku/>
        <w:wordWrap/>
        <w:overflowPunct/>
        <w:topLinePunct w:val="0"/>
        <w:autoSpaceDE/>
        <w:autoSpaceDN/>
        <w:bidi w:val="0"/>
        <w:adjustRightInd/>
        <w:snapToGrid/>
        <w:spacing w:line="500" w:lineRule="exact"/>
        <w:ind w:firstLine="482"/>
        <w:textAlignment w:val="auto"/>
        <w:rPr>
          <w:rFonts w:hint="eastAsia" w:cs="仿宋" w:asciiTheme="majorEastAsia" w:hAnsiTheme="majorEastAsia" w:eastAsiaTheme="majorEastAsia"/>
          <w:b/>
          <w:bCs/>
          <w:sz w:val="24"/>
          <w:lang w:val="en-US" w:eastAsia="zh-CN"/>
        </w:rPr>
      </w:pPr>
      <w:r>
        <w:rPr>
          <w:rFonts w:hint="eastAsia" w:cs="仿宋" w:asciiTheme="majorEastAsia" w:hAnsiTheme="majorEastAsia" w:eastAsiaTheme="majorEastAsia"/>
          <w:b/>
          <w:bCs/>
          <w:sz w:val="24"/>
          <w:lang w:val="en-US" w:eastAsia="zh-CN"/>
        </w:rPr>
        <w:t>▲2.1.3</w:t>
      </w:r>
      <w:bookmarkStart w:id="174" w:name="_Hlk87891744"/>
      <w:r>
        <w:rPr>
          <w:rFonts w:hint="eastAsia" w:cs="仿宋" w:asciiTheme="majorEastAsia" w:hAnsiTheme="majorEastAsia" w:eastAsiaTheme="majorEastAsia"/>
          <w:b/>
          <w:bCs/>
          <w:sz w:val="24"/>
          <w:lang w:val="en-US" w:eastAsia="zh-CN"/>
        </w:rPr>
        <w:t>提供国家版权局出具的数据治理类计算机软件著作权证书复印件，并加盖投标人电子印章。</w:t>
      </w:r>
      <w:bookmarkEnd w:id="174"/>
    </w:p>
    <w:p>
      <w:pPr>
        <w:pStyle w:val="9"/>
        <w:pageBreakBefore w:val="0"/>
        <w:widowControl w:val="0"/>
        <w:kinsoku/>
        <w:wordWrap/>
        <w:overflowPunct/>
        <w:topLinePunct w:val="0"/>
        <w:autoSpaceDE/>
        <w:autoSpaceDN/>
        <w:bidi w:val="0"/>
        <w:adjustRightInd/>
        <w:snapToGrid/>
        <w:spacing w:line="500" w:lineRule="exact"/>
        <w:ind w:firstLine="482"/>
        <w:textAlignment w:val="auto"/>
        <w:rPr>
          <w:rFonts w:cs="仿宋" w:asciiTheme="majorEastAsia" w:hAnsiTheme="majorEastAsia" w:eastAsiaTheme="majorEastAsia"/>
          <w:b/>
          <w:bCs/>
          <w:sz w:val="24"/>
        </w:rPr>
      </w:pPr>
      <w:r>
        <w:rPr>
          <w:rFonts w:hint="eastAsia" w:cs="仿宋" w:asciiTheme="majorEastAsia" w:hAnsiTheme="majorEastAsia" w:eastAsiaTheme="majorEastAsia"/>
          <w:b/>
          <w:bCs/>
          <w:sz w:val="24"/>
          <w:lang w:val="en-US" w:eastAsia="zh-CN"/>
        </w:rPr>
        <w:t>2.2</w:t>
      </w:r>
      <w:r>
        <w:rPr>
          <w:rFonts w:hint="eastAsia" w:cs="仿宋" w:asciiTheme="majorEastAsia" w:hAnsiTheme="majorEastAsia" w:eastAsiaTheme="majorEastAsia"/>
          <w:b/>
          <w:bCs/>
          <w:sz w:val="24"/>
        </w:rPr>
        <w:t>信息</w:t>
      </w:r>
      <w:r>
        <w:rPr>
          <w:rFonts w:cs="仿宋" w:asciiTheme="majorEastAsia" w:hAnsiTheme="majorEastAsia" w:eastAsiaTheme="majorEastAsia"/>
          <w:b/>
          <w:bCs/>
          <w:sz w:val="24"/>
        </w:rPr>
        <w:t>资源中心</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2.2.1</w:t>
      </w:r>
      <w:r>
        <w:rPr>
          <w:rFonts w:hint="eastAsia" w:ascii="宋体" w:hAnsi="宋体"/>
          <w:sz w:val="24"/>
          <w:lang w:val="zh-CN"/>
        </w:rPr>
        <w:t>总体</w:t>
      </w:r>
      <w:r>
        <w:rPr>
          <w:rFonts w:ascii="宋体" w:hAnsi="宋体"/>
          <w:sz w:val="24"/>
          <w:lang w:val="zh-CN"/>
        </w:rPr>
        <w:t>要求</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cs="仿宋" w:asciiTheme="majorEastAsia" w:hAnsiTheme="majorEastAsia" w:eastAsiaTheme="majorEastAsia"/>
          <w:bCs/>
          <w:sz w:val="24"/>
        </w:rPr>
      </w:pPr>
      <w:r>
        <w:rPr>
          <w:rFonts w:hint="eastAsia" w:ascii="宋体" w:hAnsi="宋体"/>
          <w:sz w:val="24"/>
        </w:rPr>
        <w:t>建设信息资源中心，通过信息中台实现多源数据汇聚接入，数据一点集中汇聚，形成住建信息资源中心，并将新产生的数据回流给业务系统，通过信息中台，实现基于元数据驱动的数据标准化治理，通过信息中台平台微服务架构形式对数据进行封装，方便上层应用访问和调用。此外，通过成都市统一的政务信息资源共享平台实现跨层级、跨部门、跨平台共享交换数据，让数据中心中的信息资源数据安全合规对外共享。本项目采用“虚拟+实体”仓库的方式建设信息资源数据中心，实现业务系统的数据整合以及数据的快速方便使用。实体数据中心采用集中存储方式，将分布各个业务系统中的数据通过数据迁移、数据同步技术将其迁移至数据仓库中，便于对数据进行加工、处理并分类存储后加以应用。本项目将建设的实体数据仓库，用于存储已建的信息系统数据，通过实体数据仓库逐步更替原有系统数据库，实现住建局数据的沉淀。实体数据仓库建成后将包括：基础库、主题库、业务库等。</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cs="仿宋" w:asciiTheme="majorEastAsia" w:hAnsiTheme="majorEastAsia" w:eastAsiaTheme="majorEastAsia"/>
          <w:bCs/>
          <w:sz w:val="24"/>
        </w:rPr>
      </w:pPr>
      <w:r>
        <w:rPr>
          <w:rFonts w:hint="eastAsia" w:ascii="宋体" w:hAnsi="宋体" w:eastAsiaTheme="majorEastAsia"/>
          <w:sz w:val="24"/>
          <w:lang w:val="en-US" w:eastAsia="zh-CN"/>
        </w:rPr>
        <w:t>2.2.2</w:t>
      </w:r>
      <w:r>
        <w:rPr>
          <w:rFonts w:hint="eastAsia" w:cs="仿宋" w:asciiTheme="majorEastAsia" w:hAnsiTheme="majorEastAsia" w:eastAsiaTheme="majorEastAsia"/>
          <w:sz w:val="24"/>
        </w:rPr>
        <w:t>分布式</w:t>
      </w:r>
      <w:r>
        <w:rPr>
          <w:rFonts w:cs="仿宋" w:asciiTheme="majorEastAsia" w:hAnsiTheme="majorEastAsia" w:eastAsiaTheme="majorEastAsia"/>
          <w:sz w:val="24"/>
        </w:rPr>
        <w:t>动态</w:t>
      </w:r>
      <w:r>
        <w:rPr>
          <w:rFonts w:hint="eastAsia" w:cs="仿宋" w:asciiTheme="majorEastAsia" w:hAnsiTheme="majorEastAsia" w:eastAsiaTheme="majorEastAsia"/>
          <w:sz w:val="24"/>
        </w:rPr>
        <w:t>存储</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sz w:val="24"/>
          <w:lang w:val="en-US"/>
        </w:rPr>
      </w:pPr>
      <w:r>
        <w:rPr>
          <w:rFonts w:hint="eastAsia" w:ascii="宋体" w:hAnsi="宋体"/>
          <w:sz w:val="24"/>
          <w:lang w:val="zh-CN"/>
        </w:rPr>
        <w:t>●</w:t>
      </w:r>
      <w:r>
        <w:rPr>
          <w:rFonts w:hint="eastAsia" w:ascii="宋体" w:hAnsi="宋体"/>
          <w:sz w:val="24"/>
          <w:lang w:val="en-US" w:eastAsia="zh-CN"/>
        </w:rPr>
        <w:t>2.2.2.1</w:t>
      </w:r>
      <w:r>
        <w:rPr>
          <w:rFonts w:hint="eastAsia" w:ascii="宋体" w:hAnsi="宋体"/>
          <w:sz w:val="24"/>
        </w:rPr>
        <w:t>基本</w:t>
      </w:r>
      <w:r>
        <w:rPr>
          <w:rFonts w:ascii="宋体" w:hAnsi="宋体"/>
          <w:sz w:val="24"/>
        </w:rPr>
        <w:t>要求</w:t>
      </w:r>
      <w:r>
        <w:rPr>
          <w:rFonts w:hint="eastAsia" w:ascii="宋体" w:hAnsi="宋体"/>
          <w:sz w:val="24"/>
        </w:rPr>
        <w:t>。</w:t>
      </w:r>
      <w:r>
        <w:rPr>
          <w:rFonts w:hint="default" w:ascii="宋体" w:hAnsi="宋体"/>
          <w:sz w:val="24"/>
          <w:lang w:val="en-US"/>
        </w:rPr>
        <w:t>通过业务数据和元数据的映射关系，在数据源层实现数据虚拟池化。数据虚拟化是将数据库驱动模块读出的数据采用内部编码格式，进行元数据标准化并将其存入缓存池中，方便进行后期的数据清洗、数据转换以及政务数据标准化等操作。以“数据中心节点化”的设计理念，构建数据源分布式存储，数据虚拟层仅存储数据虚拟关系映射数据单元。</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sz w:val="24"/>
          <w:lang w:val="zh-CN"/>
        </w:rPr>
      </w:pPr>
      <w:r>
        <w:rPr>
          <w:rFonts w:hint="eastAsia" w:ascii="宋体" w:hAnsi="宋体"/>
          <w:sz w:val="24"/>
          <w:lang w:val="en-US" w:eastAsia="zh-CN"/>
        </w:rPr>
        <w:t>2.2.2.2</w:t>
      </w:r>
      <w:r>
        <w:rPr>
          <w:rFonts w:hint="eastAsia" w:ascii="宋体" w:hAnsi="宋体"/>
          <w:sz w:val="24"/>
          <w:lang w:val="zh-CN"/>
        </w:rPr>
        <w:t>主要</w:t>
      </w:r>
      <w:r>
        <w:rPr>
          <w:rFonts w:ascii="宋体" w:hAnsi="宋体"/>
          <w:sz w:val="24"/>
          <w:lang w:val="zh-CN"/>
        </w:rPr>
        <w:t>功能</w:t>
      </w:r>
      <w:r>
        <w:rPr>
          <w:rFonts w:hint="eastAsia" w:ascii="宋体" w:hAnsi="宋体"/>
          <w:sz w:val="24"/>
          <w:lang w:val="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sz w:val="24"/>
          <w:lang w:val="en-US"/>
        </w:rPr>
      </w:pPr>
      <w:r>
        <w:rPr>
          <w:rFonts w:hint="eastAsia" w:ascii="宋体" w:hAnsi="宋体"/>
          <w:sz w:val="24"/>
          <w:lang w:val="zh-CN"/>
        </w:rPr>
        <w:t>●</w:t>
      </w:r>
      <w:r>
        <w:rPr>
          <w:rFonts w:hint="eastAsia" w:ascii="宋体" w:hAnsi="宋体"/>
          <w:sz w:val="24"/>
          <w:lang w:val="en-US" w:eastAsia="zh-CN"/>
        </w:rPr>
        <w:t>2.2.2.2.1</w:t>
      </w:r>
      <w:r>
        <w:rPr>
          <w:rFonts w:hint="default" w:ascii="宋体" w:hAnsi="宋体"/>
          <w:sz w:val="24"/>
          <w:lang w:val="en-US"/>
        </w:rPr>
        <w:t>分布式存储单元应</w:t>
      </w:r>
      <w:r>
        <w:rPr>
          <w:rFonts w:hint="eastAsia" w:ascii="宋体" w:hAnsi="宋体"/>
          <w:sz w:val="24"/>
        </w:rPr>
        <w:t>具有跨域数据整合、多级数据关联、降低投入提高</w:t>
      </w:r>
      <w:r>
        <w:rPr>
          <w:rFonts w:ascii="宋体" w:hAnsi="宋体"/>
          <w:sz w:val="24"/>
        </w:rPr>
        <w:t>效率</w:t>
      </w:r>
      <w:r>
        <w:rPr>
          <w:rFonts w:hint="eastAsia" w:ascii="宋体" w:hAnsi="宋体"/>
          <w:sz w:val="24"/>
        </w:rPr>
        <w:t>、数据主题库</w:t>
      </w:r>
      <w:r>
        <w:rPr>
          <w:rFonts w:hint="default" w:ascii="宋体" w:hAnsi="宋体"/>
          <w:sz w:val="24"/>
          <w:lang w:val="en-US"/>
        </w:rPr>
        <w:t>四方面功能</w:t>
      </w:r>
      <w:r>
        <w:rPr>
          <w:rFonts w:hint="eastAsia" w:ascii="宋体" w:hAnsi="宋体"/>
          <w:sz w:val="24"/>
          <w:lang w:val="en-US" w:eastAsia="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2.2.2.2.2</w:t>
      </w:r>
      <w:r>
        <w:rPr>
          <w:rFonts w:hint="eastAsia" w:ascii="宋体" w:hAnsi="宋体"/>
          <w:sz w:val="24"/>
        </w:rPr>
        <w:t>跨域数据整合</w:t>
      </w:r>
      <w:r>
        <w:rPr>
          <w:rFonts w:hint="eastAsia" w:ascii="宋体" w:hAnsi="宋体"/>
          <w:sz w:val="24"/>
          <w:lang w:eastAsia="zh-CN"/>
        </w:rPr>
        <w:t>：</w:t>
      </w:r>
      <w:r>
        <w:rPr>
          <w:rFonts w:hint="eastAsia" w:ascii="宋体" w:hAnsi="宋体"/>
          <w:sz w:val="24"/>
        </w:rPr>
        <w:t>实现不同的数据库中数据整合汇聚；实现不同地理空间位置的数据库数据整合汇聚；实现不同数据库于异地数据库数据整合汇聚（数据级平级）。</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2.2.2.2.3</w:t>
      </w:r>
      <w:r>
        <w:rPr>
          <w:rFonts w:hint="eastAsia" w:ascii="宋体" w:hAnsi="宋体"/>
          <w:sz w:val="24"/>
        </w:rPr>
        <w:t>多级数据关联</w:t>
      </w:r>
      <w:r>
        <w:rPr>
          <w:rFonts w:hint="eastAsia" w:ascii="宋体" w:hAnsi="宋体"/>
          <w:sz w:val="24"/>
          <w:lang w:eastAsia="zh-CN"/>
        </w:rPr>
        <w:t>：</w:t>
      </w:r>
      <w:r>
        <w:rPr>
          <w:rFonts w:hint="eastAsia" w:ascii="宋体" w:hAnsi="宋体"/>
          <w:sz w:val="24"/>
        </w:rPr>
        <w:t>“虚拟+实体”数据中心实现各业务系统多级数据关联，即总部数据库数据与分部数据库中数据整合汇聚。</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2.2.2.2.4</w:t>
      </w:r>
      <w:r>
        <w:rPr>
          <w:rFonts w:hint="eastAsia" w:ascii="宋体" w:hAnsi="宋体"/>
          <w:sz w:val="24"/>
        </w:rPr>
        <w:t>降低投入提高</w:t>
      </w:r>
      <w:r>
        <w:rPr>
          <w:rFonts w:ascii="宋体" w:hAnsi="宋体"/>
          <w:sz w:val="24"/>
        </w:rPr>
        <w:t>效率</w:t>
      </w:r>
      <w:r>
        <w:rPr>
          <w:rFonts w:hint="eastAsia" w:ascii="宋体" w:hAnsi="宋体"/>
          <w:sz w:val="24"/>
          <w:lang w:eastAsia="zh-CN"/>
        </w:rPr>
        <w:t>：</w:t>
      </w:r>
      <w:r>
        <w:rPr>
          <w:rFonts w:hint="eastAsia" w:ascii="宋体" w:hAnsi="宋体"/>
          <w:sz w:val="24"/>
        </w:rPr>
        <w:t>“虚拟+实体”数据中心采用分布式存储方式，实现去中心化数据中心，各个节点实现本节点数据存储，多节点聚合实现全区虚拟大数据中心。平台中数据中心只需根据系统需求存储主题类数据和历史数据，并使用分布式缓存技术，以提升数据存储与检索的效率，以及通过分布式缓存创建的检索表实现主题数据库，满足各种业务系统对数据的需求。</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2.2.2.2.5</w:t>
      </w:r>
      <w:r>
        <w:rPr>
          <w:rFonts w:hint="eastAsia" w:ascii="宋体" w:hAnsi="宋体"/>
          <w:sz w:val="24"/>
        </w:rPr>
        <w:t>数据主题库</w:t>
      </w:r>
      <w:r>
        <w:rPr>
          <w:rFonts w:hint="eastAsia" w:ascii="宋体" w:hAnsi="宋体"/>
          <w:sz w:val="24"/>
          <w:lang w:eastAsia="zh-CN"/>
        </w:rPr>
        <w:t>：</w:t>
      </w:r>
      <w:r>
        <w:rPr>
          <w:rFonts w:hint="eastAsia" w:ascii="宋体" w:hAnsi="宋体"/>
          <w:sz w:val="24"/>
        </w:rPr>
        <w:t>住建“虚拟+实体”数据中心能根据数据内容类，或行业类型实现实体数据主题库构建，提升数据使用便利性，并充分利用数据价值。可提供决策支持数据模型以及数据挖掘的数据基础，通过建立数据主题库，将各个应用系统中的同类的行为数据、结果数据、结构化数据和非结构化数据进行集成和处理，根据不同的数据主题进行分类存放，并为各类数据分析模型提供有效的数据访问接口。</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sz w:val="24"/>
          <w:lang w:val="en-US" w:eastAsia="zh-CN"/>
        </w:rPr>
      </w:pPr>
      <w:r>
        <w:rPr>
          <w:rFonts w:hint="eastAsia" w:ascii="宋体" w:hAnsi="宋体"/>
          <w:b/>
          <w:bCs/>
          <w:sz w:val="24"/>
          <w:lang w:val="en-US" w:eastAsia="zh-CN"/>
        </w:rPr>
        <w:t>▲2.2.2.3提供国家版权局出具的数据存储类计算机软件著作权证书复印件，并加盖投标人电子印章。</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en-US" w:eastAsia="zh-CN"/>
        </w:rPr>
        <w:t>2.2.3</w:t>
      </w:r>
      <w:r>
        <w:rPr>
          <w:rFonts w:hint="eastAsia" w:ascii="宋体" w:hAnsi="宋体"/>
          <w:sz w:val="24"/>
        </w:rPr>
        <w:t>“虚拟+实体”数据资源中心</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en-US" w:eastAsia="zh-CN"/>
        </w:rPr>
        <w:t>2.2.3.1</w:t>
      </w:r>
      <w:r>
        <w:rPr>
          <w:rFonts w:ascii="宋体" w:hAnsi="宋体"/>
          <w:sz w:val="24"/>
        </w:rPr>
        <w:t>虚拟数据资源中心</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2.2.3.1.1</w:t>
      </w:r>
      <w:r>
        <w:rPr>
          <w:rFonts w:hint="eastAsia" w:ascii="宋体" w:hAnsi="宋体"/>
          <w:sz w:val="24"/>
        </w:rPr>
        <w:t>采用去中心化思想建立数据仓库，通过分布式虚拟数据中心节点方式实现数据融合共享时不依赖于固定的数据存储池，数据不依赖于存储仓库，而是采用虚拟数字链路的方式将分散在不同的物理位置、不同的数据系统中的数据逻辑集中，并实现实体数据中心功能。本项目采用</w:t>
      </w:r>
      <w:r>
        <w:rPr>
          <w:rFonts w:ascii="宋体" w:hAnsi="宋体"/>
          <w:sz w:val="24"/>
        </w:rPr>
        <w:t>虚拟数据资源中心</w:t>
      </w:r>
      <w:r>
        <w:rPr>
          <w:rFonts w:hint="eastAsia" w:ascii="宋体" w:hAnsi="宋体"/>
          <w:sz w:val="24"/>
        </w:rPr>
        <w:t>逻辑位于实体数据仓库上层的设计，实现本地数据仓库与其他系统数据库并行运行，满足业务更替和新业务的构建。</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rPr>
        <w:t>平台通过信息中台逻辑上汇聚海量数据，采用</w:t>
      </w:r>
      <w:r>
        <w:rPr>
          <w:rFonts w:ascii="宋体" w:hAnsi="宋体"/>
          <w:sz w:val="24"/>
        </w:rPr>
        <w:t>虚拟数据资源中心</w:t>
      </w:r>
      <w:r>
        <w:rPr>
          <w:rFonts w:hint="eastAsia" w:ascii="宋体" w:hAnsi="宋体"/>
          <w:sz w:val="24"/>
        </w:rPr>
        <w:t>实现业务系统及外部系统相关的数据集成和共享。</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2.2.3.1.2</w:t>
      </w:r>
      <w:r>
        <w:rPr>
          <w:rFonts w:hint="eastAsia" w:ascii="宋体" w:hAnsi="宋体"/>
          <w:sz w:val="24"/>
        </w:rPr>
        <w:t>将业务信息建立</w:t>
      </w:r>
      <w:r>
        <w:rPr>
          <w:rFonts w:ascii="宋体" w:hAnsi="宋体"/>
          <w:sz w:val="24"/>
        </w:rPr>
        <w:t>虚拟数据资源中心</w:t>
      </w:r>
      <w:r>
        <w:rPr>
          <w:rFonts w:hint="eastAsia" w:ascii="宋体" w:hAnsi="宋体"/>
          <w:sz w:val="24"/>
        </w:rPr>
        <w:t>，设定数据处理规则，利用信息中台（即实时数据加工服务能力中台）将分散在不同的平台、系统、应用程序中的各类数据汇集到一个数据资源中心，使用户可以从各种应用程序中将最重要的数据部进行提取。</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2.2.3.1.3</w:t>
      </w:r>
      <w:r>
        <w:rPr>
          <w:rFonts w:ascii="宋体" w:hAnsi="宋体"/>
          <w:sz w:val="24"/>
        </w:rPr>
        <w:t>虚拟数据资源中心</w:t>
      </w:r>
      <w:r>
        <w:rPr>
          <w:rFonts w:hint="eastAsia" w:ascii="宋体" w:hAnsi="宋体"/>
          <w:sz w:val="24"/>
        </w:rPr>
        <w:t>是面向住建局数据中心服务主题的、集成化的、动态的、随时间变化的数据对象集合，是为实现住建局业务信息的集成与共享而进行的数据再组织和再集成的过程。虚拟是数据组织形式上的虚拟，而</w:t>
      </w:r>
      <w:r>
        <w:rPr>
          <w:rFonts w:ascii="宋体" w:hAnsi="宋体"/>
          <w:sz w:val="24"/>
        </w:rPr>
        <w:t>虚拟数据资源中心</w:t>
      </w:r>
      <w:r>
        <w:rPr>
          <w:rFonts w:hint="eastAsia" w:ascii="宋体" w:hAnsi="宋体"/>
          <w:sz w:val="24"/>
        </w:rPr>
        <w:t>本身仍需要一个高效的硬件平台。</w:t>
      </w:r>
      <w:r>
        <w:rPr>
          <w:rFonts w:ascii="宋体" w:hAnsi="宋体"/>
          <w:sz w:val="24"/>
        </w:rPr>
        <w:t>虚拟数据资源中心</w:t>
      </w:r>
      <w:r>
        <w:rPr>
          <w:rFonts w:hint="eastAsia" w:ascii="宋体" w:hAnsi="宋体"/>
          <w:sz w:val="24"/>
        </w:rPr>
        <w:t>在处理异构数据源问题上采用虚实结合的思想，对于不符合住建局数据中心数据主模型的数据源，通过虚拟网络视图进行数据的集成，对于符合住建局数据中心数据主模型的某些关系型数据库，通过信息中台直接导入</w:t>
      </w:r>
      <w:r>
        <w:rPr>
          <w:rFonts w:ascii="宋体" w:hAnsi="宋体"/>
          <w:sz w:val="24"/>
        </w:rPr>
        <w:t>虚拟数据资源中心</w:t>
      </w:r>
      <w:r>
        <w:rPr>
          <w:rFonts w:hint="eastAsia" w:ascii="宋体" w:hAnsi="宋体"/>
          <w:sz w:val="24"/>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en-US" w:eastAsia="zh-CN"/>
        </w:rPr>
        <w:t>2.2.3.2</w:t>
      </w:r>
      <w:r>
        <w:rPr>
          <w:rFonts w:hint="eastAsia" w:ascii="宋体" w:hAnsi="宋体"/>
          <w:sz w:val="24"/>
        </w:rPr>
        <w:t>实体</w:t>
      </w:r>
      <w:r>
        <w:rPr>
          <w:rFonts w:ascii="宋体" w:hAnsi="宋体"/>
          <w:sz w:val="24"/>
        </w:rPr>
        <w:t>数据资源中心</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2.2.3.2.1</w:t>
      </w:r>
      <w:r>
        <w:rPr>
          <w:rFonts w:hint="eastAsia" w:ascii="宋体" w:hAnsi="宋体"/>
          <w:sz w:val="24"/>
        </w:rPr>
        <w:t>实体数据资源中心建设将经过清洗比对的各种结构化业务数据汇聚建立结构化信息资源库；将通过交换体系整合影像文件</w:t>
      </w:r>
      <w:r>
        <w:rPr>
          <w:rFonts w:ascii="宋体" w:hAnsi="宋体"/>
          <w:sz w:val="24"/>
        </w:rPr>
        <w:t>、</w:t>
      </w:r>
      <w:r>
        <w:rPr>
          <w:rFonts w:hint="eastAsia" w:ascii="宋体" w:hAnsi="宋体"/>
          <w:sz w:val="24"/>
        </w:rPr>
        <w:t>音视频文件等各种非结构化数据汇聚形成</w:t>
      </w:r>
      <w:r>
        <w:rPr>
          <w:rFonts w:ascii="宋体" w:hAnsi="宋体"/>
          <w:sz w:val="24"/>
        </w:rPr>
        <w:t>非结构化信息</w:t>
      </w:r>
      <w:r>
        <w:rPr>
          <w:rFonts w:hint="eastAsia" w:ascii="宋体" w:hAnsi="宋体"/>
          <w:sz w:val="24"/>
        </w:rPr>
        <w:t>资源库；同时构建目录信息资源库，存储按照主题或专题的需求支持业务和分析。</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2.2.3.2.2</w:t>
      </w:r>
      <w:r>
        <w:rPr>
          <w:rFonts w:hint="eastAsia" w:ascii="宋体" w:hAnsi="宋体"/>
          <w:sz w:val="24"/>
        </w:rPr>
        <w:t>结构化信息资源库：数据中心的结构化信息资源主要包括局内</w:t>
      </w:r>
      <w:r>
        <w:rPr>
          <w:rFonts w:ascii="宋体" w:hAnsi="宋体"/>
          <w:sz w:val="24"/>
        </w:rPr>
        <w:t>各</w:t>
      </w:r>
      <w:r>
        <w:rPr>
          <w:rFonts w:hint="eastAsia" w:ascii="宋体" w:hAnsi="宋体"/>
          <w:sz w:val="24"/>
        </w:rPr>
        <w:t>业务系统和获取的</w:t>
      </w:r>
      <w:r>
        <w:rPr>
          <w:rFonts w:ascii="宋体" w:hAnsi="宋体"/>
          <w:sz w:val="24"/>
        </w:rPr>
        <w:t>外</w:t>
      </w:r>
      <w:r>
        <w:rPr>
          <w:rFonts w:hint="eastAsia" w:ascii="宋体" w:hAnsi="宋体"/>
          <w:sz w:val="24"/>
        </w:rPr>
        <w:t>部门</w:t>
      </w:r>
      <w:r>
        <w:rPr>
          <w:rFonts w:ascii="宋体" w:hAnsi="宋体"/>
          <w:sz w:val="24"/>
        </w:rPr>
        <w:t>共享数据</w:t>
      </w:r>
      <w:r>
        <w:rPr>
          <w:rFonts w:hint="eastAsia" w:ascii="宋体" w:hAnsi="宋体"/>
          <w:sz w:val="24"/>
        </w:rPr>
        <w:t>。结构化数据在数据中心存储中将按照第三范式规范进行二位关系表存储，为数据仓库提供结构化数资源。此外，结构化信息资源在数据交换中通过清洗和比对，确保数据的正确性，通过数据</w:t>
      </w:r>
      <w:r>
        <w:rPr>
          <w:rFonts w:ascii="宋体" w:hAnsi="宋体"/>
          <w:sz w:val="24"/>
        </w:rPr>
        <w:t>共享平台</w:t>
      </w:r>
      <w:r>
        <w:rPr>
          <w:rFonts w:hint="eastAsia" w:ascii="宋体" w:hAnsi="宋体"/>
          <w:sz w:val="24"/>
        </w:rPr>
        <w:t>供各部门在权限范围内使用。</w:t>
      </w:r>
      <w:bookmarkStart w:id="175" w:name="_Toc19031931"/>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2.2.3.2.3</w:t>
      </w:r>
      <w:r>
        <w:rPr>
          <w:rFonts w:hint="eastAsia" w:ascii="宋体" w:hAnsi="宋体"/>
          <w:sz w:val="24"/>
        </w:rPr>
        <w:t>非结构化信息资源库</w:t>
      </w:r>
      <w:bookmarkEnd w:id="175"/>
      <w:r>
        <w:rPr>
          <w:rFonts w:hint="eastAsia" w:ascii="宋体" w:hAnsi="宋体"/>
          <w:sz w:val="24"/>
        </w:rPr>
        <w:t>：数据中心的非结构化信息资源主要</w:t>
      </w:r>
      <w:r>
        <w:rPr>
          <w:rFonts w:ascii="宋体" w:hAnsi="宋体"/>
          <w:sz w:val="24"/>
        </w:rPr>
        <w:t>包括各业务系统产生的电子</w:t>
      </w:r>
      <w:r>
        <w:rPr>
          <w:rFonts w:hint="eastAsia" w:ascii="宋体" w:hAnsi="宋体"/>
          <w:sz w:val="24"/>
        </w:rPr>
        <w:t>影像</w:t>
      </w:r>
      <w:r>
        <w:rPr>
          <w:rFonts w:ascii="宋体" w:hAnsi="宋体"/>
          <w:sz w:val="24"/>
        </w:rPr>
        <w:t>文件、</w:t>
      </w:r>
      <w:r>
        <w:rPr>
          <w:rFonts w:hint="eastAsia" w:ascii="宋体" w:hAnsi="宋体"/>
          <w:sz w:val="24"/>
        </w:rPr>
        <w:t>公文、政策、音视频、图片等非结构化文件资源信息。非结构化信息资源在数据中心通常通过分布式文件系统进行存储和管理，为应用系统提供非结构化的信息资源。非结构化信息资源同样可通过数据共享平台供各部门在权限范围内使用。</w:t>
      </w:r>
      <w:bookmarkStart w:id="176" w:name="_Toc19031932"/>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2.2.3.2.4</w:t>
      </w:r>
      <w:r>
        <w:rPr>
          <w:rFonts w:hint="eastAsia" w:ascii="宋体" w:hAnsi="宋体"/>
          <w:sz w:val="24"/>
        </w:rPr>
        <w:t>目录信息资源库</w:t>
      </w:r>
      <w:bookmarkEnd w:id="176"/>
      <w:r>
        <w:rPr>
          <w:rFonts w:hint="eastAsia" w:ascii="宋体" w:hAnsi="宋体"/>
          <w:sz w:val="24"/>
        </w:rPr>
        <w:t>：目录信息资源库存储注册到目录服务中心的目录内容，目录服务中心使用目录内容服务信息库提供目录查询检索服务。数据中心使用目录内容管理信息库实现对所汇集目录内容的管理。中心目录内容管理信息库的主要数据表是元数据表及相应的代码对照表、审核发布管理信息表组成，元数据表的内容基本上与部门目录内容相同。最终提供给用户使用是目录内容服务信息库中的目录内容信息。</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sz w:val="24"/>
          <w:lang w:eastAsia="zh-CN"/>
        </w:rPr>
      </w:pPr>
      <w:r>
        <w:rPr>
          <w:rFonts w:hint="eastAsia" w:ascii="宋体" w:hAnsi="宋体"/>
          <w:sz w:val="24"/>
          <w:lang w:val="zh-CN"/>
        </w:rPr>
        <w:t>●</w:t>
      </w:r>
      <w:r>
        <w:rPr>
          <w:rFonts w:hint="eastAsia" w:ascii="宋体" w:hAnsi="宋体"/>
          <w:sz w:val="24"/>
          <w:lang w:val="en-US" w:eastAsia="zh-CN"/>
        </w:rPr>
        <w:t>2.2.3.2.5</w:t>
      </w:r>
      <w:r>
        <w:rPr>
          <w:rFonts w:hint="eastAsia" w:ascii="宋体" w:hAnsi="宋体"/>
          <w:sz w:val="24"/>
        </w:rPr>
        <w:t>根据国家目录体系标准要求，元数据表中必须包括的信息项为：信息资源名称、信息资源发布日期、信息资源摘要、信息资源提供单位、关键字、信息资源分类方式、类目、在线资源链接地址、信息资源标识符、服务地址、元数据标识符、元数据维护单位、元数据更新时间</w:t>
      </w:r>
      <w:r>
        <w:rPr>
          <w:rFonts w:hint="eastAsia" w:ascii="宋体" w:hAnsi="宋体"/>
          <w:sz w:val="24"/>
          <w:lang w:eastAsia="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sz w:val="24"/>
          <w:lang w:val="zh-CN"/>
        </w:rPr>
      </w:pPr>
      <w:r>
        <w:rPr>
          <w:rFonts w:hint="eastAsia" w:ascii="宋体" w:hAnsi="宋体"/>
          <w:b/>
          <w:bCs/>
          <w:sz w:val="24"/>
          <w:lang w:val="zh-CN"/>
        </w:rPr>
        <w:t>▲</w:t>
      </w:r>
      <w:r>
        <w:rPr>
          <w:rFonts w:hint="eastAsia" w:ascii="宋体" w:hAnsi="宋体"/>
          <w:b/>
          <w:bCs/>
          <w:sz w:val="24"/>
          <w:lang w:val="en-US" w:eastAsia="zh-CN"/>
        </w:rPr>
        <w:t>2.2.3.2.6</w:t>
      </w:r>
      <w:r>
        <w:rPr>
          <w:rFonts w:hint="eastAsia" w:ascii="宋体" w:hAnsi="宋体"/>
          <w:b/>
          <w:bCs/>
          <w:sz w:val="24"/>
          <w:lang w:val="zh-CN"/>
        </w:rPr>
        <w:t>提供国家版权局出具的目录管理类计算机软件著作权证书复印件，并加盖投标人电子印章。</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cs="宋体"/>
          <w:kern w:val="0"/>
          <w:sz w:val="24"/>
        </w:rPr>
      </w:pPr>
      <w:r>
        <w:rPr>
          <w:rFonts w:hint="eastAsia" w:ascii="宋体" w:hAnsi="宋体"/>
          <w:sz w:val="24"/>
          <w:lang w:val="zh-CN"/>
        </w:rPr>
        <w:t>●</w:t>
      </w:r>
      <w:r>
        <w:rPr>
          <w:rFonts w:hint="eastAsia" w:ascii="宋体" w:hAnsi="宋体"/>
          <w:sz w:val="24"/>
          <w:lang w:val="en-US" w:eastAsia="zh-CN"/>
        </w:rPr>
        <w:t>2.2.4</w:t>
      </w:r>
      <w:r>
        <w:rPr>
          <w:rFonts w:ascii="宋体" w:cs="宋体"/>
          <w:kern w:val="0"/>
          <w:sz w:val="24"/>
        </w:rPr>
        <w:t>信息资源</w:t>
      </w:r>
      <w:r>
        <w:rPr>
          <w:rFonts w:hint="eastAsia" w:ascii="宋体" w:cs="宋体"/>
          <w:kern w:val="0"/>
          <w:sz w:val="24"/>
        </w:rPr>
        <w:t>主题</w:t>
      </w:r>
      <w:r>
        <w:rPr>
          <w:rFonts w:ascii="宋体" w:cs="宋体"/>
          <w:kern w:val="0"/>
          <w:sz w:val="24"/>
        </w:rPr>
        <w:t>库</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lang w:val="zh-CN" w:bidi="zh-CN"/>
        </w:rPr>
      </w:pPr>
      <w:r>
        <w:rPr>
          <w:rFonts w:hint="eastAsia"/>
          <w:sz w:val="24"/>
          <w:lang w:val="zh-CN" w:bidi="zh-CN"/>
        </w:rPr>
        <w:t>围绕具体应用及服务事项需求</w:t>
      </w:r>
      <w:r>
        <w:rPr>
          <w:sz w:val="24"/>
          <w:lang w:val="zh-CN" w:bidi="zh-CN"/>
        </w:rPr>
        <w:t>而</w:t>
      </w:r>
      <w:r>
        <w:rPr>
          <w:rFonts w:hint="eastAsia"/>
          <w:sz w:val="24"/>
          <w:lang w:val="zh-CN" w:bidi="zh-CN"/>
        </w:rPr>
        <w:t>规划建设的信息库。通过主题应用信息库提高各协同部门间信息资源准确共享的实际效益，提高</w:t>
      </w:r>
      <w:r>
        <w:rPr>
          <w:sz w:val="24"/>
          <w:lang w:val="zh-CN" w:bidi="zh-CN"/>
        </w:rPr>
        <w:t>局内</w:t>
      </w:r>
      <w:r>
        <w:rPr>
          <w:rFonts w:hint="eastAsia"/>
          <w:sz w:val="24"/>
          <w:lang w:val="zh-CN" w:bidi="zh-CN"/>
        </w:rPr>
        <w:t>、</w:t>
      </w:r>
      <w:r>
        <w:rPr>
          <w:sz w:val="24"/>
          <w:lang w:val="zh-CN" w:bidi="zh-CN"/>
        </w:rPr>
        <w:t>外</w:t>
      </w:r>
      <w:r>
        <w:rPr>
          <w:rFonts w:hint="eastAsia"/>
          <w:sz w:val="24"/>
          <w:lang w:val="zh-CN" w:bidi="zh-CN"/>
        </w:rPr>
        <w:t>部门间共享信息的准确性、完整性及时效性。如施工图</w:t>
      </w:r>
      <w:r>
        <w:rPr>
          <w:sz w:val="24"/>
          <w:lang w:val="zh-CN" w:bidi="zh-CN"/>
        </w:rPr>
        <w:t>审、</w:t>
      </w:r>
      <w:r>
        <w:rPr>
          <w:rFonts w:hint="eastAsia"/>
          <w:sz w:val="24"/>
          <w:lang w:val="zh-CN" w:bidi="zh-CN"/>
        </w:rPr>
        <w:t>项目施工</w:t>
      </w:r>
      <w:r>
        <w:rPr>
          <w:sz w:val="24"/>
          <w:lang w:val="zh-CN" w:bidi="zh-CN"/>
        </w:rPr>
        <w:t>管理、</w:t>
      </w:r>
      <w:r>
        <w:rPr>
          <w:rFonts w:hint="eastAsia"/>
          <w:sz w:val="24"/>
          <w:lang w:val="zh-CN" w:bidi="zh-CN"/>
        </w:rPr>
        <w:t>工程质量</w:t>
      </w:r>
      <w:r>
        <w:rPr>
          <w:rFonts w:hint="eastAsia"/>
          <w:sz w:val="24"/>
          <w:lang w:val="en-US" w:bidi="zh-CN"/>
        </w:rPr>
        <w:t>与</w:t>
      </w:r>
      <w:r>
        <w:rPr>
          <w:sz w:val="24"/>
          <w:lang w:val="zh-CN" w:bidi="zh-CN"/>
        </w:rPr>
        <w:t>安全、房产交易、住房保障、人才安居、</w:t>
      </w:r>
      <w:r>
        <w:rPr>
          <w:rFonts w:hint="eastAsia"/>
          <w:sz w:val="24"/>
          <w:lang w:val="zh-CN" w:bidi="zh-CN"/>
        </w:rPr>
        <w:t>物业</w:t>
      </w:r>
      <w:r>
        <w:rPr>
          <w:sz w:val="24"/>
          <w:lang w:val="zh-CN" w:bidi="zh-CN"/>
        </w:rPr>
        <w:t>管理、房屋安全</w:t>
      </w:r>
      <w:r>
        <w:rPr>
          <w:rFonts w:hint="eastAsia"/>
          <w:sz w:val="24"/>
          <w:lang w:val="zh-CN" w:bidi="zh-CN"/>
        </w:rPr>
        <w:t>、</w:t>
      </w:r>
      <w:r>
        <w:rPr>
          <w:sz w:val="24"/>
          <w:lang w:val="zh-CN" w:bidi="zh-CN"/>
        </w:rPr>
        <w:t>老旧院落改造、历史建筑、房屋征收等</w:t>
      </w:r>
      <w:r>
        <w:rPr>
          <w:rFonts w:hint="eastAsia"/>
          <w:sz w:val="24"/>
          <w:lang w:val="zh-CN" w:bidi="zh-CN"/>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cs="宋体"/>
          <w:kern w:val="0"/>
          <w:sz w:val="24"/>
        </w:rPr>
      </w:pPr>
      <w:r>
        <w:rPr>
          <w:rFonts w:hint="eastAsia" w:ascii="宋体" w:hAnsi="宋体"/>
          <w:sz w:val="24"/>
          <w:lang w:val="zh-CN"/>
        </w:rPr>
        <w:t>●</w:t>
      </w:r>
      <w:r>
        <w:rPr>
          <w:rFonts w:hint="eastAsia" w:ascii="宋体" w:hAnsi="宋体"/>
          <w:sz w:val="24"/>
          <w:lang w:val="en-US" w:eastAsia="zh-CN"/>
        </w:rPr>
        <w:t>2.2.5</w:t>
      </w:r>
      <w:r>
        <w:rPr>
          <w:rFonts w:ascii="宋体" w:cs="宋体"/>
          <w:kern w:val="0"/>
          <w:sz w:val="24"/>
        </w:rPr>
        <w:t>信息资源专题库</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lang w:val="zh-CN" w:bidi="zh-CN"/>
        </w:rPr>
      </w:pPr>
      <w:r>
        <w:rPr>
          <w:rFonts w:hint="eastAsia"/>
          <w:sz w:val="24"/>
          <w:lang w:val="zh-CN" w:bidi="zh-CN"/>
        </w:rPr>
        <w:t>通过建立本区基础信息数据库（主要包括：城市管理市政设施、公共建设配套实施、商品房、隐患信息、从业人员、行业企业、部门专题信息等）、智慧专题应用数据库（主要包括：现场应急处置专题数据库、房产交易专题数据库、智慧工地专题数据库、智慧物业专题数据库和实名制专题数据库等专题库）、地理空间信息数据库（主要包括：基础地理信息包括数字地图、遥感影像、主要路网管网、商品房分布图和建设项目分布图等内容；自然地理信息中的地貌、水系、植被；社会地理信息中的居民地及设施、交通、管线、工地及其设施、公共服务及其设施、特殊地物、地名等要素，以及相关的描述性地理元数据等）。</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cs="宋体"/>
          <w:kern w:val="0"/>
          <w:sz w:val="24"/>
        </w:rPr>
      </w:pPr>
      <w:r>
        <w:rPr>
          <w:rFonts w:hint="eastAsia" w:ascii="宋体" w:cs="宋体"/>
          <w:b/>
          <w:bCs/>
          <w:kern w:val="0"/>
          <w:sz w:val="24"/>
          <w:lang w:val="en-US" w:eastAsia="zh-CN"/>
        </w:rPr>
        <w:t>2.3</w:t>
      </w:r>
      <w:r>
        <w:rPr>
          <w:rFonts w:hint="eastAsia" w:ascii="宋体" w:cs="宋体"/>
          <w:b/>
          <w:bCs/>
          <w:kern w:val="0"/>
          <w:sz w:val="24"/>
        </w:rPr>
        <w:t>数据</w:t>
      </w:r>
      <w:r>
        <w:rPr>
          <w:rFonts w:ascii="宋体" w:cs="宋体"/>
          <w:b/>
          <w:bCs/>
          <w:kern w:val="0"/>
          <w:sz w:val="24"/>
        </w:rPr>
        <w:t>资源管理中心</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2.3.1</w:t>
      </w:r>
      <w:r>
        <w:rPr>
          <w:rFonts w:hint="eastAsia" w:ascii="宋体" w:hAnsi="宋体"/>
          <w:sz w:val="24"/>
          <w:lang w:val="zh-CN"/>
        </w:rPr>
        <w:t>总体</w:t>
      </w:r>
      <w:r>
        <w:rPr>
          <w:rFonts w:ascii="宋体" w:hAnsi="宋体"/>
          <w:sz w:val="24"/>
          <w:lang w:val="zh-CN"/>
        </w:rPr>
        <w:t>要求</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lang w:val="zh-CN" w:bidi="zh-CN"/>
        </w:rPr>
      </w:pPr>
      <w:r>
        <w:rPr>
          <w:rFonts w:hint="eastAsia"/>
          <w:sz w:val="24"/>
          <w:lang w:val="zh-CN" w:bidi="zh-CN"/>
        </w:rPr>
        <w:t>采用一致的信息交换协议，实现跨层级平台、跨应用系统之间的信息资源交换，完成多源异构的各类型信息资源交换与接入。</w:t>
      </w:r>
      <w:r>
        <w:rPr>
          <w:sz w:val="24"/>
          <w:lang w:val="zh-CN" w:bidi="zh-CN"/>
        </w:rPr>
        <w:t>满足面向</w:t>
      </w:r>
      <w:r>
        <w:rPr>
          <w:rFonts w:hint="eastAsia"/>
          <w:sz w:val="24"/>
          <w:lang w:val="zh-CN" w:bidi="zh-CN"/>
        </w:rPr>
        <w:t>住</w:t>
      </w:r>
      <w:r>
        <w:rPr>
          <w:sz w:val="24"/>
          <w:lang w:val="zh-CN" w:bidi="zh-CN"/>
        </w:rPr>
        <w:t>建部、省住建厅、市网络理政中心、其他职能部门</w:t>
      </w:r>
      <w:r>
        <w:rPr>
          <w:rFonts w:hint="eastAsia"/>
          <w:sz w:val="24"/>
          <w:lang w:val="zh-CN" w:bidi="zh-CN"/>
        </w:rPr>
        <w:t>和行业</w:t>
      </w:r>
      <w:r>
        <w:rPr>
          <w:sz w:val="24"/>
          <w:lang w:val="zh-CN" w:bidi="zh-CN"/>
        </w:rPr>
        <w:t>机构</w:t>
      </w:r>
      <w:r>
        <w:rPr>
          <w:rFonts w:hint="eastAsia"/>
          <w:sz w:val="24"/>
          <w:lang w:val="zh-CN" w:bidi="zh-CN"/>
        </w:rPr>
        <w:t>间</w:t>
      </w:r>
      <w:r>
        <w:rPr>
          <w:sz w:val="24"/>
          <w:lang w:val="zh-CN" w:bidi="zh-CN"/>
        </w:rPr>
        <w:t>数据</w:t>
      </w:r>
      <w:r>
        <w:rPr>
          <w:rFonts w:hint="eastAsia"/>
          <w:sz w:val="24"/>
          <w:lang w:val="zh-CN" w:bidi="zh-CN"/>
        </w:rPr>
        <w:t>共享交换</w:t>
      </w:r>
      <w:r>
        <w:rPr>
          <w:sz w:val="24"/>
          <w:lang w:val="zh-CN" w:bidi="zh-CN"/>
        </w:rPr>
        <w:t>，实现对</w:t>
      </w:r>
      <w:r>
        <w:rPr>
          <w:rFonts w:hint="eastAsia"/>
          <w:sz w:val="24"/>
          <w:lang w:val="zh-CN" w:bidi="zh-CN"/>
        </w:rPr>
        <w:t>共享</w:t>
      </w:r>
      <w:r>
        <w:rPr>
          <w:sz w:val="24"/>
          <w:lang w:val="zh-CN" w:bidi="zh-CN"/>
        </w:rPr>
        <w:t>交换数据的统一管理。</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lang w:val="zh-CN" w:bidi="zh-CN"/>
        </w:rPr>
      </w:pPr>
      <w:r>
        <w:rPr>
          <w:rFonts w:hint="eastAsia" w:ascii="宋体" w:hAnsi="宋体" w:eastAsia="宋体" w:cs="宋体"/>
          <w:sz w:val="24"/>
          <w:lang w:val="en-US" w:bidi="zh-CN"/>
        </w:rPr>
        <w:t>2.3.2</w:t>
      </w:r>
      <w:r>
        <w:rPr>
          <w:rFonts w:hint="eastAsia" w:ascii="宋体" w:hAnsi="宋体" w:eastAsia="宋体" w:cs="宋体"/>
          <w:sz w:val="24"/>
          <w:lang w:val="zh-CN" w:bidi="zh-CN"/>
        </w:rPr>
        <w:t>多</w:t>
      </w:r>
      <w:r>
        <w:rPr>
          <w:rFonts w:hint="eastAsia"/>
          <w:sz w:val="24"/>
          <w:lang w:val="zh-CN" w:bidi="zh-CN"/>
        </w:rPr>
        <w:t>元</w:t>
      </w:r>
      <w:r>
        <w:rPr>
          <w:sz w:val="24"/>
          <w:lang w:val="zh-CN" w:bidi="zh-CN"/>
        </w:rPr>
        <w:t>数据采集</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cs="宋体"/>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2.3.2.1</w:t>
      </w:r>
      <w:r>
        <w:rPr>
          <w:rFonts w:hint="eastAsia" w:cs="仿宋" w:asciiTheme="majorEastAsia" w:hAnsiTheme="majorEastAsia" w:eastAsiaTheme="majorEastAsia"/>
          <w:sz w:val="24"/>
        </w:rPr>
        <w:t>基本</w:t>
      </w:r>
      <w:r>
        <w:rPr>
          <w:rFonts w:cs="仿宋" w:asciiTheme="majorEastAsia" w:hAnsiTheme="majorEastAsia" w:eastAsiaTheme="majorEastAsia"/>
          <w:sz w:val="24"/>
        </w:rPr>
        <w:t>要求。</w:t>
      </w:r>
      <w:r>
        <w:rPr>
          <w:rFonts w:hint="eastAsia" w:ascii="宋体" w:hAnsi="宋体" w:cs="宋体"/>
          <w:sz w:val="24"/>
        </w:rPr>
        <w:t>平台支持市面上所有数据库类型的数据采集，提供业务管道功能采集归集指定业务系统页面数据和网页页面数据，业务管道采用内存交换技术，实现通过内存与应用交互时获取需要的数据，获取数据的范围为业务系统前端账号权限内或公共开放的数据，即通过合法合规的权限从前端交换数据而非底层数据库的方式归集所需数据，基于业务管道功能自动化完成业务系统和互联网网页解析并将指定数据存放指定数据库中。</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lang w:eastAsia="zh-Hans"/>
        </w:rPr>
      </w:pPr>
      <w:r>
        <w:rPr>
          <w:rFonts w:hint="eastAsia" w:ascii="宋体" w:hAnsi="宋体"/>
          <w:sz w:val="24"/>
          <w:lang w:val="zh-CN"/>
        </w:rPr>
        <w:t>●</w:t>
      </w:r>
      <w:r>
        <w:rPr>
          <w:rFonts w:hint="eastAsia" w:cs="仿宋" w:asciiTheme="majorEastAsia" w:hAnsiTheme="majorEastAsia" w:eastAsiaTheme="majorEastAsia"/>
          <w:sz w:val="24"/>
          <w:lang w:val="en-US" w:eastAsia="zh-CN"/>
        </w:rPr>
        <w:t>2.3.2.2</w:t>
      </w:r>
      <w:r>
        <w:rPr>
          <w:rFonts w:hint="eastAsia" w:cs="仿宋" w:asciiTheme="majorEastAsia" w:hAnsiTheme="majorEastAsia" w:eastAsiaTheme="majorEastAsia"/>
          <w:sz w:val="24"/>
        </w:rPr>
        <w:t>数据</w:t>
      </w:r>
      <w:r>
        <w:rPr>
          <w:rFonts w:cs="仿宋" w:asciiTheme="majorEastAsia" w:hAnsiTheme="majorEastAsia" w:eastAsiaTheme="majorEastAsia"/>
          <w:sz w:val="24"/>
        </w:rPr>
        <w:t>采集节点管理</w:t>
      </w:r>
      <w:r>
        <w:rPr>
          <w:rFonts w:hint="eastAsia" w:cs="仿宋" w:asciiTheme="majorEastAsia" w:hAnsiTheme="majorEastAsia" w:eastAsiaTheme="majorEastAsia"/>
          <w:sz w:val="24"/>
          <w:lang w:eastAsia="zh-CN"/>
        </w:rPr>
        <w:t>。</w:t>
      </w:r>
      <w:r>
        <w:rPr>
          <w:rFonts w:hint="eastAsia"/>
          <w:sz w:val="24"/>
          <w:lang w:eastAsia="zh-Hans"/>
        </w:rPr>
        <w:t>数据采集节点即各个业务系统的数据源，数据资源采集平台提供数据采集节点的管理，可实现数据采集</w:t>
      </w:r>
      <w:r>
        <w:rPr>
          <w:rFonts w:hint="eastAsia"/>
          <w:sz w:val="24"/>
          <w:lang w:val="en-US" w:eastAsia="zh-CN"/>
        </w:rPr>
        <w:t>节</w:t>
      </w:r>
      <w:r>
        <w:rPr>
          <w:rFonts w:hint="eastAsia"/>
          <w:sz w:val="24"/>
          <w:lang w:eastAsia="zh-Hans"/>
        </w:rPr>
        <w:t>点的接入定义，以及建立数据源库表之间的管理关系。</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lang w:eastAsia="zh-Hans" w:bidi="zh-CN"/>
        </w:rPr>
      </w:pPr>
      <w:r>
        <w:rPr>
          <w:rFonts w:hint="eastAsia" w:ascii="宋体" w:hAnsi="宋体"/>
          <w:sz w:val="24"/>
          <w:lang w:val="zh-CN"/>
        </w:rPr>
        <w:t>●</w:t>
      </w:r>
      <w:r>
        <w:rPr>
          <w:rFonts w:hint="eastAsia" w:cs="仿宋" w:asciiTheme="majorEastAsia" w:hAnsiTheme="majorEastAsia" w:eastAsiaTheme="majorEastAsia"/>
          <w:sz w:val="24"/>
          <w:lang w:val="en-US" w:eastAsia="zh-CN"/>
        </w:rPr>
        <w:t>2.3.2.3</w:t>
      </w:r>
      <w:r>
        <w:rPr>
          <w:rFonts w:hint="eastAsia" w:cs="仿宋" w:asciiTheme="majorEastAsia" w:hAnsiTheme="majorEastAsia" w:eastAsiaTheme="majorEastAsia"/>
          <w:sz w:val="24"/>
        </w:rPr>
        <w:t>数据</w:t>
      </w:r>
      <w:r>
        <w:rPr>
          <w:rFonts w:hint="eastAsia" w:cs="仿宋" w:asciiTheme="majorEastAsia" w:hAnsiTheme="majorEastAsia" w:eastAsiaTheme="majorEastAsia"/>
          <w:sz w:val="24"/>
          <w:lang w:val="en-US" w:eastAsia="zh-CN"/>
        </w:rPr>
        <w:t>在线</w:t>
      </w:r>
      <w:r>
        <w:rPr>
          <w:rFonts w:cs="仿宋" w:asciiTheme="majorEastAsia" w:hAnsiTheme="majorEastAsia" w:eastAsiaTheme="majorEastAsia"/>
          <w:sz w:val="24"/>
        </w:rPr>
        <w:t>自由标注</w:t>
      </w:r>
      <w:r>
        <w:rPr>
          <w:rFonts w:hint="eastAsia" w:cs="仿宋" w:asciiTheme="majorEastAsia" w:hAnsiTheme="majorEastAsia" w:eastAsiaTheme="majorEastAsia"/>
          <w:sz w:val="24"/>
          <w:lang w:eastAsia="zh-CN"/>
        </w:rPr>
        <w:t>。</w:t>
      </w:r>
      <w:r>
        <w:rPr>
          <w:rFonts w:hint="eastAsia"/>
          <w:sz w:val="24"/>
          <w:lang w:val="zh-CN" w:bidi="zh-CN"/>
        </w:rPr>
        <w:t>基于数据在线自由标注功能模块可以</w:t>
      </w:r>
      <w:r>
        <w:rPr>
          <w:rFonts w:hint="eastAsia"/>
          <w:sz w:val="24"/>
          <w:lang w:eastAsia="zh-Hans" w:bidi="zh-CN"/>
        </w:rPr>
        <w:t>实现对数据采集对接的各类数据库进行</w:t>
      </w:r>
      <w:r>
        <w:rPr>
          <w:rFonts w:hint="eastAsia"/>
          <w:sz w:val="24"/>
          <w:lang w:val="en-US" w:eastAsia="zh-Hans" w:bidi="zh-CN"/>
        </w:rPr>
        <w:t>标注</w:t>
      </w:r>
      <w:r>
        <w:rPr>
          <w:rFonts w:hint="eastAsia"/>
          <w:sz w:val="24"/>
          <w:lang w:eastAsia="zh-Hans" w:bidi="zh-CN"/>
        </w:rPr>
        <w:t>包括数据表、数据字段自由标注，实现对数据进行业务理解，同时数据使用是自动添加标注信息方便数据使用。</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4"/>
          <w:lang w:val="en-US" w:bidi="zh-CN"/>
        </w:rPr>
      </w:pPr>
      <w:r>
        <w:rPr>
          <w:rFonts w:hint="eastAsia" w:ascii="宋体" w:hAnsi="宋体" w:eastAsia="宋体" w:cs="宋体"/>
          <w:b/>
          <w:bCs/>
          <w:sz w:val="24"/>
          <w:lang w:val="en-US" w:bidi="zh-CN"/>
        </w:rPr>
        <w:t>▲2.3.2.4提供国家版权局出具的数据采集类计算机软件著作权证书复印件，并加盖投标人电子印章。</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cs="仿宋" w:asciiTheme="majorEastAsia" w:hAnsiTheme="majorEastAsia" w:eastAsiaTheme="majorEastAsia"/>
          <w:sz w:val="24"/>
        </w:rPr>
      </w:pPr>
      <w:r>
        <w:rPr>
          <w:rFonts w:hint="eastAsia" w:ascii="宋体" w:hAnsi="宋体" w:eastAsia="宋体" w:cs="宋体"/>
          <w:sz w:val="24"/>
          <w:lang w:val="en-US" w:bidi="zh-CN"/>
        </w:rPr>
        <w:t>2.3.</w:t>
      </w:r>
      <w:r>
        <w:rPr>
          <w:rFonts w:hint="eastAsia" w:ascii="宋体" w:hAnsi="宋体" w:cs="宋体"/>
          <w:sz w:val="24"/>
          <w:lang w:val="en-US" w:bidi="zh-CN"/>
        </w:rPr>
        <w:t>3</w:t>
      </w:r>
      <w:r>
        <w:rPr>
          <w:rFonts w:hint="eastAsia" w:cs="仿宋" w:asciiTheme="majorEastAsia" w:hAnsiTheme="majorEastAsia" w:eastAsiaTheme="majorEastAsia"/>
          <w:sz w:val="24"/>
        </w:rPr>
        <w:t>一体化</w:t>
      </w:r>
      <w:r>
        <w:rPr>
          <w:rFonts w:cs="仿宋" w:asciiTheme="majorEastAsia" w:hAnsiTheme="majorEastAsia" w:eastAsiaTheme="majorEastAsia"/>
          <w:sz w:val="24"/>
        </w:rPr>
        <w:t>数据治理</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rPr>
      </w:pPr>
      <w:r>
        <w:rPr>
          <w:rFonts w:hint="eastAsia" w:ascii="宋体" w:hAnsi="宋体"/>
          <w:sz w:val="24"/>
          <w:lang w:val="zh-CN"/>
        </w:rPr>
        <w:t>●</w:t>
      </w:r>
      <w:r>
        <w:rPr>
          <w:rFonts w:hint="eastAsia" w:ascii="宋体" w:hAnsi="宋体"/>
          <w:sz w:val="24"/>
          <w:lang w:val="en-US" w:eastAsia="zh-CN"/>
        </w:rPr>
        <w:t>2.3.3.1</w:t>
      </w:r>
      <w:r>
        <w:rPr>
          <w:rFonts w:hint="eastAsia" w:cs="仿宋" w:asciiTheme="majorEastAsia" w:hAnsiTheme="majorEastAsia" w:eastAsiaTheme="majorEastAsia"/>
          <w:sz w:val="24"/>
        </w:rPr>
        <w:t>数据清洗加工</w:t>
      </w:r>
      <w:r>
        <w:rPr>
          <w:rFonts w:hint="eastAsia" w:cs="仿宋" w:asciiTheme="majorEastAsia" w:hAnsiTheme="majorEastAsia" w:eastAsiaTheme="majorEastAsia"/>
          <w:sz w:val="24"/>
          <w:lang w:eastAsia="zh-CN"/>
        </w:rPr>
        <w:t>。</w:t>
      </w:r>
      <w:r>
        <w:rPr>
          <w:rFonts w:hint="eastAsia"/>
          <w:sz w:val="24"/>
        </w:rPr>
        <w:t>住建数据中心采用一体化的方式完成数据的清洗与加工，在数据同传过程中一体化的完成数据清洗以及数据加工，住建数据中心数据清洗支持自由制定规则，可以实现脏数据的过滤，脱敏等操作，同时数据加工功能可以针对每个数据同传链路上进行数据加工，如段前段后字符串添加，字符串截取，数据正则表达拆分和数据转化，能够满足数据需求方对数据的所有需求。</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sz w:val="24"/>
          <w:lang w:val="zh-CN"/>
        </w:rPr>
      </w:pPr>
      <w:r>
        <w:rPr>
          <w:rFonts w:hint="eastAsia" w:cs="仿宋" w:asciiTheme="majorEastAsia" w:hAnsiTheme="majorEastAsia" w:eastAsiaTheme="majorEastAsia"/>
          <w:sz w:val="24"/>
          <w:lang w:val="en-US" w:eastAsia="zh-CN"/>
        </w:rPr>
        <w:t>2.3.3.2</w:t>
      </w:r>
      <w:r>
        <w:rPr>
          <w:rFonts w:hint="eastAsia"/>
          <w:sz w:val="24"/>
        </w:rPr>
        <w:t>清洗</w:t>
      </w:r>
      <w:r>
        <w:rPr>
          <w:sz w:val="24"/>
        </w:rPr>
        <w:t>功能</w:t>
      </w:r>
      <w:r>
        <w:rPr>
          <w:rFonts w:hint="eastAsia"/>
          <w:sz w:val="24"/>
        </w:rPr>
        <w:t>要求</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2.3.3.2.1</w:t>
      </w:r>
      <w:r>
        <w:rPr>
          <w:rFonts w:hint="eastAsia"/>
          <w:bCs/>
          <w:sz w:val="24"/>
        </w:rPr>
        <w:t>数据校验管理</w:t>
      </w:r>
      <w:r>
        <w:rPr>
          <w:rFonts w:hint="eastAsia"/>
          <w:sz w:val="24"/>
        </w:rPr>
        <w:t>：将来源不同的采集数据按照各自数据规范标准建立校验规则图形化配置，筛选出不符合标准数据的过程。需</w:t>
      </w:r>
      <w:r>
        <w:rPr>
          <w:rFonts w:hint="eastAsia" w:cs="仿宋" w:asciiTheme="majorEastAsia" w:hAnsiTheme="majorEastAsia" w:eastAsiaTheme="majorEastAsia"/>
          <w:sz w:val="24"/>
        </w:rPr>
        <w:t>支持校验</w:t>
      </w:r>
      <w:r>
        <w:rPr>
          <w:rFonts w:cs="仿宋" w:asciiTheme="majorEastAsia" w:hAnsiTheme="majorEastAsia" w:eastAsiaTheme="majorEastAsia"/>
          <w:sz w:val="24"/>
        </w:rPr>
        <w:t>规则配置、</w:t>
      </w:r>
      <w:r>
        <w:rPr>
          <w:rFonts w:hint="eastAsia" w:cs="仿宋" w:asciiTheme="majorEastAsia" w:hAnsiTheme="majorEastAsia" w:eastAsiaTheme="majorEastAsia"/>
          <w:sz w:val="24"/>
        </w:rPr>
        <w:t>校验</w:t>
      </w:r>
      <w:r>
        <w:rPr>
          <w:rFonts w:cs="仿宋" w:asciiTheme="majorEastAsia" w:hAnsiTheme="majorEastAsia" w:eastAsiaTheme="majorEastAsia"/>
          <w:sz w:val="24"/>
        </w:rPr>
        <w:t>周期配置、</w:t>
      </w:r>
      <w:r>
        <w:rPr>
          <w:rFonts w:hint="eastAsia" w:cs="仿宋" w:asciiTheme="majorEastAsia" w:hAnsiTheme="majorEastAsia" w:eastAsiaTheme="majorEastAsia"/>
          <w:sz w:val="24"/>
        </w:rPr>
        <w:t>校验</w:t>
      </w:r>
      <w:r>
        <w:rPr>
          <w:rFonts w:cs="仿宋" w:asciiTheme="majorEastAsia" w:hAnsiTheme="majorEastAsia" w:eastAsiaTheme="majorEastAsia"/>
          <w:sz w:val="24"/>
        </w:rPr>
        <w:t>任务调度、</w:t>
      </w:r>
      <w:r>
        <w:rPr>
          <w:rFonts w:hint="eastAsia" w:cs="仿宋" w:asciiTheme="majorEastAsia" w:hAnsiTheme="majorEastAsia" w:eastAsiaTheme="majorEastAsia"/>
          <w:sz w:val="24"/>
        </w:rPr>
        <w:t>校验</w:t>
      </w:r>
      <w:r>
        <w:rPr>
          <w:rFonts w:cs="仿宋" w:asciiTheme="majorEastAsia" w:hAnsiTheme="majorEastAsia" w:eastAsiaTheme="majorEastAsia"/>
          <w:sz w:val="24"/>
        </w:rPr>
        <w:t>结果查询</w:t>
      </w:r>
      <w:r>
        <w:rPr>
          <w:rFonts w:hint="eastAsia"/>
          <w:sz w:val="24"/>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2.3.3.2.2</w:t>
      </w:r>
      <w:r>
        <w:rPr>
          <w:rFonts w:hint="eastAsia"/>
          <w:sz w:val="24"/>
        </w:rPr>
        <w:t>数据清洗</w:t>
      </w:r>
      <w:r>
        <w:rPr>
          <w:sz w:val="24"/>
        </w:rPr>
        <w:t>管理：</w:t>
      </w:r>
      <w:r>
        <w:rPr>
          <w:rFonts w:hint="eastAsia"/>
          <w:sz w:val="24"/>
        </w:rPr>
        <w:t>对数据校验出不符合标准的数据进行针对性图形化清洗处理的过程。需</w:t>
      </w:r>
      <w:r>
        <w:rPr>
          <w:sz w:val="24"/>
        </w:rPr>
        <w:t>支持</w:t>
      </w:r>
      <w:r>
        <w:rPr>
          <w:rFonts w:hint="eastAsia"/>
          <w:sz w:val="24"/>
        </w:rPr>
        <w:t>清洗</w:t>
      </w:r>
      <w:r>
        <w:rPr>
          <w:sz w:val="24"/>
        </w:rPr>
        <w:t>规则配置、</w:t>
      </w:r>
      <w:r>
        <w:rPr>
          <w:rFonts w:hint="eastAsia"/>
          <w:sz w:val="24"/>
        </w:rPr>
        <w:t>清洗</w:t>
      </w:r>
      <w:r>
        <w:rPr>
          <w:sz w:val="24"/>
        </w:rPr>
        <w:t>任务调度、</w:t>
      </w:r>
      <w:r>
        <w:rPr>
          <w:rFonts w:hint="eastAsia"/>
          <w:sz w:val="24"/>
        </w:rPr>
        <w:t>清洗</w:t>
      </w:r>
      <w:r>
        <w:rPr>
          <w:sz w:val="24"/>
        </w:rPr>
        <w:t>结果查询。</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2.3.3.2.3</w:t>
      </w:r>
      <w:r>
        <w:rPr>
          <w:rFonts w:hint="eastAsia"/>
          <w:sz w:val="24"/>
        </w:rPr>
        <w:t>数据</w:t>
      </w:r>
      <w:r>
        <w:rPr>
          <w:sz w:val="24"/>
        </w:rPr>
        <w:t>比对管理：</w:t>
      </w:r>
      <w:r>
        <w:rPr>
          <w:rFonts w:hint="eastAsia"/>
          <w:sz w:val="24"/>
        </w:rPr>
        <w:t>将采集来源不同的但具有业务关联性质的数据进行相互比对，通过比对规则的图形化配置，筛选出比对不一致数据的过程。</w:t>
      </w:r>
      <w:r>
        <w:rPr>
          <w:sz w:val="24"/>
        </w:rPr>
        <w:t>需</w:t>
      </w:r>
      <w:r>
        <w:rPr>
          <w:rFonts w:hint="eastAsia"/>
          <w:sz w:val="24"/>
        </w:rPr>
        <w:t>支持比对</w:t>
      </w:r>
      <w:r>
        <w:rPr>
          <w:sz w:val="24"/>
        </w:rPr>
        <w:t>周期配置、</w:t>
      </w:r>
      <w:r>
        <w:rPr>
          <w:rFonts w:hint="eastAsia"/>
          <w:sz w:val="24"/>
        </w:rPr>
        <w:t>比对任务</w:t>
      </w:r>
      <w:r>
        <w:rPr>
          <w:sz w:val="24"/>
        </w:rPr>
        <w:t>调度、</w:t>
      </w:r>
      <w:r>
        <w:rPr>
          <w:rFonts w:hint="eastAsia"/>
          <w:sz w:val="24"/>
        </w:rPr>
        <w:t>比对</w:t>
      </w:r>
      <w:r>
        <w:rPr>
          <w:sz w:val="24"/>
        </w:rPr>
        <w:t>结果查询。</w:t>
      </w:r>
    </w:p>
    <w:p>
      <w:pPr>
        <w:pStyle w:val="9"/>
        <w:pageBreakBefore w:val="0"/>
        <w:widowControl w:val="0"/>
        <w:kinsoku/>
        <w:wordWrap/>
        <w:overflowPunct/>
        <w:topLinePunct w:val="0"/>
        <w:autoSpaceDE/>
        <w:autoSpaceDN/>
        <w:bidi w:val="0"/>
        <w:adjustRightInd/>
        <w:snapToGrid/>
        <w:spacing w:line="500" w:lineRule="exact"/>
        <w:ind w:firstLine="48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2.3.3.2.4</w:t>
      </w:r>
      <w:r>
        <w:rPr>
          <w:rFonts w:hint="eastAsia"/>
          <w:sz w:val="24"/>
        </w:rPr>
        <w:t>数据</w:t>
      </w:r>
      <w:r>
        <w:rPr>
          <w:sz w:val="24"/>
        </w:rPr>
        <w:t>转换管理：</w:t>
      </w:r>
      <w:r>
        <w:rPr>
          <w:rFonts w:hint="eastAsia"/>
          <w:sz w:val="24"/>
        </w:rPr>
        <w:t>将比对出的不一致数据进行针对性图形化转换处理的过程。需</w:t>
      </w:r>
      <w:r>
        <w:rPr>
          <w:sz w:val="24"/>
        </w:rPr>
        <w:t>支持</w:t>
      </w:r>
      <w:r>
        <w:rPr>
          <w:rFonts w:hint="eastAsia"/>
          <w:sz w:val="24"/>
        </w:rPr>
        <w:t>转换</w:t>
      </w:r>
      <w:r>
        <w:rPr>
          <w:sz w:val="24"/>
        </w:rPr>
        <w:t>规则配置、</w:t>
      </w:r>
      <w:r>
        <w:rPr>
          <w:rFonts w:hint="eastAsia"/>
          <w:sz w:val="24"/>
        </w:rPr>
        <w:t>转换</w:t>
      </w:r>
      <w:r>
        <w:rPr>
          <w:sz w:val="24"/>
        </w:rPr>
        <w:t>任务调度、</w:t>
      </w:r>
      <w:r>
        <w:rPr>
          <w:rFonts w:hint="eastAsia"/>
          <w:sz w:val="24"/>
        </w:rPr>
        <w:t>转换结果</w:t>
      </w:r>
      <w:r>
        <w:rPr>
          <w:sz w:val="24"/>
        </w:rPr>
        <w:t>查询</w:t>
      </w:r>
      <w:r>
        <w:rPr>
          <w:rFonts w:hint="eastAsia"/>
          <w:sz w:val="24"/>
        </w:rPr>
        <w:t>。</w:t>
      </w:r>
    </w:p>
    <w:p>
      <w:pPr>
        <w:pStyle w:val="9"/>
        <w:pageBreakBefore w:val="0"/>
        <w:widowControl w:val="0"/>
        <w:kinsoku/>
        <w:wordWrap/>
        <w:overflowPunct/>
        <w:topLinePunct w:val="0"/>
        <w:autoSpaceDE/>
        <w:autoSpaceDN/>
        <w:bidi w:val="0"/>
        <w:adjustRightInd/>
        <w:snapToGrid/>
        <w:spacing w:line="500" w:lineRule="exact"/>
        <w:ind w:firstLine="480"/>
        <w:textAlignment w:val="auto"/>
        <w:rPr>
          <w:rFonts w:hint="eastAsia" w:eastAsia="宋体"/>
          <w:sz w:val="24"/>
          <w:lang w:eastAsia="zh-CN"/>
        </w:rPr>
      </w:pPr>
      <w:r>
        <w:rPr>
          <w:rFonts w:hint="eastAsia" w:ascii="宋体" w:hAnsi="宋体"/>
          <w:sz w:val="24"/>
          <w:lang w:val="zh-CN"/>
        </w:rPr>
        <w:t>●</w:t>
      </w:r>
      <w:r>
        <w:rPr>
          <w:rFonts w:hint="eastAsia" w:cs="仿宋" w:asciiTheme="majorEastAsia" w:hAnsiTheme="majorEastAsia" w:eastAsiaTheme="majorEastAsia"/>
          <w:sz w:val="24"/>
          <w:lang w:val="en-US" w:eastAsia="zh-CN"/>
        </w:rPr>
        <w:t>2.3.3.2.5</w:t>
      </w:r>
      <w:r>
        <w:rPr>
          <w:rFonts w:hint="eastAsia"/>
          <w:sz w:val="24"/>
        </w:rPr>
        <w:t>数据</w:t>
      </w:r>
      <w:r>
        <w:rPr>
          <w:sz w:val="24"/>
        </w:rPr>
        <w:t>整合管理：</w:t>
      </w:r>
      <w:r>
        <w:rPr>
          <w:rFonts w:hint="eastAsia"/>
          <w:sz w:val="24"/>
        </w:rPr>
        <w:t>实施数据资源的汇聚，实现数据资源的多源异构采集和融合，建立数据汇聚标准化流程，实现数据从源到端透明化管控，实现多种数据库、接口、文件等多源异构数据的集成、分发、推送，制定增量、全量、差量、实时、定时的采集策略，对采集任务的采取有效管理措施。通过运行报表、任务管理、调度日志、节点管理等核心节点管控，实现数据汇聚。</w:t>
      </w:r>
      <w:r>
        <w:rPr>
          <w:rFonts w:hint="eastAsia"/>
          <w:sz w:val="24"/>
          <w:lang w:val="en-US" w:eastAsia="zh-CN"/>
        </w:rPr>
        <w:t>通过</w:t>
      </w:r>
      <w:r>
        <w:rPr>
          <w:rFonts w:hint="eastAsia"/>
          <w:sz w:val="24"/>
        </w:rPr>
        <w:t>数据</w:t>
      </w:r>
      <w:r>
        <w:rPr>
          <w:sz w:val="24"/>
        </w:rPr>
        <w:t>分类整合形成</w:t>
      </w:r>
      <w:r>
        <w:rPr>
          <w:rFonts w:hint="eastAsia"/>
          <w:sz w:val="24"/>
        </w:rPr>
        <w:t>以下</w:t>
      </w:r>
      <w:r>
        <w:rPr>
          <w:sz w:val="24"/>
        </w:rPr>
        <w:t>数据仓库</w:t>
      </w:r>
      <w:r>
        <w:rPr>
          <w:rFonts w:hint="eastAsia"/>
          <w:sz w:val="24"/>
          <w:lang w:eastAsia="zh-CN"/>
        </w:rPr>
        <w:t>：</w:t>
      </w:r>
    </w:p>
    <w:p>
      <w:pPr>
        <w:pStyle w:val="9"/>
        <w:spacing w:line="500" w:lineRule="exact"/>
        <w:ind w:firstLine="0" w:firstLineChars="0"/>
        <w:jc w:val="center"/>
        <w:rPr>
          <w:b/>
          <w:sz w:val="24"/>
        </w:rPr>
      </w:pPr>
      <w:r>
        <w:rPr>
          <w:rFonts w:hint="eastAsia"/>
          <w:b/>
          <w:sz w:val="24"/>
        </w:rPr>
        <w:t>住建局数据中心数据仓库列表</w:t>
      </w:r>
    </w:p>
    <w:tbl>
      <w:tblPr>
        <w:tblStyle w:val="33"/>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2137"/>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shd w:val="clear" w:color="auto" w:fill="D8D8D8"/>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数据库大类</w:t>
            </w:r>
          </w:p>
        </w:tc>
        <w:tc>
          <w:tcPr>
            <w:tcW w:w="2137" w:type="dxa"/>
            <w:shd w:val="clear" w:color="auto" w:fill="D8D8D8"/>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数据库数据</w:t>
            </w:r>
          </w:p>
        </w:tc>
        <w:tc>
          <w:tcPr>
            <w:tcW w:w="4355" w:type="dxa"/>
            <w:shd w:val="clear" w:color="auto" w:fill="D8D8D8"/>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数据子项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restart"/>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sz w:val="24"/>
              </w:rPr>
            </w:pPr>
            <w:r>
              <w:rPr>
                <w:rFonts w:hint="eastAsia" w:ascii="宋体" w:hAnsi="宋体" w:cs="宋体"/>
                <w:kern w:val="0"/>
                <w:sz w:val="24"/>
              </w:rPr>
              <w:t>基础库</w:t>
            </w: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企业信息</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住建领域各相关企业基本信息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企业投资情况信息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sz w:val="24"/>
              </w:rPr>
              <w:t>企业变更情况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sz w:val="24"/>
              </w:rPr>
            </w:pPr>
            <w:r>
              <w:rPr>
                <w:rFonts w:hint="eastAsia"/>
                <w:sz w:val="24"/>
              </w:rPr>
              <w:t>企业资质资格证书、资质资格序列等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监管银行信息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从业人员信息</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kern w:val="0"/>
                <w:sz w:val="24"/>
              </w:rPr>
              <w:t>住建领域从业人员基本信息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注册证书、岗位信息等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项目信息</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项目立项信息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项目规划信息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单项工程信息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项目标段信息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企业-人员</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企业人员关联信息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楼栋信息</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房屋楼盘表</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测绘楼盘表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基础楼盘表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预售方案楼盘表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预售许可楼盘表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商品房网签楼盘表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存量房网签楼盘表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租赁网签楼盘表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住房保障楼盘表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人才安居楼盘表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智慧物业（维修资金）楼盘表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征收楼盘表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房屋安全楼盘表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国有直管公房楼盘表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GIS信息</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成都“天地图”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申请要件信息</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业务办理要件信息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用户信息</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实名认证用户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非实名认证用户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restart"/>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sz w:val="24"/>
              </w:rPr>
            </w:pPr>
            <w:r>
              <w:rPr>
                <w:rFonts w:hint="eastAsia" w:ascii="宋体" w:hAnsi="宋体" w:cs="宋体"/>
                <w:kern w:val="0"/>
                <w:sz w:val="24"/>
              </w:rPr>
              <w:t>业务库</w:t>
            </w:r>
          </w:p>
        </w:tc>
        <w:tc>
          <w:tcPr>
            <w:tcW w:w="2137" w:type="dxa"/>
            <w:vMerge w:val="restart"/>
            <w:tcMar>
              <w:top w:w="15" w:type="dxa"/>
              <w:left w:w="15" w:type="dxa"/>
              <w:bottom w:w="15" w:type="dxa"/>
              <w:right w:w="15" w:type="dxa"/>
            </w:tcMar>
            <w:vAlign w:val="center"/>
          </w:tcPr>
          <w:p>
            <w:pPr>
              <w:adjustRightInd w:val="0"/>
              <w:snapToGrid w:val="0"/>
              <w:spacing w:line="360" w:lineRule="auto"/>
              <w:jc w:val="center"/>
              <w:rPr>
                <w:rFonts w:ascii="宋体" w:hAnsi="宋体" w:cs="宋体"/>
                <w:sz w:val="24"/>
              </w:rPr>
            </w:pPr>
            <w:r>
              <w:rPr>
                <w:rFonts w:hint="eastAsia" w:ascii="宋体" w:hAnsi="宋体" w:cs="宋体"/>
                <w:sz w:val="24"/>
              </w:rPr>
              <w:t>施工图审查</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图纸信息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强条信息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施工图审查信息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审图合格书信息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jc w:val="center"/>
              <w:rPr>
                <w:rFonts w:ascii="宋体" w:hAnsi="宋体" w:cs="宋体"/>
                <w:sz w:val="24"/>
              </w:rPr>
            </w:pPr>
            <w:r>
              <w:rPr>
                <w:rFonts w:hint="eastAsia" w:ascii="宋体" w:hAnsi="宋体" w:cs="宋体"/>
                <w:sz w:val="24"/>
              </w:rPr>
              <w:t>招标</w:t>
            </w:r>
            <w:r>
              <w:rPr>
                <w:rFonts w:ascii="宋体" w:hAnsi="宋体" w:cs="宋体"/>
                <w:sz w:val="24"/>
              </w:rPr>
              <w:t>备案</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招标备案信息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补遗答疑信息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中标备案</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中标备案信息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招标控制价信息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三价</w:t>
            </w:r>
            <w:r>
              <w:rPr>
                <w:rFonts w:ascii="宋体" w:hAnsi="宋体" w:cs="宋体"/>
                <w:sz w:val="24"/>
              </w:rPr>
              <w:t>登记</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合同登记信息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tcMar>
              <w:top w:w="15" w:type="dxa"/>
              <w:left w:w="15" w:type="dxa"/>
              <w:bottom w:w="15" w:type="dxa"/>
              <w:right w:w="15" w:type="dxa"/>
            </w:tcMar>
            <w:vAlign w:val="center"/>
          </w:tcPr>
          <w:p>
            <w:pPr>
              <w:widowControl/>
              <w:adjustRightInd w:val="0"/>
              <w:snapToGrid w:val="0"/>
              <w:spacing w:line="360" w:lineRule="auto"/>
              <w:ind w:firstLine="440"/>
              <w:textAlignment w:val="center"/>
              <w:rPr>
                <w:rFonts w:ascii="宋体" w:hAnsi="宋体" w:cs="宋体"/>
                <w:kern w:val="0"/>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竣工结算价信息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tcMar>
              <w:top w:w="15" w:type="dxa"/>
              <w:left w:w="15" w:type="dxa"/>
              <w:bottom w:w="15" w:type="dxa"/>
              <w:right w:w="15" w:type="dxa"/>
            </w:tcMar>
            <w:vAlign w:val="center"/>
          </w:tcPr>
          <w:p>
            <w:pPr>
              <w:adjustRightInd w:val="0"/>
              <w:snapToGrid w:val="0"/>
              <w:spacing w:line="360" w:lineRule="auto"/>
              <w:jc w:val="center"/>
              <w:rPr>
                <w:rFonts w:ascii="宋体" w:hAnsi="宋体" w:cs="宋体"/>
                <w:sz w:val="24"/>
              </w:rPr>
            </w:pPr>
            <w:r>
              <w:rPr>
                <w:rFonts w:hint="eastAsia" w:ascii="宋体" w:hAnsi="宋体" w:cs="宋体"/>
                <w:sz w:val="24"/>
              </w:rPr>
              <w:t>施工许可发放</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施工许可证</w:t>
            </w:r>
            <w:r>
              <w:rPr>
                <w:rFonts w:ascii="宋体" w:hAnsi="宋体" w:cs="宋体"/>
                <w:sz w:val="24"/>
              </w:rPr>
              <w:t>及发放</w:t>
            </w:r>
            <w:r>
              <w:rPr>
                <w:rFonts w:hint="eastAsia" w:ascii="宋体" w:hAnsi="宋体" w:cs="宋体"/>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质量监督</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质量监督备案信息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材料进场信息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材料送检及检测信息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现场检查信息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安全监督</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安全监督备案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现场检查信息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农名工管理</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班组信息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考勤管理信息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工资拨付信息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担保信息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jc w:val="center"/>
              <w:rPr>
                <w:rFonts w:ascii="宋体" w:hAnsi="宋体" w:cs="宋体"/>
                <w:sz w:val="24"/>
              </w:rPr>
            </w:pPr>
            <w:r>
              <w:rPr>
                <w:rFonts w:hint="eastAsia" w:ascii="宋体" w:hAnsi="宋体" w:cs="宋体"/>
                <w:sz w:val="24"/>
              </w:rPr>
              <w:t>竣工验收及备案</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项目各部门验收信息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竣工验收备案信息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jc w:val="center"/>
              <w:rPr>
                <w:rFonts w:ascii="宋体" w:hAnsi="宋体" w:cs="宋体"/>
                <w:sz w:val="24"/>
              </w:rPr>
            </w:pPr>
            <w:r>
              <w:rPr>
                <w:rFonts w:hint="eastAsia" w:ascii="宋体" w:hAnsi="宋体" w:cs="宋体"/>
                <w:sz w:val="24"/>
              </w:rPr>
              <w:t>企业信用管理</w:t>
            </w: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良好行为信息（奖项</w:t>
            </w:r>
            <w:r>
              <w:rPr>
                <w:rFonts w:ascii="宋体" w:hAnsi="宋体" w:cs="宋体"/>
                <w:sz w:val="24"/>
              </w:rPr>
              <w:t>、纳税、业绩、产值等</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不良行为信息（市场</w:t>
            </w:r>
            <w:r>
              <w:rPr>
                <w:rFonts w:ascii="宋体" w:hAnsi="宋体" w:cs="宋体"/>
                <w:sz w:val="24"/>
              </w:rPr>
              <w:t>、现场等</w:t>
            </w:r>
            <w:r>
              <w:rPr>
                <w:rFonts w:hint="eastAsia" w:ascii="宋体" w:hAnsi="宋体" w:cs="宋体"/>
                <w:sz w:val="24"/>
              </w:rPr>
              <w:t>不良</w:t>
            </w:r>
            <w:r>
              <w:rPr>
                <w:rFonts w:ascii="宋体" w:hAnsi="宋体" w:cs="宋体"/>
                <w:sz w:val="24"/>
              </w:rPr>
              <w:t>行为</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企业信用得分及排名信息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p>
        </w:tc>
        <w:tc>
          <w:tcPr>
            <w:tcW w:w="4355" w:type="dxa"/>
            <w:tcMar>
              <w:top w:w="15" w:type="dxa"/>
              <w:left w:w="15" w:type="dxa"/>
              <w:bottom w:w="15" w:type="dxa"/>
              <w:right w:w="15" w:type="dxa"/>
            </w:tcMar>
            <w:vAlign w:val="center"/>
          </w:tcPr>
          <w:p>
            <w:pPr>
              <w:adjustRightInd w:val="0"/>
              <w:snapToGrid w:val="0"/>
              <w:spacing w:line="360" w:lineRule="auto"/>
              <w:ind w:firstLine="480" w:firstLineChars="200"/>
              <w:rPr>
                <w:rFonts w:ascii="宋体" w:hAnsi="宋体" w:cs="宋体"/>
                <w:sz w:val="24"/>
              </w:rPr>
            </w:pPr>
            <w:r>
              <w:rPr>
                <w:rFonts w:hint="eastAsia" w:ascii="宋体" w:hAnsi="宋体" w:cs="宋体"/>
                <w:sz w:val="24"/>
              </w:rPr>
              <w:t>异议及</w:t>
            </w:r>
            <w:r>
              <w:rPr>
                <w:rFonts w:ascii="宋体" w:hAnsi="宋体" w:cs="宋体"/>
                <w:sz w:val="24"/>
              </w:rPr>
              <w:t>变更</w:t>
            </w:r>
            <w:r>
              <w:rPr>
                <w:rFonts w:hint="eastAsia" w:ascii="宋体" w:hAnsi="宋体" w:cs="宋体"/>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测绘及成果</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测绘成果信息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预（现）售信息</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预（现）售方案信息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预（现）售许可证信息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装修价格方案信息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购房登记</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网签信息</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商品房网签合同信息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商品房网签备案信息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存量房网签合同信息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存量房网签备案信息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抵押合同信息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交易资金监管信息</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sz w:val="24"/>
              </w:rPr>
              <w:t>商品房预售资金监管信息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存量房资金监管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购房补贴</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受理登记信息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补助管理信息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集体件补贴受理信息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购房补贴发放信息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租赁信息</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租赁合同信息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租赁备案信息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房源委托合同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经纪服务合同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租赁信息采集（网格员）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住房保障</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申请人信息（含共同申请人）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资格审查信息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保障对象信息（轮候中）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保障对象信息（已货币补贴）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保障对象信息（已实物配租）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保障对象信息（已退出）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保障对象信息（年审中）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住保项目信息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选房信息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配租合同签订信息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配售合同签订信息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住保小区信息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零星房源信息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入住管理信息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退住管理信息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年审通知信息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租金缴纳信息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住房资金监管</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集资建房缴存金额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集资建房使用金额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对出售房屋的价格进行核定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退回单位款项的审核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单位申请维修资金的划转审批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用于补贴发放的审批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用于发放职工住房补贴的审批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人才安居</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人才安居资格审核信息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取得人才安居资格的人员信息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人才公寓项目信息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选房信息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人房关联信息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人才购房信息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房屋安全</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房屋安全鉴定报告备案信息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房屋危险治理信息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房屋结构安全信息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白蚁防治</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白蚁防治合同信息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白蚁防治实施证明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工程分配信息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现场勘察信息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现场施工信息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工程复查信息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药物检测信息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土壤检测采样信息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土壤检测结果信息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药物管理信息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药物入库信息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药物出库信息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kern w:val="0"/>
                <w:sz w:val="24"/>
              </w:rPr>
              <w:t>国有直管公房</w:t>
            </w:r>
            <w:r>
              <w:rPr>
                <w:rFonts w:hint="eastAsia" w:ascii="宋体" w:hAnsi="宋体" w:cs="宋体"/>
                <w:kern w:val="0"/>
                <w:sz w:val="24"/>
              </w:rPr>
              <w:br w:type="textWrapping"/>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公房信息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租赁合同信息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公转私业务信息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拆迁交换业务信息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重置资金使用信息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重置资金归集信息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重置资金划拨信息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重置资金台账信息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租金缴纳信息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智慧物业</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建筑区划管理信息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招投标管理信息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合同备案管理信息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承接查验备案管理信息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交付使用备案管理信息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设施设备管理信息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投票管理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业主大会管理信息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物业退出备案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物业检查管理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公共服务管理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vAlign w:val="center"/>
          </w:tcPr>
          <w:p>
            <w:pPr>
              <w:widowControl/>
              <w:adjustRightInd w:val="0"/>
              <w:snapToGrid w:val="0"/>
              <w:spacing w:line="360" w:lineRule="auto"/>
              <w:jc w:val="center"/>
              <w:rPr>
                <w:rFonts w:ascii="宋体" w:hAnsi="宋体" w:cs="宋体"/>
                <w:sz w:val="24"/>
              </w:rPr>
            </w:pPr>
            <w:r>
              <w:rPr>
                <w:rFonts w:hint="eastAsia" w:ascii="宋体" w:hAnsi="宋体" w:cs="宋体"/>
                <w:sz w:val="24"/>
              </w:rPr>
              <w:t>建筑</w:t>
            </w:r>
            <w:r>
              <w:rPr>
                <w:rFonts w:ascii="宋体" w:hAnsi="宋体" w:cs="宋体"/>
                <w:sz w:val="24"/>
              </w:rPr>
              <w:t>能耗</w:t>
            </w:r>
            <w:r>
              <w:rPr>
                <w:rFonts w:hint="eastAsia" w:ascii="宋体" w:hAnsi="宋体" w:cs="宋体"/>
                <w:sz w:val="24"/>
              </w:rPr>
              <w:t>监测</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建筑</w:t>
            </w:r>
            <w:r>
              <w:rPr>
                <w:rFonts w:ascii="宋体" w:hAnsi="宋体" w:cs="宋体"/>
                <w:kern w:val="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各项能耗监测</w:t>
            </w:r>
            <w:r>
              <w:rPr>
                <w:rFonts w:ascii="宋体" w:hAnsi="宋体" w:cs="宋体"/>
                <w:kern w:val="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预警</w:t>
            </w:r>
            <w:r>
              <w:rPr>
                <w:rFonts w:ascii="宋体" w:hAnsi="宋体" w:cs="宋体"/>
                <w:kern w:val="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智慧工地</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从业人员信息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工地线上检查信息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扬尘监测信息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噪音监测信息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项目三维建模信息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无人机视频信息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起重机械管理信息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升降机管理信息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施工车辆信息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hint="eastAsia" w:ascii="宋体" w:hAnsi="宋体" w:cs="宋体"/>
                <w:kern w:val="0"/>
                <w:sz w:val="24"/>
              </w:rPr>
              <w:t>应急管理信息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tcMar>
              <w:top w:w="15" w:type="dxa"/>
              <w:left w:w="15" w:type="dxa"/>
              <w:bottom w:w="15" w:type="dxa"/>
              <w:right w:w="15" w:type="dxa"/>
            </w:tcMar>
            <w:vAlign w:val="center"/>
          </w:tcPr>
          <w:p>
            <w:pPr>
              <w:adjustRightInd w:val="0"/>
              <w:snapToGrid w:val="0"/>
              <w:spacing w:line="360" w:lineRule="auto"/>
              <w:ind w:firstLine="480" w:firstLineChars="200"/>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kern w:val="0"/>
                <w:sz w:val="24"/>
              </w:rPr>
            </w:pPr>
            <w:r>
              <w:rPr>
                <w:rFonts w:ascii="宋体" w:hAnsi="宋体" w:cs="宋体"/>
                <w:kern w:val="0"/>
                <w:sz w:val="24"/>
              </w:rPr>
              <w:t>AI智能分析信息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维修资金</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交款、退款业务信息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使用备案信息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业委会信息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维修资金实账户信息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维修资金虚账户信息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征收管理</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被征收房屋信息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征收方案信息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评估信息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协议信息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征收购房备案信息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restart"/>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日志信息</w:t>
            </w: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vMerge w:val="continue"/>
            <w:vAlign w:val="center"/>
          </w:tcPr>
          <w:p>
            <w:pPr>
              <w:widowControl/>
              <w:adjustRightInd w:val="0"/>
              <w:snapToGrid w:val="0"/>
              <w:spacing w:line="360" w:lineRule="auto"/>
              <w:jc w:val="left"/>
              <w:rPr>
                <w:rFonts w:ascii="宋体" w:hAnsi="宋体" w:cs="宋体"/>
                <w:sz w:val="24"/>
              </w:rPr>
            </w:pPr>
          </w:p>
        </w:tc>
        <w:tc>
          <w:tcPr>
            <w:tcW w:w="2137" w:type="dxa"/>
            <w:vMerge w:val="continue"/>
            <w:vAlign w:val="center"/>
          </w:tcPr>
          <w:p>
            <w:pPr>
              <w:widowControl/>
              <w:adjustRightInd w:val="0"/>
              <w:snapToGrid w:val="0"/>
              <w:spacing w:line="360" w:lineRule="auto"/>
              <w:jc w:val="left"/>
              <w:rPr>
                <w:rFonts w:ascii="宋体" w:hAnsi="宋体" w:cs="宋体"/>
                <w:sz w:val="24"/>
              </w:rPr>
            </w:pPr>
          </w:p>
        </w:tc>
        <w:tc>
          <w:tcPr>
            <w:tcW w:w="4355" w:type="dxa"/>
            <w:tcMar>
              <w:top w:w="15" w:type="dxa"/>
              <w:left w:w="15" w:type="dxa"/>
              <w:bottom w:w="15" w:type="dxa"/>
              <w:right w:w="15" w:type="dxa"/>
            </w:tcMar>
            <w:vAlign w:val="center"/>
          </w:tcPr>
          <w:p>
            <w:pPr>
              <w:widowControl/>
              <w:adjustRightInd w:val="0"/>
              <w:snapToGrid w:val="0"/>
              <w:spacing w:line="360" w:lineRule="auto"/>
              <w:ind w:firstLine="440"/>
              <w:jc w:val="left"/>
              <w:textAlignment w:val="center"/>
              <w:rPr>
                <w:rFonts w:ascii="宋体" w:hAnsi="宋体" w:cs="宋体"/>
                <w:sz w:val="24"/>
              </w:rPr>
            </w:pPr>
            <w:r>
              <w:rPr>
                <w:rFonts w:hint="eastAsia" w:ascii="宋体" w:hAnsi="宋体" w:cs="宋体"/>
                <w:kern w:val="0"/>
                <w:sz w:val="24"/>
              </w:rPr>
              <w:t>登录日志</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
          <w:sz w:val="24"/>
        </w:rPr>
      </w:pPr>
      <w:r>
        <w:rPr>
          <w:rFonts w:hint="eastAsia"/>
          <w:sz w:val="24"/>
        </w:rPr>
        <w:t>加载方式配置：考虑到数据中心处理库的数据变化比较规律（且变化数据相对数据总量较小，同时资源库需要记录历史变更数据），采取增量加载的处理方式。加载方式包括但不限于以下内容：系统日志分析方式、触发器方式、时间戳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
          <w:sz w:val="24"/>
        </w:rPr>
      </w:pPr>
      <w:r>
        <w:rPr>
          <w:rFonts w:hint="eastAsia"/>
          <w:sz w:val="24"/>
        </w:rPr>
        <w:t>整合结果查询：整合结果查询提供每次整合加载工作完成后，对形成的资源库整合结果信息进行查询的功能。包括整合时间、整合加载数据条数，整合加载数据详细信息等。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cs="仿宋" w:asciiTheme="majorEastAsia" w:hAnsiTheme="majorEastAsia" w:eastAsiaTheme="majorEastAsia"/>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2.3.3.2.6</w:t>
      </w:r>
      <w:r>
        <w:rPr>
          <w:rFonts w:hint="eastAsia" w:cs="仿宋" w:asciiTheme="majorEastAsia" w:hAnsiTheme="majorEastAsia" w:eastAsiaTheme="majorEastAsia"/>
          <w:sz w:val="24"/>
        </w:rPr>
        <w:t>数据</w:t>
      </w:r>
      <w:r>
        <w:rPr>
          <w:rFonts w:cs="仿宋" w:asciiTheme="majorEastAsia" w:hAnsiTheme="majorEastAsia" w:eastAsiaTheme="majorEastAsia"/>
          <w:sz w:val="24"/>
        </w:rPr>
        <w:t>处理管理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rPr>
      </w:pPr>
      <w:r>
        <w:rPr>
          <w:rFonts w:hint="eastAsia"/>
          <w:sz w:val="24"/>
          <w:lang w:val="zh-CN"/>
        </w:rPr>
        <w:t>对</w:t>
      </w:r>
      <w:r>
        <w:rPr>
          <w:sz w:val="24"/>
          <w:lang w:val="zh-CN"/>
        </w:rPr>
        <w:t>住建</w:t>
      </w:r>
      <w:r>
        <w:rPr>
          <w:rFonts w:hint="eastAsia"/>
          <w:sz w:val="24"/>
          <w:lang w:val="zh-CN"/>
        </w:rPr>
        <w:t>业务系统中的</w:t>
      </w:r>
      <w:r>
        <w:rPr>
          <w:sz w:val="24"/>
          <w:lang w:val="zh-CN"/>
        </w:rPr>
        <w:t>不规范数据进行处理，</w:t>
      </w:r>
      <w:r>
        <w:rPr>
          <w:rFonts w:hint="eastAsia"/>
          <w:sz w:val="24"/>
          <w:lang w:val="zh-CN"/>
        </w:rPr>
        <w:t>包括以下类型数据：</w:t>
      </w:r>
      <w:r>
        <w:rPr>
          <w:rFonts w:hint="eastAsia"/>
          <w:sz w:val="24"/>
        </w:rPr>
        <w:t>房屋测绘数据</w:t>
      </w:r>
      <w:r>
        <w:rPr>
          <w:rFonts w:hint="eastAsia"/>
          <w:sz w:val="24"/>
          <w:lang w:val="zh-CN"/>
        </w:rPr>
        <w:t>、商品房网签数据、</w:t>
      </w:r>
      <w:r>
        <w:rPr>
          <w:rFonts w:hint="eastAsia"/>
          <w:sz w:val="24"/>
        </w:rPr>
        <w:t>房屋安全数据</w:t>
      </w:r>
      <w:r>
        <w:rPr>
          <w:rFonts w:hint="eastAsia"/>
          <w:sz w:val="24"/>
          <w:lang w:val="zh-CN"/>
        </w:rPr>
        <w:t>、</w:t>
      </w:r>
      <w:r>
        <w:rPr>
          <w:rFonts w:hint="eastAsia"/>
          <w:sz w:val="24"/>
        </w:rPr>
        <w:t>商品房预售数据</w:t>
      </w:r>
      <w:r>
        <w:rPr>
          <w:rFonts w:hint="eastAsia"/>
          <w:sz w:val="24"/>
          <w:lang w:val="zh-CN"/>
        </w:rPr>
        <w:t>、</w:t>
      </w:r>
      <w:r>
        <w:rPr>
          <w:rFonts w:hint="eastAsia"/>
          <w:sz w:val="24"/>
        </w:rPr>
        <w:t>住房保障数据、存量房网签数据、租房租赁备案数据</w:t>
      </w:r>
      <w:r>
        <w:rPr>
          <w:rFonts w:hint="eastAsia"/>
          <w:sz w:val="24"/>
          <w:lang w:val="zh-CN"/>
        </w:rPr>
        <w:t>、</w:t>
      </w:r>
      <w:r>
        <w:rPr>
          <w:rFonts w:hint="eastAsia"/>
          <w:sz w:val="24"/>
        </w:rPr>
        <w:t>维修资金数据</w:t>
      </w:r>
      <w:r>
        <w:rPr>
          <w:rFonts w:hint="eastAsia"/>
          <w:sz w:val="24"/>
          <w:lang w:val="zh-CN"/>
        </w:rPr>
        <w:t>、</w:t>
      </w:r>
      <w:r>
        <w:rPr>
          <w:rFonts w:hint="eastAsia"/>
          <w:sz w:val="24"/>
        </w:rPr>
        <w:t>房屋征收数据</w:t>
      </w:r>
      <w:r>
        <w:rPr>
          <w:rFonts w:hint="eastAsia"/>
          <w:sz w:val="24"/>
          <w:lang w:val="zh-CN"/>
        </w:rPr>
        <w:t>、</w:t>
      </w:r>
      <w:r>
        <w:rPr>
          <w:rFonts w:hint="eastAsia"/>
          <w:sz w:val="24"/>
        </w:rPr>
        <w:t>房地产信用信息数据</w:t>
      </w:r>
      <w:r>
        <w:rPr>
          <w:rFonts w:hint="eastAsia"/>
          <w:sz w:val="24"/>
          <w:lang w:val="zh-CN"/>
        </w:rPr>
        <w:t>、</w:t>
      </w:r>
      <w:r>
        <w:rPr>
          <w:rFonts w:hint="eastAsia"/>
          <w:sz w:val="24"/>
        </w:rPr>
        <w:t>项目施工管理</w:t>
      </w:r>
      <w:r>
        <w:rPr>
          <w:sz w:val="24"/>
        </w:rPr>
        <w:t>数据</w:t>
      </w:r>
      <w:r>
        <w:rPr>
          <w:rFonts w:hint="eastAsia"/>
          <w:sz w:val="24"/>
        </w:rPr>
        <w:t>。</w:t>
      </w:r>
      <w:r>
        <w:rPr>
          <w:rFonts w:hint="eastAsia"/>
          <w:sz w:val="24"/>
          <w:lang w:val="zh-CN"/>
        </w:rPr>
        <w:t>需要</w:t>
      </w:r>
      <w:r>
        <w:rPr>
          <w:sz w:val="24"/>
          <w:lang w:val="zh-CN"/>
        </w:rPr>
        <w:t>进行处理的数据问题</w:t>
      </w:r>
      <w:r>
        <w:rPr>
          <w:rFonts w:hint="eastAsia"/>
          <w:sz w:val="24"/>
          <w:lang w:val="zh-CN"/>
        </w:rPr>
        <w:t>情形</w:t>
      </w:r>
      <w:r>
        <w:rPr>
          <w:sz w:val="24"/>
          <w:lang w:val="zh-CN"/>
        </w:rPr>
        <w:t>包括：</w:t>
      </w:r>
      <w:r>
        <w:rPr>
          <w:rFonts w:hint="eastAsia"/>
          <w:sz w:val="24"/>
          <w:lang w:val="zh-CN"/>
        </w:rPr>
        <w:t>字段</w:t>
      </w:r>
      <w:r>
        <w:rPr>
          <w:sz w:val="24"/>
          <w:lang w:val="zh-CN"/>
        </w:rPr>
        <w:t>内容不完整</w:t>
      </w:r>
      <w:r>
        <w:rPr>
          <w:rFonts w:hint="eastAsia"/>
          <w:sz w:val="24"/>
          <w:lang w:val="zh-CN"/>
        </w:rPr>
        <w:t>、</w:t>
      </w:r>
      <w:r>
        <w:rPr>
          <w:sz w:val="24"/>
          <w:lang w:val="zh-CN"/>
        </w:rPr>
        <w:t>关联标识不统一、数据标准不一致</w:t>
      </w:r>
      <w:r>
        <w:rPr>
          <w:rFonts w:hint="eastAsia"/>
          <w:sz w:val="24"/>
          <w:lang w:val="zh-CN"/>
        </w:rPr>
        <w:t>、</w:t>
      </w:r>
      <w:r>
        <w:rPr>
          <w:sz w:val="24"/>
          <w:lang w:val="zh-CN"/>
        </w:rPr>
        <w:t>数据存储不规范</w:t>
      </w:r>
      <w:r>
        <w:rPr>
          <w:rFonts w:hint="eastAsia"/>
          <w:sz w:val="24"/>
          <w:lang w:val="zh-CN"/>
        </w:rPr>
        <w:t>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rPr>
      </w:pPr>
      <w:r>
        <w:rPr>
          <w:rFonts w:hint="eastAsia" w:cs="仿宋" w:asciiTheme="majorEastAsia" w:hAnsiTheme="majorEastAsia" w:eastAsiaTheme="majorEastAsia"/>
          <w:sz w:val="24"/>
          <w:lang w:val="en-US" w:eastAsia="zh-CN"/>
        </w:rPr>
        <w:t>2.3.3.2.7</w:t>
      </w:r>
      <w:r>
        <w:rPr>
          <w:rFonts w:hint="eastAsia"/>
          <w:sz w:val="24"/>
          <w:lang w:val="zh-CN"/>
        </w:rPr>
        <w:t>数据</w:t>
      </w:r>
      <w:r>
        <w:rPr>
          <w:sz w:val="24"/>
          <w:lang w:val="zh-CN"/>
        </w:rPr>
        <w:t>标准管理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ascii="宋体" w:hAnsi="宋体"/>
          <w:sz w:val="24"/>
          <w:lang w:val="zh-CN"/>
        </w:rPr>
        <w:t>●</w:t>
      </w:r>
      <w:r>
        <w:rPr>
          <w:rFonts w:hint="eastAsia" w:cs="仿宋" w:asciiTheme="majorEastAsia" w:hAnsiTheme="majorEastAsia" w:eastAsiaTheme="majorEastAsia"/>
          <w:sz w:val="24"/>
          <w:lang w:val="en-US" w:eastAsia="zh-CN"/>
        </w:rPr>
        <w:t>①</w:t>
      </w:r>
      <w:r>
        <w:rPr>
          <w:rFonts w:hint="eastAsia" w:ascii="宋体" w:hAnsi="宋体"/>
          <w:sz w:val="24"/>
          <w:lang w:val="zh-CN"/>
        </w:rPr>
        <w:t>基本</w:t>
      </w:r>
      <w:r>
        <w:rPr>
          <w:rFonts w:ascii="宋体" w:hAnsi="宋体"/>
          <w:sz w:val="24"/>
          <w:lang w:val="zh-CN"/>
        </w:rPr>
        <w:t>要求。</w:t>
      </w:r>
      <w:r>
        <w:rPr>
          <w:rFonts w:hint="eastAsia"/>
          <w:sz w:val="24"/>
          <w:lang w:val="zh-CN"/>
        </w:rPr>
        <w:t>基于数据处理系统，能够快速的完成数据的清洗功能，包块数据脏数据清洗、缺失数据补全等，同时可快速完成数据的标准化，根据电子政务信息化标准或本地的数据标准，快速创建数据标准化组件，将政务数据标准化组件加载到系统中，可快速完成政务数据的标准化操作。</w:t>
      </w:r>
      <w:r>
        <w:rPr>
          <w:rFonts w:hint="eastAsia"/>
          <w:sz w:val="24"/>
          <w:lang w:val="zh-CN" w:bidi="zh-CN"/>
        </w:rPr>
        <w:t>平台为第三方系统（平台）提供数据加密服务。利用虚拟化技术，提供弹性、高可用、高性能的数据加解密等安全服务，帮助用户满足数据安全方面的监管合规要求，保护诸如合同、交易流水、用户身份证号、电话号码、银行卡号等敏感隐私数据，保护数据安全、规避风险。</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ascii="宋体" w:hAnsi="宋体"/>
          <w:sz w:val="24"/>
          <w:lang w:val="zh-CN"/>
        </w:rPr>
        <w:t>●</w:t>
      </w:r>
      <w:r>
        <w:rPr>
          <w:rFonts w:hint="eastAsia" w:cs="仿宋" w:asciiTheme="majorEastAsia" w:hAnsiTheme="majorEastAsia" w:eastAsiaTheme="majorEastAsia"/>
          <w:sz w:val="24"/>
          <w:lang w:val="en-US" w:eastAsia="zh-CN"/>
        </w:rPr>
        <w:t>②</w:t>
      </w:r>
      <w:r>
        <w:rPr>
          <w:rFonts w:hint="eastAsia"/>
          <w:sz w:val="24"/>
          <w:lang w:val="zh-CN" w:bidi="zh-CN"/>
        </w:rPr>
        <w:t>数据字段命名标准建立方法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sz w:val="24"/>
          <w:lang w:val="zh-CN" w:bidi="zh-CN"/>
        </w:rPr>
        <w:t>梳理现有自建系统数据字段，形成现有系统数据字段目录；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sz w:val="24"/>
          <w:lang w:val="zh-CN" w:bidi="zh-CN"/>
        </w:rPr>
        <w:t>分析数据字段名称对应关系，梳理数据字段关系图；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sz w:val="24"/>
          <w:lang w:val="zh-CN" w:bidi="zh-CN"/>
        </w:rPr>
        <w:t>基于数据字段关系图确定高频重复字段名称；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sz w:val="24"/>
          <w:lang w:val="zh-CN" w:bidi="zh-CN"/>
        </w:rPr>
        <w:t>梳理确定高频重复字段名称作为基准命名标准；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sz w:val="24"/>
          <w:lang w:val="zh-CN" w:bidi="zh-CN"/>
        </w:rPr>
        <w:t>参考其他数据字段名称，补充字段命名标准；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sz w:val="24"/>
          <w:lang w:val="zh-CN" w:bidi="zh-CN"/>
        </w:rPr>
        <w:t>确定字段命名标准及相关参数，形成数据字段命名标准指导手册。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cs="仿宋" w:asciiTheme="majorEastAsia" w:hAnsiTheme="majorEastAsia" w:eastAsiaTheme="majorEastAsia"/>
          <w:sz w:val="24"/>
          <w:lang w:val="en-US" w:eastAsia="zh-CN"/>
        </w:rPr>
        <w:t>③</w:t>
      </w:r>
      <w:r>
        <w:rPr>
          <w:rFonts w:hint="eastAsia"/>
          <w:sz w:val="24"/>
          <w:lang w:val="zh-CN" w:bidi="zh-CN"/>
        </w:rPr>
        <w:t>统一命名规则输出数据实现方案</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ascii="宋体" w:hAnsi="宋体"/>
          <w:sz w:val="24"/>
          <w:lang w:val="zh-CN"/>
        </w:rPr>
        <w:t>●</w:t>
      </w:r>
      <w:r>
        <w:rPr>
          <w:rFonts w:hint="eastAsia" w:ascii="宋体" w:hAnsi="宋体"/>
          <w:sz w:val="24"/>
          <w:lang w:val="en-US" w:eastAsia="zh-CN"/>
        </w:rPr>
        <w:t>A.</w:t>
      </w:r>
      <w:r>
        <w:rPr>
          <w:rFonts w:hint="eastAsia"/>
          <w:sz w:val="24"/>
          <w:lang w:val="zh-CN" w:bidi="zh-CN"/>
        </w:rPr>
        <w:t>自建系统标注：实现数据字段命名标准化的第一步是需要了解每个字段具体含义，通过信息资源中心可快速读取系统数据库结构，自动匹配数据字段备注，同时还可对数据字段进行标注，方便后期数据使用。完成数据</w:t>
      </w:r>
      <w:r>
        <w:rPr>
          <w:rFonts w:hint="eastAsia"/>
          <w:sz w:val="24"/>
          <w:lang w:val="en-US" w:bidi="zh-CN"/>
        </w:rPr>
        <w:t>标注</w:t>
      </w:r>
      <w:r>
        <w:rPr>
          <w:rFonts w:hint="eastAsia"/>
          <w:sz w:val="24"/>
          <w:lang w:val="zh-CN" w:bidi="zh-CN"/>
        </w:rPr>
        <w:t>即完成了数据字典解析，通过数据字段标注即可了解全市住建数据资源情况。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ascii="宋体" w:hAnsi="宋体"/>
          <w:sz w:val="24"/>
          <w:lang w:val="zh-CN"/>
        </w:rPr>
        <w:t>●</w:t>
      </w:r>
      <w:r>
        <w:rPr>
          <w:rFonts w:hint="eastAsia" w:ascii="宋体" w:hAnsi="宋体"/>
          <w:sz w:val="24"/>
          <w:lang w:val="en-US" w:eastAsia="zh-CN"/>
        </w:rPr>
        <w:t>B.</w:t>
      </w:r>
      <w:r>
        <w:rPr>
          <w:rFonts w:hint="eastAsia"/>
          <w:sz w:val="24"/>
          <w:lang w:val="zh-CN" w:bidi="zh-CN"/>
        </w:rPr>
        <w:t>创建按命名规则输出的映射表：基于数据字段命名标准指导书要求，根据要求创建输出映射表，定义每个数据字段名称及相应规则。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ascii="宋体" w:hAnsi="宋体"/>
          <w:sz w:val="24"/>
          <w:lang w:val="zh-CN"/>
        </w:rPr>
        <w:t>●</w:t>
      </w:r>
      <w:r>
        <w:rPr>
          <w:rFonts w:hint="eastAsia" w:ascii="宋体" w:hAnsi="宋体"/>
          <w:sz w:val="24"/>
          <w:lang w:val="en-US" w:eastAsia="zh-CN"/>
        </w:rPr>
        <w:t>C.</w:t>
      </w:r>
      <w:r>
        <w:rPr>
          <w:rFonts w:hint="eastAsia"/>
          <w:sz w:val="24"/>
          <w:lang w:val="zh-CN" w:bidi="zh-CN"/>
        </w:rPr>
        <w:t>建立关联映射关系：创建好映射表后，通过信息资源中心选择相应的数据库和数据表，根据字段含义建立数据建关联映射关系，信息资源中心根据关联映射关系自动将数据转换为标准命名规则数据。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val="zh-CN" w:bidi="zh-CN"/>
        </w:rPr>
      </w:pPr>
      <w:r>
        <w:rPr>
          <w:rFonts w:hint="eastAsia" w:ascii="宋体" w:hAnsi="宋体"/>
          <w:sz w:val="24"/>
          <w:lang w:val="zh-CN"/>
        </w:rPr>
        <w:t>●</w:t>
      </w:r>
      <w:r>
        <w:rPr>
          <w:rFonts w:hint="eastAsia" w:ascii="宋体" w:hAnsi="宋体"/>
          <w:sz w:val="24"/>
          <w:lang w:val="en-US" w:eastAsia="zh-CN"/>
        </w:rPr>
        <w:t>D.</w:t>
      </w:r>
      <w:r>
        <w:rPr>
          <w:rFonts w:hint="eastAsia"/>
          <w:sz w:val="24"/>
          <w:lang w:val="zh-CN" w:bidi="zh-CN"/>
        </w:rPr>
        <w:t>以多种格式输出标准命名规则数据：统一数据字段命名规则，并按照规则生成标准命名的数据，这些数据通过信息资源中心，可实现多种方式输出。方式一，可将标准命名规则后的数据加载入库；方式二，提供不同格式的数据服务接口，应用通过相应接口可快速使用标准命名后的数据。</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sz w:val="24"/>
          <w:lang w:val="zh-CN" w:bidi="zh-CN"/>
        </w:rPr>
      </w:pPr>
      <w:r>
        <w:rPr>
          <w:rFonts w:hint="eastAsia" w:cs="仿宋" w:asciiTheme="majorEastAsia" w:hAnsiTheme="majorEastAsia" w:eastAsiaTheme="majorEastAsia"/>
          <w:sz w:val="24"/>
          <w:lang w:val="en-US" w:eastAsia="zh-CN"/>
        </w:rPr>
        <w:t>2.3.3.2.8</w:t>
      </w:r>
      <w:r>
        <w:rPr>
          <w:rFonts w:hint="eastAsia"/>
          <w:sz w:val="24"/>
          <w:lang w:val="zh-CN" w:bidi="zh-CN"/>
        </w:rPr>
        <w:t>数据</w:t>
      </w:r>
      <w:r>
        <w:rPr>
          <w:sz w:val="24"/>
          <w:lang w:val="zh-CN" w:bidi="zh-CN"/>
        </w:rPr>
        <w:t>任务管理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zh-CN"/>
        </w:rPr>
        <w:t>●</w:t>
      </w:r>
      <w:r>
        <w:rPr>
          <w:rFonts w:hint="eastAsia" w:cs="仿宋" w:asciiTheme="majorEastAsia" w:hAnsiTheme="majorEastAsia" w:eastAsiaTheme="majorEastAsia"/>
          <w:sz w:val="24"/>
          <w:lang w:val="en-US" w:eastAsia="zh-CN"/>
        </w:rPr>
        <w:t>①</w:t>
      </w:r>
      <w:r>
        <w:rPr>
          <w:rFonts w:hint="eastAsia" w:ascii="宋体" w:hAnsi="宋体"/>
          <w:sz w:val="24"/>
          <w:lang w:val="zh-CN"/>
        </w:rPr>
        <w:t>基本要求</w:t>
      </w:r>
      <w:r>
        <w:rPr>
          <w:rFonts w:ascii="宋体" w:hAnsi="宋体"/>
          <w:sz w:val="24"/>
          <w:lang w:val="zh-CN"/>
        </w:rPr>
        <w:t>。</w:t>
      </w:r>
      <w:r>
        <w:rPr>
          <w:rFonts w:hint="eastAsia"/>
          <w:sz w:val="24"/>
          <w:lang w:eastAsia="zh-Hans"/>
        </w:rPr>
        <w:t>数据任务管理实现对构建“虚拟</w:t>
      </w:r>
      <w:r>
        <w:rPr>
          <w:sz w:val="24"/>
          <w:lang w:eastAsia="zh-Hans"/>
        </w:rPr>
        <w:t>+</w:t>
      </w:r>
      <w:r>
        <w:rPr>
          <w:rFonts w:hint="eastAsia"/>
          <w:sz w:val="24"/>
          <w:lang w:eastAsia="zh-Hans"/>
        </w:rPr>
        <w:t>实体”数据资源的管理，包括虚拟资源中心提供的服务调度，单次服务的内容及服务时间管理，对实体资源中心包括数据治理任务进度管理，治理任务的顺承关系及治理任务的配置等管理。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
          <w:sz w:val="24"/>
          <w:lang w:eastAsia="zh-Hans"/>
        </w:rPr>
      </w:pPr>
      <w:r>
        <w:rPr>
          <w:rFonts w:hint="eastAsia" w:cs="仿宋" w:asciiTheme="majorEastAsia" w:hAnsiTheme="majorEastAsia" w:eastAsiaTheme="majorEastAsia"/>
          <w:sz w:val="24"/>
          <w:lang w:val="en-US" w:eastAsia="zh-CN"/>
        </w:rPr>
        <w:t>②</w:t>
      </w:r>
      <w:r>
        <w:rPr>
          <w:rFonts w:hint="eastAsia"/>
          <w:b w:val="0"/>
          <w:sz w:val="24"/>
          <w:lang w:eastAsia="zh-Hans"/>
        </w:rPr>
        <w:t>具体功能</w:t>
      </w:r>
      <w:r>
        <w:rPr>
          <w:rFonts w:hint="eastAsia"/>
          <w:sz w:val="24"/>
          <w:lang w:eastAsia="zh-Hans"/>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sz w:val="24"/>
          <w:lang w:val="en-US" w:eastAsia="zh-CN"/>
        </w:rPr>
        <w:t>A.</w:t>
      </w:r>
      <w:r>
        <w:rPr>
          <w:rFonts w:hint="eastAsia" w:ascii="宋体" w:hAnsi="宋体"/>
          <w:sz w:val="24"/>
        </w:rPr>
        <w:t>数据质量校验支持通过正则表达式和组件两种方式创建和维护校验规则；支持批量选择质量校验规则；支持对质量校验规则的创建、审核、启用、变更、停用规则的生命周期的管理。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sz w:val="24"/>
          <w:lang w:val="en-US" w:eastAsia="zh-CN"/>
        </w:rPr>
        <w:t>B.</w:t>
      </w:r>
      <w:r>
        <w:rPr>
          <w:rFonts w:hint="eastAsia" w:ascii="宋体" w:hAnsi="宋体"/>
          <w:sz w:val="24"/>
        </w:rPr>
        <w:t>数据质量报告支持对全量、部门、系统、数据库以及表在不同年份、季度以及月份的数据质量变化情况的查询；支持将质量报告导出为</w:t>
      </w:r>
      <w:r>
        <w:rPr>
          <w:rFonts w:hint="eastAsia"/>
          <w:sz w:val="24"/>
        </w:rPr>
        <w:t>pdf</w:t>
      </w:r>
      <w:r>
        <w:rPr>
          <w:rFonts w:hint="eastAsia" w:ascii="宋体" w:hAnsi="宋体"/>
          <w:sz w:val="24"/>
        </w:rPr>
        <w:t>文件格式。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lang w:eastAsia="zh-Hans"/>
        </w:rPr>
      </w:pPr>
      <w:r>
        <w:rPr>
          <w:rFonts w:hint="eastAsia" w:ascii="宋体" w:hAnsi="宋体"/>
          <w:sz w:val="24"/>
          <w:lang w:val="zh-CN"/>
        </w:rPr>
        <w:t>●</w:t>
      </w:r>
      <w:r>
        <w:rPr>
          <w:rFonts w:hint="eastAsia"/>
          <w:sz w:val="24"/>
          <w:lang w:val="en-US" w:eastAsia="zh-CN"/>
        </w:rPr>
        <w:t>C.</w:t>
      </w:r>
      <w:r>
        <w:rPr>
          <w:rFonts w:hint="eastAsia" w:ascii="宋体" w:hAnsi="宋体"/>
          <w:sz w:val="24"/>
        </w:rPr>
        <w:t>数据质量问题明细支持对问题明细的整体和条件派发；提供问题数据所对应的系统、数据库、表的位置为数据质量整改提供支撑。</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zh-CN"/>
        </w:rPr>
        <w:t>●</w:t>
      </w:r>
      <w:r>
        <w:rPr>
          <w:rFonts w:hint="eastAsia" w:cs="仿宋" w:asciiTheme="majorEastAsia" w:hAnsiTheme="majorEastAsia" w:eastAsiaTheme="majorEastAsia"/>
          <w:sz w:val="24"/>
          <w:lang w:val="en-US" w:eastAsia="zh-CN"/>
        </w:rPr>
        <w:t>2.3.3.2.9</w:t>
      </w:r>
      <w:r>
        <w:rPr>
          <w:rFonts w:hint="eastAsia"/>
          <w:sz w:val="24"/>
          <w:lang w:eastAsia="zh-Hans"/>
        </w:rPr>
        <w:t>治理</w:t>
      </w:r>
      <w:r>
        <w:rPr>
          <w:sz w:val="24"/>
          <w:lang w:eastAsia="zh-Hans"/>
        </w:rPr>
        <w:t>周期性管理</w:t>
      </w:r>
      <w:r>
        <w:rPr>
          <w:rFonts w:hint="eastAsia"/>
          <w:sz w:val="24"/>
          <w:lang w:eastAsia="zh-CN"/>
        </w:rPr>
        <w:t>：</w:t>
      </w:r>
      <w:r>
        <w:rPr>
          <w:rFonts w:hint="eastAsia"/>
          <w:sz w:val="24"/>
          <w:lang w:eastAsia="zh-Hans"/>
        </w:rPr>
        <w:t>基于任务管理中配置的任务基本信息模板，对数据治理的周期性管理，可实现一次性数据治理或对数据任务定期进行数据治理等管理，建立无人值守实现数据治理工作的机制。</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sz w:val="24"/>
          <w:lang w:eastAsia="zh-Hans"/>
        </w:rPr>
      </w:pPr>
      <w:r>
        <w:rPr>
          <w:rFonts w:hint="eastAsia" w:cs="仿宋" w:asciiTheme="majorEastAsia" w:hAnsiTheme="majorEastAsia" w:eastAsiaTheme="majorEastAsia"/>
          <w:sz w:val="24"/>
          <w:lang w:val="en-US" w:eastAsia="zh-CN"/>
        </w:rPr>
        <w:t>2.3.3.3</w:t>
      </w:r>
      <w:r>
        <w:rPr>
          <w:sz w:val="24"/>
          <w:lang w:eastAsia="zh-Hans"/>
        </w:rPr>
        <w:t>元数据管理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b/>
          <w:sz w:val="24"/>
        </w:rPr>
      </w:pPr>
      <w:r>
        <w:rPr>
          <w:b/>
          <w:sz w:val="24"/>
        </w:rPr>
        <w:t>技术要求</w:t>
      </w:r>
      <w:r>
        <w:rPr>
          <w:rFonts w:hint="eastAsia"/>
          <w:b/>
          <w:sz w:val="24"/>
        </w:rPr>
        <w:t>如下</w:t>
      </w:r>
      <w:r>
        <w:rPr>
          <w:b/>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2.3.3.3.1</w:t>
      </w:r>
      <w:r>
        <w:rPr>
          <w:rFonts w:hint="eastAsia"/>
          <w:sz w:val="24"/>
        </w:rPr>
        <w:t>支持按关键字、分类等维度进行查询，展现该元数据的基本信息，如业务描述、所属分类等信息。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2.3.3.3.2</w:t>
      </w:r>
      <w:r>
        <w:rPr>
          <w:rFonts w:hint="eastAsia"/>
          <w:sz w:val="24"/>
        </w:rPr>
        <w:t>支持对元数据的基本信息进行维护及维护过程中的审核管理，包括增、删、改等操作。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2.3.3.3.3</w:t>
      </w:r>
      <w:r>
        <w:rPr>
          <w:rFonts w:hint="eastAsia"/>
          <w:sz w:val="24"/>
        </w:rPr>
        <w:t>支持对数据表及表字段的定义、类型、描述等信息进行维护。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2.3.3.3.4</w:t>
      </w:r>
      <w:r>
        <w:rPr>
          <w:rFonts w:hint="eastAsia"/>
          <w:sz w:val="24"/>
        </w:rPr>
        <w:t>支持元数据更新记录的查看，用户可以了解数据在什么时间进行更新，以及查询历史版本更新记录。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2.3.3.3.5</w:t>
      </w:r>
      <w:r>
        <w:rPr>
          <w:rFonts w:hint="eastAsia"/>
          <w:sz w:val="24"/>
        </w:rPr>
        <w:t>支持对分析数据定义是否建立全文索引。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2.3.3.3.6</w:t>
      </w:r>
      <w:r>
        <w:rPr>
          <w:rFonts w:hint="eastAsia"/>
          <w:sz w:val="24"/>
        </w:rPr>
        <w:t>支持元数据影响性分析，提供对元数据的影响分析、血缘分析、全链分析、关联度等分析。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
          <w:sz w:val="24"/>
        </w:rPr>
      </w:pPr>
      <w:r>
        <w:rPr>
          <w:rFonts w:hint="eastAsia"/>
          <w:b w:val="0"/>
          <w:bCs/>
          <w:sz w:val="24"/>
          <w:lang w:val="zh-CN"/>
        </w:rPr>
        <w:t>●</w:t>
      </w:r>
      <w:r>
        <w:rPr>
          <w:rFonts w:hint="eastAsia" w:cs="仿宋" w:asciiTheme="majorEastAsia" w:hAnsiTheme="majorEastAsia" w:eastAsiaTheme="majorEastAsia"/>
          <w:sz w:val="24"/>
          <w:lang w:val="en-US" w:eastAsia="zh-CN"/>
        </w:rPr>
        <w:t>2.3.3.3.7</w:t>
      </w:r>
      <w:r>
        <w:rPr>
          <w:rFonts w:hint="eastAsia"/>
          <w:b w:val="0"/>
          <w:bCs/>
          <w:sz w:val="24"/>
        </w:rPr>
        <w:t>元数据管理支持元数据的变更通知，在元数据变更后，提示预警并提供对应的变更数据库表字段和变更类型。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cs="仿宋" w:asciiTheme="majorEastAsia" w:hAnsiTheme="majorEastAsia" w:eastAsiaTheme="majorEastAsia"/>
          <w:sz w:val="24"/>
          <w:lang w:val="en-US" w:eastAsia="zh-CN"/>
        </w:rPr>
        <w:t>2.3.3.4</w:t>
      </w:r>
      <w:r>
        <w:rPr>
          <w:rFonts w:hint="eastAsia"/>
          <w:sz w:val="24"/>
        </w:rPr>
        <w:t>数据</w:t>
      </w:r>
      <w:r>
        <w:rPr>
          <w:sz w:val="24"/>
        </w:rPr>
        <w:t>资产管理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cs="仿宋" w:asciiTheme="majorEastAsia" w:hAnsiTheme="majorEastAsia" w:eastAsiaTheme="majorEastAsia"/>
          <w:sz w:val="24"/>
          <w:lang w:val="en-US" w:eastAsia="zh-CN"/>
        </w:rPr>
        <w:t>2.3.3.4.1</w:t>
      </w:r>
      <w:r>
        <w:rPr>
          <w:rFonts w:hint="eastAsia"/>
          <w:sz w:val="24"/>
        </w:rPr>
        <w:t>资产</w:t>
      </w:r>
      <w:r>
        <w:rPr>
          <w:sz w:val="24"/>
        </w:rPr>
        <w:t>管理中心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sz w:val="24"/>
          <w:lang w:val="en-US" w:eastAsia="zh-CN"/>
        </w:rPr>
        <w:t>①</w:t>
      </w:r>
      <w:r>
        <w:rPr>
          <w:rFonts w:hint="eastAsia"/>
          <w:sz w:val="24"/>
        </w:rPr>
        <w:t>数据</w:t>
      </w:r>
      <w:r>
        <w:rPr>
          <w:sz w:val="24"/>
        </w:rPr>
        <w:t>资源</w:t>
      </w:r>
      <w:r>
        <w:rPr>
          <w:rFonts w:hint="eastAsia"/>
          <w:sz w:val="24"/>
        </w:rPr>
        <w:t>监控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数据资源监控</w:t>
      </w:r>
      <w:bookmarkStart w:id="177" w:name="OLE_LINK1"/>
      <w:r>
        <w:rPr>
          <w:sz w:val="24"/>
        </w:rPr>
        <w:t>包括但不限于以下功能：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通过列表直观展示各类数据库的名称、存储总量、更新时间等信息，提供条件筛选查询功能。</w:t>
      </w:r>
    </w:p>
    <w:bookmarkEnd w:id="177"/>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bookmarkStart w:id="178" w:name="OLE_LINK2"/>
      <w:r>
        <w:rPr>
          <w:sz w:val="24"/>
        </w:rPr>
        <w:t>通过列表直观展示不同数据存储方式（关系型数据库、非关系数据库）的容量、百分占比、每日新增情况等信息，提供条件筛选查询功能。</w:t>
      </w:r>
    </w:p>
    <w:bookmarkEnd w:id="178"/>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通过列表直观展示各类数据库中数据资源的详细信息，提供条件筛选查询功能。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通过列表展示数据中心元数据的详细信息，包括数据源的元数据、数据源与资源库映射的元数据、数据模型的元数据等。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sz w:val="24"/>
          <w:lang w:val="en-US" w:eastAsia="zh-CN"/>
        </w:rPr>
        <w:t>②</w:t>
      </w:r>
      <w:r>
        <w:rPr>
          <w:rFonts w:hint="eastAsia"/>
          <w:sz w:val="24"/>
        </w:rPr>
        <w:t>数据</w:t>
      </w:r>
      <w:r>
        <w:rPr>
          <w:sz w:val="24"/>
        </w:rPr>
        <w:t>更新管理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根据数据更新机制和技术标准要求，按照“谁生产谁负责”的原则，以“时点变更为基础，实时变更为目标”，针对住建不同专题数据采取不同的更新方式。在技术层面，数据更新方式包括批量更新、增量更新、同步更新等多种方式。应根据各类数据的特点，选择合适有效的更新方式。数据更新包含更新方案管理、数据更新及历史数据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更新方案管理包含矢量更新方案和栅格更新方案：图层初始化：选择更新图层，提供</w:t>
      </w:r>
      <w:r>
        <w:rPr>
          <w:sz w:val="24"/>
        </w:rPr>
        <w:t>备份功能</w:t>
      </w:r>
      <w:r>
        <w:rPr>
          <w:rFonts w:hint="eastAsia"/>
          <w:sz w:val="24"/>
        </w:rPr>
        <w:t>，以便发生错误时能快速还原。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数据更新包含地图数据和业务数据更新，选择更新方案，导入待更新数据，进入更新审批，审批通过后执行更新并输出更新日志；</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历史数据管理实现历史数据的清理、恢复、查询回溯、归档标识管理，支持查看、导出和回滚。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sz w:val="24"/>
          <w:lang w:val="en-US" w:eastAsia="zh-CN"/>
        </w:rPr>
        <w:t>③</w:t>
      </w:r>
      <w:r>
        <w:rPr>
          <w:rFonts w:hint="eastAsia"/>
          <w:sz w:val="24"/>
        </w:rPr>
        <w:t>数据</w:t>
      </w:r>
      <w:r>
        <w:rPr>
          <w:sz w:val="24"/>
        </w:rPr>
        <w:t>异常监控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数据中心的数据资源属于核心资源，需要支持对存储在数据中心内部各类数据资源出现异常</w:t>
      </w:r>
      <w:r>
        <w:rPr>
          <w:rFonts w:hint="eastAsia"/>
          <w:sz w:val="24"/>
        </w:rPr>
        <w:t>时</w:t>
      </w:r>
      <w:r>
        <w:rPr>
          <w:sz w:val="24"/>
        </w:rPr>
        <w:t>的图形化监控，包括：</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对数据的存储状态的监控和根据阈值条件告警</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对数据的访问和安全类权限异常的告警</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数据异常变动的告警（如无数据访问和变更记录，但存在数据变动或者丢失的情况）</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对数据的访问和使用情况的实时监控和告警</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sz w:val="24"/>
          <w:lang w:val="en-US" w:eastAsia="zh-CN"/>
        </w:rPr>
        <w:t>④</w:t>
      </w:r>
      <w:r>
        <w:rPr>
          <w:rFonts w:hint="eastAsia"/>
          <w:sz w:val="24"/>
        </w:rPr>
        <w:t>数据</w:t>
      </w:r>
      <w:r>
        <w:rPr>
          <w:sz w:val="24"/>
        </w:rPr>
        <w:t>访问管理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提供数据中心内部的所有数据访问日志的管理，通过记录每一次数据访问的日志信息，保证数据资源管理的清晰化。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数据访问日志管理包括操作时间、操作角色和用户、操作地址、操作类型、操作结果、操作数据概要、操作说明备注等信息</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sz w:val="24"/>
          <w:lang w:val="en-US" w:eastAsia="zh-CN"/>
        </w:rPr>
        <w:t>⑤</w:t>
      </w:r>
      <w:r>
        <w:rPr>
          <w:rFonts w:hint="eastAsia"/>
          <w:sz w:val="24"/>
        </w:rPr>
        <w:t>系统</w:t>
      </w:r>
      <w:r>
        <w:rPr>
          <w:sz w:val="24"/>
        </w:rPr>
        <w:t>信息管理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用于管理</w:t>
      </w:r>
      <w:r>
        <w:rPr>
          <w:rFonts w:hint="eastAsia"/>
          <w:sz w:val="24"/>
        </w:rPr>
        <w:t>住建局</w:t>
      </w:r>
      <w:r>
        <w:rPr>
          <w:sz w:val="24"/>
        </w:rPr>
        <w:t>现有的政务信息系统的基本信息，包括信息系统名称、系统类型、主要功能、开发方式、建设信息、使用信息、维护信息、安全等保等信息，提供新增、修改、删除、查询等功能</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cs="仿宋" w:asciiTheme="majorEastAsia" w:hAnsiTheme="majorEastAsia" w:eastAsiaTheme="majorEastAsia"/>
          <w:sz w:val="24"/>
          <w:lang w:val="en-US" w:eastAsia="zh-CN"/>
        </w:rPr>
        <w:t>2.3.3.4.2</w:t>
      </w:r>
      <w:r>
        <w:rPr>
          <w:rFonts w:hint="eastAsia"/>
          <w:sz w:val="24"/>
        </w:rPr>
        <w:t>可视化</w:t>
      </w:r>
      <w:r>
        <w:rPr>
          <w:sz w:val="24"/>
        </w:rPr>
        <w:t>数据资产管理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ascii="宋体" w:hAnsi="宋体"/>
          <w:sz w:val="24"/>
          <w:lang w:val="en-US" w:eastAsia="zh-CN"/>
        </w:rPr>
        <w:t>①</w:t>
      </w:r>
      <w:r>
        <w:rPr>
          <w:rFonts w:hint="eastAsia" w:ascii="宋体" w:hAnsi="宋体"/>
          <w:sz w:val="24"/>
          <w:lang w:val="zh-CN"/>
        </w:rPr>
        <w:t>基本</w:t>
      </w:r>
      <w:r>
        <w:rPr>
          <w:rFonts w:ascii="宋体" w:hAnsi="宋体"/>
          <w:sz w:val="24"/>
          <w:lang w:val="zh-CN"/>
        </w:rPr>
        <w:t>要求</w:t>
      </w:r>
      <w:r>
        <w:rPr>
          <w:rFonts w:hint="eastAsia" w:ascii="宋体" w:hAnsi="宋体"/>
          <w:sz w:val="24"/>
          <w:lang w:val="zh-CN"/>
        </w:rPr>
        <w:t>：</w:t>
      </w:r>
      <w:r>
        <w:rPr>
          <w:rFonts w:hint="eastAsia"/>
          <w:sz w:val="24"/>
        </w:rPr>
        <w:t>可视化数据资源管理具备对资源中心的数据统一管理统一展示的能力，采用标准化的管理方法支持数据全局进行各类图形展示，实现从各个部门的信息系统数据库完成数据逻辑采集，业务数据不落地采用无存储方式，进行部分数据的统计分析和展示。通过可视化的数据资产管理，用户可灵活掌握本地业务数据、通过配置展示图表实现全域可视化资产、查看、统计等可视化功能。</w:t>
      </w:r>
    </w:p>
    <w:p>
      <w:pPr>
        <w:pStyle w:val="2"/>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default"/>
          <w:sz w:val="24"/>
          <w:lang w:val="en-US"/>
        </w:rPr>
      </w:pPr>
      <w:r>
        <w:rPr>
          <w:rFonts w:hint="eastAsia"/>
          <w:b/>
          <w:sz w:val="24"/>
          <w:lang w:val="en-US" w:eastAsia="zh-CN"/>
        </w:rPr>
        <w:t>②</w:t>
      </w:r>
      <w:r>
        <w:rPr>
          <w:rFonts w:hint="default"/>
          <w:b/>
          <w:bCs/>
          <w:sz w:val="24"/>
          <w:lang w:val="en-US"/>
        </w:rPr>
        <w:t>主要功能：</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sz w:val="24"/>
        </w:rPr>
      </w:pPr>
      <w:r>
        <w:rPr>
          <w:rFonts w:hint="eastAsia" w:ascii="宋体" w:hAnsi="宋体"/>
          <w:sz w:val="24"/>
          <w:lang w:val="zh-CN"/>
        </w:rPr>
        <w:t>●</w:t>
      </w:r>
      <w:r>
        <w:rPr>
          <w:rFonts w:hint="eastAsia"/>
          <w:sz w:val="24"/>
          <w:lang w:val="en-US" w:eastAsia="zh-CN"/>
        </w:rPr>
        <w:t>A.</w:t>
      </w:r>
      <w:r>
        <w:rPr>
          <w:rFonts w:hint="eastAsia"/>
          <w:sz w:val="24"/>
        </w:rPr>
        <w:t>数据</w:t>
      </w:r>
      <w:r>
        <w:rPr>
          <w:sz w:val="24"/>
        </w:rPr>
        <w:t>模型建立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在数据仓库的基础上，业务人员对数据进行分析时，需要提供可配置化的数据分析模型建立功能。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具体功能：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提供用户可以利用标准SQL语句根据业务表及业务需求构建复杂分析模型；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提供拖拽式的数据模型建立功能；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可以直接设计数据表之间的关联关系（如左连接、内连接等）；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可以设置模型中字段的聚合方式（如汇总、统计等）；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可以对敏感数据进行脱敏处理；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支持近至少3种脱敏算法，包括敏感信息盲化、掩码、格式保持、加密变换等多种方案。同时支持流式脱敏和静态脱敏，支持脱敏文件的智能识别。数据分级分类。制定数据分级分类标准，完成数据定级，实现字段级脱敏，节省时空效率，灵活支持业务。</w:t>
      </w:r>
      <w:r>
        <w:rPr>
          <w:rFonts w:hint="eastAsia"/>
          <w:sz w:val="24"/>
          <w:lang w:val="en-US" w:eastAsia="zh-CN"/>
        </w:rPr>
        <w:t>支持</w:t>
      </w:r>
      <w:r>
        <w:rPr>
          <w:rFonts w:hint="eastAsia"/>
          <w:sz w:val="24"/>
        </w:rPr>
        <w:t>脱敏策略任务，支持脱敏任务配置、脱敏任务下发、脱敏结果统计和相关展示。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可以对数据进行按照规则进行过滤等；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可以支持聚合函数、计算函数及丰富的自定义语句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sz w:val="24"/>
          <w:lang w:val="en-US" w:eastAsia="zh-CN"/>
        </w:rPr>
      </w:pPr>
      <w:r>
        <w:rPr>
          <w:rFonts w:hint="eastAsia" w:ascii="宋体" w:hAnsi="宋体"/>
          <w:sz w:val="24"/>
          <w:lang w:val="zh-CN"/>
        </w:rPr>
        <w:t>●</w:t>
      </w:r>
      <w:r>
        <w:rPr>
          <w:rFonts w:hint="eastAsia"/>
          <w:sz w:val="24"/>
          <w:lang w:val="en-US" w:eastAsia="zh-CN"/>
        </w:rPr>
        <w:t>B.</w:t>
      </w:r>
      <w:r>
        <w:rPr>
          <w:rFonts w:hint="eastAsia"/>
          <w:sz w:val="24"/>
        </w:rPr>
        <w:t>数据</w:t>
      </w:r>
      <w:r>
        <w:rPr>
          <w:sz w:val="24"/>
        </w:rPr>
        <w:t>模型</w:t>
      </w:r>
      <w:r>
        <w:rPr>
          <w:rFonts w:hint="eastAsia"/>
          <w:sz w:val="24"/>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用户可根据分析需求建立分析模型，分析模型可以统一存储于模型库中。</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个人用户成熟的模型可以通过模型库的管理功能，开放给所有人进行使用。同时管理员也可根据需要在建立不同的基础分析模型，方便个人用户在基础分析模型的基础上进行二次分析，从而降低大数据分析使用门槛，普通用户也能快速上手进行常规业务数据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具体功能：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建立模型库，可以分别管理个人模型、系统模型；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个人模型和系统模型可以分个人和所有用户查看的权限；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可以对个人模型进行审核升级成为系统模型；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可以对模型的模型名称、建立者、模型类别、分析次数等进行记录；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可以对模型进行复制新增、删除、新建等管理操作；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可以对模型分析设置任务式调度管理。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zh-CN"/>
        </w:rPr>
        <w:t>●</w:t>
      </w:r>
      <w:r>
        <w:rPr>
          <w:rFonts w:hint="eastAsia"/>
          <w:sz w:val="24"/>
          <w:lang w:val="en-US" w:eastAsia="zh-CN"/>
        </w:rPr>
        <w:t>C.</w:t>
      </w:r>
      <w:r>
        <w:rPr>
          <w:rFonts w:hint="eastAsia"/>
          <w:sz w:val="24"/>
          <w:lang w:eastAsia="zh-Hans"/>
        </w:rPr>
        <w:t>预警</w:t>
      </w:r>
      <w:r>
        <w:rPr>
          <w:sz w:val="24"/>
          <w:lang w:eastAsia="zh-Hans"/>
        </w:rPr>
        <w:t>规则分类配置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系统提供可以配置不同的预警类型，多级预警以及不同预警级别如何进行显示的功能。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具体功能如下：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可以设置不同的预警类别（如：业务预警、系统预警等）；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可以设置不同的预警级别，可支持10级设置（如：高中低等不同级别）；</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不同的预警级别可支持设置不同的预警颜色显示；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lang w:val="en-US" w:eastAsia="zh-CN"/>
        </w:rPr>
        <w:t>可以预警</w:t>
      </w:r>
      <w:r>
        <w:rPr>
          <w:rFonts w:hint="eastAsia" w:ascii="宋体" w:hAnsi="宋体" w:cs="宋体"/>
          <w:sz w:val="24"/>
        </w:rPr>
        <w:t>的级别、类别进行筛选查询、描述定义、删除、开启关闭等管理。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zh-CN"/>
        </w:rPr>
        <w:t>●</w:t>
      </w:r>
      <w:r>
        <w:rPr>
          <w:rFonts w:hint="eastAsia"/>
          <w:sz w:val="24"/>
          <w:lang w:val="en-US" w:eastAsia="zh-CN"/>
        </w:rPr>
        <w:t>D.</w:t>
      </w:r>
      <w:r>
        <w:rPr>
          <w:rFonts w:hint="eastAsia"/>
          <w:sz w:val="24"/>
          <w:lang w:eastAsia="zh-Hans"/>
        </w:rPr>
        <w:t>预警规则配置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系统提供在模型配置的时间可以直接进行预警规则的设置，系统自动将数据分析后，根据预警的规则进行判断，存在预警数据的时进行预警。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具体功能如下：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可针对不同的模型设置不同预警规则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可针对不同的预警规则设置不同的预警类别、不同预警级别</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可以支持通过设置规则脚本来配置预警规则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可针对不同的预警规则设置预警描述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可以多个预警规则同时生效，按级别进行优先报警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zh-CN"/>
        </w:rPr>
        <w:t>●</w:t>
      </w:r>
      <w:r>
        <w:rPr>
          <w:rFonts w:hint="eastAsia"/>
          <w:sz w:val="24"/>
          <w:lang w:val="en-US" w:eastAsia="zh-CN"/>
        </w:rPr>
        <w:t>E.</w:t>
      </w:r>
      <w:r>
        <w:rPr>
          <w:rFonts w:hint="eastAsia"/>
          <w:sz w:val="24"/>
          <w:lang w:eastAsia="zh-Hans"/>
        </w:rPr>
        <w:t>数据钻取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系统提供可以对分析的数据进行上卷、下钻、过滤等多种操作，可以直接钻取到数据仓库中数据的最底层。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具体功能如下：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根据不同的数据模型同时建立多个不同的多维数据分析。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对已设计好的多维数据分析进行调整、使用、保存。</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通过拖拽式的方式自由进行维度和度量的选择</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支持对数据的上卷、下钻。</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对分析的维度进行交换、行列互换。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对分析的度量的支持自由进行二次聚合计算，支持创建新的度量。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支持对维度进行筛选，并对筛选的数据进行计数。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sz w:val="24"/>
        </w:rPr>
      </w:pPr>
      <w:r>
        <w:rPr>
          <w:rFonts w:hint="eastAsia" w:ascii="宋体" w:hAnsi="宋体" w:cs="宋体"/>
          <w:sz w:val="24"/>
        </w:rPr>
        <w:t>对展示数据进行自定义条数显示。</w:t>
      </w:r>
    </w:p>
    <w:p>
      <w:pPr>
        <w:keepNext w:val="0"/>
        <w:keepLines w:val="0"/>
        <w:pageBreakBefore w:val="0"/>
        <w:widowControl w:val="0"/>
        <w:tabs>
          <w:tab w:val="left" w:pos="540"/>
        </w:tabs>
        <w:kinsoku/>
        <w:wordWrap/>
        <w:overflowPunct/>
        <w:topLinePunct w:val="0"/>
        <w:autoSpaceDE/>
        <w:autoSpaceDN/>
        <w:bidi w:val="0"/>
        <w:adjustRightInd w:val="0"/>
        <w:snapToGrid w:val="0"/>
        <w:spacing w:line="500" w:lineRule="exact"/>
        <w:ind w:firstLine="480" w:firstLineChars="200"/>
        <w:jc w:val="left"/>
        <w:textAlignment w:val="auto"/>
        <w:rPr>
          <w:sz w:val="24"/>
        </w:rPr>
      </w:pPr>
      <w:r>
        <w:rPr>
          <w:rFonts w:hint="eastAsia" w:ascii="宋体" w:hAnsi="宋体"/>
          <w:sz w:val="24"/>
          <w:lang w:val="zh-CN"/>
        </w:rPr>
        <w:t>●</w:t>
      </w:r>
      <w:r>
        <w:rPr>
          <w:rFonts w:hint="eastAsia"/>
          <w:bCs/>
          <w:sz w:val="24"/>
          <w:lang w:val="en-US" w:eastAsia="zh-CN"/>
        </w:rPr>
        <w:t>F.</w:t>
      </w:r>
      <w:r>
        <w:rPr>
          <w:rFonts w:hint="eastAsia"/>
          <w:bCs/>
          <w:sz w:val="24"/>
        </w:rPr>
        <w:t>多维自助分析管理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系统提供可以自定义如何进行分析，可以根据需要自行设置分析的各个维度，并根据设置的维度进行实时计算和分析的功能。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在设置维度的时候，可以通过拖拽式进行设置维度。</w:t>
      </w:r>
    </w:p>
    <w:p>
      <w:pPr>
        <w:keepNext w:val="0"/>
        <w:keepLines w:val="0"/>
        <w:pageBreakBefore w:val="0"/>
        <w:widowControl w:val="0"/>
        <w:tabs>
          <w:tab w:val="left" w:pos="540"/>
        </w:tabs>
        <w:kinsoku/>
        <w:wordWrap/>
        <w:overflowPunct/>
        <w:topLinePunct w:val="0"/>
        <w:autoSpaceDE/>
        <w:autoSpaceDN/>
        <w:bidi w:val="0"/>
        <w:adjustRightInd w:val="0"/>
        <w:snapToGrid w:val="0"/>
        <w:spacing w:line="500" w:lineRule="exact"/>
        <w:ind w:firstLine="480" w:firstLineChars="200"/>
        <w:jc w:val="left"/>
        <w:textAlignment w:val="auto"/>
        <w:rPr>
          <w:bCs/>
          <w:sz w:val="24"/>
        </w:rPr>
      </w:pPr>
      <w:r>
        <w:rPr>
          <w:rFonts w:hint="eastAsia" w:ascii="宋体" w:hAnsi="宋体"/>
          <w:sz w:val="24"/>
          <w:lang w:val="zh-CN"/>
        </w:rPr>
        <w:t>●</w:t>
      </w:r>
      <w:r>
        <w:rPr>
          <w:rFonts w:hint="eastAsia"/>
          <w:bCs/>
          <w:sz w:val="24"/>
          <w:lang w:val="en-US" w:eastAsia="zh-CN"/>
        </w:rPr>
        <w:t>G.</w:t>
      </w:r>
      <w:r>
        <w:rPr>
          <w:rFonts w:hint="eastAsia"/>
          <w:bCs/>
          <w:sz w:val="24"/>
        </w:rPr>
        <w:t>数据图形化展示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系统提供直接将数据转换成图形的方式进行展示，方便发现数据间的关联。系统提供柱状图、折线图、饼图、散点图、雷达图等多种展现方式。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具体功能如下：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支持分析数据的数据模式和图表模式两种展示方式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系统支持图表样式包括柱状图、堆积柱状图、百分比堆积柱状图、多图式柱状图、折线图、面积图、热点图、树状地图、环形图、多环形图、散点图、瀑布图、饼图、雷达图、饼状图。</w:t>
      </w:r>
    </w:p>
    <w:p>
      <w:pPr>
        <w:keepNext w:val="0"/>
        <w:keepLines w:val="0"/>
        <w:pageBreakBefore w:val="0"/>
        <w:widowControl w:val="0"/>
        <w:tabs>
          <w:tab w:val="left" w:pos="540"/>
        </w:tabs>
        <w:kinsoku/>
        <w:wordWrap/>
        <w:overflowPunct/>
        <w:topLinePunct w:val="0"/>
        <w:autoSpaceDE/>
        <w:autoSpaceDN/>
        <w:bidi w:val="0"/>
        <w:adjustRightInd w:val="0"/>
        <w:snapToGrid w:val="0"/>
        <w:spacing w:line="500" w:lineRule="exact"/>
        <w:ind w:firstLine="480" w:firstLineChars="200"/>
        <w:jc w:val="left"/>
        <w:textAlignment w:val="auto"/>
        <w:rPr>
          <w:sz w:val="24"/>
        </w:rPr>
      </w:pPr>
      <w:r>
        <w:rPr>
          <w:rFonts w:hint="eastAsia" w:ascii="宋体" w:hAnsi="宋体"/>
          <w:sz w:val="24"/>
          <w:lang w:val="zh-CN"/>
        </w:rPr>
        <w:t>●</w:t>
      </w:r>
      <w:r>
        <w:rPr>
          <w:rFonts w:hint="eastAsia"/>
          <w:bCs/>
          <w:sz w:val="24"/>
          <w:lang w:val="en-US" w:eastAsia="zh-CN"/>
        </w:rPr>
        <w:t>H.</w:t>
      </w:r>
      <w:r>
        <w:rPr>
          <w:rFonts w:hint="eastAsia"/>
          <w:bCs/>
          <w:sz w:val="24"/>
        </w:rPr>
        <w:t>分析记录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系统提供离线模型分析的功能，并对模型执行完成后的结果记录进行详细查看，并可进行多条件过滤筛选及排序。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具体</w:t>
      </w:r>
      <w:r>
        <w:rPr>
          <w:rFonts w:hint="eastAsia" w:ascii="宋体" w:hAnsi="宋体" w:cs="宋体"/>
          <w:sz w:val="24"/>
        </w:rPr>
        <w:t>功能</w:t>
      </w:r>
      <w:r>
        <w:rPr>
          <w:rFonts w:hint="eastAsia" w:ascii="宋体" w:hAnsi="宋体"/>
          <w:sz w:val="24"/>
        </w:rPr>
        <w:t>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可以对模型分析的次数、模型分析的记录、模型分析的结果进行查看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可以对模型分析失败的原因进行查看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系可以对预警数据进行高亮显示，方便业务人员进行异常判定。</w:t>
      </w:r>
    </w:p>
    <w:p>
      <w:pPr>
        <w:keepNext w:val="0"/>
        <w:keepLines w:val="0"/>
        <w:pageBreakBefore w:val="0"/>
        <w:widowControl w:val="0"/>
        <w:tabs>
          <w:tab w:val="left" w:pos="540"/>
        </w:tabs>
        <w:kinsoku/>
        <w:wordWrap/>
        <w:overflowPunct/>
        <w:topLinePunct w:val="0"/>
        <w:autoSpaceDE/>
        <w:autoSpaceDN/>
        <w:bidi w:val="0"/>
        <w:adjustRightInd w:val="0"/>
        <w:snapToGrid w:val="0"/>
        <w:spacing w:line="500" w:lineRule="exact"/>
        <w:ind w:firstLine="480" w:firstLineChars="200"/>
        <w:jc w:val="left"/>
        <w:textAlignment w:val="auto"/>
        <w:rPr>
          <w:bCs/>
          <w:sz w:val="24"/>
        </w:rPr>
      </w:pPr>
      <w:r>
        <w:rPr>
          <w:rFonts w:hint="eastAsia" w:ascii="宋体" w:hAnsi="宋体"/>
          <w:sz w:val="24"/>
          <w:lang w:val="zh-CN"/>
        </w:rPr>
        <w:t>●</w:t>
      </w:r>
      <w:r>
        <w:rPr>
          <w:rFonts w:hint="eastAsia"/>
          <w:bCs/>
          <w:sz w:val="24"/>
          <w:lang w:val="en-US" w:eastAsia="zh-CN"/>
        </w:rPr>
        <w:t>I.</w:t>
      </w:r>
      <w:r>
        <w:rPr>
          <w:rFonts w:hint="eastAsia"/>
          <w:bCs/>
          <w:sz w:val="24"/>
        </w:rPr>
        <w:t>大屏展示各个资源使用情况，时刻掌握资源流量走向</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cs="宋体"/>
          <w:sz w:val="24"/>
        </w:rPr>
        <w:t>通过</w:t>
      </w:r>
      <w:r>
        <w:rPr>
          <w:rFonts w:hint="eastAsia" w:ascii="宋体" w:hAnsi="宋体" w:cs="宋体"/>
          <w:sz w:val="24"/>
          <w:lang w:val="zh-CN"/>
        </w:rPr>
        <w:t>虚拟数据中心服务层对外提供服务的监听，实时分析提供服务的数据使用情况，动态的展示住建重点关注的信息。通过对流量的走向以及接口调用频率进行大数据分析，最终实现智慧信息化建设的发展目标。</w:t>
      </w:r>
      <w:r>
        <w:rPr>
          <w:rFonts w:hint="eastAsia"/>
          <w:sz w:val="24"/>
        </w:rPr>
        <w:t>按照交换时间、交换类型、交换节点、接收节点等维度，以图表方式直观展现交换数据量（次数）的统计信息，辅助用户直观了解数据交换的整体情况。</w:t>
      </w:r>
    </w:p>
    <w:p>
      <w:pPr>
        <w:pStyle w:val="2"/>
        <w:keepNext w:val="0"/>
        <w:keepLines w:val="0"/>
        <w:pageBreakBefore w:val="0"/>
        <w:widowControl w:val="0"/>
        <w:kinsoku/>
        <w:wordWrap/>
        <w:overflowPunct/>
        <w:topLinePunct w:val="0"/>
        <w:autoSpaceDE/>
        <w:autoSpaceDN/>
        <w:bidi w:val="0"/>
        <w:spacing w:after="0" w:line="500" w:lineRule="exact"/>
        <w:ind w:firstLine="482" w:firstLineChars="200"/>
        <w:textAlignment w:val="auto"/>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b/>
          <w:bCs/>
          <w:sz w:val="24"/>
          <w:lang w:val="en-US" w:eastAsia="zh-CN"/>
        </w:rPr>
        <w:t>▲③提供国家版权局出具的可视化类计算机软件著作权证书复印件，并加盖投标人电子印章。</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cs="仿宋" w:asciiTheme="majorEastAsia" w:hAnsiTheme="majorEastAsia" w:eastAsiaTheme="majorEastAsia"/>
          <w:sz w:val="24"/>
          <w:lang w:val="en-US" w:eastAsia="zh-CN"/>
        </w:rPr>
        <w:t>2.3.3.5</w:t>
      </w:r>
      <w:r>
        <w:rPr>
          <w:rFonts w:hint="eastAsia" w:ascii="Times New Roman" w:hAnsi="Times New Roman" w:eastAsia="宋体" w:cs="Times New Roman"/>
          <w:kern w:val="2"/>
          <w:sz w:val="24"/>
          <w:szCs w:val="24"/>
          <w:lang w:val="en-US" w:eastAsia="zh-CN" w:bidi="ar-SA"/>
        </w:rPr>
        <w:t>数据日志管理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宋体" w:hAnsi="宋体"/>
          <w:sz w:val="24"/>
          <w:lang w:val="zh-CN"/>
        </w:rPr>
        <w:t>●</w:t>
      </w:r>
      <w:r>
        <w:rPr>
          <w:rFonts w:hint="eastAsia" w:cs="仿宋" w:asciiTheme="majorEastAsia" w:hAnsiTheme="majorEastAsia" w:eastAsiaTheme="majorEastAsia"/>
          <w:sz w:val="24"/>
          <w:lang w:val="en-US" w:eastAsia="zh-CN"/>
        </w:rPr>
        <w:t>2.3.3.5.1</w:t>
      </w:r>
      <w:r>
        <w:rPr>
          <w:rFonts w:hint="eastAsia" w:ascii="Times New Roman" w:hAnsi="Times New Roman" w:eastAsia="宋体" w:cs="Times New Roman"/>
          <w:kern w:val="2"/>
          <w:sz w:val="24"/>
          <w:szCs w:val="24"/>
          <w:lang w:val="en-US" w:eastAsia="zh-CN" w:bidi="ar-SA"/>
        </w:rPr>
        <w:t>日志服务主要指用户的操作日志，通过日志服务管理来记录谁什么时候于何处做了什么操作，包括：即用户名、时间、IP地址、操作详情；数据传输的状态。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宋体" w:hAnsi="宋体"/>
          <w:sz w:val="24"/>
          <w:lang w:val="zh-CN"/>
        </w:rPr>
        <w:t>●</w:t>
      </w:r>
      <w:r>
        <w:rPr>
          <w:rFonts w:hint="eastAsia" w:cs="仿宋" w:asciiTheme="majorEastAsia" w:hAnsiTheme="majorEastAsia" w:eastAsiaTheme="majorEastAsia"/>
          <w:sz w:val="24"/>
          <w:lang w:val="en-US" w:eastAsia="zh-CN"/>
        </w:rPr>
        <w:t>2.3.3.5.2</w:t>
      </w:r>
      <w:r>
        <w:rPr>
          <w:rFonts w:hint="eastAsia" w:ascii="Times New Roman" w:hAnsi="Times New Roman" w:eastAsia="宋体" w:cs="Times New Roman"/>
          <w:kern w:val="2"/>
          <w:sz w:val="24"/>
          <w:szCs w:val="24"/>
          <w:lang w:val="en-US" w:eastAsia="zh-CN" w:bidi="ar-SA"/>
        </w:rPr>
        <w:t>实时监控总图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实时监测系统列表显示内容分为三部分：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上部分：应用系统日志状态；显示了</w:t>
      </w:r>
      <w:r>
        <w:rPr>
          <w:sz w:val="24"/>
        </w:rPr>
        <w:t>系统</w:t>
      </w:r>
      <w:r>
        <w:rPr>
          <w:rFonts w:hint="eastAsia"/>
          <w:sz w:val="24"/>
        </w:rPr>
        <w:t>实时日志流量状态；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中部分：当天流量TOP5列表；显示了当天流量最高的5个网络设备的状态；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下部分：当前一分钟流量TOP5列表；显示了前一分钟内流量最高的5个网络设备的状态。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2.3.3.5.3</w:t>
      </w:r>
      <w:r>
        <w:rPr>
          <w:rFonts w:hint="eastAsia"/>
          <w:bCs/>
          <w:sz w:val="24"/>
        </w:rPr>
        <w:t>系统日志</w:t>
      </w:r>
      <w:r>
        <w:rPr>
          <w:bCs/>
          <w:sz w:val="24"/>
        </w:rPr>
        <w:t>流量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对系统当前24小时</w:t>
      </w:r>
      <w:r>
        <w:rPr>
          <w:sz w:val="24"/>
        </w:rPr>
        <w:t>内各模块产生的日志量进行统计，并形成相关统计图。</w:t>
      </w:r>
      <w:r>
        <w:rPr>
          <w:rFonts w:hint="eastAsia"/>
          <w:sz w:val="24"/>
        </w:rPr>
        <w:t>可</w:t>
      </w:r>
      <w:r>
        <w:rPr>
          <w:sz w:val="24"/>
        </w:rPr>
        <w:t>按数据</w:t>
      </w:r>
      <w:r>
        <w:rPr>
          <w:rFonts w:hint="eastAsia"/>
          <w:sz w:val="24"/>
        </w:rPr>
        <w:t>抽取</w:t>
      </w:r>
      <w:r>
        <w:rPr>
          <w:sz w:val="24"/>
        </w:rPr>
        <w:t>、数据入库、数据访问、数据查询、数据统计、</w:t>
      </w:r>
      <w:r>
        <w:rPr>
          <w:rFonts w:hint="eastAsia"/>
          <w:sz w:val="24"/>
        </w:rPr>
        <w:t>审计</w:t>
      </w:r>
      <w:r>
        <w:rPr>
          <w:sz w:val="24"/>
        </w:rPr>
        <w:t>、安全、</w:t>
      </w:r>
      <w:r>
        <w:rPr>
          <w:rFonts w:hint="eastAsia"/>
          <w:sz w:val="24"/>
        </w:rPr>
        <w:t>告警</w:t>
      </w:r>
      <w:r>
        <w:rPr>
          <w:sz w:val="24"/>
        </w:rPr>
        <w:t>、</w:t>
      </w:r>
      <w:r>
        <w:rPr>
          <w:rFonts w:hint="eastAsia"/>
          <w:sz w:val="24"/>
        </w:rPr>
        <w:t>内部</w:t>
      </w:r>
      <w:r>
        <w:rPr>
          <w:sz w:val="24"/>
        </w:rPr>
        <w:t>消息</w:t>
      </w:r>
      <w:r>
        <w:rPr>
          <w:rFonts w:hint="eastAsia"/>
          <w:sz w:val="24"/>
        </w:rPr>
        <w:t>等</w:t>
      </w:r>
      <w:r>
        <w:rPr>
          <w:sz w:val="24"/>
        </w:rPr>
        <w:t>方面进行</w:t>
      </w:r>
      <w:r>
        <w:rPr>
          <w:rFonts w:hint="eastAsia"/>
          <w:sz w:val="24"/>
        </w:rPr>
        <w:t>日志</w:t>
      </w:r>
      <w:r>
        <w:rPr>
          <w:sz w:val="24"/>
        </w:rPr>
        <w:t>流量统计</w:t>
      </w:r>
      <w:r>
        <w:rPr>
          <w:rFonts w:hint="eastAsia"/>
          <w:sz w:val="24"/>
        </w:rPr>
        <w:t>，再</w:t>
      </w:r>
      <w:r>
        <w:rPr>
          <w:sz w:val="24"/>
        </w:rPr>
        <w:t>对各模块下，对安全等级、用户等级等为统计因素进行</w:t>
      </w:r>
      <w:r>
        <w:rPr>
          <w:rFonts w:hint="eastAsia"/>
          <w:sz w:val="24"/>
        </w:rPr>
        <w:t>日志</w:t>
      </w:r>
      <w:r>
        <w:rPr>
          <w:sz w:val="24"/>
        </w:rPr>
        <w:t>流量统计。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日志</w:t>
      </w:r>
      <w:r>
        <w:rPr>
          <w:sz w:val="24"/>
        </w:rPr>
        <w:t>流量显示可分为四个图：</w:t>
      </w:r>
      <w:r>
        <w:rPr>
          <w:rFonts w:hint="eastAsia"/>
          <w:sz w:val="24"/>
        </w:rPr>
        <w:t>系统</w:t>
      </w:r>
      <w:r>
        <w:rPr>
          <w:sz w:val="24"/>
        </w:rPr>
        <w:t>工具</w:t>
      </w:r>
      <w:r>
        <w:rPr>
          <w:rFonts w:hint="eastAsia"/>
          <w:sz w:val="24"/>
        </w:rPr>
        <w:t>分布</w:t>
      </w:r>
      <w:r>
        <w:rPr>
          <w:sz w:val="24"/>
        </w:rPr>
        <w:t>流量图</w:t>
      </w:r>
      <w:r>
        <w:rPr>
          <w:rFonts w:hint="eastAsia"/>
          <w:sz w:val="24"/>
        </w:rPr>
        <w:t>（横坐标</w:t>
      </w:r>
      <w:r>
        <w:rPr>
          <w:sz w:val="24"/>
        </w:rPr>
        <w:t>为时间，</w:t>
      </w:r>
      <w:r>
        <w:rPr>
          <w:rFonts w:hint="eastAsia"/>
          <w:sz w:val="24"/>
        </w:rPr>
        <w:t>纵</w:t>
      </w:r>
      <w:r>
        <w:rPr>
          <w:sz w:val="24"/>
        </w:rPr>
        <w:t>坐标为当前</w:t>
      </w:r>
      <w:r>
        <w:rPr>
          <w:rFonts w:hint="eastAsia"/>
          <w:sz w:val="24"/>
        </w:rPr>
        <w:t>模块</w:t>
      </w:r>
      <w:r>
        <w:rPr>
          <w:sz w:val="24"/>
        </w:rPr>
        <w:t>各时刻</w:t>
      </w:r>
      <w:r>
        <w:rPr>
          <w:rFonts w:hint="eastAsia"/>
          <w:sz w:val="24"/>
        </w:rPr>
        <w:t>日志</w:t>
      </w:r>
      <w:r>
        <w:rPr>
          <w:sz w:val="24"/>
        </w:rPr>
        <w:t>量</w:t>
      </w:r>
      <w:r>
        <w:rPr>
          <w:rFonts w:hint="eastAsia"/>
          <w:sz w:val="24"/>
        </w:rPr>
        <w:t>），</w:t>
      </w:r>
      <w:r>
        <w:rPr>
          <w:sz w:val="24"/>
        </w:rPr>
        <w:t>系统工具分布柱状图</w:t>
      </w:r>
      <w:r>
        <w:rPr>
          <w:rFonts w:hint="eastAsia"/>
          <w:sz w:val="24"/>
        </w:rPr>
        <w:t>（横坐标</w:t>
      </w:r>
      <w:r>
        <w:rPr>
          <w:sz w:val="24"/>
        </w:rPr>
        <w:t>为各</w:t>
      </w:r>
      <w:r>
        <w:rPr>
          <w:rFonts w:hint="eastAsia"/>
          <w:sz w:val="24"/>
        </w:rPr>
        <w:t>模块</w:t>
      </w:r>
      <w:r>
        <w:rPr>
          <w:sz w:val="24"/>
        </w:rPr>
        <w:t>，纵坐标为各模块</w:t>
      </w:r>
      <w:r>
        <w:rPr>
          <w:rFonts w:hint="eastAsia"/>
          <w:sz w:val="24"/>
        </w:rPr>
        <w:t>当</w:t>
      </w:r>
      <w:r>
        <w:rPr>
          <w:sz w:val="24"/>
        </w:rPr>
        <w:t>前</w:t>
      </w:r>
      <w:r>
        <w:rPr>
          <w:rFonts w:hint="eastAsia"/>
          <w:sz w:val="24"/>
        </w:rPr>
        <w:t>24小时</w:t>
      </w:r>
      <w:r>
        <w:rPr>
          <w:sz w:val="24"/>
        </w:rPr>
        <w:t>内日志总量</w:t>
      </w:r>
      <w:r>
        <w:rPr>
          <w:rFonts w:hint="eastAsia"/>
          <w:sz w:val="24"/>
        </w:rPr>
        <w:t>），</w:t>
      </w:r>
      <w:r>
        <w:rPr>
          <w:sz w:val="24"/>
        </w:rPr>
        <w:t>系统</w:t>
      </w:r>
      <w:r>
        <w:rPr>
          <w:rFonts w:hint="eastAsia"/>
          <w:sz w:val="24"/>
        </w:rPr>
        <w:t>等级</w:t>
      </w:r>
      <w:r>
        <w:rPr>
          <w:sz w:val="24"/>
        </w:rPr>
        <w:t>分布流量图</w:t>
      </w:r>
      <w:r>
        <w:rPr>
          <w:rFonts w:hint="eastAsia"/>
          <w:sz w:val="24"/>
        </w:rPr>
        <w:t>（横坐标</w:t>
      </w:r>
      <w:r>
        <w:rPr>
          <w:sz w:val="24"/>
        </w:rPr>
        <w:t>为时间，</w:t>
      </w:r>
      <w:r>
        <w:rPr>
          <w:rFonts w:hint="eastAsia"/>
          <w:sz w:val="24"/>
        </w:rPr>
        <w:t>纵坐标</w:t>
      </w:r>
      <w:r>
        <w:rPr>
          <w:sz w:val="24"/>
        </w:rPr>
        <w:t>为当前等级各时间段流量</w:t>
      </w:r>
      <w:r>
        <w:rPr>
          <w:rFonts w:hint="eastAsia"/>
          <w:sz w:val="24"/>
        </w:rPr>
        <w:t>）</w:t>
      </w:r>
      <w:r>
        <w:rPr>
          <w:sz w:val="24"/>
        </w:rPr>
        <w:t>，系统等级分布柱状图</w:t>
      </w:r>
      <w:r>
        <w:rPr>
          <w:rFonts w:hint="eastAsia"/>
          <w:sz w:val="24"/>
        </w:rPr>
        <w:t>（横坐标</w:t>
      </w:r>
      <w:r>
        <w:rPr>
          <w:sz w:val="24"/>
        </w:rPr>
        <w:t>为等级，</w:t>
      </w:r>
      <w:r>
        <w:rPr>
          <w:rFonts w:hint="eastAsia"/>
          <w:sz w:val="24"/>
        </w:rPr>
        <w:t>纵坐标</w:t>
      </w:r>
      <w:r>
        <w:rPr>
          <w:sz w:val="24"/>
        </w:rPr>
        <w:t>为等级对应流量</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2.3.3.5.4</w:t>
      </w:r>
      <w:r>
        <w:rPr>
          <w:rFonts w:hint="eastAsia"/>
          <w:bCs/>
          <w:sz w:val="24"/>
        </w:rPr>
        <w:t>最新</w:t>
      </w:r>
      <w:r>
        <w:rPr>
          <w:bCs/>
          <w:sz w:val="24"/>
        </w:rPr>
        <w:t>告警信息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最新告警信息：实时动态显示最新通过规则过滤，定义为告警信息的日志列表；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点击</w:t>
      </w:r>
      <w:r>
        <w:rPr>
          <w:sz w:val="24"/>
        </w:rPr>
        <w:t>列表中的信息可以查看详细日志信息。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2.3.3.5.5</w:t>
      </w:r>
      <w:r>
        <w:rPr>
          <w:rFonts w:hint="eastAsia"/>
          <w:bCs/>
          <w:sz w:val="24"/>
        </w:rPr>
        <w:t>最新重要</w:t>
      </w:r>
      <w:r>
        <w:rPr>
          <w:bCs/>
          <w:sz w:val="24"/>
        </w:rPr>
        <w:t>日志</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实时动态显示最新通过规则过滤，定义为重要日志的日志列表；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点击列表中任一条日志，可查看此日志的详细内容。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2.3.3.5.6</w:t>
      </w:r>
      <w:r>
        <w:rPr>
          <w:rFonts w:hint="eastAsia"/>
          <w:bCs/>
          <w:sz w:val="24"/>
        </w:rPr>
        <w:t>最新</w:t>
      </w:r>
      <w:r>
        <w:rPr>
          <w:bCs/>
          <w:sz w:val="24"/>
        </w:rPr>
        <w:t>系统日志</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实时动态显示系统的当前</w:t>
      </w:r>
      <w:r>
        <w:rPr>
          <w:sz w:val="24"/>
        </w:rPr>
        <w:t>某时间段内的</w:t>
      </w:r>
      <w:r>
        <w:rPr>
          <w:rFonts w:hint="eastAsia"/>
          <w:sz w:val="24"/>
        </w:rPr>
        <w:t>日志信息；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点击列表中任一条日志，可查看此日志的详细内容。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cs="仿宋" w:asciiTheme="majorEastAsia" w:hAnsiTheme="majorEastAsia" w:eastAsiaTheme="majorEastAsia"/>
          <w:sz w:val="24"/>
          <w:lang w:val="en-US" w:eastAsia="zh-CN"/>
        </w:rPr>
        <w:t>2.3.3.6</w:t>
      </w:r>
      <w:r>
        <w:rPr>
          <w:rFonts w:hint="eastAsia"/>
          <w:sz w:val="24"/>
        </w:rPr>
        <w:t>系统数据资源自由拓展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新系统加入平台可免开发自由扩展：由于新技术在不断的发展，各个部门难以避免建设新的系统，当建设完新的系统后，使用本平台，可快速的将新系统加入数据融合共享服务平台内来，快速实现新系统数据的融合共享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sz w:val="24"/>
        </w:rPr>
      </w:pPr>
      <w:r>
        <w:rPr>
          <w:rFonts w:hint="eastAsia" w:ascii="宋体" w:hAnsi="宋体" w:eastAsia="宋体" w:cs="宋体"/>
          <w:b/>
          <w:bCs/>
          <w:sz w:val="24"/>
          <w:lang w:val="en-US" w:eastAsia="zh-CN"/>
        </w:rPr>
        <w:t>2.4</w:t>
      </w:r>
      <w:r>
        <w:rPr>
          <w:rFonts w:hint="eastAsia"/>
          <w:b/>
          <w:bCs/>
          <w:sz w:val="24"/>
        </w:rPr>
        <w:t>数据</w:t>
      </w:r>
      <w:r>
        <w:rPr>
          <w:b/>
          <w:bCs/>
          <w:sz w:val="24"/>
        </w:rPr>
        <w:t>资源服务中心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2.4.1</w:t>
      </w:r>
      <w:r>
        <w:rPr>
          <w:rFonts w:hint="eastAsia" w:ascii="宋体" w:hAnsi="宋体"/>
          <w:sz w:val="24"/>
          <w:lang w:val="zh-CN"/>
        </w:rPr>
        <w:t>总体要求。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sz w:val="24"/>
        </w:rPr>
        <w:t>以信息资源中心、资源管理中心、数据融合共享</w:t>
      </w:r>
      <w:r>
        <w:rPr>
          <w:rFonts w:hint="eastAsia"/>
          <w:bCs/>
          <w:sz w:val="24"/>
        </w:rPr>
        <w:t>以及数据标准化为基础，建设住建数据资源治理融合共享中心基础支撑，实现异构信息系统之间的数据融合共享；数据融合服务中心不依赖于额外存储资源，不用通过</w:t>
      </w:r>
      <w:r>
        <w:rPr>
          <w:bCs/>
          <w:sz w:val="24"/>
        </w:rPr>
        <w:t>ETL迁移或同步建设独立数据仓库，直接以存放虚拟数据形式将各个数据分布式存放在各业务系统数据库中，数据融合服务</w:t>
      </w:r>
      <w:r>
        <w:rPr>
          <w:rFonts w:hint="eastAsia"/>
          <w:bCs/>
          <w:sz w:val="24"/>
        </w:rPr>
        <w:t>中心</w:t>
      </w:r>
      <w:r>
        <w:rPr>
          <w:bCs/>
          <w:sz w:val="24"/>
        </w:rPr>
        <w:t>具备存储数据依赖关系的能力、具备任意数据格式标准转换的能力、具备满足当前业务所需求的任意格式的交换、共享接口、数据索引、查询等功能</w:t>
      </w:r>
      <w:r>
        <w:rPr>
          <w:rFonts w:hint="eastAsia"/>
          <w:bCs/>
          <w:sz w:val="24"/>
        </w:rPr>
        <w:t>；</w:t>
      </w:r>
      <w:r>
        <w:rPr>
          <w:bCs/>
          <w:sz w:val="24"/>
        </w:rPr>
        <w:t>具备建设本地数据中心服务能力，可以配置表单系统自由定制功能</w:t>
      </w:r>
      <w:r>
        <w:rPr>
          <w:rFonts w:hint="eastAsia"/>
          <w:bCs/>
          <w:sz w:val="24"/>
        </w:rPr>
        <w:t>，</w:t>
      </w:r>
      <w:r>
        <w:rPr>
          <w:bCs/>
          <w:sz w:val="24"/>
        </w:rPr>
        <w:t>根据行业业务应用特性</w:t>
      </w:r>
      <w:r>
        <w:rPr>
          <w:rFonts w:hint="eastAsia"/>
          <w:bCs/>
          <w:sz w:val="24"/>
        </w:rPr>
        <w:t>进行数据格式标准快速转换。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bCs/>
          <w:sz w:val="24"/>
          <w:lang w:val="en-US" w:eastAsia="zh-CN"/>
        </w:rPr>
      </w:pPr>
      <w:r>
        <w:rPr>
          <w:rFonts w:hint="eastAsia" w:ascii="宋体" w:hAnsi="宋体"/>
          <w:sz w:val="24"/>
          <w:lang w:val="zh-CN"/>
        </w:rPr>
        <w:t>●</w:t>
      </w:r>
      <w:r>
        <w:rPr>
          <w:rFonts w:hint="eastAsia" w:ascii="宋体" w:hAnsi="宋体"/>
          <w:sz w:val="24"/>
          <w:lang w:val="en-US" w:eastAsia="zh-CN"/>
        </w:rPr>
        <w:t>2.4.2</w:t>
      </w:r>
      <w:r>
        <w:rPr>
          <w:rFonts w:hint="eastAsia"/>
          <w:bCs/>
          <w:sz w:val="24"/>
        </w:rPr>
        <w:t>技术</w:t>
      </w:r>
      <w:r>
        <w:rPr>
          <w:bCs/>
          <w:sz w:val="24"/>
        </w:rPr>
        <w:t>路线</w:t>
      </w:r>
      <w:r>
        <w:rPr>
          <w:rFonts w:hint="eastAsia"/>
          <w:bCs/>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数据资源共享基础平台基于数据虚拟化实现，通过业务数据和元数据的对应映射关系，海量的数据映射汇聚成，同时可封装成标准化服务来为其它业务系统提供服务的虚拟数据层。政务数据虚拟化建立各业务子系统间的数据交换标准，为业务子系统提供数据共享服务。政务数据虚拟化除了提供数据共享服务外，还提供公用的可公开部门信息查询服务，将分散于各业务系统中、被不断重复实现的基本业务服务进行剥离整合，提供公用的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住建局“虚拟+实体”数据中心用可视化操作完成数据映射配置以及实现历史数据加工沉淀，再用人工智能的方式实现业务转换或展现，以减少重复代码的撰写、测试、调试等工作，并能持续稳定的提供加工归类后的历史数据便于数据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实现政务数据虚拟化同时可按照政务数据交换标准完成政务数据交换标准化，规范化业务系统间的数据定义，实现业务数据标准化；政府部门业务基本服务组件化，将公用服务进行剥离整合，形成基本的公用服务；政府部门业务流程控制，可根据业务流程变化动态调整业务子系统间的数据流向。</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住建局“虚拟+实体”数据中心整体需实现数据可视化在线梳理共享服务以及历史数据分类梳理场景平台，快速实现数据集成融合以及数据入仓形成住建大数据，快速实现数据资产可视化管理、快速生成应用共享接口服务、高精度提供分析协作与决策支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ascii="宋体" w:hAnsi="宋体"/>
          <w:sz w:val="24"/>
          <w:lang w:val="en-US" w:eastAsia="zh-CN"/>
        </w:rPr>
        <w:t>2.4.3</w:t>
      </w:r>
      <w:r>
        <w:rPr>
          <w:rFonts w:hint="eastAsia"/>
          <w:bCs/>
          <w:sz w:val="24"/>
        </w:rPr>
        <w:t>数据</w:t>
      </w:r>
      <w:r>
        <w:rPr>
          <w:bCs/>
          <w:sz w:val="24"/>
        </w:rPr>
        <w:t>资源融合管理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lang w:val="en-US" w:eastAsia="zh-CN"/>
        </w:rPr>
      </w:pPr>
      <w:r>
        <w:rPr>
          <w:rFonts w:hint="eastAsia" w:ascii="宋体" w:hAnsi="宋体"/>
          <w:sz w:val="24"/>
          <w:lang w:val="zh-CN"/>
        </w:rPr>
        <w:t>●</w:t>
      </w:r>
      <w:r>
        <w:rPr>
          <w:rFonts w:hint="eastAsia" w:ascii="宋体" w:hAnsi="宋体"/>
          <w:sz w:val="24"/>
          <w:lang w:val="en-US" w:eastAsia="zh-CN"/>
        </w:rPr>
        <w:t>2.4.3.1基本要求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住建“虚拟+实体”数据中心通过分布式数据中心节点的运行模式提供数据虚拟化服务，基于数据安全条件下，对业务系统之间的数据进行融合、共享。对业务系统可视化在线梳理、实现业务系统所有数据孤岛的数据打通、实现数据标准化、形成虚拟数据总线共享服务、具备可视化数据资产管理、实现数据共享交换业务架构支撑平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lang w:val="zh-CN"/>
        </w:rPr>
      </w:pPr>
      <w:r>
        <w:rPr>
          <w:rFonts w:hint="eastAsia" w:ascii="宋体" w:hAnsi="宋体"/>
          <w:sz w:val="24"/>
          <w:lang w:val="en-US" w:eastAsia="zh-CN"/>
        </w:rPr>
        <w:t>2.4.3.2</w:t>
      </w:r>
      <w:r>
        <w:rPr>
          <w:rFonts w:hint="eastAsia" w:ascii="宋体" w:hAnsi="宋体"/>
          <w:sz w:val="24"/>
          <w:lang w:val="zh-CN"/>
        </w:rPr>
        <w:t>融合管理功能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ascii="宋体" w:hAnsi="宋体"/>
          <w:sz w:val="24"/>
          <w:lang w:val="zh-CN"/>
        </w:rPr>
        <w:t>●</w:t>
      </w:r>
      <w:r>
        <w:rPr>
          <w:rFonts w:hint="eastAsia" w:ascii="宋体" w:hAnsi="宋体"/>
          <w:sz w:val="24"/>
          <w:lang w:val="en-US" w:eastAsia="zh-CN"/>
        </w:rPr>
        <w:t>2.4.3.2.1</w:t>
      </w:r>
      <w:r>
        <w:rPr>
          <w:rFonts w:hint="eastAsia"/>
          <w:bCs/>
          <w:sz w:val="24"/>
        </w:rPr>
        <w:t>异构数据采集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异构数据采引擎不再关注于数据库类型，平台支持数据库类型能够涵盖市面所有数据库类型，针对特殊数据库类型可实现数据库驱动组件化，进行数据库适配完成数据库支持，快速完成异构数据的采集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ascii="宋体" w:hAnsi="宋体"/>
          <w:sz w:val="24"/>
          <w:lang w:val="zh-CN"/>
        </w:rPr>
        <w:t>●</w:t>
      </w:r>
      <w:r>
        <w:rPr>
          <w:rFonts w:hint="eastAsia" w:ascii="宋体" w:hAnsi="宋体"/>
          <w:sz w:val="24"/>
          <w:lang w:val="en-US" w:eastAsia="zh-CN"/>
        </w:rPr>
        <w:t>2.4.3.2.2</w:t>
      </w:r>
      <w:r>
        <w:rPr>
          <w:rFonts w:hint="eastAsia"/>
          <w:bCs/>
          <w:sz w:val="24"/>
        </w:rPr>
        <w:t>数据</w:t>
      </w:r>
      <w:r>
        <w:rPr>
          <w:bCs/>
          <w:sz w:val="24"/>
        </w:rPr>
        <w:t>梳理管理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数据梳理服务系统主要作用是为政务资源数据梳理目录，使数据具有完整性、标准性、可用性等特点，能够满足后期应用能够快速简便的使用融合共享的政务数据。系统需采用一体化数据目录梳理进行管理，将信息资源梳理、信息资源目录编制、信息资源融合、信息资源同步、信息资源导入对接等涉及到的具体常见的“可视化的目录录入、录入信息提示、信息项批量导入、查询目录业务数据、目录一键导出、目录维护与更新”等操作功能集中管理，以在线可视化的作业方式实现数据梳理、编制、共享服务，最终梳理编制出可共享、可开放的数据资源目录。具体</w:t>
      </w:r>
      <w:r>
        <w:rPr>
          <w:bCs/>
          <w:sz w:val="24"/>
        </w:rPr>
        <w:t>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数据目录概览。数据目录概览包括对数据目录的列表查看，提供数据目录的创建人，目录名称以及数据目录的类型检索，数据目录概览提供对目录情况的汇总展示，包括对数据目录的变化趋势，当前总目录数，当前总数据资源情况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列表标签管理。对数据目录的列表标签管理，提供数据目录类别标签的增加、修改、删除以及检索功能，同时在新建目录与编辑目录时，可进行数据目录的类型的匹配设定。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数据目录挂接。对编辑的数据目录与当前数据库中数据字段进行映射的关系，挂接功能提供数据目录的数据资源项与数据存储平台中数据资源项之间的关系。</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bCs/>
          <w:sz w:val="24"/>
        </w:rPr>
      </w:pPr>
      <w:r>
        <w:rPr>
          <w:rFonts w:hint="eastAsia"/>
          <w:bCs/>
          <w:sz w:val="24"/>
        </w:rPr>
        <w:t>信息资源管理。提供数据目录的新增，修改，删除以及编辑功能，支撑对信息目录的配置以及对信息目录下的数据资源的增加，修改，删除以及编辑功能，对数据项提供增加，修改，删除以及编辑功能。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zh-CN"/>
        </w:rPr>
        <w:t>●</w:t>
      </w:r>
      <w:r>
        <w:rPr>
          <w:rFonts w:hint="eastAsia" w:ascii="宋体" w:hAnsi="宋体"/>
          <w:sz w:val="24"/>
          <w:lang w:val="en-US" w:eastAsia="zh-CN"/>
        </w:rPr>
        <w:t>2.4.3.2.3</w:t>
      </w:r>
      <w:r>
        <w:rPr>
          <w:rFonts w:hint="eastAsia"/>
          <w:sz w:val="24"/>
          <w:lang w:eastAsia="zh-Hans"/>
        </w:rPr>
        <w:t>数据</w:t>
      </w:r>
      <w:r>
        <w:rPr>
          <w:sz w:val="24"/>
          <w:lang w:eastAsia="zh-Hans"/>
        </w:rPr>
        <w:t>加工系统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数据加工系统实现对采集的数据或现有的数据进行加工，包括数据清洗，数据转换、数据融合，保证数据标准及安全。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zh-CN"/>
        </w:rPr>
        <w:t>●</w:t>
      </w:r>
      <w:r>
        <w:rPr>
          <w:rFonts w:hint="eastAsia" w:ascii="宋体" w:hAnsi="宋体"/>
          <w:sz w:val="24"/>
          <w:lang w:val="en-US" w:eastAsia="zh-CN"/>
        </w:rPr>
        <w:t>2.4.3.2.4</w:t>
      </w:r>
      <w:r>
        <w:rPr>
          <w:rFonts w:hint="eastAsia"/>
          <w:sz w:val="24"/>
          <w:lang w:eastAsia="zh-Hans"/>
        </w:rPr>
        <w:t>多级数据融合</w:t>
      </w:r>
      <w:r>
        <w:rPr>
          <w:sz w:val="24"/>
          <w:lang w:eastAsia="zh-Hans"/>
        </w:rPr>
        <w:t>系统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zh-CN"/>
        </w:rPr>
        <w:t>满足各个业务系统的相关数据自由融合，上级制定数据标准，下级根据标准提供数据，实现多个下级数据融合，按照层级融合数据，保证数据全面性和统一性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Cs/>
          <w:sz w:val="24"/>
        </w:rPr>
      </w:pPr>
      <w:r>
        <w:rPr>
          <w:rFonts w:hint="eastAsia" w:ascii="宋体" w:hAnsi="宋体"/>
          <w:sz w:val="24"/>
          <w:lang w:val="zh-CN"/>
        </w:rPr>
        <w:t>●</w:t>
      </w:r>
      <w:r>
        <w:rPr>
          <w:rFonts w:hint="eastAsia" w:ascii="宋体" w:hAnsi="宋体"/>
          <w:sz w:val="24"/>
          <w:lang w:val="en-US" w:eastAsia="zh-CN"/>
        </w:rPr>
        <w:t>2.4.3.2.5</w:t>
      </w:r>
      <w:r>
        <w:rPr>
          <w:rFonts w:hint="eastAsia" w:ascii="宋体" w:hAnsi="宋体"/>
          <w:bCs/>
          <w:sz w:val="24"/>
        </w:rPr>
        <w:t>DaaS管理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DaaS服务系统为各个系统能够互联互通的桥梁，在住建“虚拟+实体”数据中心扮演高速立交通道的角色，打通各个系统以及各个信息孤岛的桥梁。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Cs/>
          <w:sz w:val="24"/>
        </w:rPr>
      </w:pPr>
      <w:r>
        <w:rPr>
          <w:rFonts w:hint="eastAsia" w:ascii="宋体" w:hAnsi="宋体"/>
          <w:sz w:val="24"/>
          <w:lang w:val="en-US" w:eastAsia="zh-CN"/>
        </w:rPr>
        <w:t>2.4.3.2.6</w:t>
      </w:r>
      <w:r>
        <w:rPr>
          <w:rFonts w:hint="eastAsia" w:ascii="宋体" w:hAnsi="宋体"/>
          <w:bCs/>
          <w:sz w:val="24"/>
        </w:rPr>
        <w:t>申请及授权管理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①</w:t>
      </w:r>
      <w:r>
        <w:rPr>
          <w:rFonts w:hint="eastAsia" w:ascii="宋体" w:hAnsi="宋体"/>
          <w:sz w:val="24"/>
        </w:rPr>
        <w:t>支持字段级表单权限控制，基于用户、角色、组织结构可以分配用户入口访问、填报的权限，支持根据不同流程活动配置表单内部字段显示、编辑的权限。共享服务生成权限、共享服务申请权限、共享服务授权访问权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②</w:t>
      </w:r>
      <w:r>
        <w:rPr>
          <w:rFonts w:hint="eastAsia" w:ascii="宋体" w:hAnsi="宋体"/>
          <w:sz w:val="24"/>
        </w:rPr>
        <w:t>申请及授权管理系统用于管理平台访问系统数据，和其他系统通过平台访问所需数据的权限管理，该支持系统用于保证数据的安全以及用户的访问合法性。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Cs/>
          <w:sz w:val="24"/>
        </w:rPr>
      </w:pPr>
      <w:r>
        <w:rPr>
          <w:rFonts w:hint="eastAsia" w:ascii="宋体" w:hAnsi="宋体"/>
          <w:sz w:val="24"/>
          <w:lang w:val="zh-CN"/>
        </w:rPr>
        <w:t>●</w:t>
      </w:r>
      <w:r>
        <w:rPr>
          <w:rFonts w:hint="eastAsia" w:ascii="宋体" w:hAnsi="宋体"/>
          <w:sz w:val="24"/>
          <w:lang w:val="en-US" w:eastAsia="zh-CN"/>
        </w:rPr>
        <w:t>2.4.3.2.7</w:t>
      </w:r>
      <w:r>
        <w:rPr>
          <w:rFonts w:hint="eastAsia" w:ascii="宋体" w:hAnsi="宋体"/>
          <w:bCs/>
          <w:sz w:val="24"/>
        </w:rPr>
        <w:t>数据融合管控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数据融合管控功能可查看所有数据服务列表，展示一数多源数据列表，管理数据融合对外服务接口，可按照具体需求，实现分时数据服务、按需数据服务、实时数据服务等。数据融合管控平台负责管控所有对外服务的接口，以及共享列表的编辑。</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2.4.4</w:t>
      </w:r>
      <w:r>
        <w:rPr>
          <w:rFonts w:hint="eastAsia" w:ascii="宋体" w:hAnsi="宋体"/>
          <w:sz w:val="24"/>
        </w:rPr>
        <w:t>数据</w:t>
      </w:r>
      <w:r>
        <w:rPr>
          <w:rFonts w:ascii="宋体" w:hAnsi="宋体"/>
          <w:sz w:val="24"/>
        </w:rPr>
        <w:t>共享管理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2.4.4.1</w:t>
      </w:r>
      <w:r>
        <w:rPr>
          <w:rFonts w:hint="eastAsia" w:ascii="宋体" w:hAnsi="宋体"/>
          <w:sz w:val="24"/>
          <w:lang w:val="zh-CN"/>
        </w:rPr>
        <w:t>基本要求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搭建一个面向应用、安全可靠、操作便捷、技术先进、规范统一、灵活可扩展的一体化数据共享交换中心，实现数据共享交换的源、目标的定义，通过住建数据中心提供对被共享交换信息的抽取、数据过滤、清洗、转换、标准化、双向传递等数据交换服务和监控，实现住建数据中心同各个业务系统之间的数据交换和共享，为部门的数据资源管理提供有效管理平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2.4.4.2</w:t>
      </w:r>
      <w:r>
        <w:rPr>
          <w:rFonts w:hint="eastAsia" w:ascii="宋体" w:hAnsi="宋体"/>
          <w:sz w:val="24"/>
        </w:rPr>
        <w:t>建设内容：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2.4.4.2.1</w:t>
      </w:r>
      <w:r>
        <w:rPr>
          <w:rFonts w:hint="eastAsia" w:ascii="宋体" w:hAnsi="宋体"/>
          <w:sz w:val="24"/>
        </w:rPr>
        <w:t>内部</w:t>
      </w:r>
      <w:r>
        <w:rPr>
          <w:rFonts w:ascii="宋体" w:hAnsi="宋体"/>
          <w:sz w:val="24"/>
        </w:rPr>
        <w:t>数据共享</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于尚不确定是否需要进行数据交换、但存在查询需求的业务数据，内部处室和直属单位直接通过界面选择数据中心资源库的数据类，查询数据类下的数据信息，同时根据各数据类的数据项内容，界面提供数据项筛选查询功能。</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pPr>
      <w:r>
        <w:rPr>
          <w:rFonts w:hint="eastAsia" w:ascii="宋体" w:hAnsi="宋体"/>
          <w:sz w:val="24"/>
          <w:lang w:val="zh-CN"/>
        </w:rPr>
        <w:t>●</w:t>
      </w:r>
      <w:r>
        <w:rPr>
          <w:rFonts w:hint="eastAsia" w:ascii="宋体" w:hAnsi="宋体"/>
          <w:sz w:val="24"/>
          <w:lang w:val="en-US" w:eastAsia="zh-CN"/>
        </w:rPr>
        <w:t>2.4.4.2.2</w:t>
      </w:r>
      <w:r>
        <w:rPr>
          <w:rFonts w:ascii="宋体" w:hAnsi="宋体"/>
          <w:sz w:val="24"/>
        </w:rPr>
        <w:t>外部</w:t>
      </w:r>
      <w:r>
        <w:rPr>
          <w:rFonts w:hint="eastAsia" w:ascii="宋体" w:hAnsi="宋体"/>
          <w:sz w:val="24"/>
        </w:rPr>
        <w:t>数据</w:t>
      </w:r>
      <w:r>
        <w:rPr>
          <w:rFonts w:ascii="宋体" w:hAnsi="宋体"/>
          <w:sz w:val="24"/>
        </w:rPr>
        <w:t>共享管理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共享数据生成</w:t>
      </w:r>
      <w:r>
        <w:rPr>
          <w:rFonts w:hint="eastAsia" w:ascii="宋体" w:hAnsi="宋体"/>
          <w:sz w:val="24"/>
          <w:lang w:eastAsia="zh-CN"/>
        </w:rPr>
        <w:t>：</w:t>
      </w:r>
      <w:r>
        <w:rPr>
          <w:rFonts w:hint="eastAsia" w:ascii="宋体" w:hAnsi="宋体"/>
          <w:sz w:val="24"/>
        </w:rPr>
        <w:t>从数据中心的资源库中选择可以无条件对外共享的数据类，存储到对外无条件共享数据库中，同时记录数据生成时间、生成数据类、生成数据条数等信息。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共享数据提交</w:t>
      </w:r>
      <w:r>
        <w:rPr>
          <w:rFonts w:hint="eastAsia" w:ascii="宋体" w:hAnsi="宋体"/>
          <w:sz w:val="24"/>
          <w:lang w:eastAsia="zh-CN"/>
        </w:rPr>
        <w:t>：</w:t>
      </w:r>
      <w:r>
        <w:rPr>
          <w:rFonts w:hint="eastAsia" w:ascii="宋体" w:hAnsi="宋体"/>
          <w:sz w:val="24"/>
        </w:rPr>
        <w:t>将生成的对外无条件共享数据库中的数据提交至市级数据共享平台，保证数据中心的无条件共享库和市级数据</w:t>
      </w:r>
      <w:r>
        <w:rPr>
          <w:rFonts w:ascii="宋体" w:hAnsi="宋体"/>
          <w:sz w:val="24"/>
        </w:rPr>
        <w:t>共享平台</w:t>
      </w:r>
      <w:r>
        <w:rPr>
          <w:rFonts w:hint="eastAsia" w:ascii="宋体" w:hAnsi="宋体"/>
          <w:sz w:val="24"/>
        </w:rPr>
        <w:t>无条件共享数据保持一致，同时记录提交时间、提交数据类、提交数据条数等信息。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共享信息记录</w:t>
      </w:r>
      <w:r>
        <w:rPr>
          <w:rFonts w:hint="eastAsia" w:ascii="宋体" w:hAnsi="宋体"/>
          <w:sz w:val="24"/>
          <w:lang w:eastAsia="zh-CN"/>
        </w:rPr>
        <w:t>：</w:t>
      </w:r>
      <w:r>
        <w:rPr>
          <w:rFonts w:hint="eastAsia" w:ascii="宋体" w:hAnsi="宋体"/>
          <w:sz w:val="24"/>
        </w:rPr>
        <w:t>数据中心可直接在本地查看无条件数据共享记录，包括查询时间、使用部门名称、使用数据类、使用数据项、使用数据内容等。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2.4.4.2.3</w:t>
      </w:r>
      <w:r>
        <w:rPr>
          <w:rFonts w:hint="eastAsia" w:ascii="宋体" w:hAnsi="宋体"/>
          <w:sz w:val="24"/>
        </w:rPr>
        <w:t>通用</w:t>
      </w:r>
      <w:r>
        <w:rPr>
          <w:rFonts w:ascii="宋体" w:hAnsi="宋体"/>
          <w:sz w:val="24"/>
        </w:rPr>
        <w:t>业务共享交互服务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交互服务将实现统一消息接收解析，根据住建数据中心配置，实现自定义的消息分发处理将最终结果返回请求方，以此实现业务实时交互。</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2.4.4.2.4</w:t>
      </w:r>
      <w:r>
        <w:rPr>
          <w:rFonts w:ascii="宋体" w:hAnsi="宋体"/>
          <w:sz w:val="24"/>
        </w:rPr>
        <w:t>中心数据交换</w:t>
      </w:r>
      <w:r>
        <w:rPr>
          <w:rFonts w:hint="eastAsia" w:ascii="宋体" w:hAnsi="宋体"/>
          <w:sz w:val="24"/>
        </w:rPr>
        <w:t>控制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zh-CN" w:eastAsia="zh-CN" w:bidi="ar-SA"/>
        </w:rPr>
        <w:t>●</w:t>
      </w:r>
      <w:r>
        <w:rPr>
          <w:rFonts w:hint="eastAsia" w:ascii="宋体" w:hAnsi="宋体" w:cs="Times New Roman"/>
          <w:kern w:val="2"/>
          <w:sz w:val="24"/>
          <w:szCs w:val="24"/>
          <w:lang w:val="en-US" w:eastAsia="zh-CN" w:bidi="ar-SA"/>
        </w:rPr>
        <w:t>①</w:t>
      </w:r>
      <w:r>
        <w:rPr>
          <w:rFonts w:hint="eastAsia" w:ascii="宋体" w:hAnsi="宋体"/>
          <w:sz w:val="24"/>
          <w:lang w:val="zh-CN"/>
        </w:rPr>
        <w:t>基本</w:t>
      </w:r>
      <w:r>
        <w:rPr>
          <w:rFonts w:ascii="宋体" w:hAnsi="宋体"/>
          <w:sz w:val="24"/>
          <w:lang w:val="zh-CN"/>
        </w:rPr>
        <w:t>要求：</w:t>
      </w:r>
      <w:r>
        <w:rPr>
          <w:rFonts w:hint="eastAsia" w:ascii="宋体" w:hAnsi="宋体" w:eastAsia="宋体" w:cs="Times New Roman"/>
          <w:kern w:val="2"/>
          <w:sz w:val="24"/>
          <w:szCs w:val="24"/>
          <w:lang w:val="en-US" w:eastAsia="zh-CN" w:bidi="ar-SA"/>
        </w:rPr>
        <w:t>通过数据共享交换控制，能够实现各业务系统中必要数据的统一，此功能通过住建“虚拟+实体”数据中心实现，无需与各个业务系统开发厂商对接，只需相关业务系统数据库管理员账户密码并在相关负责人的确认下就可完成，免除中间协调过程以及接口开发过程。</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2" w:firstLineChars="200"/>
        <w:textAlignment w:val="auto"/>
        <w:rPr>
          <w:rFonts w:ascii="宋体" w:hAnsi="宋体"/>
          <w:b/>
          <w:sz w:val="24"/>
        </w:rPr>
      </w:pPr>
      <w:r>
        <w:rPr>
          <w:rFonts w:hint="eastAsia" w:ascii="宋体" w:hAnsi="宋体"/>
          <w:b/>
          <w:sz w:val="24"/>
          <w:lang w:val="en-US" w:eastAsia="zh-CN"/>
        </w:rPr>
        <w:t>②</w:t>
      </w:r>
      <w:r>
        <w:rPr>
          <w:rFonts w:hint="eastAsia" w:ascii="宋体" w:hAnsi="宋体"/>
          <w:b/>
          <w:sz w:val="24"/>
        </w:rPr>
        <w:t>技术</w:t>
      </w:r>
      <w:r>
        <w:rPr>
          <w:rFonts w:ascii="宋体" w:hAnsi="宋体"/>
          <w:b/>
          <w:sz w:val="24"/>
        </w:rPr>
        <w:t>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A.</w:t>
      </w:r>
      <w:r>
        <w:rPr>
          <w:rFonts w:hint="eastAsia" w:ascii="宋体" w:hAnsi="宋体"/>
          <w:sz w:val="24"/>
        </w:rPr>
        <w:t>提供R语言环境、python语言环境、java语言环境、IDE开发环境</w:t>
      </w:r>
      <w:r>
        <w:rPr>
          <w:rFonts w:ascii="宋体" w:hAnsi="宋体"/>
          <w:sz w:val="24"/>
        </w:rPr>
        <w:t>，支持多种主流平台部署，如WINDOWS、Linux、IBM AIX、SUN SOLARIS等。支持这些平台的32位及64位操作系统。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B.</w:t>
      </w:r>
      <w:r>
        <w:rPr>
          <w:rFonts w:ascii="宋体" w:hAnsi="宋体"/>
          <w:sz w:val="24"/>
        </w:rPr>
        <w:t>支持主流数据库的数据集成，提供异构数据源采集：</w:t>
      </w:r>
      <w:r>
        <w:rPr>
          <w:rFonts w:hint="eastAsia" w:ascii="宋体" w:hAnsi="宋体"/>
          <w:sz w:val="24"/>
        </w:rPr>
        <w:t>支持</w:t>
      </w:r>
      <w:r>
        <w:rPr>
          <w:rFonts w:ascii="宋体" w:hAnsi="宋体"/>
          <w:sz w:val="24"/>
        </w:rPr>
        <w:t>结构化、半结构化、非结构化数据源、服务接口的数据整合服务。</w:t>
      </w:r>
      <w:r>
        <w:rPr>
          <w:rFonts w:hint="eastAsia" w:ascii="宋体" w:hAnsi="宋体"/>
          <w:sz w:val="24"/>
        </w:rPr>
        <w:t>数据库</w:t>
      </w:r>
      <w:r>
        <w:rPr>
          <w:rFonts w:ascii="宋体" w:hAnsi="宋体"/>
          <w:sz w:val="24"/>
        </w:rPr>
        <w:t>：</w:t>
      </w:r>
      <w:r>
        <w:rPr>
          <w:rFonts w:hint="eastAsia" w:ascii="宋体" w:hAnsi="宋体"/>
        </w:rPr>
        <w:t>TiDB、OceanBase、PolarDB、达梦、GBase、TDSQL、GaussDB、openGauss</w:t>
      </w:r>
      <w:r>
        <w:rPr>
          <w:rFonts w:ascii="宋体" w:hAnsi="宋体"/>
          <w:sz w:val="24"/>
        </w:rPr>
        <w:t>兼顾</w:t>
      </w:r>
      <w:r>
        <w:rPr>
          <w:rFonts w:ascii="宋体" w:hAnsi="宋体"/>
        </w:rPr>
        <w:t>oracle</w:t>
      </w:r>
      <w:r>
        <w:rPr>
          <w:rFonts w:hint="eastAsia" w:ascii="宋体" w:hAnsi="宋体"/>
        </w:rPr>
        <w:t>、</w:t>
      </w:r>
      <w:r>
        <w:rPr>
          <w:rFonts w:ascii="宋体" w:hAnsi="宋体"/>
        </w:rPr>
        <w:t>mysql</w:t>
      </w:r>
      <w:r>
        <w:rPr>
          <w:rFonts w:hint="eastAsia" w:ascii="宋体" w:hAnsi="宋体"/>
        </w:rPr>
        <w:t>、</w:t>
      </w:r>
      <w:r>
        <w:rPr>
          <w:rFonts w:ascii="宋体" w:hAnsi="宋体"/>
          <w:sz w:val="24"/>
        </w:rPr>
        <w:t>MS Access</w:t>
      </w:r>
      <w:r>
        <w:rPr>
          <w:rFonts w:hint="eastAsia" w:ascii="宋体" w:hAnsi="宋体"/>
        </w:rPr>
        <w:t>、</w:t>
      </w:r>
      <w:r>
        <w:rPr>
          <w:rFonts w:ascii="宋体" w:hAnsi="宋体"/>
        </w:rPr>
        <w:t>SqlServer</w:t>
      </w:r>
      <w:r>
        <w:rPr>
          <w:rFonts w:hint="eastAsia" w:ascii="宋体" w:hAnsi="宋体"/>
        </w:rPr>
        <w:t>、</w:t>
      </w:r>
      <w:r>
        <w:rPr>
          <w:rFonts w:ascii="宋体" w:hAnsi="宋体"/>
          <w:sz w:val="24"/>
        </w:rPr>
        <w:t>PostgreSQL</w:t>
      </w:r>
      <w:r>
        <w:rPr>
          <w:rFonts w:hint="eastAsia" w:ascii="宋体" w:hAnsi="宋体"/>
          <w:sz w:val="24"/>
        </w:rPr>
        <w:t>等</w:t>
      </w:r>
      <w:r>
        <w:rPr>
          <w:rFonts w:ascii="宋体" w:hAnsi="宋体"/>
          <w:sz w:val="24"/>
        </w:rPr>
        <w:t>常用数据库</w:t>
      </w:r>
      <w:r>
        <w:rPr>
          <w:rFonts w:hint="eastAsia" w:ascii="宋体" w:hAnsi="宋体"/>
          <w:sz w:val="24"/>
        </w:rPr>
        <w:t>。</w:t>
      </w:r>
      <w:r>
        <w:rPr>
          <w:rFonts w:ascii="宋体" w:hAnsi="宋体"/>
          <w:sz w:val="24"/>
        </w:rPr>
        <w:t>Hbase查询语言支持标准SQL</w:t>
      </w:r>
      <w:r>
        <w:rPr>
          <w:rFonts w:hint="eastAsia" w:ascii="宋体" w:hAnsi="宋体"/>
          <w:sz w:val="24"/>
        </w:rPr>
        <w:t>，</w:t>
      </w:r>
      <w:r>
        <w:rPr>
          <w:rFonts w:ascii="宋体" w:hAnsi="宋体"/>
          <w:sz w:val="24"/>
        </w:rPr>
        <w:t>支持大数据相关分析工具和引擎如hive</w:t>
      </w:r>
      <w:r>
        <w:rPr>
          <w:rFonts w:hint="eastAsia" w:ascii="宋体" w:hAnsi="宋体"/>
          <w:sz w:val="24"/>
        </w:rPr>
        <w:t>、</w:t>
      </w:r>
      <w:r>
        <w:rPr>
          <w:rFonts w:ascii="宋体" w:hAnsi="宋体"/>
          <w:sz w:val="24"/>
        </w:rPr>
        <w:t>spark</w:t>
      </w:r>
      <w:r>
        <w:rPr>
          <w:rFonts w:hint="eastAsia" w:ascii="宋体" w:hAnsi="宋体"/>
          <w:sz w:val="24"/>
        </w:rPr>
        <w:t>、</w:t>
      </w:r>
      <w:r>
        <w:rPr>
          <w:rFonts w:ascii="宋体" w:hAnsi="宋体"/>
          <w:sz w:val="24"/>
        </w:rPr>
        <w:t>mq等；半结构化文件：Excel、XML、dbf、CVS等；服务接口：Webservice、HTTP、FTP、EMAIL。</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C.</w:t>
      </w:r>
      <w:r>
        <w:rPr>
          <w:rFonts w:ascii="宋体" w:hAnsi="宋体"/>
          <w:sz w:val="24"/>
        </w:rPr>
        <w:t>可根据业务系统所能提供的不同开放程度和支持力度，提供相应的数据交换服务，实现异构业务系统所必需的信息交换服务；能够查询、转换、复制不同数据源中的结构化、半结构化、非结构化的数据。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D.</w:t>
      </w:r>
      <w:r>
        <w:rPr>
          <w:rFonts w:ascii="宋体" w:hAnsi="宋体"/>
          <w:sz w:val="24"/>
        </w:rPr>
        <w:t>提供图形化的数据整合任务配置，通过简单的拖拉线配置即可实现异构数据源和</w:t>
      </w:r>
      <w:r>
        <w:rPr>
          <w:rFonts w:hint="eastAsia" w:ascii="宋体" w:hAnsi="宋体"/>
          <w:sz w:val="24"/>
        </w:rPr>
        <w:t>住建</w:t>
      </w:r>
      <w:r>
        <w:rPr>
          <w:rFonts w:ascii="宋体" w:hAnsi="宋体"/>
          <w:sz w:val="24"/>
        </w:rPr>
        <w:t>数据中心数据</w:t>
      </w:r>
      <w:r>
        <w:rPr>
          <w:rFonts w:hint="eastAsia" w:ascii="宋体" w:hAnsi="宋体"/>
          <w:sz w:val="24"/>
        </w:rPr>
        <w:t>共享</w:t>
      </w:r>
      <w:r>
        <w:rPr>
          <w:rFonts w:ascii="宋体" w:hAnsi="宋体"/>
          <w:sz w:val="24"/>
        </w:rPr>
        <w:t>交换中心的数据同步，无需任何编码。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E.</w:t>
      </w:r>
      <w:r>
        <w:rPr>
          <w:rFonts w:ascii="宋体" w:hAnsi="宋体"/>
          <w:sz w:val="24"/>
        </w:rPr>
        <w:t>解决异构数据的映射和增量数据清洗，准确的数据变化感知：无论源数据发生了什么变化，包括插入新数据、更新旧数据、删除数据等，都可以实现实时准确的数据同步；避免频繁、重复的读取业务系统数据，整合平台自带数据缓存。</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F.</w:t>
      </w:r>
      <w:r>
        <w:rPr>
          <w:rFonts w:ascii="宋体" w:hAnsi="宋体"/>
          <w:sz w:val="24"/>
        </w:rPr>
        <w:t>敏感数据的通信与交换在网络中的传输安全保证，支持SSL协议。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G.</w:t>
      </w:r>
      <w:r>
        <w:rPr>
          <w:rFonts w:ascii="宋体" w:hAnsi="宋体"/>
          <w:sz w:val="24"/>
        </w:rPr>
        <w:t>提供智能数据交换监视，根据异常的级别进行预警通知。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H.</w:t>
      </w:r>
      <w:r>
        <w:rPr>
          <w:rFonts w:ascii="宋体" w:hAnsi="宋体"/>
          <w:sz w:val="24"/>
        </w:rPr>
        <w:t>支持历史数据管理功能：通过对历史数据的标准化清洗，实现对历史数据进行</w:t>
      </w:r>
      <w:r>
        <w:rPr>
          <w:rFonts w:hint="eastAsia" w:ascii="宋体" w:hAnsi="宋体"/>
          <w:sz w:val="24"/>
        </w:rPr>
        <w:t>转</w:t>
      </w:r>
      <w:r>
        <w:rPr>
          <w:rFonts w:ascii="宋体" w:hAnsi="宋体"/>
          <w:sz w:val="24"/>
        </w:rPr>
        <w:t>换，按照备份时间点对历史数据进行分析构建</w:t>
      </w:r>
      <w:r>
        <w:rPr>
          <w:rFonts w:hint="eastAsia" w:ascii="宋体" w:hAnsi="宋体"/>
          <w:sz w:val="24"/>
        </w:rPr>
        <w:t>住建</w:t>
      </w:r>
      <w:r>
        <w:rPr>
          <w:rFonts w:ascii="宋体" w:hAnsi="宋体"/>
          <w:sz w:val="24"/>
        </w:rPr>
        <w:t>数据中心历史数据对照表，历史数据可以配置成报表、查询可用的数据源。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I.</w:t>
      </w:r>
      <w:r>
        <w:rPr>
          <w:rFonts w:ascii="宋体" w:hAnsi="宋体"/>
          <w:sz w:val="24"/>
        </w:rPr>
        <w:t>支持数据标准转换管理：按照标准代码对接入的数据进行检查，实现代码转换和纠错；通过对标准代码对应的数据进行检查，对错误及不规范的数据进行纠错。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J.</w:t>
      </w:r>
      <w:r>
        <w:rPr>
          <w:rFonts w:ascii="宋体" w:hAnsi="宋体"/>
          <w:sz w:val="24"/>
        </w:rPr>
        <w:t>支持</w:t>
      </w:r>
      <w:r>
        <w:rPr>
          <w:rFonts w:hint="eastAsia" w:ascii="宋体" w:hAnsi="宋体"/>
          <w:sz w:val="24"/>
        </w:rPr>
        <w:t>共享</w:t>
      </w:r>
      <w:r>
        <w:rPr>
          <w:rFonts w:ascii="宋体" w:hAnsi="宋体"/>
          <w:sz w:val="24"/>
        </w:rPr>
        <w:t>数据封装、数据访问服务，并实现对服务接口的管理，支持对服务接口名称、接口方法的查询和编辑，以及对接口的授权管理。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en-US" w:eastAsia="zh-CN"/>
        </w:rPr>
      </w:pPr>
      <w:r>
        <w:rPr>
          <w:rFonts w:hint="eastAsia" w:ascii="宋体" w:hAnsi="宋体"/>
          <w:b/>
          <w:bCs/>
          <w:sz w:val="24"/>
          <w:lang w:val="en-US" w:eastAsia="zh-CN"/>
        </w:rPr>
        <w:t>▲2.4.4.2.5提供国家版权局出具的共享服务类计算机软件著作权证书复印件，并加盖投标人电子印章。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lang w:eastAsia="zh-Hans"/>
        </w:rPr>
      </w:pPr>
      <w:r>
        <w:rPr>
          <w:rFonts w:hint="eastAsia" w:ascii="宋体" w:hAnsi="宋体"/>
          <w:sz w:val="24"/>
          <w:lang w:val="en-US" w:eastAsia="zh-CN"/>
        </w:rPr>
        <w:t>2.4.5</w:t>
      </w:r>
      <w:r>
        <w:rPr>
          <w:sz w:val="24"/>
          <w:lang w:eastAsia="zh-Hans"/>
        </w:rPr>
        <w:t>零代码数据接口服务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2.4.5.1</w:t>
      </w:r>
      <w:r>
        <w:rPr>
          <w:rFonts w:ascii="宋体" w:hAnsi="宋体"/>
          <w:sz w:val="24"/>
          <w:lang w:val="zh-CN"/>
        </w:rPr>
        <w:t>基本要求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依托数据融合共享中心与业务数据项的关系依赖，具备在数据融合的同时即可实现融合数据对外提供标准数据服务接口，能灵活的将需要使用的数据进行融合生成多种格式的接口服务（非封装的</w:t>
      </w:r>
      <w:r>
        <w:rPr>
          <w:rFonts w:ascii="宋体" w:hAnsi="宋体"/>
          <w:sz w:val="24"/>
        </w:rPr>
        <w:t>API）,如WebService、REST、WEB、HTML、XML、JMS、JSON等。接口服务不用业务系统商独立开发、不用进行二编程及测试，可方便快速供第三方应用系统使用，外部系统不用关注数据来源和数据类型，只关注数据内容</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rPr>
      </w:pPr>
      <w:r>
        <w:rPr>
          <w:rFonts w:hint="eastAsia" w:ascii="宋体" w:hAnsi="宋体"/>
          <w:sz w:val="24"/>
          <w:lang w:val="en-US" w:eastAsia="zh-CN"/>
        </w:rPr>
        <w:t>2.4.5.2</w:t>
      </w:r>
      <w:r>
        <w:rPr>
          <w:rFonts w:hint="eastAsia" w:ascii="宋体" w:hAnsi="宋体"/>
          <w:b/>
          <w:sz w:val="24"/>
        </w:rPr>
        <w:t>技术</w:t>
      </w:r>
      <w:r>
        <w:rPr>
          <w:rFonts w:ascii="宋体" w:hAnsi="宋体"/>
          <w:b/>
          <w:sz w:val="24"/>
        </w:rPr>
        <w:t>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lang w:val="zh-CN"/>
        </w:rPr>
      </w:pPr>
      <w:r>
        <w:rPr>
          <w:rFonts w:hint="eastAsia" w:ascii="宋体" w:hAnsi="宋体"/>
          <w:sz w:val="24"/>
          <w:lang w:val="zh-CN"/>
        </w:rPr>
        <w:t>●</w:t>
      </w:r>
      <w:r>
        <w:rPr>
          <w:rFonts w:hint="eastAsia" w:ascii="宋体" w:hAnsi="宋体"/>
          <w:sz w:val="24"/>
          <w:lang w:val="en-US" w:eastAsia="zh-CN"/>
        </w:rPr>
        <w:t>2.4.5.2.1</w:t>
      </w:r>
      <w:r>
        <w:rPr>
          <w:rFonts w:hint="eastAsia" w:ascii="宋体" w:hAnsi="宋体"/>
          <w:b w:val="0"/>
          <w:bCs/>
          <w:sz w:val="24"/>
        </w:rPr>
        <w:t>服务发布支持数据服务、文件服务、第三方服务的发布、变更、送审、启用、停用操作；数据服务提供查看、API、下载方式，在数据服务发布过程中提供数据脱敏加密，数据表权限、行列权限配置，流量控制配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2.4.5.2.2</w:t>
      </w:r>
      <w:r>
        <w:rPr>
          <w:rFonts w:hint="eastAsia" w:ascii="宋体" w:hAnsi="宋体"/>
          <w:sz w:val="24"/>
        </w:rPr>
        <w:t>实现所有对内和对外接口服务的注册、权限分配、接口测试、日志管理等功能。</w:t>
      </w:r>
    </w:p>
    <w:p>
      <w:pPr>
        <w:pStyle w:val="2"/>
      </w:pP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000" w:type="pct"/>
            <w:gridSpan w:val="2"/>
            <w:shd w:val="clear" w:color="auto" w:fill="auto"/>
            <w:noWrap/>
            <w:vAlign w:val="center"/>
          </w:tcPr>
          <w:p>
            <w:pPr>
              <w:widowControl/>
              <w:adjustRightInd w:val="0"/>
              <w:snapToGrid w:val="0"/>
              <w:spacing w:line="360" w:lineRule="auto"/>
              <w:ind w:firstLine="422"/>
              <w:jc w:val="center"/>
              <w:rPr>
                <w:rFonts w:ascii="楷体_GB2312" w:hAnsi="宋体" w:eastAsia="楷体_GB2312" w:cs="宋体"/>
                <w:b/>
                <w:bCs/>
                <w:kern w:val="0"/>
                <w:sz w:val="24"/>
              </w:rPr>
            </w:pPr>
            <w:r>
              <w:rPr>
                <w:rFonts w:hint="eastAsia" w:ascii="楷体_GB2312" w:hAnsi="宋体" w:eastAsia="楷体_GB2312" w:cs="宋体"/>
                <w:b/>
                <w:bCs/>
                <w:kern w:val="0"/>
                <w:sz w:val="24"/>
              </w:rPr>
              <w:t>市住建局内部数据共享服务接口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26" w:type="pct"/>
            <w:shd w:val="clear" w:color="auto" w:fill="auto"/>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序号</w:t>
            </w:r>
          </w:p>
        </w:tc>
        <w:tc>
          <w:tcPr>
            <w:tcW w:w="4474" w:type="pct"/>
            <w:shd w:val="clear" w:color="auto" w:fill="auto"/>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接口名称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企业库数据共享服务接口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人员库数据共享服务接口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项目库数据共享服务接口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诚信库数据共享服务接口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业务数据共享服务接口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6</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查询成果审核进度的服务接口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7</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查询楼栋基本信息的服务接口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8</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查询楼盘表基础物理数据的服务接口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9</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预许可售信息查询服务接口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10</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现售备案查询服务接口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11</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合同信息查询服务接口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12</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商品房合同备案信息查询服务接口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13</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存量房同信息查询服务接口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14</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不动产登记业务的受理、审核、登簿、缮证数据回写服务接口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15</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对不动产登记的交易验证服务接口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16</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交易审核合同申请、变更、撤销的服务接口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17</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查询楼幢信息、房屋信息、登记信息的服务接口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18</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通过登记结果信息查询房屋信息的服务接口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19</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根据人员证件号码查询对应人员的房屋记录的服务接口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20</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通过地址查询房屋信息的服务接口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21</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租赁备案申请服务接口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22</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查询及验证服务接口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23</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购房登记查询服务接口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24</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购房登记查询服务接口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25</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保障对象信息查询服务接口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26</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配租配售结果查询服务接口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27</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人才资格申请审核情况查询服务接口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28</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配租配售结果查询服务接口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29</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直管公房承租人情况查询服务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30</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建筑区划信息的查询服务接口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31</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机构关联建筑区划信息的查询服务接口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32</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建筑区划与楼栋关联信息的查询服务接口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33</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备案信息的查询服务接口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34</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交款通知单的查询服务接口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35</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支取通知单的查询服务接口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36</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定期通知单查询服务接口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37</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实施证明的查询服务接口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38</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征收项目信息查询服务接口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39</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根据备案号查询 “被征收房屋协议备案表”的相关信息接口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40</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个人住房信息查询记录服务接口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41</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个人住房信息查询记录服务接口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42</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房屋信息查询记录服务接口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43</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网签合同信息查询记录服务接口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44</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交易房屋信息核实记录服务接口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45</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行业机构信息接口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46</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行业人员信息接口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6" w:type="pct"/>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47</w:t>
            </w:r>
          </w:p>
        </w:tc>
        <w:tc>
          <w:tcPr>
            <w:tcW w:w="4474" w:type="pct"/>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向工商推送警示信息、业绩信息、信用等级信息接口</w:t>
            </w:r>
          </w:p>
        </w:tc>
      </w:tr>
    </w:tbl>
    <w:p>
      <w:pPr>
        <w:numPr>
          <w:ilvl w:val="255"/>
          <w:numId w:val="0"/>
        </w:numPr>
        <w:adjustRightInd w:val="0"/>
        <w:snapToGrid w:val="0"/>
        <w:spacing w:line="360" w:lineRule="auto"/>
        <w:jc w:val="center"/>
        <w:rPr>
          <w:rFonts w:ascii="楷体_GB2312" w:eastAsia="楷体_GB2312"/>
          <w:b/>
          <w:sz w:val="24"/>
        </w:rPr>
      </w:pPr>
    </w:p>
    <w:tbl>
      <w:tblPr>
        <w:tblStyle w:val="33"/>
        <w:tblW w:w="5000" w:type="pct"/>
        <w:tblInd w:w="0" w:type="dxa"/>
        <w:tblLayout w:type="autofit"/>
        <w:tblCellMar>
          <w:top w:w="0" w:type="dxa"/>
          <w:left w:w="108" w:type="dxa"/>
          <w:bottom w:w="0" w:type="dxa"/>
          <w:right w:w="108" w:type="dxa"/>
        </w:tblCellMar>
      </w:tblPr>
      <w:tblGrid>
        <w:gridCol w:w="3576"/>
        <w:gridCol w:w="5427"/>
      </w:tblGrid>
      <w:tr>
        <w:tblPrEx>
          <w:tblCellMar>
            <w:top w:w="0" w:type="dxa"/>
            <w:left w:w="108" w:type="dxa"/>
            <w:bottom w:w="0" w:type="dxa"/>
            <w:right w:w="108" w:type="dxa"/>
          </w:tblCellMar>
        </w:tblPrEx>
        <w:trPr>
          <w:trHeight w:val="435" w:hRule="atLeast"/>
          <w:tblHead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bCs/>
                <w:kern w:val="0"/>
                <w:sz w:val="24"/>
              </w:rPr>
            </w:pPr>
            <w:r>
              <w:rPr>
                <w:rFonts w:hint="eastAsia" w:ascii="楷体_GB2312" w:eastAsia="楷体_GB2312"/>
                <w:b/>
                <w:sz w:val="24"/>
              </w:rPr>
              <w:t>市住建局外部数据共享服务接口</w:t>
            </w:r>
          </w:p>
        </w:tc>
      </w:tr>
      <w:tr>
        <w:tblPrEx>
          <w:tblCellMar>
            <w:top w:w="0" w:type="dxa"/>
            <w:left w:w="108" w:type="dxa"/>
            <w:bottom w:w="0" w:type="dxa"/>
            <w:right w:w="108" w:type="dxa"/>
          </w:tblCellMar>
        </w:tblPrEx>
        <w:trPr>
          <w:trHeight w:val="435" w:hRule="atLeast"/>
          <w:tblHeader/>
        </w:trPr>
        <w:tc>
          <w:tcPr>
            <w:tcW w:w="1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ind w:firstLine="422"/>
              <w:jc w:val="center"/>
              <w:rPr>
                <w:rFonts w:ascii="宋体" w:hAnsi="宋体" w:cs="宋体"/>
                <w:bCs/>
                <w:kern w:val="0"/>
                <w:sz w:val="24"/>
              </w:rPr>
            </w:pPr>
            <w:r>
              <w:rPr>
                <w:rFonts w:hint="eastAsia" w:ascii="宋体" w:hAnsi="宋体" w:cs="宋体"/>
                <w:bCs/>
                <w:kern w:val="0"/>
                <w:sz w:val="24"/>
              </w:rPr>
              <w:t>数据使用单位</w:t>
            </w:r>
          </w:p>
        </w:tc>
        <w:tc>
          <w:tcPr>
            <w:tcW w:w="301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接口名称</w:t>
            </w:r>
          </w:p>
        </w:tc>
      </w:tr>
      <w:tr>
        <w:tblPrEx>
          <w:tblCellMar>
            <w:top w:w="0" w:type="dxa"/>
            <w:left w:w="108" w:type="dxa"/>
            <w:bottom w:w="0" w:type="dxa"/>
            <w:right w:w="108" w:type="dxa"/>
          </w:tblCellMar>
        </w:tblPrEx>
        <w:trPr>
          <w:trHeight w:val="420" w:hRule="atLeast"/>
        </w:trPr>
        <w:tc>
          <w:tcPr>
            <w:tcW w:w="198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省住建厅</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企业及资质数据库接口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注册人员数据库接口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企业业绩数据接口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诚信库数据共享服务接口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房产网签备案数据库接口</w:t>
            </w:r>
          </w:p>
        </w:tc>
      </w:tr>
      <w:tr>
        <w:tblPrEx>
          <w:tblCellMar>
            <w:top w:w="0" w:type="dxa"/>
            <w:left w:w="108" w:type="dxa"/>
            <w:bottom w:w="0" w:type="dxa"/>
            <w:right w:w="108" w:type="dxa"/>
          </w:tblCellMar>
        </w:tblPrEx>
        <w:trPr>
          <w:trHeight w:val="420" w:hRule="atLeast"/>
        </w:trPr>
        <w:tc>
          <w:tcPr>
            <w:tcW w:w="198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市城管委</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运渣车数据采集接口</w:t>
            </w:r>
          </w:p>
        </w:tc>
      </w:tr>
      <w:tr>
        <w:tblPrEx>
          <w:tblCellMar>
            <w:top w:w="0" w:type="dxa"/>
            <w:left w:w="108" w:type="dxa"/>
            <w:bottom w:w="0" w:type="dxa"/>
            <w:right w:w="108" w:type="dxa"/>
          </w:tblCellMar>
        </w:tblPrEx>
        <w:trPr>
          <w:trHeight w:val="420" w:hRule="atLeast"/>
        </w:trPr>
        <w:tc>
          <w:tcPr>
            <w:tcW w:w="198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市公共资源交易中心、市发改委</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诚信库数据共享服务接口</w:t>
            </w:r>
          </w:p>
        </w:tc>
      </w:tr>
      <w:tr>
        <w:tblPrEx>
          <w:tblCellMar>
            <w:top w:w="0" w:type="dxa"/>
            <w:left w:w="108" w:type="dxa"/>
            <w:bottom w:w="0" w:type="dxa"/>
            <w:right w:w="108" w:type="dxa"/>
          </w:tblCellMar>
        </w:tblPrEx>
        <w:trPr>
          <w:trHeight w:val="420" w:hRule="atLeast"/>
        </w:trPr>
        <w:tc>
          <w:tcPr>
            <w:tcW w:w="198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省公积金</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个人房屋套数查询接口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预售许可证查询接口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合同备案信息查询接口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公共租赁住房信息查询接口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房屋租赁备案信息查询接口</w:t>
            </w:r>
          </w:p>
        </w:tc>
      </w:tr>
      <w:tr>
        <w:tblPrEx>
          <w:tblCellMar>
            <w:top w:w="0" w:type="dxa"/>
            <w:left w:w="108" w:type="dxa"/>
            <w:bottom w:w="0" w:type="dxa"/>
            <w:right w:w="108" w:type="dxa"/>
          </w:tblCellMar>
        </w:tblPrEx>
        <w:trPr>
          <w:trHeight w:val="420" w:hRule="atLeast"/>
        </w:trPr>
        <w:tc>
          <w:tcPr>
            <w:tcW w:w="198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市公积金</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个人房屋信息查询接口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公租房和商品房租赁信息查询接口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征收房屋信息查询接口</w:t>
            </w:r>
          </w:p>
        </w:tc>
      </w:tr>
      <w:tr>
        <w:tblPrEx>
          <w:tblCellMar>
            <w:top w:w="0" w:type="dxa"/>
            <w:left w:w="108" w:type="dxa"/>
            <w:bottom w:w="0" w:type="dxa"/>
            <w:right w:w="108" w:type="dxa"/>
          </w:tblCellMar>
        </w:tblPrEx>
        <w:trPr>
          <w:trHeight w:val="420" w:hRule="atLeast"/>
        </w:trPr>
        <w:tc>
          <w:tcPr>
            <w:tcW w:w="1986" w:type="pct"/>
            <w:vMerge w:val="restart"/>
            <w:tcBorders>
              <w:top w:val="nil"/>
              <w:left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市规自局</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住所地址验证接口</w:t>
            </w:r>
          </w:p>
        </w:tc>
      </w:tr>
      <w:tr>
        <w:tblPrEx>
          <w:tblCellMar>
            <w:top w:w="0" w:type="dxa"/>
            <w:left w:w="108" w:type="dxa"/>
            <w:bottom w:w="0" w:type="dxa"/>
            <w:right w:w="108" w:type="dxa"/>
          </w:tblCellMar>
        </w:tblPrEx>
        <w:trPr>
          <w:trHeight w:val="420" w:hRule="atLeast"/>
        </w:trPr>
        <w:tc>
          <w:tcPr>
            <w:tcW w:w="1986"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项目规划信息接口</w:t>
            </w:r>
          </w:p>
        </w:tc>
      </w:tr>
      <w:tr>
        <w:tblPrEx>
          <w:tblCellMar>
            <w:top w:w="0" w:type="dxa"/>
            <w:left w:w="108" w:type="dxa"/>
            <w:bottom w:w="0" w:type="dxa"/>
            <w:right w:w="108" w:type="dxa"/>
          </w:tblCellMar>
        </w:tblPrEx>
        <w:trPr>
          <w:trHeight w:val="420" w:hRule="atLeast"/>
        </w:trPr>
        <w:tc>
          <w:tcPr>
            <w:tcW w:w="198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市不动产登记</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房屋合同概要信息查询接口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房屋合同详细信息查询接口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房屋合同概要信息批量查询接口</w:t>
            </w:r>
          </w:p>
        </w:tc>
      </w:tr>
      <w:tr>
        <w:tblPrEx>
          <w:tblCellMar>
            <w:top w:w="0" w:type="dxa"/>
            <w:left w:w="108" w:type="dxa"/>
            <w:bottom w:w="0" w:type="dxa"/>
            <w:right w:w="108" w:type="dxa"/>
          </w:tblCellMar>
        </w:tblPrEx>
        <w:trPr>
          <w:trHeight w:val="420" w:hRule="atLeast"/>
        </w:trPr>
        <w:tc>
          <w:tcPr>
            <w:tcW w:w="1986"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市民政局</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房屋查询接口</w:t>
            </w:r>
          </w:p>
        </w:tc>
      </w:tr>
      <w:tr>
        <w:tblPrEx>
          <w:tblCellMar>
            <w:top w:w="0" w:type="dxa"/>
            <w:left w:w="108" w:type="dxa"/>
            <w:bottom w:w="0" w:type="dxa"/>
            <w:right w:w="108" w:type="dxa"/>
          </w:tblCellMar>
        </w:tblPrEx>
        <w:trPr>
          <w:trHeight w:val="420" w:hRule="atLeast"/>
        </w:trPr>
        <w:tc>
          <w:tcPr>
            <w:tcW w:w="198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市地税局</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拆迁补偿信息查询接口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登记信息查询接口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房产查询接口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商品房预售证查询接口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商品房预售信息查询接口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商品房预售房源信息查询接口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商品房销售备案房源信息查询接口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商品房销售备案合同查询接口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商品房房源信息统计接口</w:t>
            </w:r>
          </w:p>
        </w:tc>
      </w:tr>
      <w:tr>
        <w:tblPrEx>
          <w:tblCellMar>
            <w:top w:w="0" w:type="dxa"/>
            <w:left w:w="108" w:type="dxa"/>
            <w:bottom w:w="0" w:type="dxa"/>
            <w:right w:w="108" w:type="dxa"/>
          </w:tblCellMar>
        </w:tblPrEx>
        <w:trPr>
          <w:trHeight w:val="420" w:hRule="atLeast"/>
        </w:trPr>
        <w:tc>
          <w:tcPr>
            <w:tcW w:w="198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智慧治理中心</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获取业务事项办件总量接口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取排队叫号详情接口</w:t>
            </w:r>
          </w:p>
        </w:tc>
      </w:tr>
      <w:tr>
        <w:tblPrEx>
          <w:tblCellMar>
            <w:top w:w="0" w:type="dxa"/>
            <w:left w:w="108" w:type="dxa"/>
            <w:bottom w:w="0" w:type="dxa"/>
            <w:right w:w="108" w:type="dxa"/>
          </w:tblCellMar>
        </w:tblPrEx>
        <w:trPr>
          <w:trHeight w:val="420" w:hRule="atLeast"/>
        </w:trPr>
        <w:tc>
          <w:tcPr>
            <w:tcW w:w="1986"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成房担保</w:t>
            </w:r>
          </w:p>
        </w:tc>
        <w:tc>
          <w:tcPr>
            <w:tcW w:w="301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商品房合同备案信息查询接口</w:t>
            </w:r>
          </w:p>
        </w:tc>
      </w:tr>
      <w:tr>
        <w:tblPrEx>
          <w:tblCellMar>
            <w:top w:w="0" w:type="dxa"/>
            <w:left w:w="108" w:type="dxa"/>
            <w:bottom w:w="0" w:type="dxa"/>
            <w:right w:w="108" w:type="dxa"/>
          </w:tblCellMar>
        </w:tblPrEx>
        <w:trPr>
          <w:trHeight w:val="420" w:hRule="atLeast"/>
        </w:trPr>
        <w:tc>
          <w:tcPr>
            <w:tcW w:w="1986"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市民云</w:t>
            </w: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个人合同备案列表查询接口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个人合同备案详细信息查询接口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房源信息验证接口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房屋测绘报告审核进度查询接口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商品房预售许可进度查询接口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房屋登记进度查询接口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通用查询住保保障资格进度接口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通用查询住保配租配售结果接口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通用查询住保年审信息接口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公用查询个人房屋信息接口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房屋维修资金账户信息查询接口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查档机房屋信息查询接口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查档机打印房屋信息接口</w:t>
            </w:r>
          </w:p>
        </w:tc>
      </w:tr>
      <w:tr>
        <w:tblPrEx>
          <w:tblCellMar>
            <w:top w:w="0" w:type="dxa"/>
            <w:left w:w="108" w:type="dxa"/>
            <w:bottom w:w="0" w:type="dxa"/>
            <w:right w:w="108" w:type="dxa"/>
          </w:tblCellMar>
        </w:tblPrEx>
        <w:trPr>
          <w:trHeight w:val="420" w:hRule="atLeast"/>
        </w:trPr>
        <w:tc>
          <w:tcPr>
            <w:tcW w:w="198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p>
        </w:tc>
        <w:tc>
          <w:tcPr>
            <w:tcW w:w="301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房屋租赁备案信息查询接口</w:t>
            </w:r>
          </w:p>
        </w:tc>
      </w:tr>
      <w:tr>
        <w:tblPrEx>
          <w:tblCellMar>
            <w:top w:w="0" w:type="dxa"/>
            <w:left w:w="108" w:type="dxa"/>
            <w:bottom w:w="0" w:type="dxa"/>
            <w:right w:w="108" w:type="dxa"/>
          </w:tblCellMar>
        </w:tblPrEx>
        <w:trPr>
          <w:trHeight w:val="420" w:hRule="atLeast"/>
        </w:trPr>
        <w:tc>
          <w:tcPr>
            <w:tcW w:w="198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天府蓉易办</w:t>
            </w:r>
          </w:p>
        </w:tc>
        <w:tc>
          <w:tcPr>
            <w:tcW w:w="301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略</w:t>
            </w:r>
          </w:p>
        </w:tc>
      </w:tr>
    </w:tbl>
    <w:p>
      <w:pPr>
        <w:pStyle w:val="2"/>
      </w:pP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sz w:val="24"/>
        </w:rPr>
      </w:pPr>
      <w:r>
        <w:rPr>
          <w:rFonts w:hint="eastAsia" w:ascii="宋体" w:hAnsi="宋体"/>
          <w:b/>
          <w:bCs/>
          <w:sz w:val="24"/>
          <w:lang w:val="en-US" w:eastAsia="zh-CN"/>
        </w:rPr>
        <w:t>2.5</w:t>
      </w:r>
      <w:r>
        <w:rPr>
          <w:rFonts w:hint="eastAsia" w:ascii="宋体" w:hAnsi="宋体"/>
          <w:b/>
          <w:bCs/>
          <w:sz w:val="24"/>
        </w:rPr>
        <w:t>对接</w:t>
      </w:r>
      <w:r>
        <w:rPr>
          <w:rFonts w:ascii="宋体" w:hAnsi="宋体"/>
          <w:b/>
          <w:bCs/>
          <w:sz w:val="24"/>
        </w:rPr>
        <w:t>成都市政务信息资源共享平台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2.5.1</w:t>
      </w:r>
      <w:r>
        <w:rPr>
          <w:rFonts w:ascii="宋体" w:hAnsi="宋体"/>
          <w:sz w:val="24"/>
          <w:lang w:val="zh-CN"/>
        </w:rPr>
        <w:t>基本要求</w:t>
      </w:r>
      <w:r>
        <w:rPr>
          <w:rFonts w:hint="eastAsia" w:ascii="宋体" w:hAnsi="宋体"/>
          <w:sz w:val="24"/>
          <w:lang w:val="zh-CN"/>
        </w:rPr>
        <w:t>。数据资源治理平台能实现将本地的数据资源通过在线可视化的方式操作完成梳理与筛选，一体化的方式实现政务数据与成都市政务信息资源共享平台对接，基于数据资源治理平台能完成本地的数据资源池，以及完成本地的数据融合功能和公共数据开放需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2.5.2</w:t>
      </w:r>
      <w:r>
        <w:rPr>
          <w:rFonts w:hint="eastAsia" w:ascii="宋体" w:hAnsi="宋体"/>
          <w:sz w:val="24"/>
        </w:rPr>
        <w:t>与</w:t>
      </w:r>
      <w:r>
        <w:rPr>
          <w:rFonts w:ascii="宋体" w:hAnsi="宋体"/>
          <w:sz w:val="24"/>
        </w:rPr>
        <w:t>市数据共享交换平台对接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住建数据资源治理平台将按照成都市市级政务信息资源共享平台对接标准和规范，与市级政务信息资源共享平台对接，实现数据同步、标准一致，同时，依托市级政务信息资源共享平台，在市级公共数据开放平台上，推动并完成各部门公共数据开放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2.5.3</w:t>
      </w:r>
      <w:r>
        <w:rPr>
          <w:rFonts w:ascii="宋体" w:hAnsi="宋体"/>
          <w:sz w:val="24"/>
        </w:rPr>
        <w:t>与市网络理政</w:t>
      </w:r>
      <w:r>
        <w:rPr>
          <w:rFonts w:hint="eastAsia" w:ascii="宋体" w:hAnsi="宋体"/>
          <w:sz w:val="24"/>
        </w:rPr>
        <w:t>中心</w:t>
      </w:r>
      <w:r>
        <w:rPr>
          <w:rFonts w:ascii="宋体" w:hAnsi="宋体"/>
          <w:sz w:val="24"/>
        </w:rPr>
        <w:t>对接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住建大数据分析平台依托住建建立的数据资源治理平台，汇聚整合住建数据资源，进行数据汇聚、数据同步，进行住建大数据分析展示。结合市网络理政中心建设要求和标准规范，住建大数据分析平台与市网络理政中心对接，为其提供智慧应用数据支撑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r>
        <w:rPr>
          <w:rFonts w:hint="eastAsia" w:ascii="宋体" w:hAnsi="宋体"/>
          <w:b/>
          <w:sz w:val="24"/>
        </w:rPr>
        <w:t>3.可视化监测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lang w:val="zh-CN"/>
        </w:rPr>
      </w:pPr>
      <w:r>
        <w:rPr>
          <w:rFonts w:hint="eastAsia" w:ascii="宋体" w:hAnsi="宋体"/>
          <w:sz w:val="24"/>
          <w:lang w:val="en-US" w:eastAsia="zh-CN"/>
        </w:rPr>
        <w:t>3.1</w:t>
      </w:r>
      <w:r>
        <w:rPr>
          <w:rFonts w:hint="eastAsia" w:ascii="宋体" w:hAnsi="宋体"/>
          <w:sz w:val="24"/>
          <w:lang w:val="zh-CN"/>
        </w:rPr>
        <w:t>总体要求</w:t>
      </w:r>
      <w:r>
        <w:rPr>
          <w:rFonts w:ascii="宋体" w:hAnsi="宋体"/>
          <w:sz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lang w:eastAsia="zh-CN"/>
        </w:rPr>
      </w:pPr>
      <w:r>
        <w:rPr>
          <w:rFonts w:hint="eastAsia" w:ascii="宋体" w:hAnsi="宋体"/>
          <w:sz w:val="24"/>
          <w:lang w:val="en-US" w:eastAsia="zh-CN"/>
        </w:rPr>
        <w:t>●3.1.1</w:t>
      </w:r>
      <w:r>
        <w:rPr>
          <w:rFonts w:hint="eastAsia" w:ascii="宋体" w:hAnsi="宋体"/>
          <w:sz w:val="24"/>
          <w:lang w:eastAsia="zh-CN"/>
        </w:rPr>
        <w:t>住建局数据中心大数据应用支撑平台提供数据支撑，收集并归集成都市住建局现有信息系统的业务数据、系统日志、数据库日志及其它外部行业数据。合规性审查系统满足成都市住建局现有合规性审查的业务需求，新建分析模型及预警规则，以满足政策或业务变化产生的新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lang w:eastAsia="zh-CN"/>
        </w:rPr>
      </w:pPr>
      <w:r>
        <w:rPr>
          <w:rFonts w:hint="eastAsia" w:ascii="宋体" w:hAnsi="宋体"/>
          <w:b/>
          <w:bCs/>
          <w:sz w:val="24"/>
        </w:rPr>
        <w:t>▲</w:t>
      </w:r>
      <w:r>
        <w:rPr>
          <w:rFonts w:hint="eastAsia" w:ascii="宋体" w:hAnsi="宋体"/>
          <w:b/>
          <w:bCs/>
          <w:sz w:val="24"/>
          <w:lang w:val="en-US" w:eastAsia="zh-CN"/>
        </w:rPr>
        <w:t>3.1.2</w:t>
      </w:r>
      <w:r>
        <w:rPr>
          <w:rFonts w:hint="eastAsia" w:ascii="宋体" w:hAnsi="宋体"/>
          <w:b/>
          <w:bCs/>
          <w:sz w:val="24"/>
        </w:rPr>
        <w:t>提供国家版权局出具的智慧住建类计算机软件著作权证书复印件，并加盖投标人电子印章。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3.2</w:t>
      </w:r>
      <w:r>
        <w:rPr>
          <w:rFonts w:ascii="宋体" w:hAnsi="宋体"/>
          <w:sz w:val="24"/>
        </w:rPr>
        <w:t>模型</w:t>
      </w:r>
      <w:r>
        <w:rPr>
          <w:rFonts w:hint="eastAsia" w:ascii="宋体" w:hAnsi="宋体"/>
          <w:sz w:val="24"/>
        </w:rPr>
        <w:t>定义</w:t>
      </w:r>
      <w:r>
        <w:rPr>
          <w:rFonts w:ascii="宋体" w:hAnsi="宋体"/>
          <w:sz w:val="24"/>
        </w:rPr>
        <w:t>及预测规则管理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3.2.1</w:t>
      </w:r>
      <w:r>
        <w:rPr>
          <w:rFonts w:hint="eastAsia" w:ascii="宋体" w:hAnsi="宋体"/>
          <w:sz w:val="24"/>
        </w:rPr>
        <w:t>数据</w:t>
      </w:r>
      <w:r>
        <w:rPr>
          <w:rFonts w:ascii="宋体" w:hAnsi="宋体"/>
          <w:sz w:val="24"/>
        </w:rPr>
        <w:t>分析模型建立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基于数据</w:t>
      </w:r>
      <w:r>
        <w:rPr>
          <w:rFonts w:ascii="宋体" w:hAnsi="宋体"/>
          <w:sz w:val="24"/>
        </w:rPr>
        <w:t>仓库</w:t>
      </w:r>
      <w:r>
        <w:rPr>
          <w:rFonts w:hint="eastAsia" w:ascii="宋体" w:hAnsi="宋体"/>
          <w:sz w:val="24"/>
        </w:rPr>
        <w:t>，需要提供可配置化的数据分析模型建立功能</w:t>
      </w:r>
      <w:r>
        <w:rPr>
          <w:rFonts w:ascii="宋体" w:hAnsi="宋体"/>
          <w:sz w:val="24"/>
        </w:rPr>
        <w:t>，并可以对已存数据分析模型的运行参数进行动态调整</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提供拖拽式的数据模型建立功能，支持对各种数据源中的数据进行可视化建模，支持多个表以星型模型的方式进行关联；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提供用户可以利用标准SQL语句根据业务表及业务需求构建复杂分析模型；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可以直接设计数据表之间的关联关系（如左连接、内连接等）；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可以设置模型中字段的聚合方式（如汇总、统计等）；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可以对敏感数据进行脱敏处理；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可以对数据进行按照规则进行过滤等；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可以支持聚合函数、计算函数及丰富的自定义</w:t>
      </w:r>
      <w:r>
        <w:rPr>
          <w:rFonts w:ascii="宋体" w:hAnsi="宋体"/>
          <w:sz w:val="24"/>
        </w:rPr>
        <w:t>计算</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3.2.2</w:t>
      </w:r>
      <w:r>
        <w:rPr>
          <w:rFonts w:hint="eastAsia" w:ascii="宋体" w:hAnsi="宋体"/>
          <w:sz w:val="24"/>
        </w:rPr>
        <w:t>数据</w:t>
      </w:r>
      <w:r>
        <w:rPr>
          <w:rFonts w:ascii="宋体" w:hAnsi="宋体"/>
          <w:sz w:val="24"/>
        </w:rPr>
        <w:t>分析模型</w:t>
      </w:r>
      <w:r>
        <w:rPr>
          <w:rFonts w:hint="eastAsia" w:ascii="宋体" w:hAnsi="宋体"/>
          <w:sz w:val="24"/>
        </w:rPr>
        <w:t>管理</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用户都可以分析需求建立分析模型，分析模型可以统一存储于模型库中。</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个人用户成熟的模型可通过模型库的管理功能，开放给所有人进行使用；管理员可根据需要在建立不同的基础分析模型，方便个人用户在基础分析模型的基础上进行二次分析。</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建立模型库，可以分别管理个人模型、系统模型；</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个人模型和系统模型可以分个人和所有用户查看的权限；</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可对个人模型进行审核升级成为系统模型；</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可对模型的模型名称、建立者、模型类别、分析次数等进行记录；</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可对模型进行复制新增、删除、新建等管理操作；</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可对模型分析设置任务式调度</w:t>
      </w:r>
      <w:r>
        <w:rPr>
          <w:rFonts w:cs="Times New Roman"/>
          <w:sz w:val="24"/>
          <w:szCs w:val="24"/>
        </w:rPr>
        <w:t>执行</w:t>
      </w:r>
      <w:r>
        <w:rPr>
          <w:rFonts w:hint="eastAsia"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3.2.3</w:t>
      </w:r>
      <w:r>
        <w:rPr>
          <w:rFonts w:hint="eastAsia" w:ascii="宋体" w:hAnsi="宋体"/>
          <w:sz w:val="24"/>
        </w:rPr>
        <w:t>预警规则</w:t>
      </w:r>
      <w:r>
        <w:rPr>
          <w:rFonts w:ascii="宋体" w:hAnsi="宋体"/>
          <w:sz w:val="24"/>
        </w:rPr>
        <w:t>分类</w:t>
      </w:r>
      <w:r>
        <w:rPr>
          <w:rFonts w:hint="eastAsia" w:ascii="宋体" w:hAnsi="宋体"/>
          <w:sz w:val="24"/>
        </w:rPr>
        <w:t>管理</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系统需要提供可以配置不同的预警类型，多级预警以及不同预警级别显示功能。</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可设置不同的预警类别（如：业务预警、系统预警等）</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可设置不同的预警级别，可支持</w:t>
      </w:r>
      <w:r>
        <w:rPr>
          <w:rFonts w:cs="Times New Roman"/>
          <w:sz w:val="24"/>
          <w:szCs w:val="24"/>
        </w:rPr>
        <w:t>10</w:t>
      </w:r>
      <w:r>
        <w:rPr>
          <w:rFonts w:hint="eastAsia" w:cs="Times New Roman"/>
          <w:sz w:val="24"/>
          <w:szCs w:val="24"/>
        </w:rPr>
        <w:t>级设置（如：高中低等不同级别）</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不同的预警级别可支持设置不同的预警颜色显示</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可预警的级别、类别进行筛选查询、描述定义、删除、开启关闭等管理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3.2.4</w:t>
      </w:r>
      <w:r>
        <w:rPr>
          <w:rFonts w:hint="eastAsia" w:ascii="宋体" w:hAnsi="宋体"/>
          <w:sz w:val="24"/>
        </w:rPr>
        <w:t>任务</w:t>
      </w:r>
      <w:r>
        <w:rPr>
          <w:rFonts w:ascii="宋体" w:hAnsi="宋体"/>
          <w:sz w:val="24"/>
        </w:rPr>
        <w:t>调度</w:t>
      </w:r>
      <w:r>
        <w:rPr>
          <w:rFonts w:hint="eastAsia" w:ascii="宋体" w:hAnsi="宋体"/>
          <w:sz w:val="24"/>
        </w:rPr>
        <w:t>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系统需要对</w:t>
      </w:r>
      <w:r>
        <w:rPr>
          <w:rFonts w:ascii="宋体" w:hAnsi="宋体"/>
          <w:sz w:val="24"/>
        </w:rPr>
        <w:t>数据分析</w:t>
      </w:r>
      <w:r>
        <w:rPr>
          <w:rFonts w:hint="eastAsia" w:ascii="宋体" w:hAnsi="宋体"/>
          <w:sz w:val="24"/>
        </w:rPr>
        <w:t>模型</w:t>
      </w:r>
      <w:r>
        <w:rPr>
          <w:rFonts w:ascii="宋体" w:hAnsi="宋体"/>
          <w:sz w:val="24"/>
        </w:rPr>
        <w:t>的执行</w:t>
      </w:r>
      <w:r>
        <w:rPr>
          <w:rFonts w:hint="eastAsia" w:ascii="宋体" w:hAnsi="宋体"/>
          <w:sz w:val="24"/>
        </w:rPr>
        <w:t>做统一的配置调度，保证系统按照既定的逻辑编排完成系统数据和模型的自动更新。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支持对不同的</w:t>
      </w:r>
      <w:r>
        <w:rPr>
          <w:rFonts w:ascii="宋体" w:hAnsi="宋体"/>
          <w:sz w:val="24"/>
        </w:rPr>
        <w:t>数据分析</w:t>
      </w:r>
      <w:r>
        <w:rPr>
          <w:rFonts w:hint="eastAsia" w:ascii="宋体" w:hAnsi="宋体"/>
          <w:sz w:val="24"/>
        </w:rPr>
        <w:t>模型进行不同调度</w:t>
      </w:r>
      <w:r>
        <w:rPr>
          <w:rFonts w:ascii="宋体" w:hAnsi="宋体"/>
          <w:sz w:val="24"/>
        </w:rPr>
        <w:t>方式</w:t>
      </w:r>
      <w:r>
        <w:rPr>
          <w:rFonts w:hint="eastAsia" w:ascii="宋体" w:hAnsi="宋体"/>
          <w:sz w:val="24"/>
        </w:rPr>
        <w:t>配置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w:t>
      </w:r>
      <w:r>
        <w:rPr>
          <w:rFonts w:ascii="宋体" w:hAnsi="宋体"/>
          <w:sz w:val="24"/>
        </w:rPr>
        <w:t>一次性执行</w:t>
      </w:r>
      <w:r>
        <w:rPr>
          <w:rFonts w:hint="eastAsia" w:ascii="宋体" w:hAnsi="宋体"/>
          <w:sz w:val="24"/>
        </w:rPr>
        <w:t>和</w:t>
      </w:r>
      <w:r>
        <w:rPr>
          <w:rFonts w:ascii="宋体" w:hAnsi="宋体"/>
          <w:sz w:val="24"/>
        </w:rPr>
        <w:t>周期性执行</w:t>
      </w:r>
      <w:r>
        <w:rPr>
          <w:rFonts w:hint="eastAsia" w:ascii="宋体" w:hAnsi="宋体"/>
          <w:sz w:val="24"/>
        </w:rPr>
        <w:t>的不同调度</w:t>
      </w:r>
      <w:r>
        <w:rPr>
          <w:rFonts w:ascii="宋体" w:hAnsi="宋体"/>
          <w:sz w:val="24"/>
        </w:rPr>
        <w:t>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支持调度的执行周期设置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支持调度的按月、按周、按日设置不同的执行周期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支持具体到小时、分钟等最细颗粒度的任务设置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3.2.5</w:t>
      </w:r>
      <w:r>
        <w:rPr>
          <w:rFonts w:hint="eastAsia" w:ascii="宋体" w:hAnsi="宋体"/>
          <w:sz w:val="24"/>
        </w:rPr>
        <w:t>预警</w:t>
      </w:r>
      <w:r>
        <w:rPr>
          <w:rFonts w:ascii="宋体" w:hAnsi="宋体"/>
          <w:sz w:val="24"/>
        </w:rPr>
        <w:t>规则配置</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系统需要提供</w:t>
      </w:r>
      <w:r>
        <w:rPr>
          <w:rFonts w:cs="Times New Roman"/>
          <w:sz w:val="24"/>
          <w:szCs w:val="24"/>
        </w:rPr>
        <w:t>针对数据分析模型的结果进行</w:t>
      </w:r>
      <w:r>
        <w:rPr>
          <w:rFonts w:hint="eastAsia" w:cs="Times New Roman"/>
          <w:sz w:val="24"/>
          <w:szCs w:val="24"/>
        </w:rPr>
        <w:t>预警</w:t>
      </w:r>
      <w:r>
        <w:rPr>
          <w:rFonts w:cs="Times New Roman"/>
          <w:sz w:val="24"/>
          <w:szCs w:val="24"/>
        </w:rPr>
        <w:t>提示</w:t>
      </w:r>
      <w:r>
        <w:rPr>
          <w:rFonts w:hint="eastAsia" w:cs="Times New Roman"/>
          <w:sz w:val="24"/>
          <w:szCs w:val="24"/>
        </w:rPr>
        <w:t>的设置</w:t>
      </w:r>
      <w:r>
        <w:rPr>
          <w:rFonts w:cs="Times New Roman"/>
          <w:sz w:val="24"/>
          <w:szCs w:val="24"/>
        </w:rPr>
        <w:t>。</w:t>
      </w:r>
      <w:r>
        <w:rPr>
          <w:rFonts w:hint="eastAsia" w:cs="Times New Roman"/>
          <w:sz w:val="24"/>
          <w:szCs w:val="24"/>
        </w:rPr>
        <w:t>系统自动将数据分析后，根据</w:t>
      </w:r>
      <w:r>
        <w:rPr>
          <w:rFonts w:cs="Times New Roman"/>
          <w:sz w:val="24"/>
          <w:szCs w:val="24"/>
        </w:rPr>
        <w:t>配置的</w:t>
      </w:r>
      <w:r>
        <w:rPr>
          <w:rFonts w:hint="eastAsia" w:cs="Times New Roman"/>
          <w:sz w:val="24"/>
          <w:szCs w:val="24"/>
        </w:rPr>
        <w:t>规则进行判断，存在</w:t>
      </w:r>
      <w:r>
        <w:rPr>
          <w:rFonts w:cs="Times New Roman"/>
          <w:sz w:val="24"/>
          <w:szCs w:val="24"/>
        </w:rPr>
        <w:t>符合规则的</w:t>
      </w:r>
      <w:r>
        <w:rPr>
          <w:rFonts w:hint="eastAsia" w:cs="Times New Roman"/>
          <w:sz w:val="24"/>
          <w:szCs w:val="24"/>
        </w:rPr>
        <w:t>数据时</w:t>
      </w:r>
      <w:r>
        <w:rPr>
          <w:rFonts w:cs="Times New Roman"/>
          <w:sz w:val="24"/>
          <w:szCs w:val="24"/>
        </w:rPr>
        <w:t>系统</w:t>
      </w:r>
      <w:r>
        <w:rPr>
          <w:rFonts w:hint="eastAsia" w:cs="Times New Roman"/>
          <w:sz w:val="24"/>
          <w:szCs w:val="24"/>
        </w:rPr>
        <w:t>进行预警</w:t>
      </w:r>
      <w:r>
        <w:rPr>
          <w:rFonts w:cs="Times New Roman"/>
          <w:sz w:val="24"/>
          <w:szCs w:val="24"/>
        </w:rPr>
        <w:t>提示</w:t>
      </w:r>
      <w:r>
        <w:rPr>
          <w:rFonts w:hint="eastAsia" w:cs="Times New Roman"/>
          <w:sz w:val="24"/>
          <w:szCs w:val="24"/>
        </w:rPr>
        <w:t>。</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可针对不同的模型设置不同预警规则</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可针对不同的预警规则设置不同的预警类别、不同预警级别</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可以支持通过设置规则脚本来配置预警规则</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hint="eastAsia" w:cs="Times New Roman"/>
          <w:sz w:val="24"/>
          <w:szCs w:val="24"/>
        </w:rPr>
        <w:t>可针对不同的预警规则设置预警描述</w:t>
      </w:r>
    </w:p>
    <w:p>
      <w:pPr>
        <w:pStyle w:val="83"/>
        <w:keepNext w:val="0"/>
        <w:keepLines w:val="0"/>
        <w:pageBreakBefore w:val="0"/>
        <w:widowControl w:val="0"/>
        <w:kinsoku/>
        <w:wordWrap/>
        <w:overflowPunct/>
        <w:topLinePunct w:val="0"/>
        <w:autoSpaceDE/>
        <w:autoSpaceDN/>
        <w:bidi w:val="0"/>
        <w:adjustRightInd w:val="0"/>
        <w:snapToGrid w:val="0"/>
        <w:spacing w:beforeLines="0" w:line="500" w:lineRule="exact"/>
        <w:ind w:firstLine="480" w:firstLineChars="200"/>
        <w:textAlignment w:val="auto"/>
        <w:rPr>
          <w:rFonts w:cs="Times New Roman"/>
          <w:sz w:val="24"/>
          <w:szCs w:val="24"/>
        </w:rPr>
      </w:pPr>
      <w:r>
        <w:rPr>
          <w:rFonts w:cs="Times New Roman"/>
          <w:sz w:val="24"/>
          <w:szCs w:val="24"/>
        </w:rPr>
        <w:t>支持</w:t>
      </w:r>
      <w:r>
        <w:rPr>
          <w:rFonts w:hint="eastAsia" w:cs="Times New Roman"/>
          <w:sz w:val="24"/>
          <w:szCs w:val="24"/>
        </w:rPr>
        <w:t>多个预警规则同时生效，按级别进行优先报警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3.2.6</w:t>
      </w:r>
      <w:r>
        <w:rPr>
          <w:rFonts w:hint="eastAsia" w:ascii="宋体" w:hAnsi="宋体"/>
          <w:sz w:val="24"/>
        </w:rPr>
        <w:t>离线</w:t>
      </w:r>
      <w:r>
        <w:rPr>
          <w:rFonts w:ascii="宋体" w:hAnsi="宋体"/>
          <w:sz w:val="24"/>
        </w:rPr>
        <w:t>数据分析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支持</w:t>
      </w:r>
      <w:r>
        <w:rPr>
          <w:rFonts w:hint="eastAsia" w:ascii="宋体" w:hAnsi="宋体"/>
          <w:sz w:val="24"/>
        </w:rPr>
        <w:t>对海量数据</w:t>
      </w:r>
      <w:r>
        <w:rPr>
          <w:rFonts w:ascii="宋体" w:hAnsi="宋体"/>
          <w:sz w:val="24"/>
        </w:rPr>
        <w:t>的</w:t>
      </w:r>
      <w:r>
        <w:rPr>
          <w:rFonts w:hint="eastAsia" w:ascii="宋体" w:hAnsi="宋体"/>
          <w:sz w:val="24"/>
        </w:rPr>
        <w:t>分析</w:t>
      </w:r>
      <w:r>
        <w:rPr>
          <w:rFonts w:ascii="宋体" w:hAnsi="宋体"/>
          <w:sz w:val="24"/>
        </w:rPr>
        <w:t>模型</w:t>
      </w:r>
      <w:r>
        <w:rPr>
          <w:rFonts w:hint="eastAsia" w:ascii="宋体" w:hAnsi="宋体"/>
          <w:sz w:val="24"/>
        </w:rPr>
        <w:t>，系统需要</w:t>
      </w:r>
      <w:r>
        <w:rPr>
          <w:rFonts w:ascii="宋体" w:hAnsi="宋体"/>
          <w:sz w:val="24"/>
        </w:rPr>
        <w:t>提供</w:t>
      </w:r>
      <w:r>
        <w:rPr>
          <w:rFonts w:hint="eastAsia" w:ascii="宋体" w:hAnsi="宋体"/>
          <w:sz w:val="24"/>
        </w:rPr>
        <w:t>离线模型分析的功能，并对模型执行完成后的结果记录进行详细查看，并可进行多条件过滤筛选及排序。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支持对模型分析的次数、模型分析的记录、模型分析的结果进行查看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支撑对模型分析失败的原因进行查看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离线数据分析结果支持预警规则配置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3.2.7</w:t>
      </w:r>
      <w:r>
        <w:rPr>
          <w:rFonts w:hint="eastAsia" w:ascii="宋体" w:hAnsi="宋体"/>
          <w:sz w:val="24"/>
        </w:rPr>
        <w:t>安全</w:t>
      </w:r>
      <w:r>
        <w:rPr>
          <w:rFonts w:ascii="宋体" w:hAnsi="宋体"/>
          <w:sz w:val="24"/>
        </w:rPr>
        <w:t>日志审计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系统严格权限访问控制，用户在经过身份认证后，只能访问其权限范围内的数据，只能进行其权限范围内的操作。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不同的用户具有不同的身份和权限，需在用户身份真实可信的前提下，提供可信的授权管理服务，保护数据不被非法/越权访问和篡改。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提供运行日志管理及安全审计功能，可追踪系统的历史使用情况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支持对系统运行日志的全面收集和查询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支持对用户使用日志的采集和查询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提供对用户使用日志的分析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3.2.8</w:t>
      </w:r>
      <w:r>
        <w:rPr>
          <w:rFonts w:hint="eastAsia" w:ascii="宋体" w:hAnsi="宋体"/>
          <w:sz w:val="24"/>
        </w:rPr>
        <w:t>系统</w:t>
      </w:r>
      <w:r>
        <w:rPr>
          <w:rFonts w:ascii="宋体" w:hAnsi="宋体"/>
          <w:sz w:val="24"/>
        </w:rPr>
        <w:t>监控管理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在整个系统运行过程中，为了保证系统的稳定、安全，需对服务的软硬件进行监控。需包括配置管理、监控告警等组件与集群管理功能，并监控硬件设备资源、软件服务资源的监控任务，包括存储、CPU、内存等硬件的使用情况，实时了解系统的状态，为系统可靠运行提供基础保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实时监控硬件的</w:t>
      </w:r>
      <w:r>
        <w:rPr>
          <w:rFonts w:ascii="宋体" w:hAnsi="宋体"/>
          <w:sz w:val="24"/>
        </w:rPr>
        <w:t>cpu</w:t>
      </w:r>
      <w:r>
        <w:rPr>
          <w:rFonts w:hint="eastAsia" w:ascii="宋体" w:hAnsi="宋体"/>
          <w:sz w:val="24"/>
        </w:rPr>
        <w:t>运行状态，温度、风扇转速，内存使用情况，磁盘空间使用状态等硬件信息。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对主机网络硬件运行状态实时监控，同时可对主机网络流量情况进行监控</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对应用程序运行状态进行指标监控，通过间隔时间扫描主机中运行的应用程序服务，自动检测运行状态指标。</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通过监控系统提供的通知进行推送和报警。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3.3</w:t>
      </w:r>
      <w:r>
        <w:rPr>
          <w:rFonts w:hint="eastAsia" w:ascii="宋体" w:hAnsi="宋体"/>
          <w:sz w:val="24"/>
        </w:rPr>
        <w:t>全局</w:t>
      </w:r>
      <w:r>
        <w:rPr>
          <w:rFonts w:ascii="宋体" w:hAnsi="宋体"/>
          <w:sz w:val="24"/>
        </w:rPr>
        <w:t>业务</w:t>
      </w:r>
      <w:r>
        <w:rPr>
          <w:rFonts w:hint="eastAsia" w:ascii="宋体" w:hAnsi="宋体"/>
          <w:sz w:val="24"/>
          <w:lang w:val="en-US" w:eastAsia="zh-CN"/>
        </w:rPr>
        <w:t>数据</w:t>
      </w:r>
      <w:r>
        <w:rPr>
          <w:rFonts w:ascii="宋体" w:hAnsi="宋体"/>
          <w:sz w:val="24"/>
        </w:rPr>
        <w:t>检索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提供对所有数据的查询及多条件搜索功能，并支持对数据内容进行全文检索，以便在极短的时间内对整个系统进行关键内容检索。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shd w:val="clear" w:color="auto" w:fill="FFFFFF"/>
          <w:lang w:bidi="ar"/>
        </w:rPr>
      </w:pPr>
      <w:r>
        <w:rPr>
          <w:rFonts w:hint="eastAsia"/>
          <w:sz w:val="24"/>
          <w:shd w:val="clear" w:color="auto" w:fill="FFFFFF"/>
          <w:lang w:bidi="ar"/>
        </w:rPr>
        <w:t>支持业务数据进行分类查看；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shd w:val="clear" w:color="auto" w:fill="FFFFFF"/>
          <w:lang w:bidi="ar"/>
        </w:rPr>
      </w:pPr>
      <w:r>
        <w:rPr>
          <w:rFonts w:hint="eastAsia"/>
          <w:sz w:val="24"/>
          <w:shd w:val="clear" w:color="auto" w:fill="FFFFFF"/>
          <w:lang w:bidi="ar"/>
        </w:rPr>
        <w:t>支持业务数据内容的明细信息进行查询；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shd w:val="clear" w:color="auto" w:fill="FFFFFF"/>
          <w:lang w:bidi="ar"/>
        </w:rPr>
      </w:pPr>
      <w:r>
        <w:rPr>
          <w:rFonts w:hint="eastAsia"/>
          <w:sz w:val="24"/>
          <w:shd w:val="clear" w:color="auto" w:fill="FFFFFF"/>
          <w:lang w:bidi="ar"/>
        </w:rPr>
        <w:t>支持任意数据表之间进行数据的关联查询；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shd w:val="clear" w:color="auto" w:fill="FFFFFF"/>
          <w:lang w:bidi="ar"/>
        </w:rPr>
      </w:pPr>
      <w:r>
        <w:rPr>
          <w:rFonts w:hint="eastAsia"/>
          <w:sz w:val="24"/>
          <w:shd w:val="clear" w:color="auto" w:fill="FFFFFF"/>
          <w:lang w:bidi="ar"/>
        </w:rPr>
        <w:t>支持对文本型数据字段自动建立全文索引；</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支持对数据内容的全文检索。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3.4</w:t>
      </w:r>
      <w:r>
        <w:rPr>
          <w:rFonts w:hint="eastAsia" w:ascii="宋体" w:hAnsi="宋体"/>
          <w:sz w:val="24"/>
        </w:rPr>
        <w:t>多维</w:t>
      </w:r>
      <w:r>
        <w:rPr>
          <w:rFonts w:ascii="宋体" w:hAnsi="宋体"/>
          <w:sz w:val="24"/>
        </w:rPr>
        <w:t>数据</w:t>
      </w:r>
      <w:r>
        <w:rPr>
          <w:rFonts w:hint="eastAsia" w:ascii="宋体" w:hAnsi="宋体"/>
          <w:sz w:val="24"/>
        </w:rPr>
        <w:t>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3.4.1</w:t>
      </w:r>
      <w:r>
        <w:rPr>
          <w:rFonts w:ascii="宋体" w:hAnsi="宋体"/>
          <w:sz w:val="24"/>
          <w:lang w:val="zh-CN"/>
        </w:rPr>
        <w:t>基本要求。</w:t>
      </w:r>
      <w:r>
        <w:rPr>
          <w:rFonts w:hint="eastAsia" w:ascii="宋体" w:hAnsi="宋体"/>
          <w:sz w:val="24"/>
        </w:rPr>
        <w:t>提供具有一定自由度的多维度数据分析功能，辅助用户从整体数据发现问题及风险。用户可以根据需要自行设置分析的各个维度，并根据设置的维度进行实时计算和分析。可以通过拖拽方式设置分析维度。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3.4.2</w:t>
      </w:r>
      <w:r>
        <w:rPr>
          <w:rFonts w:hint="eastAsia" w:ascii="宋体" w:hAnsi="宋体"/>
          <w:sz w:val="24"/>
        </w:rPr>
        <w:t>数据</w:t>
      </w:r>
      <w:r>
        <w:rPr>
          <w:rFonts w:ascii="宋体" w:hAnsi="宋体"/>
          <w:sz w:val="24"/>
        </w:rPr>
        <w:t>监管维度分析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从业务流转过程中的数据监管维度出发，建立覆盖业务范围的多种维度与指标项，从整体观察和分析数据流转情况与数据异常情况</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需包含住建业务中所涉及数据的多种范围、不同种类的多种维度分析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需包含数据汇总关键指标的维度计算，包括数据异常率、办理量环比、数据加密覆盖率等指标</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支持不同维度和计算指标进行自由组合分析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3.4.3</w:t>
      </w:r>
      <w:r>
        <w:rPr>
          <w:rFonts w:hint="eastAsia" w:ascii="宋体" w:hAnsi="宋体"/>
          <w:sz w:val="24"/>
        </w:rPr>
        <w:t>业务</w:t>
      </w:r>
      <w:r>
        <w:rPr>
          <w:rFonts w:ascii="宋体" w:hAnsi="宋体"/>
          <w:sz w:val="24"/>
        </w:rPr>
        <w:t>风险及合规性维度分析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建立业务办理过程中各项业务合规性判定的分析模型，由整体业务串联进行多维度进行分析，发现业务办理过程中不符合项的问题</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需包含越权限业务办理风险问题的分析维度与指标，包括越权限发生率、越权限业务范围比重、越权限业务时间跨度与趋势等</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需包含业务规则使用合规性分析维度与指标，包括不合规业务发生率、不合规业务分类比例、不合规业务发生率等</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需包含业务办理过程中具有高风险业务进行整体分析，包括运维处理维度、购房过程维度、优惠政策维度等</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sz w:val="24"/>
        </w:rPr>
        <w:t>支持不同维度和计算指标进行自由组合分析</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ascii="宋体" w:hAnsi="宋体"/>
          <w:sz w:val="24"/>
          <w:lang w:val="zh-CN"/>
        </w:rPr>
        <w:t>●</w:t>
      </w:r>
      <w:r>
        <w:rPr>
          <w:rFonts w:hint="eastAsia" w:ascii="宋体" w:hAnsi="宋体"/>
          <w:sz w:val="24"/>
          <w:lang w:val="en-US" w:eastAsia="zh-CN"/>
        </w:rPr>
        <w:t>3.4.4</w:t>
      </w:r>
      <w:r>
        <w:rPr>
          <w:rFonts w:hint="eastAsia"/>
          <w:sz w:val="24"/>
        </w:rPr>
        <w:t>自由</w:t>
      </w:r>
      <w:r>
        <w:rPr>
          <w:sz w:val="24"/>
        </w:rPr>
        <w:t>维度分析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支持业务人员通过系统建立不同分析模型及分析维度，赋予业务人员进行自助式探索数据、发现问题的能力</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支持</w:t>
      </w:r>
      <w:r>
        <w:rPr>
          <w:rFonts w:hint="eastAsia"/>
          <w:sz w:val="24"/>
        </w:rPr>
        <w:t>同时建立多个不同的多维数据分析</w:t>
      </w:r>
      <w:r>
        <w:rPr>
          <w:sz w:val="24"/>
        </w:rPr>
        <w:t>模型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支持</w:t>
      </w:r>
      <w:r>
        <w:rPr>
          <w:rFonts w:hint="eastAsia"/>
          <w:sz w:val="24"/>
        </w:rPr>
        <w:t>对已设计好的多维数据分析进行调整、使用、保存</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支持</w:t>
      </w:r>
      <w:r>
        <w:rPr>
          <w:rFonts w:hint="eastAsia"/>
          <w:sz w:val="24"/>
        </w:rPr>
        <w:t>拖拽</w:t>
      </w:r>
      <w:r>
        <w:rPr>
          <w:sz w:val="24"/>
        </w:rPr>
        <w:t>方式</w:t>
      </w:r>
      <w:r>
        <w:rPr>
          <w:rFonts w:hint="eastAsia"/>
          <w:sz w:val="24"/>
        </w:rPr>
        <w:t>自由进行维度和度量的选择</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支持对数据的上卷、下钻</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支持</w:t>
      </w:r>
      <w:r>
        <w:rPr>
          <w:rFonts w:hint="eastAsia"/>
          <w:sz w:val="24"/>
        </w:rPr>
        <w:t>分析</w:t>
      </w:r>
      <w:r>
        <w:rPr>
          <w:sz w:val="24"/>
        </w:rPr>
        <w:t>数据的</w:t>
      </w:r>
      <w:r>
        <w:rPr>
          <w:rFonts w:hint="eastAsia"/>
          <w:sz w:val="24"/>
        </w:rPr>
        <w:t>维度进行交换、行列互换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sz w:val="24"/>
        </w:rPr>
        <w:t>支持对</w:t>
      </w:r>
      <w:r>
        <w:rPr>
          <w:rFonts w:hint="eastAsia"/>
          <w:sz w:val="24"/>
        </w:rPr>
        <w:t>分析</w:t>
      </w:r>
      <w:r>
        <w:rPr>
          <w:sz w:val="24"/>
        </w:rPr>
        <w:t>结果的</w:t>
      </w:r>
      <w:r>
        <w:rPr>
          <w:rFonts w:hint="eastAsia"/>
          <w:sz w:val="24"/>
        </w:rPr>
        <w:t>度量进行二次计算</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支持对维度进行筛选，并对筛选的数据进行计数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支持Excel、CSV、</w:t>
      </w:r>
      <w:r>
        <w:rPr>
          <w:sz w:val="24"/>
        </w:rPr>
        <w:t>MySQL、SQL Server、</w:t>
      </w:r>
      <w:r>
        <w:rPr>
          <w:rFonts w:hint="eastAsia"/>
          <w:sz w:val="24"/>
        </w:rPr>
        <w:t>Oracle</w:t>
      </w:r>
      <w:r>
        <w:rPr>
          <w:sz w:val="24"/>
        </w:rPr>
        <w:t>等数据库的连接配置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支持导出分析结果数据</w:t>
      </w:r>
      <w:r>
        <w:rPr>
          <w:sz w:val="24"/>
        </w:rPr>
        <w:t>和</w:t>
      </w:r>
      <w:r>
        <w:rPr>
          <w:rFonts w:hint="eastAsia"/>
          <w:sz w:val="24"/>
        </w:rPr>
        <w:t>下钻数据</w:t>
      </w:r>
      <w:r>
        <w:rPr>
          <w:sz w:val="24"/>
        </w:rPr>
        <w:t>。</w:t>
      </w:r>
      <w:r>
        <w:rPr>
          <w:rFonts w:hint="eastAsia"/>
          <w:sz w:val="24"/>
        </w:rPr>
        <w:t>支持导出Excel、CSV、PDF、图表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sz w:val="24"/>
        </w:rPr>
      </w:pPr>
      <w:r>
        <w:rPr>
          <w:rFonts w:hint="eastAsia"/>
          <w:sz w:val="24"/>
        </w:rPr>
        <w:t>支持分析</w:t>
      </w:r>
      <w:r>
        <w:rPr>
          <w:sz w:val="24"/>
        </w:rPr>
        <w:t>结果使用表格</w:t>
      </w:r>
      <w:r>
        <w:rPr>
          <w:rFonts w:hint="eastAsia"/>
          <w:sz w:val="24"/>
        </w:rPr>
        <w:t>模式</w:t>
      </w:r>
      <w:r>
        <w:rPr>
          <w:sz w:val="24"/>
        </w:rPr>
        <w:t>与图形</w:t>
      </w:r>
      <w:r>
        <w:rPr>
          <w:rFonts w:hint="eastAsia"/>
          <w:sz w:val="24"/>
        </w:rPr>
        <w:t>模式两种</w:t>
      </w:r>
      <w:r>
        <w:rPr>
          <w:sz w:val="24"/>
        </w:rPr>
        <w:t>方式进行</w:t>
      </w:r>
      <w:r>
        <w:rPr>
          <w:rFonts w:hint="eastAsia"/>
          <w:sz w:val="24"/>
        </w:rPr>
        <w:t>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sz w:val="24"/>
        </w:rPr>
        <w:t>系统支持</w:t>
      </w:r>
      <w:r>
        <w:rPr>
          <w:sz w:val="24"/>
        </w:rPr>
        <w:t>图形</w:t>
      </w:r>
      <w:r>
        <w:rPr>
          <w:rFonts w:hint="eastAsia"/>
          <w:sz w:val="24"/>
        </w:rPr>
        <w:t>样式包括柱状图、堆积柱状图、百分比堆积柱状图、多图式柱状图、折线图、面积图、热点图、树状地图、环形图、多环形图、散点图、瀑布图、饼图、雷达图、饼状图</w:t>
      </w:r>
      <w:r>
        <w:rPr>
          <w:sz w:val="24"/>
        </w:rPr>
        <w:t>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sz w:val="24"/>
        </w:rPr>
        <w:t>系统需要提供可以灵活配置，将多个分析结果的数据和图形进行配置成驾驶舱，从而能够让各个管理层都能够查看到自己所关心的各项指标。</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w:t>
      </w:r>
      <w:r>
        <w:rPr>
          <w:rFonts w:ascii="宋体" w:hAnsi="宋体"/>
          <w:sz w:val="24"/>
        </w:rPr>
        <w:t>日常监测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w:t>
      </w:r>
      <w:r>
        <w:rPr>
          <w:rFonts w:hint="eastAsia" w:ascii="宋体" w:hAnsi="宋体"/>
          <w:sz w:val="24"/>
        </w:rPr>
        <w:t>供求量价监测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w:t>
      </w:r>
      <w:r>
        <w:rPr>
          <w:rFonts w:ascii="宋体" w:hAnsi="宋体"/>
          <w:sz w:val="24"/>
        </w:rPr>
        <w:t>全市商品</w:t>
      </w:r>
      <w:r>
        <w:rPr>
          <w:rFonts w:hint="eastAsia" w:ascii="宋体" w:hAnsi="宋体"/>
          <w:sz w:val="24"/>
        </w:rPr>
        <w:t>房（二手房</w:t>
      </w:r>
      <w:r>
        <w:rPr>
          <w:rFonts w:ascii="宋体" w:hAnsi="宋体"/>
          <w:sz w:val="24"/>
        </w:rPr>
        <w:t>）</w:t>
      </w:r>
      <w:r>
        <w:rPr>
          <w:rFonts w:hint="eastAsia" w:ascii="宋体" w:hAnsi="宋体"/>
          <w:sz w:val="24"/>
        </w:rPr>
        <w:t>供应量、成交</w:t>
      </w:r>
      <w:r>
        <w:rPr>
          <w:rFonts w:ascii="宋体" w:hAnsi="宋体"/>
          <w:sz w:val="24"/>
        </w:rPr>
        <w:t>量</w:t>
      </w:r>
      <w:r>
        <w:rPr>
          <w:rFonts w:hint="eastAsia" w:ascii="宋体" w:hAnsi="宋体"/>
          <w:sz w:val="24"/>
        </w:rPr>
        <w:t>、可售</w:t>
      </w:r>
      <w:r>
        <w:rPr>
          <w:rFonts w:ascii="宋体" w:hAnsi="宋体"/>
          <w:sz w:val="24"/>
        </w:rPr>
        <w:t>量、成交价格</w:t>
      </w:r>
      <w:r>
        <w:rPr>
          <w:rFonts w:hint="eastAsia" w:ascii="宋体" w:hAnsi="宋体"/>
          <w:sz w:val="24"/>
        </w:rPr>
        <w:t>进行</w:t>
      </w:r>
      <w:r>
        <w:rPr>
          <w:rFonts w:ascii="宋体" w:hAnsi="宋体"/>
          <w:sz w:val="24"/>
        </w:rPr>
        <w:t>实时跟踪</w:t>
      </w:r>
      <w:r>
        <w:rPr>
          <w:rFonts w:hint="eastAsia" w:ascii="宋体" w:hAnsi="宋体"/>
          <w:sz w:val="24"/>
        </w:rPr>
        <w:t>，以及时</w:t>
      </w:r>
      <w:r>
        <w:rPr>
          <w:rFonts w:ascii="宋体" w:hAnsi="宋体"/>
          <w:sz w:val="24"/>
        </w:rPr>
        <w:t>准确全市房产市场交易情况。基于GIS</w:t>
      </w:r>
      <w:r>
        <w:rPr>
          <w:rFonts w:hint="eastAsia" w:ascii="宋体" w:hAnsi="宋体"/>
          <w:sz w:val="24"/>
        </w:rPr>
        <w:t>地图，对各</w:t>
      </w:r>
      <w:r>
        <w:rPr>
          <w:rFonts w:ascii="宋体" w:hAnsi="宋体"/>
          <w:sz w:val="24"/>
        </w:rPr>
        <w:t>行政区、</w:t>
      </w:r>
      <w:r>
        <w:rPr>
          <w:rFonts w:hint="eastAsia" w:ascii="宋体" w:hAnsi="宋体"/>
          <w:sz w:val="24"/>
        </w:rPr>
        <w:t>常用</w:t>
      </w:r>
      <w:r>
        <w:rPr>
          <w:rFonts w:ascii="宋体" w:hAnsi="宋体"/>
          <w:sz w:val="24"/>
        </w:rPr>
        <w:t>区域</w:t>
      </w:r>
      <w:r>
        <w:rPr>
          <w:rFonts w:hint="eastAsia" w:ascii="宋体" w:hAnsi="宋体"/>
          <w:sz w:val="24"/>
        </w:rPr>
        <w:t>板块</w:t>
      </w:r>
      <w:r>
        <w:rPr>
          <w:rFonts w:ascii="宋体" w:hAnsi="宋体"/>
          <w:sz w:val="24"/>
        </w:rPr>
        <w:t>、各</w:t>
      </w:r>
      <w:r>
        <w:rPr>
          <w:rFonts w:hint="eastAsia" w:ascii="宋体" w:hAnsi="宋体"/>
          <w:sz w:val="24"/>
        </w:rPr>
        <w:t>物业</w:t>
      </w:r>
      <w:r>
        <w:rPr>
          <w:rFonts w:ascii="宋体" w:hAnsi="宋体"/>
          <w:sz w:val="24"/>
        </w:rPr>
        <w:t>形态</w:t>
      </w:r>
      <w:r>
        <w:rPr>
          <w:rFonts w:hint="eastAsia" w:ascii="宋体" w:hAnsi="宋体"/>
          <w:sz w:val="24"/>
        </w:rPr>
        <w:t>监测</w:t>
      </w:r>
      <w:r>
        <w:rPr>
          <w:rFonts w:ascii="宋体" w:hAnsi="宋体"/>
          <w:sz w:val="24"/>
        </w:rPr>
        <w:t>指标</w:t>
      </w:r>
      <w:r>
        <w:rPr>
          <w:rFonts w:hint="eastAsia" w:ascii="宋体" w:hAnsi="宋体"/>
          <w:sz w:val="24"/>
        </w:rPr>
        <w:t>实时</w:t>
      </w:r>
      <w:r>
        <w:rPr>
          <w:rFonts w:ascii="宋体" w:hAnsi="宋体"/>
          <w:sz w:val="24"/>
        </w:rPr>
        <w:t>动态展示</w:t>
      </w:r>
      <w:r>
        <w:rPr>
          <w:rFonts w:hint="eastAsia" w:ascii="宋体" w:hAnsi="宋体"/>
          <w:sz w:val="24"/>
        </w:rPr>
        <w:t>。地图展示商品</w:t>
      </w:r>
      <w:r>
        <w:rPr>
          <w:rFonts w:ascii="宋体" w:hAnsi="宋体"/>
          <w:sz w:val="24"/>
        </w:rPr>
        <w:t>住房、二手住房成交量</w:t>
      </w:r>
      <w:r>
        <w:rPr>
          <w:rFonts w:hint="eastAsia" w:ascii="宋体" w:hAnsi="宋体"/>
          <w:sz w:val="24"/>
        </w:rPr>
        <w:t>以及</w:t>
      </w:r>
      <w:r>
        <w:rPr>
          <w:rFonts w:ascii="宋体" w:hAnsi="宋体"/>
          <w:sz w:val="24"/>
        </w:rPr>
        <w:t>成交价格的热力分布图。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按</w:t>
      </w:r>
      <w:r>
        <w:rPr>
          <w:rFonts w:ascii="宋体" w:hAnsi="宋体"/>
          <w:sz w:val="24"/>
        </w:rPr>
        <w:t>周、月、季度、年度统计展示商品房</w:t>
      </w:r>
      <w:r>
        <w:rPr>
          <w:rFonts w:hint="eastAsia" w:ascii="宋体" w:hAnsi="宋体"/>
          <w:sz w:val="24"/>
        </w:rPr>
        <w:t>/二手</w:t>
      </w:r>
      <w:r>
        <w:rPr>
          <w:rFonts w:ascii="宋体" w:hAnsi="宋体"/>
          <w:sz w:val="24"/>
        </w:rPr>
        <w:t>房市场</w:t>
      </w:r>
      <w:r>
        <w:rPr>
          <w:rFonts w:hint="eastAsia" w:ascii="宋体" w:hAnsi="宋体"/>
          <w:sz w:val="24"/>
        </w:rPr>
        <w:t>供</w:t>
      </w:r>
      <w:r>
        <w:rPr>
          <w:rFonts w:ascii="宋体" w:hAnsi="宋体"/>
          <w:sz w:val="24"/>
        </w:rPr>
        <w:t>销</w:t>
      </w:r>
      <w:r>
        <w:rPr>
          <w:rFonts w:hint="eastAsia" w:ascii="宋体" w:hAnsi="宋体"/>
          <w:sz w:val="24"/>
        </w:rPr>
        <w:t>量</w:t>
      </w:r>
      <w:r>
        <w:rPr>
          <w:rFonts w:ascii="宋体" w:hAnsi="宋体"/>
          <w:sz w:val="24"/>
        </w:rPr>
        <w:t>及价格走势。</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3.5.2</w:t>
      </w:r>
      <w:r>
        <w:rPr>
          <w:rFonts w:hint="eastAsia" w:ascii="宋体" w:hAnsi="宋体"/>
          <w:sz w:val="24"/>
        </w:rPr>
        <w:t>供求结构</w:t>
      </w:r>
      <w:r>
        <w:rPr>
          <w:rFonts w:ascii="宋体" w:hAnsi="宋体"/>
          <w:sz w:val="24"/>
        </w:rPr>
        <w:t>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供求</w:t>
      </w:r>
      <w:r>
        <w:rPr>
          <w:rFonts w:ascii="宋体" w:hAnsi="宋体"/>
          <w:sz w:val="24"/>
        </w:rPr>
        <w:t>结构</w:t>
      </w:r>
      <w:r>
        <w:rPr>
          <w:rFonts w:hint="eastAsia" w:ascii="宋体" w:hAnsi="宋体"/>
          <w:sz w:val="24"/>
        </w:rPr>
        <w:t>监测</w:t>
      </w:r>
      <w:r>
        <w:rPr>
          <w:rFonts w:ascii="宋体" w:hAnsi="宋体"/>
          <w:sz w:val="24"/>
        </w:rPr>
        <w:t>用于反映市场</w:t>
      </w:r>
      <w:r>
        <w:rPr>
          <w:rFonts w:hint="eastAsia" w:ascii="宋体" w:hAnsi="宋体"/>
          <w:sz w:val="24"/>
        </w:rPr>
        <w:t>供需</w:t>
      </w:r>
      <w:r>
        <w:rPr>
          <w:rFonts w:ascii="宋体" w:hAnsi="宋体"/>
          <w:sz w:val="24"/>
        </w:rPr>
        <w:t>是否存在结构性失衡</w:t>
      </w:r>
      <w:r>
        <w:rPr>
          <w:rFonts w:hint="eastAsia" w:ascii="宋体" w:hAnsi="宋体"/>
          <w:sz w:val="24"/>
        </w:rPr>
        <w:t>。</w:t>
      </w:r>
      <w:r>
        <w:rPr>
          <w:rFonts w:ascii="宋体" w:hAnsi="宋体"/>
          <w:sz w:val="24"/>
        </w:rPr>
        <w:t>重点</w:t>
      </w:r>
      <w:r>
        <w:rPr>
          <w:rFonts w:hint="eastAsia" w:ascii="宋体" w:hAnsi="宋体"/>
          <w:sz w:val="24"/>
        </w:rPr>
        <w:t>监测</w:t>
      </w:r>
      <w:r>
        <w:rPr>
          <w:rFonts w:ascii="宋体" w:hAnsi="宋体"/>
          <w:sz w:val="24"/>
        </w:rPr>
        <w:t>和反映</w:t>
      </w:r>
      <w:r>
        <w:rPr>
          <w:rFonts w:hint="eastAsia" w:ascii="宋体" w:hAnsi="宋体"/>
          <w:sz w:val="24"/>
        </w:rPr>
        <w:t>全市</w:t>
      </w:r>
      <w:r>
        <w:rPr>
          <w:rFonts w:ascii="宋体" w:hAnsi="宋体"/>
          <w:sz w:val="24"/>
        </w:rPr>
        <w:t>商品房</w:t>
      </w:r>
      <w:r>
        <w:rPr>
          <w:rFonts w:hint="eastAsia" w:ascii="宋体" w:hAnsi="宋体"/>
          <w:sz w:val="24"/>
        </w:rPr>
        <w:t>二手房交易</w:t>
      </w:r>
      <w:r>
        <w:rPr>
          <w:rFonts w:ascii="宋体" w:hAnsi="宋体"/>
          <w:sz w:val="24"/>
        </w:rPr>
        <w:t>量</w:t>
      </w:r>
      <w:r>
        <w:rPr>
          <w:rFonts w:hint="eastAsia" w:ascii="宋体" w:hAnsi="宋体"/>
          <w:sz w:val="24"/>
        </w:rPr>
        <w:t>市场</w:t>
      </w:r>
      <w:r>
        <w:rPr>
          <w:rFonts w:ascii="宋体" w:hAnsi="宋体"/>
          <w:sz w:val="24"/>
        </w:rPr>
        <w:t>占比，商品房</w:t>
      </w:r>
      <w:r>
        <w:rPr>
          <w:rFonts w:hint="eastAsia" w:ascii="宋体" w:hAnsi="宋体"/>
          <w:sz w:val="24"/>
        </w:rPr>
        <w:t>分物业</w:t>
      </w:r>
      <w:r>
        <w:rPr>
          <w:rFonts w:ascii="宋体" w:hAnsi="宋体"/>
          <w:sz w:val="24"/>
        </w:rPr>
        <w:t>类型</w:t>
      </w:r>
      <w:r>
        <w:rPr>
          <w:rFonts w:hint="eastAsia" w:ascii="宋体" w:hAnsi="宋体"/>
          <w:sz w:val="24"/>
        </w:rPr>
        <w:t>的供应</w:t>
      </w:r>
      <w:r>
        <w:rPr>
          <w:rFonts w:ascii="宋体" w:hAnsi="宋体"/>
          <w:sz w:val="24"/>
        </w:rPr>
        <w:t>和需求</w:t>
      </w:r>
      <w:r>
        <w:rPr>
          <w:rFonts w:hint="eastAsia" w:ascii="宋体" w:hAnsi="宋体"/>
          <w:sz w:val="24"/>
        </w:rPr>
        <w:t>结构（占比</w:t>
      </w:r>
      <w:r>
        <w:rPr>
          <w:rFonts w:ascii="宋体" w:hAnsi="宋体"/>
          <w:sz w:val="24"/>
        </w:rPr>
        <w:t>）</w:t>
      </w:r>
      <w:r>
        <w:rPr>
          <w:rFonts w:hint="eastAsia" w:ascii="宋体" w:hAnsi="宋体"/>
          <w:sz w:val="24"/>
        </w:rPr>
        <w:t>、</w:t>
      </w:r>
      <w:r>
        <w:rPr>
          <w:rFonts w:ascii="宋体" w:hAnsi="宋体"/>
          <w:sz w:val="24"/>
        </w:rPr>
        <w:t>全市</w:t>
      </w:r>
      <w:r>
        <w:rPr>
          <w:rFonts w:hint="eastAsia" w:ascii="宋体" w:hAnsi="宋体"/>
          <w:sz w:val="24"/>
        </w:rPr>
        <w:t>商品</w:t>
      </w:r>
      <w:r>
        <w:rPr>
          <w:rFonts w:ascii="宋体" w:hAnsi="宋体"/>
          <w:sz w:val="24"/>
        </w:rPr>
        <w:t>房供应</w:t>
      </w:r>
      <w:r>
        <w:rPr>
          <w:rFonts w:hint="eastAsia" w:ascii="宋体" w:hAnsi="宋体"/>
          <w:sz w:val="24"/>
        </w:rPr>
        <w:t>及</w:t>
      </w:r>
      <w:r>
        <w:rPr>
          <w:rFonts w:ascii="宋体" w:hAnsi="宋体"/>
          <w:sz w:val="24"/>
        </w:rPr>
        <w:t>成交</w:t>
      </w:r>
      <w:r>
        <w:rPr>
          <w:rFonts w:hint="eastAsia" w:ascii="宋体" w:hAnsi="宋体"/>
          <w:sz w:val="24"/>
        </w:rPr>
        <w:t>量区域分布</w:t>
      </w:r>
      <w:r>
        <w:rPr>
          <w:rFonts w:ascii="宋体" w:hAnsi="宋体"/>
          <w:sz w:val="24"/>
        </w:rPr>
        <w:t>（</w:t>
      </w:r>
      <w:r>
        <w:rPr>
          <w:rFonts w:hint="eastAsia" w:ascii="宋体" w:hAnsi="宋体"/>
          <w:sz w:val="24"/>
        </w:rPr>
        <w:t>占比</w:t>
      </w:r>
      <w:r>
        <w:rPr>
          <w:rFonts w:ascii="宋体" w:hAnsi="宋体"/>
          <w:sz w:val="24"/>
        </w:rPr>
        <w:t>）</w:t>
      </w:r>
      <w:r>
        <w:rPr>
          <w:rFonts w:hint="eastAsia" w:ascii="宋体" w:hAnsi="宋体"/>
          <w:sz w:val="24"/>
        </w:rPr>
        <w:t>、</w:t>
      </w:r>
      <w:r>
        <w:rPr>
          <w:rFonts w:ascii="宋体" w:hAnsi="宋体"/>
          <w:sz w:val="24"/>
        </w:rPr>
        <w:t>全市商品住房供应和成交</w:t>
      </w:r>
      <w:r>
        <w:rPr>
          <w:rFonts w:hint="eastAsia" w:ascii="宋体" w:hAnsi="宋体"/>
          <w:sz w:val="24"/>
        </w:rPr>
        <w:t>价位及</w:t>
      </w:r>
      <w:r>
        <w:rPr>
          <w:rFonts w:ascii="宋体" w:hAnsi="宋体"/>
          <w:sz w:val="24"/>
        </w:rPr>
        <w:t>面积</w:t>
      </w:r>
      <w:r>
        <w:rPr>
          <w:rFonts w:hint="eastAsia" w:ascii="宋体" w:hAnsi="宋体"/>
          <w:sz w:val="24"/>
        </w:rPr>
        <w:t>分布（占比</w:t>
      </w:r>
      <w:r>
        <w:rPr>
          <w:rFonts w:ascii="宋体" w:hAnsi="宋体"/>
          <w:sz w:val="24"/>
        </w:rPr>
        <w:t>）、</w:t>
      </w:r>
      <w:r>
        <w:rPr>
          <w:rFonts w:hint="eastAsia" w:ascii="宋体" w:hAnsi="宋体"/>
          <w:sz w:val="24"/>
        </w:rPr>
        <w:t>全市住房个人</w:t>
      </w:r>
      <w:r>
        <w:rPr>
          <w:rFonts w:ascii="宋体" w:hAnsi="宋体"/>
          <w:sz w:val="24"/>
        </w:rPr>
        <w:t>购买者区域</w:t>
      </w:r>
      <w:r>
        <w:rPr>
          <w:rFonts w:hint="eastAsia" w:ascii="宋体" w:hAnsi="宋体"/>
          <w:sz w:val="24"/>
        </w:rPr>
        <w:t>来源结构、人员</w:t>
      </w:r>
      <w:r>
        <w:rPr>
          <w:rFonts w:ascii="宋体" w:hAnsi="宋体"/>
          <w:sz w:val="24"/>
        </w:rPr>
        <w:t>类型结构</w:t>
      </w:r>
      <w:r>
        <w:rPr>
          <w:rFonts w:hint="eastAsia" w:ascii="宋体" w:hAnsi="宋体"/>
          <w:sz w:val="24"/>
        </w:rPr>
        <w:t>（棚改购房</w:t>
      </w:r>
      <w:r>
        <w:rPr>
          <w:rFonts w:ascii="宋体" w:hAnsi="宋体"/>
          <w:sz w:val="24"/>
        </w:rPr>
        <w:t>、刚需</w:t>
      </w:r>
      <w:r>
        <w:rPr>
          <w:rFonts w:hint="eastAsia" w:ascii="宋体" w:hAnsi="宋体"/>
          <w:sz w:val="24"/>
        </w:rPr>
        <w:t>购房</w:t>
      </w:r>
      <w:r>
        <w:rPr>
          <w:rFonts w:ascii="宋体" w:hAnsi="宋体"/>
          <w:sz w:val="24"/>
        </w:rPr>
        <w:t>、普通改善型</w:t>
      </w:r>
      <w:r>
        <w:rPr>
          <w:rFonts w:hint="eastAsia" w:ascii="宋体" w:hAnsi="宋体"/>
          <w:sz w:val="24"/>
        </w:rPr>
        <w:t>购房</w:t>
      </w:r>
      <w:r>
        <w:rPr>
          <w:rFonts w:ascii="宋体" w:hAnsi="宋体"/>
          <w:sz w:val="24"/>
        </w:rPr>
        <w:t>）</w:t>
      </w:r>
      <w:r>
        <w:rPr>
          <w:rFonts w:hint="eastAsia" w:ascii="宋体" w:hAnsi="宋体"/>
          <w:sz w:val="24"/>
        </w:rPr>
        <w:t>与</w:t>
      </w:r>
      <w:r>
        <w:rPr>
          <w:rFonts w:ascii="宋体" w:hAnsi="宋体"/>
          <w:sz w:val="24"/>
        </w:rPr>
        <w:t>年龄结构等。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3.5.3</w:t>
      </w:r>
      <w:r>
        <w:rPr>
          <w:rFonts w:hint="eastAsia" w:ascii="宋体" w:hAnsi="宋体"/>
          <w:sz w:val="24"/>
        </w:rPr>
        <w:t>供求关系</w:t>
      </w:r>
      <w:r>
        <w:rPr>
          <w:rFonts w:ascii="宋体" w:hAnsi="宋体"/>
          <w:sz w:val="24"/>
        </w:rPr>
        <w:t>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供求</w:t>
      </w:r>
      <w:r>
        <w:rPr>
          <w:rFonts w:ascii="宋体" w:hAnsi="宋体"/>
          <w:sz w:val="24"/>
        </w:rPr>
        <w:t>关系监测用于反映</w:t>
      </w:r>
      <w:r>
        <w:rPr>
          <w:rFonts w:hint="eastAsia" w:ascii="宋体" w:hAnsi="宋体"/>
          <w:sz w:val="24"/>
        </w:rPr>
        <w:t>总体</w:t>
      </w:r>
      <w:r>
        <w:rPr>
          <w:rFonts w:ascii="宋体" w:hAnsi="宋体"/>
          <w:sz w:val="24"/>
        </w:rPr>
        <w:t>市场</w:t>
      </w:r>
      <w:r>
        <w:rPr>
          <w:rFonts w:hint="eastAsia" w:ascii="宋体" w:hAnsi="宋体"/>
          <w:sz w:val="24"/>
        </w:rPr>
        <w:t>或</w:t>
      </w:r>
      <w:r>
        <w:rPr>
          <w:rFonts w:ascii="宋体" w:hAnsi="宋体"/>
          <w:sz w:val="24"/>
        </w:rPr>
        <w:t>细分市场供求</w:t>
      </w:r>
      <w:r>
        <w:rPr>
          <w:rFonts w:hint="eastAsia" w:ascii="宋体" w:hAnsi="宋体"/>
          <w:sz w:val="24"/>
        </w:rPr>
        <w:t>关系是否合理</w:t>
      </w:r>
      <w:r>
        <w:rPr>
          <w:rFonts w:ascii="宋体" w:hAnsi="宋体"/>
          <w:sz w:val="24"/>
        </w:rPr>
        <w:t>，如果供求</w:t>
      </w:r>
      <w:r>
        <w:rPr>
          <w:rFonts w:hint="eastAsia" w:ascii="宋体" w:hAnsi="宋体"/>
          <w:sz w:val="24"/>
        </w:rPr>
        <w:t>关系</w:t>
      </w:r>
      <w:r>
        <w:rPr>
          <w:rFonts w:ascii="宋体" w:hAnsi="宋体"/>
          <w:sz w:val="24"/>
        </w:rPr>
        <w:t>偏紧或偏松，进行预警提示。供求</w:t>
      </w:r>
      <w:r>
        <w:rPr>
          <w:rFonts w:hint="eastAsia" w:ascii="宋体" w:hAnsi="宋体"/>
          <w:sz w:val="24"/>
        </w:rPr>
        <w:t>关系</w:t>
      </w:r>
      <w:r>
        <w:rPr>
          <w:rFonts w:ascii="宋体" w:hAnsi="宋体"/>
          <w:sz w:val="24"/>
        </w:rPr>
        <w:t>监测</w:t>
      </w:r>
      <w:r>
        <w:rPr>
          <w:rFonts w:hint="eastAsia" w:ascii="宋体" w:hAnsi="宋体"/>
          <w:sz w:val="24"/>
        </w:rPr>
        <w:t>需</w:t>
      </w:r>
      <w:r>
        <w:rPr>
          <w:rFonts w:ascii="宋体" w:hAnsi="宋体"/>
          <w:sz w:val="24"/>
        </w:rPr>
        <w:t>分别按区域</w:t>
      </w:r>
      <w:r>
        <w:rPr>
          <w:rFonts w:hint="eastAsia" w:ascii="宋体" w:hAnsi="宋体"/>
          <w:sz w:val="24"/>
        </w:rPr>
        <w:t>维度、</w:t>
      </w:r>
      <w:r>
        <w:rPr>
          <w:rFonts w:ascii="宋体" w:hAnsi="宋体"/>
          <w:sz w:val="24"/>
        </w:rPr>
        <w:t>时间维度</w:t>
      </w:r>
      <w:r>
        <w:rPr>
          <w:rFonts w:hint="eastAsia" w:ascii="宋体" w:hAnsi="宋体"/>
          <w:sz w:val="24"/>
        </w:rPr>
        <w:t>、房屋</w:t>
      </w:r>
      <w:r>
        <w:rPr>
          <w:rFonts w:ascii="宋体" w:hAnsi="宋体"/>
          <w:sz w:val="24"/>
        </w:rPr>
        <w:t>用途维度</w:t>
      </w:r>
      <w:r>
        <w:rPr>
          <w:rFonts w:hint="eastAsia" w:ascii="宋体" w:hAnsi="宋体"/>
          <w:sz w:val="24"/>
        </w:rPr>
        <w:t>进行分析</w:t>
      </w:r>
      <w:r>
        <w:rPr>
          <w:rFonts w:ascii="宋体" w:hAnsi="宋体"/>
          <w:sz w:val="24"/>
        </w:rPr>
        <w:t>呈现，针对商品住房</w:t>
      </w:r>
      <w:r>
        <w:rPr>
          <w:rFonts w:hint="eastAsia" w:ascii="宋体" w:hAnsi="宋体"/>
          <w:sz w:val="24"/>
        </w:rPr>
        <w:t>，进一步进行</w:t>
      </w:r>
      <w:r>
        <w:rPr>
          <w:rFonts w:ascii="宋体" w:hAnsi="宋体"/>
          <w:sz w:val="24"/>
        </w:rPr>
        <w:t>面积</w:t>
      </w:r>
      <w:r>
        <w:rPr>
          <w:rFonts w:hint="eastAsia" w:ascii="宋体" w:hAnsi="宋体"/>
          <w:sz w:val="24"/>
        </w:rPr>
        <w:t>维度、</w:t>
      </w:r>
      <w:r>
        <w:rPr>
          <w:rFonts w:ascii="宋体" w:hAnsi="宋体"/>
          <w:sz w:val="24"/>
        </w:rPr>
        <w:t>价格维度</w:t>
      </w:r>
      <w:r>
        <w:rPr>
          <w:rFonts w:hint="eastAsia" w:ascii="宋体" w:hAnsi="宋体"/>
          <w:sz w:val="24"/>
        </w:rPr>
        <w:t>、</w:t>
      </w:r>
      <w:r>
        <w:rPr>
          <w:rFonts w:ascii="宋体" w:hAnsi="宋体"/>
          <w:sz w:val="24"/>
        </w:rPr>
        <w:t>建筑形态</w:t>
      </w:r>
      <w:r>
        <w:rPr>
          <w:rFonts w:hint="eastAsia" w:ascii="宋体" w:hAnsi="宋体"/>
          <w:sz w:val="24"/>
        </w:rPr>
        <w:t>的</w:t>
      </w:r>
      <w:r>
        <w:rPr>
          <w:rFonts w:ascii="宋体" w:hAnsi="宋体"/>
          <w:sz w:val="24"/>
        </w:rPr>
        <w:t>划分。</w:t>
      </w:r>
      <w:r>
        <w:rPr>
          <w:rFonts w:hint="eastAsia" w:ascii="宋体" w:hAnsi="宋体"/>
          <w:sz w:val="24"/>
        </w:rPr>
        <w:t>监测以去化周期</w:t>
      </w:r>
      <w:r>
        <w:rPr>
          <w:rFonts w:ascii="宋体" w:hAnsi="宋体"/>
          <w:sz w:val="24"/>
        </w:rPr>
        <w:t>（</w:t>
      </w:r>
      <w:r>
        <w:rPr>
          <w:rFonts w:hint="eastAsia" w:ascii="宋体" w:hAnsi="宋体"/>
          <w:sz w:val="24"/>
        </w:rPr>
        <w:t>销售</w:t>
      </w:r>
      <w:r>
        <w:rPr>
          <w:rFonts w:ascii="宋体" w:hAnsi="宋体"/>
          <w:sz w:val="24"/>
        </w:rPr>
        <w:t>周期）</w:t>
      </w:r>
      <w:r>
        <w:rPr>
          <w:rFonts w:hint="eastAsia" w:ascii="宋体" w:hAnsi="宋体"/>
          <w:sz w:val="24"/>
        </w:rPr>
        <w:t>作为</w:t>
      </w:r>
      <w:r>
        <w:rPr>
          <w:rFonts w:ascii="宋体" w:hAnsi="宋体"/>
          <w:sz w:val="24"/>
        </w:rPr>
        <w:t>主要参考指标。</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销售</w:t>
      </w:r>
      <w:r>
        <w:rPr>
          <w:rFonts w:ascii="宋体" w:hAnsi="宋体"/>
          <w:sz w:val="24"/>
        </w:rPr>
        <w:t>周期=可售建筑面积</w:t>
      </w:r>
      <w:r>
        <w:rPr>
          <w:rFonts w:hint="eastAsia" w:ascii="宋体" w:hAnsi="宋体"/>
          <w:sz w:val="24"/>
        </w:rPr>
        <w:t>/近</w:t>
      </w:r>
      <w:r>
        <w:rPr>
          <w:rFonts w:ascii="宋体" w:hAnsi="宋体"/>
          <w:sz w:val="24"/>
        </w:rPr>
        <w:t>三月月均成交建筑面积（</w:t>
      </w:r>
      <w:r>
        <w:rPr>
          <w:rFonts w:hint="eastAsia" w:ascii="宋体" w:hAnsi="宋体"/>
          <w:sz w:val="24"/>
        </w:rPr>
        <w:t>三月</w:t>
      </w:r>
      <w:r>
        <w:rPr>
          <w:rFonts w:ascii="宋体" w:hAnsi="宋体"/>
          <w:sz w:val="24"/>
        </w:rPr>
        <w:t>移动平均值）</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销售</w:t>
      </w:r>
      <w:r>
        <w:rPr>
          <w:rFonts w:ascii="宋体" w:hAnsi="宋体"/>
          <w:sz w:val="24"/>
        </w:rPr>
        <w:t>周期</w:t>
      </w:r>
      <w:r>
        <w:rPr>
          <w:rFonts w:hint="eastAsia" w:ascii="宋体" w:hAnsi="宋体"/>
          <w:sz w:val="24"/>
        </w:rPr>
        <w:t>值小于8，显示供求</w:t>
      </w:r>
      <w:r>
        <w:rPr>
          <w:rFonts w:ascii="宋体" w:hAnsi="宋体"/>
          <w:sz w:val="24"/>
        </w:rPr>
        <w:t>关系</w:t>
      </w:r>
      <w:r>
        <w:rPr>
          <w:rFonts w:hint="eastAsia" w:ascii="宋体" w:hAnsi="宋体"/>
          <w:sz w:val="24"/>
        </w:rPr>
        <w:t>偏紧（供</w:t>
      </w:r>
      <w:r>
        <w:rPr>
          <w:rFonts w:ascii="宋体" w:hAnsi="宋体"/>
          <w:sz w:val="24"/>
        </w:rPr>
        <w:t>小于求）；</w:t>
      </w:r>
      <w:r>
        <w:rPr>
          <w:rFonts w:hint="eastAsia" w:ascii="宋体" w:hAnsi="宋体"/>
          <w:sz w:val="24"/>
        </w:rPr>
        <w:t>销售周期8</w:t>
      </w:r>
      <w:r>
        <w:rPr>
          <w:rFonts w:ascii="宋体" w:hAnsi="宋体"/>
          <w:sz w:val="24"/>
        </w:rPr>
        <w:t>~12</w:t>
      </w:r>
      <w:r>
        <w:rPr>
          <w:rFonts w:hint="eastAsia" w:ascii="宋体" w:hAnsi="宋体"/>
          <w:sz w:val="24"/>
        </w:rPr>
        <w:t>，显示供求</w:t>
      </w:r>
      <w:r>
        <w:rPr>
          <w:rFonts w:ascii="宋体" w:hAnsi="宋体"/>
          <w:sz w:val="24"/>
        </w:rPr>
        <w:t>关系</w:t>
      </w:r>
      <w:r>
        <w:rPr>
          <w:rFonts w:hint="eastAsia" w:ascii="宋体" w:hAnsi="宋体"/>
          <w:sz w:val="24"/>
        </w:rPr>
        <w:t>基本</w:t>
      </w:r>
      <w:r>
        <w:rPr>
          <w:rFonts w:ascii="宋体" w:hAnsi="宋体"/>
          <w:sz w:val="24"/>
        </w:rPr>
        <w:t>合理</w:t>
      </w:r>
      <w:r>
        <w:rPr>
          <w:rFonts w:hint="eastAsia" w:ascii="宋体" w:hAnsi="宋体"/>
          <w:sz w:val="24"/>
        </w:rPr>
        <w:t>（供需</w:t>
      </w:r>
      <w:r>
        <w:rPr>
          <w:rFonts w:ascii="宋体" w:hAnsi="宋体"/>
          <w:sz w:val="24"/>
        </w:rPr>
        <w:t>基本均衡）；销售周期</w:t>
      </w:r>
      <w:r>
        <w:rPr>
          <w:rFonts w:hint="eastAsia" w:ascii="宋体" w:hAnsi="宋体"/>
          <w:sz w:val="24"/>
        </w:rPr>
        <w:t>大于12，</w:t>
      </w:r>
      <w:r>
        <w:rPr>
          <w:rFonts w:ascii="宋体" w:hAnsi="宋体"/>
          <w:sz w:val="24"/>
        </w:rPr>
        <w:t>销售供求关系偏松</w:t>
      </w:r>
      <w:r>
        <w:rPr>
          <w:rFonts w:hint="eastAsia" w:ascii="宋体" w:hAnsi="宋体"/>
          <w:sz w:val="24"/>
        </w:rPr>
        <w:t>（供</w:t>
      </w:r>
      <w:r>
        <w:rPr>
          <w:rFonts w:ascii="宋体" w:hAnsi="宋体"/>
          <w:sz w:val="24"/>
        </w:rPr>
        <w:t>大于求）</w:t>
      </w:r>
      <w:r>
        <w:rPr>
          <w:rFonts w:hint="eastAsia" w:ascii="宋体" w:hAnsi="宋体"/>
          <w:sz w:val="24"/>
        </w:rPr>
        <w:t>。</w:t>
      </w:r>
      <w:r>
        <w:rPr>
          <w:rFonts w:ascii="宋体" w:hAnsi="宋体"/>
          <w:sz w:val="24"/>
        </w:rPr>
        <w:t>监测指标超出预警</w:t>
      </w:r>
      <w:r>
        <w:rPr>
          <w:rFonts w:hint="eastAsia" w:ascii="宋体" w:hAnsi="宋体"/>
          <w:sz w:val="24"/>
        </w:rPr>
        <w:t>阀值</w:t>
      </w:r>
      <w:r>
        <w:rPr>
          <w:rFonts w:ascii="宋体" w:hAnsi="宋体"/>
          <w:sz w:val="24"/>
        </w:rPr>
        <w:t>后</w:t>
      </w:r>
      <w:r>
        <w:rPr>
          <w:rFonts w:hint="eastAsia" w:ascii="宋体" w:hAnsi="宋体"/>
          <w:sz w:val="24"/>
        </w:rPr>
        <w:t>进行主动</w:t>
      </w:r>
      <w:r>
        <w:rPr>
          <w:rFonts w:ascii="宋体" w:hAnsi="宋体"/>
          <w:sz w:val="24"/>
        </w:rPr>
        <w:t>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3.5.4</w:t>
      </w:r>
      <w:r>
        <w:rPr>
          <w:rFonts w:hint="eastAsia" w:ascii="宋体" w:hAnsi="宋体"/>
          <w:sz w:val="24"/>
        </w:rPr>
        <w:t>评估管理监测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结合地图展示房地产评估相关业务数据：我市房地产估价机构数量，分备案等级统计房地产估价机构数，按机构展示其出具估价报告数量、建筑物面积、土地面积；我市注册房地产估价师数，按估价师展示其出具估价报告数量、建筑物面积、土地面积；按估价目的展示出具估价报告数量、建筑物面积、土地面积；按建筑物用途展示出具估价报告数量、建筑物面积、土地面积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3.5.5</w:t>
      </w:r>
      <w:r>
        <w:rPr>
          <w:rFonts w:hint="eastAsia" w:ascii="宋体" w:hAnsi="宋体"/>
          <w:sz w:val="24"/>
        </w:rPr>
        <w:t>在建在售</w:t>
      </w:r>
      <w:r>
        <w:rPr>
          <w:rFonts w:ascii="宋体" w:hAnsi="宋体"/>
          <w:sz w:val="24"/>
        </w:rPr>
        <w:t>项目监测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地图</w:t>
      </w:r>
      <w:r>
        <w:rPr>
          <w:rFonts w:ascii="宋体" w:hAnsi="宋体"/>
          <w:sz w:val="24"/>
        </w:rPr>
        <w:t>呈现全市</w:t>
      </w:r>
      <w:r>
        <w:rPr>
          <w:rFonts w:hint="eastAsia" w:ascii="宋体" w:hAnsi="宋体"/>
          <w:sz w:val="24"/>
        </w:rPr>
        <w:t>在建</w:t>
      </w:r>
      <w:r>
        <w:rPr>
          <w:rFonts w:ascii="宋体" w:hAnsi="宋体"/>
          <w:sz w:val="24"/>
        </w:rPr>
        <w:t>在售</w:t>
      </w:r>
      <w:r>
        <w:rPr>
          <w:rFonts w:hint="eastAsia" w:ascii="宋体" w:hAnsi="宋体"/>
          <w:sz w:val="24"/>
        </w:rPr>
        <w:t>（已取得</w:t>
      </w:r>
      <w:r>
        <w:rPr>
          <w:rFonts w:ascii="宋体" w:hAnsi="宋体"/>
          <w:sz w:val="24"/>
        </w:rPr>
        <w:t>预现售许可</w:t>
      </w:r>
      <w:r>
        <w:rPr>
          <w:rFonts w:hint="eastAsia" w:ascii="宋体" w:hAnsi="宋体"/>
          <w:sz w:val="24"/>
        </w:rPr>
        <w:t>/备案但未</w:t>
      </w:r>
      <w:r>
        <w:rPr>
          <w:rFonts w:ascii="宋体" w:hAnsi="宋体"/>
          <w:sz w:val="24"/>
        </w:rPr>
        <w:t>销售完，或近</w:t>
      </w:r>
      <w:r>
        <w:rPr>
          <w:rFonts w:hint="eastAsia" w:ascii="宋体" w:hAnsi="宋体"/>
          <w:sz w:val="24"/>
        </w:rPr>
        <w:t>12个月</w:t>
      </w:r>
      <w:r>
        <w:rPr>
          <w:rFonts w:ascii="宋体" w:hAnsi="宋体"/>
          <w:sz w:val="24"/>
        </w:rPr>
        <w:t>取得预</w:t>
      </w:r>
      <w:r>
        <w:rPr>
          <w:rFonts w:hint="eastAsia" w:ascii="宋体" w:hAnsi="宋体"/>
          <w:sz w:val="24"/>
        </w:rPr>
        <w:t>现售</w:t>
      </w:r>
      <w:r>
        <w:rPr>
          <w:rFonts w:ascii="宋体" w:hAnsi="宋体"/>
          <w:sz w:val="24"/>
        </w:rPr>
        <w:t>许可的）</w:t>
      </w:r>
      <w:r>
        <w:rPr>
          <w:rFonts w:hint="eastAsia" w:ascii="宋体" w:hAnsi="宋体"/>
          <w:sz w:val="24"/>
        </w:rPr>
        <w:t>的商品房项目</w:t>
      </w:r>
      <w:r>
        <w:rPr>
          <w:rFonts w:ascii="宋体" w:hAnsi="宋体"/>
          <w:sz w:val="24"/>
        </w:rPr>
        <w:t>的点位分布</w:t>
      </w:r>
      <w:r>
        <w:rPr>
          <w:rFonts w:hint="eastAsia" w:ascii="宋体" w:hAnsi="宋体"/>
          <w:sz w:val="24"/>
        </w:rPr>
        <w:t>图，可直接</w:t>
      </w:r>
      <w:r>
        <w:rPr>
          <w:rFonts w:ascii="宋体" w:hAnsi="宋体"/>
          <w:sz w:val="24"/>
        </w:rPr>
        <w:t>调取智慧工地视频</w:t>
      </w:r>
      <w:r>
        <w:rPr>
          <w:rFonts w:hint="eastAsia" w:ascii="宋体" w:hAnsi="宋体"/>
          <w:sz w:val="24"/>
        </w:rPr>
        <w:t>、</w:t>
      </w:r>
      <w:r>
        <w:rPr>
          <w:rFonts w:ascii="宋体" w:hAnsi="宋体"/>
          <w:sz w:val="24"/>
        </w:rPr>
        <w:t>项目</w:t>
      </w:r>
      <w:r>
        <w:rPr>
          <w:rFonts w:hint="eastAsia" w:ascii="宋体" w:hAnsi="宋体"/>
          <w:sz w:val="24"/>
        </w:rPr>
        <w:t>概况、施工进度</w:t>
      </w:r>
      <w:r>
        <w:rPr>
          <w:rFonts w:ascii="宋体" w:hAnsi="宋体"/>
          <w:sz w:val="24"/>
        </w:rPr>
        <w:t>、</w:t>
      </w:r>
      <w:r>
        <w:rPr>
          <w:rFonts w:hint="eastAsia" w:ascii="宋体" w:hAnsi="宋体"/>
          <w:sz w:val="24"/>
        </w:rPr>
        <w:t>销售</w:t>
      </w:r>
      <w:r>
        <w:rPr>
          <w:rFonts w:ascii="宋体" w:hAnsi="宋体"/>
          <w:sz w:val="24"/>
        </w:rPr>
        <w:t>进度、项目热度、项目风险</w:t>
      </w:r>
      <w:r>
        <w:rPr>
          <w:rFonts w:hint="eastAsia" w:ascii="宋体" w:hAnsi="宋体"/>
          <w:sz w:val="24"/>
        </w:rPr>
        <w:t>，并</w:t>
      </w:r>
      <w:r>
        <w:rPr>
          <w:rFonts w:ascii="宋体" w:hAnsi="宋体"/>
          <w:sz w:val="24"/>
        </w:rPr>
        <w:t>对</w:t>
      </w:r>
      <w:r>
        <w:rPr>
          <w:rFonts w:hint="eastAsia" w:ascii="宋体" w:hAnsi="宋体"/>
          <w:sz w:val="24"/>
        </w:rPr>
        <w:t>销售进度</w:t>
      </w:r>
      <w:r>
        <w:rPr>
          <w:rFonts w:ascii="宋体" w:hAnsi="宋体"/>
          <w:sz w:val="24"/>
        </w:rPr>
        <w:t>异常、销售价格异常</w:t>
      </w:r>
      <w:r>
        <w:rPr>
          <w:rFonts w:hint="eastAsia" w:ascii="宋体" w:hAnsi="宋体"/>
          <w:sz w:val="24"/>
        </w:rPr>
        <w:t>、</w:t>
      </w:r>
      <w:r>
        <w:rPr>
          <w:rFonts w:ascii="宋体" w:hAnsi="宋体"/>
          <w:sz w:val="24"/>
        </w:rPr>
        <w:t>建设进度异常</w:t>
      </w:r>
      <w:r>
        <w:rPr>
          <w:rFonts w:hint="eastAsia" w:ascii="宋体" w:hAnsi="宋体"/>
          <w:sz w:val="24"/>
        </w:rPr>
        <w:t>的</w:t>
      </w:r>
      <w:r>
        <w:rPr>
          <w:rFonts w:ascii="宋体" w:hAnsi="宋体"/>
          <w:sz w:val="24"/>
        </w:rPr>
        <w:t>项目进行</w:t>
      </w:r>
      <w:r>
        <w:rPr>
          <w:rFonts w:hint="eastAsia" w:ascii="宋体" w:hAnsi="宋体"/>
          <w:sz w:val="24"/>
        </w:rPr>
        <w:t>预警提示</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3.5.6</w:t>
      </w:r>
      <w:r>
        <w:rPr>
          <w:rFonts w:hint="eastAsia" w:ascii="宋体" w:hAnsi="宋体"/>
          <w:sz w:val="24"/>
        </w:rPr>
        <w:t>市场</w:t>
      </w:r>
      <w:r>
        <w:rPr>
          <w:rFonts w:ascii="宋体" w:hAnsi="宋体"/>
          <w:sz w:val="24"/>
        </w:rPr>
        <w:t>预测模型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3.5.6.1</w:t>
      </w:r>
      <w:r>
        <w:rPr>
          <w:rFonts w:hint="eastAsia" w:ascii="宋体" w:hAnsi="宋体"/>
          <w:sz w:val="24"/>
        </w:rPr>
        <w:t>构建</w:t>
      </w:r>
      <w:r>
        <w:rPr>
          <w:rFonts w:ascii="宋体" w:hAnsi="宋体"/>
          <w:sz w:val="24"/>
        </w:rPr>
        <w:t>预测模型</w:t>
      </w:r>
      <w:r>
        <w:rPr>
          <w:rFonts w:hint="eastAsia" w:ascii="宋体" w:hAnsi="宋体"/>
          <w:sz w:val="24"/>
        </w:rPr>
        <w:t>，融合规划</w:t>
      </w:r>
      <w:r>
        <w:rPr>
          <w:rFonts w:ascii="宋体" w:hAnsi="宋体"/>
          <w:sz w:val="24"/>
        </w:rPr>
        <w:t>、土地、建设、</w:t>
      </w:r>
      <w:r>
        <w:rPr>
          <w:rFonts w:hint="eastAsia" w:ascii="宋体" w:hAnsi="宋体"/>
          <w:sz w:val="24"/>
        </w:rPr>
        <w:t>人口、房产交易数据</w:t>
      </w:r>
      <w:r>
        <w:rPr>
          <w:rFonts w:ascii="宋体" w:hAnsi="宋体"/>
          <w:sz w:val="24"/>
        </w:rPr>
        <w:t>，</w:t>
      </w:r>
      <w:r>
        <w:rPr>
          <w:rFonts w:hint="eastAsia" w:ascii="宋体" w:hAnsi="宋体"/>
          <w:sz w:val="24"/>
        </w:rPr>
        <w:t>对</w:t>
      </w:r>
      <w:r>
        <w:rPr>
          <w:rFonts w:ascii="宋体" w:hAnsi="宋体"/>
          <w:sz w:val="24"/>
        </w:rPr>
        <w:t>未来</w:t>
      </w:r>
      <w:r>
        <w:rPr>
          <w:rFonts w:hint="eastAsia" w:ascii="宋体" w:hAnsi="宋体"/>
          <w:sz w:val="24"/>
        </w:rPr>
        <w:t>特定</w:t>
      </w:r>
      <w:r>
        <w:rPr>
          <w:rFonts w:ascii="宋体" w:hAnsi="宋体"/>
          <w:sz w:val="24"/>
        </w:rPr>
        <w:t>时期</w:t>
      </w:r>
      <w:r>
        <w:rPr>
          <w:rFonts w:hint="eastAsia" w:ascii="宋体" w:hAnsi="宋体"/>
          <w:sz w:val="24"/>
        </w:rPr>
        <w:t>各区域</w:t>
      </w:r>
      <w:r>
        <w:rPr>
          <w:rFonts w:ascii="宋体" w:hAnsi="宋体"/>
          <w:sz w:val="24"/>
        </w:rPr>
        <w:t>的</w:t>
      </w:r>
      <w:r>
        <w:rPr>
          <w:rFonts w:hint="eastAsia" w:ascii="宋体" w:hAnsi="宋体"/>
          <w:sz w:val="24"/>
        </w:rPr>
        <w:t>建筑施工规模</w:t>
      </w:r>
      <w:r>
        <w:rPr>
          <w:rFonts w:ascii="宋体" w:hAnsi="宋体"/>
          <w:sz w:val="24"/>
        </w:rPr>
        <w:t>、商品房</w:t>
      </w:r>
      <w:r>
        <w:rPr>
          <w:rFonts w:hint="eastAsia" w:ascii="宋体" w:hAnsi="宋体"/>
          <w:sz w:val="24"/>
        </w:rPr>
        <w:t>潜在</w:t>
      </w:r>
      <w:r>
        <w:rPr>
          <w:rFonts w:ascii="宋体" w:hAnsi="宋体"/>
          <w:sz w:val="24"/>
        </w:rPr>
        <w:t>供</w:t>
      </w:r>
      <w:r>
        <w:rPr>
          <w:rFonts w:hint="eastAsia" w:ascii="宋体" w:hAnsi="宋体"/>
          <w:sz w:val="24"/>
        </w:rPr>
        <w:t>求</w:t>
      </w:r>
      <w:r>
        <w:rPr>
          <w:rFonts w:ascii="宋体" w:hAnsi="宋体"/>
          <w:sz w:val="24"/>
        </w:rPr>
        <w:t>量</w:t>
      </w:r>
      <w:r>
        <w:rPr>
          <w:rFonts w:hint="eastAsia" w:ascii="宋体" w:hAnsi="宋体"/>
          <w:sz w:val="24"/>
        </w:rPr>
        <w:t>、</w:t>
      </w:r>
      <w:r>
        <w:rPr>
          <w:rFonts w:ascii="宋体" w:hAnsi="宋体"/>
          <w:sz w:val="24"/>
        </w:rPr>
        <w:t>销售价格进行</w:t>
      </w:r>
      <w:r>
        <w:rPr>
          <w:rFonts w:hint="eastAsia" w:ascii="宋体" w:hAnsi="宋体"/>
          <w:sz w:val="24"/>
        </w:rPr>
        <w:t>预测，</w:t>
      </w:r>
      <w:r>
        <w:rPr>
          <w:rFonts w:ascii="宋体" w:hAnsi="宋体"/>
          <w:sz w:val="24"/>
        </w:rPr>
        <w:t>为建筑业、房地产</w:t>
      </w:r>
      <w:r>
        <w:rPr>
          <w:rFonts w:hint="eastAsia" w:ascii="宋体" w:hAnsi="宋体"/>
          <w:sz w:val="24"/>
        </w:rPr>
        <w:t>市场</w:t>
      </w:r>
      <w:r>
        <w:rPr>
          <w:rFonts w:ascii="宋体" w:hAnsi="宋体"/>
          <w:sz w:val="24"/>
        </w:rPr>
        <w:t>调控</w:t>
      </w:r>
      <w:r>
        <w:rPr>
          <w:rFonts w:hint="eastAsia" w:ascii="宋体" w:hAnsi="宋体"/>
          <w:sz w:val="24"/>
        </w:rPr>
        <w:t>提供</w:t>
      </w:r>
      <w:r>
        <w:rPr>
          <w:rFonts w:ascii="宋体" w:hAnsi="宋体"/>
          <w:sz w:val="24"/>
        </w:rPr>
        <w:t>决策</w:t>
      </w:r>
      <w:r>
        <w:rPr>
          <w:rFonts w:hint="eastAsia" w:ascii="宋体" w:hAnsi="宋体"/>
          <w:sz w:val="24"/>
        </w:rPr>
        <w:t>辅助</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zh-CN"/>
        </w:rPr>
      </w:pPr>
      <w:r>
        <w:rPr>
          <w:rFonts w:hint="eastAsia" w:ascii="宋体" w:hAnsi="宋体"/>
          <w:b/>
          <w:bCs/>
          <w:sz w:val="24"/>
        </w:rPr>
        <w:t>▲</w:t>
      </w:r>
      <w:r>
        <w:rPr>
          <w:rFonts w:hint="eastAsia" w:ascii="宋体" w:hAnsi="宋体"/>
          <w:b/>
          <w:bCs/>
          <w:sz w:val="24"/>
          <w:lang w:val="en-US" w:eastAsia="zh-CN"/>
        </w:rPr>
        <w:t>3.5.6.2</w:t>
      </w:r>
      <w:r>
        <w:rPr>
          <w:rFonts w:hint="eastAsia" w:ascii="宋体" w:hAnsi="宋体"/>
          <w:b/>
          <w:bCs/>
          <w:sz w:val="24"/>
        </w:rPr>
        <w:t>提供国家版权局出具的宏观经济类计算机软件著作权证书复印件，并加盖投标人电子印章。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3.5.7</w:t>
      </w:r>
      <w:r>
        <w:rPr>
          <w:rFonts w:hint="eastAsia" w:ascii="宋体" w:hAnsi="宋体"/>
          <w:sz w:val="24"/>
        </w:rPr>
        <w:t>成品住宅监测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跟踪</w:t>
      </w:r>
      <w:r>
        <w:rPr>
          <w:rFonts w:ascii="宋体" w:hAnsi="宋体"/>
          <w:sz w:val="24"/>
        </w:rPr>
        <w:t>监测全市成品住宅</w:t>
      </w:r>
      <w:r>
        <w:rPr>
          <w:rFonts w:hint="eastAsia" w:ascii="宋体" w:hAnsi="宋体"/>
          <w:sz w:val="24"/>
        </w:rPr>
        <w:t>项目新开工、在建</w:t>
      </w:r>
      <w:r>
        <w:rPr>
          <w:rFonts w:ascii="宋体" w:hAnsi="宋体"/>
          <w:sz w:val="24"/>
        </w:rPr>
        <w:t>、</w:t>
      </w:r>
      <w:r>
        <w:rPr>
          <w:rFonts w:hint="eastAsia" w:ascii="宋体" w:hAnsi="宋体"/>
          <w:sz w:val="24"/>
        </w:rPr>
        <w:t>销售</w:t>
      </w:r>
      <w:r>
        <w:rPr>
          <w:rFonts w:ascii="宋体" w:hAnsi="宋体"/>
          <w:sz w:val="24"/>
        </w:rPr>
        <w:t>、</w:t>
      </w:r>
      <w:r>
        <w:rPr>
          <w:rFonts w:hint="eastAsia" w:ascii="宋体" w:hAnsi="宋体"/>
          <w:sz w:val="24"/>
        </w:rPr>
        <w:t>竣工</w:t>
      </w:r>
      <w:r>
        <w:rPr>
          <w:rFonts w:ascii="宋体" w:hAnsi="宋体"/>
          <w:sz w:val="24"/>
        </w:rPr>
        <w:t>、交付</w:t>
      </w:r>
      <w:r>
        <w:rPr>
          <w:rFonts w:hint="eastAsia" w:ascii="宋体" w:hAnsi="宋体"/>
          <w:sz w:val="24"/>
        </w:rPr>
        <w:t>情况</w:t>
      </w:r>
      <w:r>
        <w:rPr>
          <w:rFonts w:ascii="宋体" w:hAnsi="宋体"/>
          <w:sz w:val="24"/>
        </w:rPr>
        <w:t>，</w:t>
      </w:r>
      <w:r>
        <w:rPr>
          <w:rFonts w:hint="eastAsia" w:ascii="宋体" w:hAnsi="宋体"/>
          <w:sz w:val="24"/>
        </w:rPr>
        <w:t>以及</w:t>
      </w:r>
      <w:r>
        <w:rPr>
          <w:rFonts w:ascii="宋体" w:hAnsi="宋体"/>
          <w:sz w:val="24"/>
        </w:rPr>
        <w:t>所涉</w:t>
      </w:r>
      <w:r>
        <w:rPr>
          <w:rFonts w:hint="eastAsia" w:ascii="宋体" w:hAnsi="宋体"/>
          <w:sz w:val="24"/>
        </w:rPr>
        <w:t>房屋</w:t>
      </w:r>
      <w:r>
        <w:rPr>
          <w:rFonts w:ascii="宋体" w:hAnsi="宋体"/>
          <w:sz w:val="24"/>
        </w:rPr>
        <w:t>套数、面积及装修标准</w:t>
      </w:r>
      <w:r>
        <w:rPr>
          <w:rFonts w:hint="eastAsia" w:ascii="宋体" w:hAnsi="宋体"/>
          <w:sz w:val="24"/>
        </w:rPr>
        <w:t>，</w:t>
      </w:r>
      <w:r>
        <w:rPr>
          <w:rFonts w:ascii="宋体" w:hAnsi="宋体"/>
          <w:sz w:val="24"/>
        </w:rPr>
        <w:t>以供及时反映成品住宅建设与交付情况</w:t>
      </w:r>
      <w:r>
        <w:rPr>
          <w:rFonts w:hint="eastAsia" w:ascii="宋体" w:hAnsi="宋体"/>
          <w:sz w:val="24"/>
        </w:rPr>
        <w:t>，</w:t>
      </w:r>
      <w:r>
        <w:rPr>
          <w:rFonts w:ascii="宋体" w:hAnsi="宋体"/>
          <w:sz w:val="24"/>
        </w:rPr>
        <w:t>提前进行</w:t>
      </w:r>
      <w:r>
        <w:rPr>
          <w:rFonts w:hint="eastAsia" w:ascii="宋体" w:hAnsi="宋体"/>
          <w:sz w:val="24"/>
        </w:rPr>
        <w:t>风险预警</w:t>
      </w:r>
      <w:r>
        <w:rPr>
          <w:rFonts w:ascii="宋体" w:hAnsi="宋体"/>
          <w:sz w:val="24"/>
        </w:rPr>
        <w:t>和防控。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3.5.8</w:t>
      </w:r>
      <w:r>
        <w:rPr>
          <w:rFonts w:hint="eastAsia" w:ascii="宋体" w:hAnsi="宋体"/>
          <w:sz w:val="24"/>
        </w:rPr>
        <w:t>房产市场交易监测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3.5.8.1</w:t>
      </w:r>
      <w:r>
        <w:rPr>
          <w:rFonts w:hint="eastAsia" w:ascii="宋体" w:hAnsi="宋体"/>
          <w:sz w:val="24"/>
        </w:rPr>
        <w:t>对全市每日商品房/二手房交易量、价格进行实时跟踪监测；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3.5.8.2</w:t>
      </w:r>
      <w:r>
        <w:rPr>
          <w:rFonts w:hint="eastAsia" w:ascii="宋体" w:hAnsi="宋体"/>
          <w:sz w:val="24"/>
        </w:rPr>
        <w:t>按日、月度、季度、年度周期监测全市各行政区域的房产交易量、价走势以及环比、同比；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3.5.8.3</w:t>
      </w:r>
      <w:r>
        <w:rPr>
          <w:rFonts w:hint="eastAsia" w:ascii="宋体" w:hAnsi="宋体"/>
          <w:sz w:val="24"/>
        </w:rPr>
        <w:t>对商品住房、二手住房的成交面积结构、价位结构、建筑形态进行监测；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3.5.8.4</w:t>
      </w:r>
      <w:r>
        <w:rPr>
          <w:rFonts w:hint="eastAsia" w:ascii="宋体" w:hAnsi="宋体"/>
          <w:sz w:val="24"/>
        </w:rPr>
        <w:t>对商品房购买主体特征进行监测，包括业主来源、年龄构成、贷款情况进行监测；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3.5.8.5</w:t>
      </w:r>
      <w:r>
        <w:rPr>
          <w:rFonts w:hint="eastAsia" w:ascii="宋体" w:hAnsi="宋体"/>
          <w:sz w:val="24"/>
        </w:rPr>
        <w:t>对全市各物业类型的商品房供应量、销售量、可售量、销售周期等指标进行动态跟踪监测。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3.5.8.6</w:t>
      </w:r>
      <w:r>
        <w:rPr>
          <w:rFonts w:hint="eastAsia" w:ascii="宋体" w:hAnsi="宋体"/>
          <w:sz w:val="24"/>
        </w:rPr>
        <w:t>基于成都GIS地图，展示全市商品房项目分布、项目基本情况、建设进度、销售表、销售量、可售量、销售金额、成交均价等信息。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3.5.8.7</w:t>
      </w:r>
      <w:r>
        <w:rPr>
          <w:rFonts w:hint="eastAsia" w:ascii="宋体" w:hAnsi="宋体"/>
          <w:sz w:val="24"/>
        </w:rPr>
        <w:t>对全市预售资金监管项目分布、监管户数、监管金额、划拨金额、监管取消等进行跟踪监测。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3.5.9</w:t>
      </w:r>
      <w:r>
        <w:rPr>
          <w:rFonts w:hint="eastAsia" w:ascii="宋体" w:hAnsi="宋体"/>
          <w:sz w:val="24"/>
        </w:rPr>
        <w:t>住房租赁市场监测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3.5.9.1</w:t>
      </w:r>
      <w:r>
        <w:rPr>
          <w:rFonts w:hint="eastAsia" w:ascii="宋体" w:hAnsi="宋体"/>
          <w:sz w:val="24"/>
        </w:rPr>
        <w:t>整合租赁网签</w:t>
      </w:r>
      <w:r>
        <w:rPr>
          <w:rFonts w:ascii="宋体" w:hAnsi="宋体"/>
          <w:sz w:val="24"/>
        </w:rPr>
        <w:t>备案数据、</w:t>
      </w:r>
      <w:r>
        <w:rPr>
          <w:rFonts w:hint="eastAsia" w:ascii="宋体" w:hAnsi="宋体"/>
          <w:sz w:val="24"/>
        </w:rPr>
        <w:t>居间</w:t>
      </w:r>
      <w:r>
        <w:rPr>
          <w:rFonts w:ascii="宋体" w:hAnsi="宋体"/>
          <w:sz w:val="24"/>
        </w:rPr>
        <w:t>机构数据</w:t>
      </w:r>
      <w:r>
        <w:rPr>
          <w:rFonts w:hint="eastAsia" w:ascii="宋体" w:hAnsi="宋体"/>
          <w:sz w:val="24"/>
        </w:rPr>
        <w:t>、住房</w:t>
      </w:r>
      <w:r>
        <w:rPr>
          <w:rFonts w:ascii="宋体" w:hAnsi="宋体"/>
          <w:sz w:val="24"/>
        </w:rPr>
        <w:t>租赁企业数据，</w:t>
      </w:r>
      <w:r>
        <w:rPr>
          <w:rFonts w:hint="eastAsia" w:ascii="宋体" w:hAnsi="宋体"/>
          <w:sz w:val="24"/>
        </w:rPr>
        <w:t>对</w:t>
      </w:r>
      <w:r>
        <w:rPr>
          <w:rFonts w:ascii="宋体" w:hAnsi="宋体"/>
          <w:sz w:val="24"/>
        </w:rPr>
        <w:t>全市</w:t>
      </w:r>
      <w:r>
        <w:rPr>
          <w:rFonts w:hint="eastAsia" w:ascii="宋体" w:hAnsi="宋体"/>
          <w:sz w:val="24"/>
        </w:rPr>
        <w:t>及各</w:t>
      </w:r>
      <w:r>
        <w:rPr>
          <w:rFonts w:ascii="宋体" w:hAnsi="宋体"/>
          <w:sz w:val="24"/>
        </w:rPr>
        <w:t>区域的住房租赁</w:t>
      </w:r>
      <w:r>
        <w:rPr>
          <w:rFonts w:hint="eastAsia" w:ascii="宋体" w:hAnsi="宋体"/>
          <w:sz w:val="24"/>
        </w:rPr>
        <w:t>市场</w:t>
      </w:r>
      <w:r>
        <w:rPr>
          <w:rFonts w:ascii="宋体" w:hAnsi="宋体"/>
          <w:sz w:val="24"/>
        </w:rPr>
        <w:t>交易</w:t>
      </w:r>
      <w:r>
        <w:rPr>
          <w:rFonts w:hint="eastAsia" w:ascii="宋体" w:hAnsi="宋体"/>
          <w:sz w:val="24"/>
        </w:rPr>
        <w:t>量</w:t>
      </w:r>
      <w:r>
        <w:rPr>
          <w:rFonts w:ascii="宋体" w:hAnsi="宋体"/>
          <w:sz w:val="24"/>
        </w:rPr>
        <w:t>、</w:t>
      </w:r>
      <w:r>
        <w:rPr>
          <w:rFonts w:hint="eastAsia" w:ascii="宋体" w:hAnsi="宋体"/>
          <w:sz w:val="24"/>
        </w:rPr>
        <w:t>活跃度</w:t>
      </w:r>
      <w:r>
        <w:rPr>
          <w:rFonts w:ascii="宋体" w:hAnsi="宋体"/>
          <w:sz w:val="24"/>
        </w:rPr>
        <w:t>、租金水平</w:t>
      </w:r>
      <w:r>
        <w:rPr>
          <w:rFonts w:hint="eastAsia" w:ascii="宋体" w:hAnsi="宋体"/>
          <w:sz w:val="24"/>
        </w:rPr>
        <w:t>进行</w:t>
      </w:r>
      <w:r>
        <w:rPr>
          <w:rFonts w:ascii="宋体" w:hAnsi="宋体"/>
          <w:sz w:val="24"/>
        </w:rPr>
        <w:t>动态监测。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3.5.9.2</w:t>
      </w:r>
      <w:r>
        <w:rPr>
          <w:rFonts w:hint="eastAsia" w:ascii="宋体" w:hAnsi="宋体"/>
          <w:sz w:val="24"/>
        </w:rPr>
        <w:t>住房租赁企业数量监测。统计周期实时。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3.5.9.3</w:t>
      </w:r>
      <w:r>
        <w:rPr>
          <w:rFonts w:hint="eastAsia" w:ascii="宋体" w:hAnsi="宋体"/>
          <w:sz w:val="24"/>
        </w:rPr>
        <w:t>住房租赁企业房源数据监测。分企业统计房源数据，统计方式：按套/间分别统计，以及统一折合成间统计，并统计房源总量。统计周期实时。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3.5.9.4</w:t>
      </w:r>
      <w:r>
        <w:rPr>
          <w:rFonts w:hint="eastAsia" w:ascii="宋体" w:hAnsi="宋体"/>
          <w:sz w:val="24"/>
        </w:rPr>
        <w:t>住房租赁企业从业人员监测，分企业统计从业人员数量，并统计人员总量，统计周期实时。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3.5.9.5</w:t>
      </w:r>
      <w:r>
        <w:rPr>
          <w:rFonts w:hint="eastAsia" w:ascii="宋体" w:hAnsi="宋体"/>
          <w:sz w:val="24"/>
        </w:rPr>
        <w:t>住房租赁企业房源数据（企业名称，房源数*套，*间，总计*间），房源数量和上周、上月、去年数据对比。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3.5.9.6</w:t>
      </w:r>
      <w:r>
        <w:rPr>
          <w:rFonts w:hint="eastAsia" w:ascii="宋体" w:hAnsi="宋体"/>
          <w:sz w:val="24"/>
        </w:rPr>
        <w:t>住房租赁企业从业人员数量（企业名称、人员数量，从业人员总数）。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3.5.9.7</w:t>
      </w:r>
      <w:r>
        <w:rPr>
          <w:rFonts w:hint="eastAsia" w:ascii="宋体" w:hAnsi="宋体"/>
          <w:sz w:val="24"/>
        </w:rPr>
        <w:t>房屋租赁登记备案数据，各区（市）县备案数据对比；按月、按年对比。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3.5.9.8</w:t>
      </w:r>
      <w:r>
        <w:rPr>
          <w:rFonts w:hint="eastAsia" w:ascii="宋体" w:hAnsi="宋体"/>
          <w:sz w:val="24"/>
        </w:rPr>
        <w:t>对发布房源挂牌租金、租赁备案租金、调查采集租金等分别以柱状图等形式、按月、季度、半年、年等进行对比展示。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3.5.9.9</w:t>
      </w:r>
      <w:r>
        <w:rPr>
          <w:rFonts w:hint="eastAsia" w:ascii="宋体" w:hAnsi="宋体"/>
          <w:sz w:val="24"/>
        </w:rPr>
        <w:t>经纪管理监测。对经纪机构及从业人员的备案登记数量，按月、年进行对比。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3.5.9.10</w:t>
      </w:r>
      <w:r>
        <w:rPr>
          <w:rFonts w:hint="eastAsia" w:ascii="宋体" w:hAnsi="宋体"/>
          <w:sz w:val="24"/>
        </w:rPr>
        <w:t>评估管理监测。采用柱状图显示机构、估价师出具估价报告数量、建筑物面积、土地面积对比，采用饼状图显示不同估价目的出具估价报告数量、建筑物面积、土地面积等。</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zh-CN"/>
        </w:rPr>
      </w:pPr>
      <w:r>
        <w:rPr>
          <w:rFonts w:hint="eastAsia" w:ascii="宋体" w:hAnsi="宋体"/>
          <w:b/>
          <w:bCs/>
          <w:sz w:val="24"/>
        </w:rPr>
        <w:t>▲</w:t>
      </w:r>
      <w:r>
        <w:rPr>
          <w:rFonts w:hint="eastAsia" w:ascii="宋体" w:hAnsi="宋体"/>
          <w:b/>
          <w:bCs/>
          <w:sz w:val="24"/>
          <w:lang w:val="en-US" w:eastAsia="zh-CN"/>
        </w:rPr>
        <w:t>3.5.9.11</w:t>
      </w:r>
      <w:r>
        <w:rPr>
          <w:rFonts w:hint="eastAsia" w:ascii="宋体" w:hAnsi="宋体"/>
          <w:b/>
          <w:bCs/>
          <w:sz w:val="24"/>
        </w:rPr>
        <w:t>提供国家版权局出具的市场监管类计算机软件著作权证书复印件，并加盖投标人电子印章。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3.5.10</w:t>
      </w:r>
      <w:r>
        <w:rPr>
          <w:rFonts w:hint="eastAsia" w:ascii="宋体" w:hAnsi="宋体"/>
          <w:sz w:val="24"/>
        </w:rPr>
        <w:t>物业服务（小区）监测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3.5.10.1</w:t>
      </w:r>
      <w:r>
        <w:rPr>
          <w:rFonts w:hint="eastAsia" w:ascii="宋体" w:hAnsi="宋体"/>
          <w:sz w:val="24"/>
        </w:rPr>
        <w:t>地图</w:t>
      </w:r>
      <w:r>
        <w:rPr>
          <w:rFonts w:ascii="宋体" w:hAnsi="宋体"/>
          <w:sz w:val="24"/>
        </w:rPr>
        <w:t>展示全市物业小区分布，全市管理的物业小区（</w:t>
      </w:r>
      <w:r>
        <w:rPr>
          <w:rFonts w:hint="eastAsia" w:ascii="宋体" w:hAnsi="宋体"/>
          <w:sz w:val="24"/>
        </w:rPr>
        <w:t>建筑区划</w:t>
      </w:r>
      <w:r>
        <w:rPr>
          <w:rFonts w:ascii="宋体" w:hAnsi="宋体"/>
          <w:sz w:val="24"/>
        </w:rPr>
        <w:t>）</w:t>
      </w:r>
      <w:r>
        <w:rPr>
          <w:rFonts w:hint="eastAsia" w:ascii="宋体" w:hAnsi="宋体"/>
          <w:sz w:val="24"/>
        </w:rPr>
        <w:t>数量、</w:t>
      </w:r>
      <w:r>
        <w:rPr>
          <w:rFonts w:ascii="宋体" w:hAnsi="宋体"/>
          <w:sz w:val="24"/>
        </w:rPr>
        <w:t>业主户数、建筑面积</w:t>
      </w:r>
      <w:r>
        <w:rPr>
          <w:rFonts w:hint="eastAsia" w:ascii="宋体" w:hAnsi="宋体"/>
          <w:sz w:val="24"/>
        </w:rPr>
        <w:t>、居住</w:t>
      </w:r>
      <w:r>
        <w:rPr>
          <w:rFonts w:ascii="宋体" w:hAnsi="宋体"/>
          <w:sz w:val="24"/>
        </w:rPr>
        <w:t>人口、物业管理费</w:t>
      </w:r>
      <w:r>
        <w:rPr>
          <w:rFonts w:hint="eastAsia" w:ascii="宋体" w:hAnsi="宋体"/>
          <w:sz w:val="24"/>
        </w:rPr>
        <w:t>等进行</w:t>
      </w:r>
      <w:r>
        <w:rPr>
          <w:rFonts w:ascii="宋体" w:hAnsi="宋体"/>
          <w:sz w:val="24"/>
        </w:rPr>
        <w:t>监测</w:t>
      </w:r>
      <w:r>
        <w:rPr>
          <w:rFonts w:hint="eastAsia" w:ascii="宋体" w:hAnsi="宋体"/>
          <w:sz w:val="24"/>
        </w:rPr>
        <w:t>；监测业主</w:t>
      </w:r>
      <w:r>
        <w:rPr>
          <w:rFonts w:ascii="宋体" w:hAnsi="宋体"/>
          <w:sz w:val="24"/>
        </w:rPr>
        <w:t>委员</w:t>
      </w:r>
      <w:r>
        <w:rPr>
          <w:rFonts w:hint="eastAsia" w:ascii="宋体" w:hAnsi="宋体"/>
          <w:sz w:val="24"/>
        </w:rPr>
        <w:t>成立</w:t>
      </w:r>
      <w:r>
        <w:rPr>
          <w:rFonts w:ascii="宋体" w:hAnsi="宋体"/>
          <w:sz w:val="24"/>
        </w:rPr>
        <w:t>情况、维修资金监管与使用情况</w:t>
      </w:r>
      <w:r>
        <w:rPr>
          <w:rFonts w:hint="eastAsia" w:ascii="宋体" w:hAnsi="宋体"/>
          <w:sz w:val="24"/>
        </w:rPr>
        <w:t>、</w:t>
      </w:r>
      <w:r>
        <w:rPr>
          <w:rFonts w:ascii="宋体" w:hAnsi="宋体"/>
          <w:sz w:val="24"/>
        </w:rPr>
        <w:t>小区智能化</w:t>
      </w:r>
      <w:r>
        <w:rPr>
          <w:rFonts w:hint="eastAsia" w:ascii="宋体" w:hAnsi="宋体"/>
          <w:sz w:val="24"/>
        </w:rPr>
        <w:t>情况</w:t>
      </w:r>
      <w:r>
        <w:rPr>
          <w:rFonts w:ascii="宋体" w:hAnsi="宋体"/>
          <w:sz w:val="24"/>
        </w:rPr>
        <w:t>。</w:t>
      </w:r>
      <w:r>
        <w:rPr>
          <w:rFonts w:hint="eastAsia" w:ascii="宋体" w:hAnsi="宋体"/>
          <w:sz w:val="24"/>
        </w:rPr>
        <w:t>通过融合水</w:t>
      </w:r>
      <w:r>
        <w:rPr>
          <w:rFonts w:ascii="宋体" w:hAnsi="宋体"/>
          <w:sz w:val="24"/>
        </w:rPr>
        <w:t>、电、气</w:t>
      </w:r>
      <w:r>
        <w:rPr>
          <w:rFonts w:hint="eastAsia" w:ascii="宋体" w:hAnsi="宋体"/>
          <w:sz w:val="24"/>
        </w:rPr>
        <w:t>使用</w:t>
      </w:r>
      <w:r>
        <w:rPr>
          <w:rFonts w:ascii="宋体" w:hAnsi="宋体"/>
          <w:sz w:val="24"/>
        </w:rPr>
        <w:t>数据</w:t>
      </w:r>
      <w:r>
        <w:rPr>
          <w:rFonts w:hint="eastAsia" w:ascii="宋体" w:hAnsi="宋体"/>
          <w:sz w:val="24"/>
        </w:rPr>
        <w:t>和物业</w:t>
      </w:r>
      <w:r>
        <w:rPr>
          <w:rFonts w:ascii="宋体" w:hAnsi="宋体"/>
          <w:sz w:val="24"/>
        </w:rPr>
        <w:t>小区房屋数据汇聚</w:t>
      </w:r>
      <w:r>
        <w:rPr>
          <w:rFonts w:hint="eastAsia" w:ascii="宋体" w:hAnsi="宋体"/>
          <w:sz w:val="24"/>
        </w:rPr>
        <w:t>融合，监测全市房屋空置</w:t>
      </w:r>
      <w:r>
        <w:rPr>
          <w:rFonts w:ascii="宋体" w:hAnsi="宋体"/>
          <w:sz w:val="24"/>
        </w:rPr>
        <w:t>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3.5.10.2</w:t>
      </w:r>
      <w:r>
        <w:rPr>
          <w:rFonts w:hint="eastAsia" w:ascii="宋体" w:hAnsi="宋体"/>
          <w:sz w:val="24"/>
        </w:rPr>
        <w:t>对建筑区划基本分布和基础信息通过领导驾驶舱形式展示，同时利用柱状图、饼状图、折线图等形式展示分布情况、动态变化情况等信息。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3.5.10.3</w:t>
      </w:r>
      <w:r>
        <w:rPr>
          <w:rFonts w:hint="eastAsia" w:ascii="宋体" w:hAnsi="宋体"/>
          <w:sz w:val="24"/>
        </w:rPr>
        <w:t>对投诉情况通过领导驾驶舱形式展示，同时利用柱状图、饼状图、折线图等形式展示被投诉主体情况、投诉事项情况、投诉处理情况、区域分布情况、动态变化情况等信息。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3.5.10.4</w:t>
      </w:r>
      <w:r>
        <w:rPr>
          <w:rFonts w:hint="eastAsia" w:ascii="宋体" w:hAnsi="宋体"/>
          <w:sz w:val="24"/>
        </w:rPr>
        <w:t>对共用部位、共用设施设备领导驾驶舱形式展示，同时利用柱状图、饼状图、折线图等形式展示分布情况、动态变化情况等信息。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3.5.10.5</w:t>
      </w:r>
      <w:r>
        <w:rPr>
          <w:rFonts w:hint="eastAsia" w:ascii="宋体" w:hAnsi="宋体"/>
          <w:sz w:val="24"/>
        </w:rPr>
        <w:t>对重大事件上报情况通过领导驾驶舱形式展示，同时利用柱状图、饼状图、折线图等形式展示分布情况、动态变化情况等信息。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zh-CN"/>
        </w:rPr>
      </w:pPr>
      <w:r>
        <w:rPr>
          <w:rFonts w:hint="eastAsia" w:ascii="宋体" w:hAnsi="宋体"/>
          <w:b/>
          <w:bCs/>
          <w:sz w:val="24"/>
        </w:rPr>
        <w:t>▲</w:t>
      </w:r>
      <w:r>
        <w:rPr>
          <w:rFonts w:hint="eastAsia" w:ascii="宋体" w:hAnsi="宋体"/>
          <w:b/>
          <w:bCs/>
          <w:sz w:val="24"/>
          <w:lang w:val="en-US" w:eastAsia="zh-CN"/>
        </w:rPr>
        <w:t>3.5.10.6</w:t>
      </w:r>
      <w:r>
        <w:rPr>
          <w:rFonts w:hint="eastAsia" w:ascii="宋体" w:hAnsi="宋体"/>
          <w:b/>
          <w:bCs/>
          <w:sz w:val="24"/>
        </w:rPr>
        <w:t>提供国家版权局出具的服务业经济类计算机软件著作权证书复印件，并加盖投标人电子印章。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3.5.11</w:t>
      </w:r>
      <w:r>
        <w:rPr>
          <w:rFonts w:hint="eastAsia" w:ascii="宋体" w:hAnsi="宋体"/>
          <w:sz w:val="24"/>
        </w:rPr>
        <w:t>棚改与房屋征收监测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监测</w:t>
      </w:r>
      <w:r>
        <w:rPr>
          <w:rFonts w:ascii="宋体" w:hAnsi="宋体"/>
          <w:sz w:val="24"/>
        </w:rPr>
        <w:t>全市</w:t>
      </w:r>
      <w:r>
        <w:rPr>
          <w:rFonts w:hint="eastAsia" w:ascii="宋体" w:hAnsi="宋体"/>
          <w:sz w:val="24"/>
        </w:rPr>
        <w:t>老旧</w:t>
      </w:r>
      <w:r>
        <w:rPr>
          <w:rFonts w:ascii="宋体" w:hAnsi="宋体"/>
          <w:sz w:val="24"/>
        </w:rPr>
        <w:t>院落分布</w:t>
      </w:r>
      <w:r>
        <w:rPr>
          <w:rFonts w:hint="eastAsia" w:ascii="宋体" w:hAnsi="宋体"/>
          <w:sz w:val="24"/>
        </w:rPr>
        <w:t>，当年度</w:t>
      </w:r>
      <w:r>
        <w:rPr>
          <w:rFonts w:ascii="宋体" w:hAnsi="宋体"/>
          <w:sz w:val="24"/>
        </w:rPr>
        <w:t>棚改项目</w:t>
      </w:r>
      <w:r>
        <w:rPr>
          <w:rFonts w:hint="eastAsia" w:ascii="宋体" w:hAnsi="宋体"/>
          <w:sz w:val="24"/>
        </w:rPr>
        <w:t>分布</w:t>
      </w:r>
      <w:r>
        <w:rPr>
          <w:rFonts w:ascii="宋体" w:hAnsi="宋体"/>
          <w:sz w:val="24"/>
        </w:rPr>
        <w:t>及</w:t>
      </w:r>
      <w:r>
        <w:rPr>
          <w:rFonts w:hint="eastAsia" w:ascii="宋体" w:hAnsi="宋体"/>
          <w:sz w:val="24"/>
        </w:rPr>
        <w:t>实施</w:t>
      </w:r>
      <w:r>
        <w:rPr>
          <w:rFonts w:ascii="宋体" w:hAnsi="宋体"/>
          <w:sz w:val="24"/>
        </w:rPr>
        <w:t>进度</w:t>
      </w:r>
      <w:r>
        <w:rPr>
          <w:rFonts w:hint="eastAsia" w:ascii="宋体" w:hAnsi="宋体"/>
          <w:sz w:val="24"/>
        </w:rPr>
        <w:t>，</w:t>
      </w:r>
      <w:r>
        <w:rPr>
          <w:rFonts w:ascii="宋体" w:hAnsi="宋体"/>
          <w:sz w:val="24"/>
        </w:rPr>
        <w:t>房屋征收面积与套数</w:t>
      </w:r>
      <w:r>
        <w:rPr>
          <w:rFonts w:hint="eastAsia" w:ascii="宋体" w:hAnsi="宋体"/>
          <w:sz w:val="24"/>
        </w:rPr>
        <w:t>；</w:t>
      </w:r>
      <w:r>
        <w:rPr>
          <w:rFonts w:ascii="宋体" w:hAnsi="宋体"/>
          <w:sz w:val="24"/>
        </w:rPr>
        <w:t>征收补偿</w:t>
      </w:r>
      <w:r>
        <w:rPr>
          <w:rFonts w:hint="eastAsia" w:ascii="宋体" w:hAnsi="宋体"/>
          <w:sz w:val="24"/>
        </w:rPr>
        <w:t>情况</w:t>
      </w:r>
      <w:r>
        <w:rPr>
          <w:rFonts w:ascii="宋体" w:hAnsi="宋体"/>
          <w:sz w:val="24"/>
        </w:rPr>
        <w:t>及协议</w:t>
      </w:r>
      <w:r>
        <w:rPr>
          <w:rFonts w:hint="eastAsia" w:ascii="宋体" w:hAnsi="宋体"/>
          <w:sz w:val="24"/>
        </w:rPr>
        <w:t>签订</w:t>
      </w:r>
      <w:r>
        <w:rPr>
          <w:rFonts w:ascii="宋体" w:hAnsi="宋体"/>
          <w:sz w:val="24"/>
        </w:rPr>
        <w:t>情况；</w:t>
      </w:r>
      <w:r>
        <w:rPr>
          <w:rFonts w:hint="eastAsia" w:ascii="宋体" w:hAnsi="宋体"/>
          <w:sz w:val="24"/>
        </w:rPr>
        <w:t>监测</w:t>
      </w:r>
      <w:r>
        <w:rPr>
          <w:rFonts w:ascii="宋体" w:hAnsi="宋体"/>
          <w:sz w:val="24"/>
        </w:rPr>
        <w:t>全市</w:t>
      </w:r>
      <w:r>
        <w:rPr>
          <w:rFonts w:hint="eastAsia" w:ascii="宋体" w:hAnsi="宋体"/>
          <w:sz w:val="24"/>
        </w:rPr>
        <w:t>棚改</w:t>
      </w:r>
      <w:r>
        <w:rPr>
          <w:rFonts w:ascii="宋体" w:hAnsi="宋体"/>
          <w:sz w:val="24"/>
        </w:rPr>
        <w:t>对象</w:t>
      </w:r>
      <w:r>
        <w:rPr>
          <w:rFonts w:hint="eastAsia" w:ascii="宋体" w:hAnsi="宋体"/>
          <w:sz w:val="24"/>
        </w:rPr>
        <w:t>数量</w:t>
      </w:r>
      <w:r>
        <w:rPr>
          <w:rFonts w:ascii="宋体" w:hAnsi="宋体"/>
          <w:sz w:val="24"/>
        </w:rPr>
        <w:t>、</w:t>
      </w:r>
      <w:r>
        <w:rPr>
          <w:rFonts w:hint="eastAsia" w:ascii="宋体" w:hAnsi="宋体"/>
          <w:sz w:val="24"/>
        </w:rPr>
        <w:t>购房</w:t>
      </w:r>
      <w:r>
        <w:rPr>
          <w:rFonts w:ascii="宋体" w:hAnsi="宋体"/>
          <w:sz w:val="24"/>
        </w:rPr>
        <w:t>流向</w:t>
      </w:r>
      <w:r>
        <w:rPr>
          <w:rFonts w:hint="eastAsia" w:ascii="宋体" w:hAnsi="宋体"/>
          <w:sz w:val="24"/>
        </w:rPr>
        <w:t>及</w:t>
      </w:r>
      <w:r>
        <w:rPr>
          <w:rFonts w:ascii="宋体" w:hAnsi="宋体"/>
          <w:sz w:val="24"/>
        </w:rPr>
        <w:t>购房</w:t>
      </w:r>
      <w:r>
        <w:rPr>
          <w:rFonts w:hint="eastAsia" w:ascii="宋体" w:hAnsi="宋体"/>
          <w:sz w:val="24"/>
        </w:rPr>
        <w:t>量</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3.5.12</w:t>
      </w:r>
      <w:r>
        <w:rPr>
          <w:rFonts w:hint="eastAsia" w:ascii="宋体" w:hAnsi="宋体"/>
          <w:sz w:val="24"/>
        </w:rPr>
        <w:t>维修资金监测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对资金归集情况通过领导驾驶舱形式展示，同时利用柱状图、饼状图、折线图等形式按月、季度、年份展示分布情况、动态变化情况等信息。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对资金使用情况通过领导驾驶舱形式展示，同时利用柱状图、饼状图、折线图等形式按月、季度、年份展示分布情况、动态变化情况等信息。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3.5.13</w:t>
      </w:r>
      <w:r>
        <w:rPr>
          <w:rFonts w:hint="eastAsia" w:ascii="宋体" w:hAnsi="宋体"/>
          <w:sz w:val="24"/>
        </w:rPr>
        <w:t>工程项目监测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3.5.13.1</w:t>
      </w:r>
      <w:r>
        <w:rPr>
          <w:rFonts w:hint="eastAsia" w:ascii="宋体" w:hAnsi="宋体"/>
          <w:sz w:val="24"/>
        </w:rPr>
        <w:t>全市在建重大工程项目GIS分布、项目概况及建设进度的跟踪监测，展示航拍图、工程现场安装的实时监控视频等。</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rPr>
      </w:pPr>
      <w:r>
        <w:rPr>
          <w:rFonts w:hint="eastAsia" w:ascii="宋体" w:hAnsi="宋体"/>
          <w:b/>
          <w:bCs/>
          <w:sz w:val="24"/>
        </w:rPr>
        <w:t>▲</w:t>
      </w:r>
      <w:r>
        <w:rPr>
          <w:rFonts w:hint="eastAsia" w:ascii="宋体" w:hAnsi="宋体"/>
          <w:b/>
          <w:bCs/>
          <w:sz w:val="24"/>
          <w:lang w:val="en-US" w:eastAsia="zh-CN"/>
        </w:rPr>
        <w:t>3.5.13.2</w:t>
      </w:r>
      <w:r>
        <w:rPr>
          <w:rFonts w:hint="eastAsia" w:ascii="宋体" w:hAnsi="宋体"/>
          <w:b/>
          <w:bCs/>
          <w:sz w:val="24"/>
        </w:rPr>
        <w:t>提供国家版权局出具的重点项目类计算机软件著作权证书复印件，并加盖投标人电子印章。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3.5.13.3</w:t>
      </w:r>
      <w:r>
        <w:rPr>
          <w:rFonts w:hint="eastAsia" w:ascii="宋体" w:hAnsi="宋体"/>
          <w:sz w:val="24"/>
        </w:rPr>
        <w:t>监测施工图审、施工许可、竣工验收备案三大业务的受理量和办结量；实施现场监督的在建工程项目数量、质量检测情况及供地扬尘指数；监管的行业各类型企业数量和黑名单企业数量。</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zh-CN"/>
        </w:rPr>
      </w:pPr>
      <w:r>
        <w:rPr>
          <w:rFonts w:hint="eastAsia" w:ascii="宋体" w:hAnsi="宋体"/>
          <w:b/>
          <w:bCs/>
          <w:sz w:val="24"/>
        </w:rPr>
        <w:t>▲</w:t>
      </w:r>
      <w:r>
        <w:rPr>
          <w:rFonts w:hint="eastAsia" w:ascii="宋体" w:hAnsi="宋体"/>
          <w:b/>
          <w:bCs/>
          <w:sz w:val="24"/>
          <w:lang w:val="en-US" w:eastAsia="zh-CN"/>
        </w:rPr>
        <w:t>3.5.13.4</w:t>
      </w:r>
      <w:r>
        <w:rPr>
          <w:rFonts w:hint="eastAsia" w:ascii="宋体" w:hAnsi="宋体"/>
          <w:b/>
          <w:bCs/>
          <w:sz w:val="24"/>
        </w:rPr>
        <w:t>提供国家版权局出具的质量技术监管类计算机软件著作权证书复印件，并加盖投标人电子印章。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3.5.14</w:t>
      </w:r>
      <w:r>
        <w:rPr>
          <w:rFonts w:hint="eastAsia" w:ascii="宋体" w:hAnsi="宋体"/>
          <w:sz w:val="24"/>
        </w:rPr>
        <w:t>历史建筑监测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展示全市历史建筑分布、建筑概况、建筑档案资料等。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3.5.15</w:t>
      </w:r>
      <w:r>
        <w:rPr>
          <w:rFonts w:hint="eastAsia" w:ascii="宋体" w:hAnsi="宋体"/>
          <w:sz w:val="24"/>
        </w:rPr>
        <w:t>住房保障监测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保障项目：监测全市已建和在建的保障房项目分布、详细情况进行展示（地图定位）。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保障对象：对全市不同保障房类型的保障申请家庭数、确认资格家庭数、已保障家庭数、待保障家庭数。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保障实施：对全市保障房类型的房源筹集面积、套数，已保障面积、套数，剩余房源面积、套数，租赁补贴发放金额等进行跟踪监测。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保障房小区后期使用与管理监测。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3.5.16</w:t>
      </w:r>
      <w:r>
        <w:rPr>
          <w:rFonts w:hint="eastAsia" w:ascii="宋体" w:hAnsi="宋体"/>
          <w:sz w:val="24"/>
        </w:rPr>
        <w:t>公租房监测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公租房数量监测。在成都市行政区域地图基础上，在每个行政区域中通过柱状图展现各区域公租房数量。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公租房住户人员监测。分层展示，先可统一展示全市人员分类情况，单击进入各个区域后，分别显示各区域的情况（注：区域的划分根据房屋的所属区域划分，不根据人员的户籍划分）。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3.5.17</w:t>
      </w:r>
      <w:r>
        <w:rPr>
          <w:rFonts w:hint="eastAsia" w:ascii="宋体" w:hAnsi="宋体"/>
          <w:sz w:val="24"/>
        </w:rPr>
        <w:t>企业信用监测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全市各区市县审核的企业基本信息、从业人员数量、合同登记数量、全过程合同登记数量、企业获得的各类别奖项数量及加分、企业获得的社会服务数量及加分、采集的材料价格信息数量及加分、企业获得三价登记数量及加分、采集的不良行为及分值占比、异议总数、异议成功总数、异议失败总数、更改数据总数、更改成功总数、更改失败总数、合同登记更改数量、更改原因、企业获得的各类别奖项更改数量、更改原因、企业的排名、得分、信用等级走势等进行监测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按月、季、年等周期监测各类评价数据采集数量、异议数量、更改数量的走势，以及同比和环比。</w:t>
      </w:r>
      <w:bookmarkStart w:id="179" w:name="_Hlk4323091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3.5.18</w:t>
      </w:r>
      <w:r>
        <w:rPr>
          <w:rFonts w:hint="eastAsia" w:ascii="宋体" w:hAnsi="宋体"/>
          <w:sz w:val="24"/>
        </w:rPr>
        <w:t>建筑抗震</w:t>
      </w:r>
      <w:bookmarkEnd w:id="179"/>
      <w:r>
        <w:rPr>
          <w:rFonts w:hint="eastAsia" w:ascii="宋体" w:hAnsi="宋体"/>
          <w:sz w:val="24"/>
        </w:rPr>
        <w:t>专项监测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全市建筑的抗震（设防）论证业务开展情况进行实时跟踪，以及时准确了解当前全市进行建筑抗震专项论证办理的建筑数量、建筑面积在全市总建筑的占比情况，以及相关的备案部门、建设单位、设计单位、论证数量、建筑面积和减隔震类型数量等信息。可按季度、年度等周期分析该专项论证业务开展的趋势情况，从而方便调整该业务管理策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3.5.19</w:t>
      </w:r>
      <w:r>
        <w:rPr>
          <w:rFonts w:hint="eastAsia" w:ascii="宋体" w:hAnsi="宋体"/>
          <w:sz w:val="24"/>
        </w:rPr>
        <w:t>勘察成果审查监测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跟踪监测勘察成果审计业务审查量、一次审查通过数量、一次审查通过率、二次审查通过数量和二次审查通过率，以及涉及的备案部门、是否政府购买审查服务、项目类别、勘察单位、审查完成时间、审查通过时间、审查状态和审查机构、标准名称、强条编号等相关信息，及时反映勘察成果审查业务的开展情况，根据实际需要进行业务工作调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3.5.20</w:t>
      </w:r>
      <w:r>
        <w:rPr>
          <w:rFonts w:hint="eastAsia" w:ascii="宋体" w:hAnsi="宋体"/>
          <w:sz w:val="24"/>
        </w:rPr>
        <w:t>建筑工地扬尘监测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3.5.20.1</w:t>
      </w:r>
      <w:r>
        <w:rPr>
          <w:rFonts w:hint="eastAsia" w:ascii="宋体" w:hAnsi="宋体"/>
          <w:sz w:val="24"/>
        </w:rPr>
        <w:t>根据采集的工地扬尘历史数据、国控数据分析各行政区域的扬尘污染随季节和时间的变化曲线图，预测未来一段时间扬尘的趋势，为实现对建筑工地的精细化管控提供决策支持。</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zh-CN"/>
        </w:rPr>
      </w:pPr>
      <w:r>
        <w:rPr>
          <w:rFonts w:hint="eastAsia" w:ascii="宋体" w:hAnsi="宋体"/>
          <w:b/>
          <w:bCs/>
          <w:sz w:val="24"/>
        </w:rPr>
        <w:t>▲</w:t>
      </w:r>
      <w:r>
        <w:rPr>
          <w:rFonts w:hint="eastAsia" w:ascii="宋体" w:hAnsi="宋体"/>
          <w:b/>
          <w:bCs/>
          <w:sz w:val="24"/>
          <w:lang w:val="en-US" w:eastAsia="zh-CN"/>
        </w:rPr>
        <w:t>3.5.20.2</w:t>
      </w:r>
      <w:r>
        <w:rPr>
          <w:rFonts w:hint="eastAsia" w:ascii="宋体" w:hAnsi="宋体"/>
          <w:b/>
          <w:bCs/>
          <w:sz w:val="24"/>
        </w:rPr>
        <w:t>提供国家版权局出具的环境类计算机软件著作权证书复印件，并加盖投标人电子印章。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3.5.21</w:t>
      </w:r>
      <w:r>
        <w:rPr>
          <w:rFonts w:hint="eastAsia" w:ascii="宋体" w:hAnsi="宋体"/>
          <w:sz w:val="24"/>
        </w:rPr>
        <w:t>施工现场安全形势监测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3.5.21.1</w:t>
      </w:r>
      <w:r>
        <w:rPr>
          <w:rFonts w:hint="eastAsia" w:ascii="宋体" w:hAnsi="宋体"/>
          <w:sz w:val="24"/>
        </w:rPr>
        <w:t>综合分析全市的安全形势，分析安全事故随季节、时间、天气情况、工程进度发生的变化曲线，预测未来一段时间的安全施工发生风险。统计分析各区市县安全事故的发生率，同比、环比情况，安全事故与工程类型、施工单位及施工单位类型的关系，以便重点监管。</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zh-CN"/>
        </w:rPr>
      </w:pPr>
      <w:r>
        <w:rPr>
          <w:rFonts w:hint="eastAsia" w:ascii="宋体" w:hAnsi="宋体"/>
          <w:b/>
          <w:bCs/>
          <w:sz w:val="24"/>
        </w:rPr>
        <w:t>▲</w:t>
      </w:r>
      <w:r>
        <w:rPr>
          <w:rFonts w:hint="eastAsia" w:ascii="宋体" w:hAnsi="宋体"/>
          <w:b/>
          <w:bCs/>
          <w:sz w:val="24"/>
          <w:lang w:val="en-US" w:eastAsia="zh-CN"/>
        </w:rPr>
        <w:t>3.5.21.2</w:t>
      </w:r>
      <w:r>
        <w:rPr>
          <w:rFonts w:hint="eastAsia" w:ascii="宋体" w:hAnsi="宋体"/>
          <w:b/>
          <w:bCs/>
          <w:sz w:val="24"/>
        </w:rPr>
        <w:t>提供国家版权局出具的安全态势类计算机软件著作权证书复印件，并加盖投标人电子印章。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3.5.22</w:t>
      </w:r>
      <w:r>
        <w:rPr>
          <w:rFonts w:hint="eastAsia" w:ascii="宋体" w:hAnsi="宋体"/>
          <w:sz w:val="24"/>
        </w:rPr>
        <w:t>建筑工地重点要素分析及研判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全市新开工、竣工项目情况，各类型项目情况，全市从业人员考勤情况，农民工人员流动情况、工资发放情况、材料检测合格率及不规范送检情况、各类材料的进场情况，全市各类建筑项目绿材使用率，装配式建筑部品部件使用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3.5.23</w:t>
      </w:r>
      <w:r>
        <w:rPr>
          <w:rFonts w:ascii="宋体" w:hAnsi="宋体"/>
          <w:sz w:val="24"/>
        </w:rPr>
        <w:t>公共建筑能耗监测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sz w:val="24"/>
          <w:lang w:eastAsia="zh-CN"/>
        </w:rPr>
      </w:pPr>
      <w:r>
        <w:rPr>
          <w:rFonts w:hint="eastAsia" w:ascii="宋体" w:hAnsi="宋体"/>
          <w:sz w:val="24"/>
          <w:lang w:val="zh-CN"/>
        </w:rPr>
        <w:t>●</w:t>
      </w:r>
      <w:r>
        <w:rPr>
          <w:rFonts w:hint="eastAsia" w:ascii="宋体" w:hAnsi="宋体"/>
          <w:sz w:val="24"/>
          <w:lang w:val="en-US" w:eastAsia="zh-CN"/>
        </w:rPr>
        <w:t>3.5.23.1</w:t>
      </w:r>
      <w:r>
        <w:rPr>
          <w:rFonts w:hint="eastAsia" w:ascii="宋体" w:hAnsi="宋体"/>
          <w:sz w:val="24"/>
        </w:rPr>
        <w:t>通过使用柱型图、走势图和饼图等图形在大屏中对数据进行展示的方式，对建筑信息和能耗数据进行实时监测</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zh-CN"/>
        </w:rPr>
      </w:pPr>
      <w:r>
        <w:rPr>
          <w:rFonts w:hint="eastAsia" w:ascii="宋体" w:hAnsi="宋体"/>
          <w:b/>
          <w:bCs/>
          <w:sz w:val="24"/>
        </w:rPr>
        <w:t>▲</w:t>
      </w:r>
      <w:r>
        <w:rPr>
          <w:rFonts w:hint="eastAsia" w:ascii="宋体" w:hAnsi="宋体"/>
          <w:b/>
          <w:bCs/>
          <w:sz w:val="24"/>
          <w:lang w:val="en-US" w:eastAsia="zh-CN"/>
        </w:rPr>
        <w:t>3.5.23.2</w:t>
      </w:r>
      <w:r>
        <w:rPr>
          <w:rFonts w:hint="eastAsia" w:ascii="宋体" w:hAnsi="宋体"/>
          <w:b/>
          <w:bCs/>
          <w:sz w:val="24"/>
        </w:rPr>
        <w:t>提供国家版权局出具的能耗或节能类管理类计算机软件著作权证书复印件，并加盖投标人电子印章。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3.5.24</w:t>
      </w:r>
      <w:r>
        <w:rPr>
          <w:rFonts w:hint="eastAsia" w:ascii="宋体" w:hAnsi="宋体"/>
          <w:sz w:val="24"/>
        </w:rPr>
        <w:t>竣工验收备案监测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对全市各区（市）县管理部门审查通过的备案工程数量、备案工程类型进行监测。按月、季、年等周期监测各区（市）县审查通过的备案项目数量和走势。</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按月、季、年等周期监测各区（市）县审查通过的备案项目类型占比。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3.6建管</w:t>
      </w:r>
      <w:r>
        <w:rPr>
          <w:rFonts w:ascii="宋体" w:hAnsi="宋体"/>
          <w:sz w:val="24"/>
        </w:rPr>
        <w:t>行业监测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80" w:name="_Toc79582855"/>
      <w:r>
        <w:rPr>
          <w:rFonts w:hint="eastAsia" w:ascii="宋体" w:hAnsi="宋体"/>
          <w:sz w:val="24"/>
          <w:lang w:val="zh-CN"/>
        </w:rPr>
        <w:t>●</w:t>
      </w:r>
      <w:r>
        <w:rPr>
          <w:rFonts w:hint="eastAsia" w:ascii="宋体" w:hAnsi="宋体"/>
          <w:sz w:val="24"/>
          <w:lang w:val="en-US" w:eastAsia="zh-CN"/>
        </w:rPr>
        <w:t>3.6.1</w:t>
      </w:r>
      <w:r>
        <w:rPr>
          <w:rFonts w:hint="eastAsia" w:ascii="宋体" w:hAnsi="宋体"/>
          <w:sz w:val="24"/>
        </w:rPr>
        <w:t>招投标管理</w:t>
      </w:r>
      <w:bookmarkEnd w:id="180"/>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项目数量分析包括</w:t>
      </w:r>
      <w:r>
        <w:rPr>
          <w:rFonts w:ascii="宋体" w:hAnsi="宋体"/>
          <w:sz w:val="24"/>
        </w:rPr>
        <w:t>各企业项目数量对比分析</w:t>
      </w:r>
      <w:r>
        <w:rPr>
          <w:rFonts w:hint="eastAsia" w:ascii="宋体" w:hAnsi="宋体"/>
          <w:sz w:val="24"/>
        </w:rPr>
        <w:t>、</w:t>
      </w:r>
      <w:r>
        <w:rPr>
          <w:rFonts w:ascii="宋体" w:hAnsi="宋体"/>
          <w:sz w:val="24"/>
        </w:rPr>
        <w:t>各企业在施工数量对比分析</w:t>
      </w:r>
      <w:r>
        <w:rPr>
          <w:rFonts w:hint="eastAsia" w:ascii="宋体" w:hAnsi="宋体"/>
          <w:sz w:val="24"/>
        </w:rPr>
        <w:t>、</w:t>
      </w:r>
      <w:r>
        <w:rPr>
          <w:rFonts w:ascii="宋体" w:hAnsi="宋体"/>
          <w:sz w:val="24"/>
        </w:rPr>
        <w:t>各企业项目经理对比分析</w:t>
      </w:r>
      <w:r>
        <w:rPr>
          <w:rFonts w:hint="eastAsia" w:ascii="宋体" w:hAnsi="宋体"/>
          <w:sz w:val="24"/>
        </w:rPr>
        <w:t>、</w:t>
      </w:r>
      <w:r>
        <w:rPr>
          <w:rFonts w:ascii="宋体" w:hAnsi="宋体"/>
          <w:sz w:val="24"/>
        </w:rPr>
        <w:t>项目进度对比分析</w:t>
      </w:r>
      <w:r>
        <w:rPr>
          <w:rFonts w:hint="eastAsia" w:ascii="宋体" w:hAnsi="宋体"/>
          <w:sz w:val="24"/>
        </w:rPr>
        <w:t>、</w:t>
      </w:r>
      <w:r>
        <w:rPr>
          <w:rFonts w:ascii="宋体" w:hAnsi="宋体"/>
          <w:sz w:val="24"/>
        </w:rPr>
        <w:t>项目数量变化趋势分析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项目金额分析</w:t>
      </w:r>
      <w:r>
        <w:rPr>
          <w:rFonts w:hint="eastAsia" w:ascii="宋体" w:hAnsi="宋体"/>
          <w:sz w:val="24"/>
        </w:rPr>
        <w:t>包括：</w:t>
      </w:r>
      <w:r>
        <w:rPr>
          <w:rFonts w:ascii="宋体" w:hAnsi="宋体"/>
          <w:sz w:val="24"/>
        </w:rPr>
        <w:t>各企业招标投标金额对比分析</w:t>
      </w:r>
      <w:r>
        <w:rPr>
          <w:rFonts w:hint="eastAsia" w:ascii="宋体" w:hAnsi="宋体"/>
          <w:sz w:val="24"/>
        </w:rPr>
        <w:t>、</w:t>
      </w:r>
      <w:r>
        <w:rPr>
          <w:rFonts w:ascii="宋体" w:hAnsi="宋体"/>
          <w:sz w:val="24"/>
        </w:rPr>
        <w:t>中标金额和合同金额对比分析</w:t>
      </w:r>
      <w:r>
        <w:rPr>
          <w:rFonts w:hint="eastAsia" w:ascii="宋体" w:hAnsi="宋体"/>
          <w:sz w:val="24"/>
        </w:rPr>
        <w:t>、</w:t>
      </w:r>
      <w:r>
        <w:rPr>
          <w:rFonts w:ascii="宋体" w:hAnsi="宋体"/>
          <w:sz w:val="24"/>
        </w:rPr>
        <w:t>结算金额对比分析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项目实时监督分析</w:t>
      </w:r>
      <w:r>
        <w:rPr>
          <w:rFonts w:hint="eastAsia" w:ascii="宋体" w:hAnsi="宋体"/>
          <w:sz w:val="24"/>
        </w:rPr>
        <w:t>包括：</w:t>
      </w:r>
      <w:r>
        <w:rPr>
          <w:rFonts w:ascii="宋体" w:hAnsi="宋体"/>
          <w:sz w:val="24"/>
        </w:rPr>
        <w:t>项目实施进度分析</w:t>
      </w:r>
      <w:r>
        <w:rPr>
          <w:rFonts w:hint="eastAsia" w:ascii="宋体" w:hAnsi="宋体"/>
          <w:sz w:val="24"/>
        </w:rPr>
        <w:t>、</w:t>
      </w:r>
      <w:r>
        <w:rPr>
          <w:rFonts w:ascii="宋体" w:hAnsi="宋体"/>
          <w:sz w:val="24"/>
        </w:rPr>
        <w:t>项目现场情况分析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建设项目数据查询包括：建设项目交易情况、交易项目数量及金额分布、在建项目分析、向从业企业及人员提供服务分析、建设各方主体信用数据分析及采集的造价成果数据分析。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投标人聚合度分析</w:t>
      </w:r>
      <w:r>
        <w:rPr>
          <w:rFonts w:hint="eastAsia" w:ascii="宋体" w:hAnsi="宋体"/>
          <w:sz w:val="24"/>
        </w:rPr>
        <w:t>包括：</w:t>
      </w:r>
      <w:r>
        <w:rPr>
          <w:rFonts w:ascii="宋体" w:hAnsi="宋体"/>
          <w:sz w:val="24"/>
        </w:rPr>
        <w:t>投标人参与度分析</w:t>
      </w:r>
      <w:r>
        <w:rPr>
          <w:rFonts w:hint="eastAsia" w:ascii="宋体" w:hAnsi="宋体"/>
          <w:sz w:val="24"/>
        </w:rPr>
        <w:t>、</w:t>
      </w:r>
      <w:r>
        <w:rPr>
          <w:rFonts w:ascii="宋体" w:hAnsi="宋体"/>
          <w:sz w:val="24"/>
        </w:rPr>
        <w:t>投标人间共同投标率分析</w:t>
      </w:r>
      <w:r>
        <w:rPr>
          <w:rFonts w:hint="eastAsia" w:ascii="宋体" w:hAnsi="宋体"/>
          <w:sz w:val="24"/>
        </w:rPr>
        <w:t>、</w:t>
      </w:r>
      <w:r>
        <w:rPr>
          <w:rFonts w:ascii="宋体" w:hAnsi="宋体"/>
          <w:sz w:val="24"/>
        </w:rPr>
        <w:t>投标人间共同投标中标率分析</w:t>
      </w:r>
      <w:r>
        <w:rPr>
          <w:rFonts w:hint="eastAsia" w:ascii="宋体" w:hAnsi="宋体"/>
          <w:sz w:val="24"/>
        </w:rPr>
        <w:t>、</w:t>
      </w:r>
      <w:r>
        <w:rPr>
          <w:rFonts w:ascii="宋体" w:hAnsi="宋体"/>
          <w:sz w:val="24"/>
        </w:rPr>
        <w:t>投标人间共同投标排名范围分析</w:t>
      </w:r>
      <w:r>
        <w:rPr>
          <w:rFonts w:hint="eastAsia" w:ascii="宋体" w:hAnsi="宋体"/>
          <w:sz w:val="24"/>
        </w:rPr>
        <w:t>、</w:t>
      </w:r>
      <w:r>
        <w:rPr>
          <w:rFonts w:ascii="宋体" w:hAnsi="宋体"/>
          <w:sz w:val="24"/>
        </w:rPr>
        <w:t>投标人项目经理关联分析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投标人与招标人关联分析</w:t>
      </w:r>
      <w:r>
        <w:rPr>
          <w:rFonts w:hint="eastAsia" w:ascii="宋体" w:hAnsi="宋体"/>
          <w:sz w:val="24"/>
        </w:rPr>
        <w:t>包括：</w:t>
      </w:r>
      <w:r>
        <w:rPr>
          <w:rFonts w:ascii="宋体" w:hAnsi="宋体"/>
          <w:sz w:val="24"/>
        </w:rPr>
        <w:t>投标人业绩占招标人项目比</w:t>
      </w:r>
      <w:r>
        <w:rPr>
          <w:rFonts w:hint="eastAsia" w:ascii="宋体" w:hAnsi="宋体"/>
          <w:sz w:val="24"/>
        </w:rPr>
        <w:t>、</w:t>
      </w:r>
      <w:r>
        <w:rPr>
          <w:rFonts w:ascii="宋体" w:hAnsi="宋体"/>
          <w:sz w:val="24"/>
        </w:rPr>
        <w:t>投标人在同一招标人投标比例</w:t>
      </w:r>
      <w:r>
        <w:rPr>
          <w:rFonts w:hint="eastAsia" w:ascii="宋体" w:hAnsi="宋体"/>
          <w:sz w:val="24"/>
        </w:rPr>
        <w:t>、</w:t>
      </w:r>
      <w:r>
        <w:rPr>
          <w:rFonts w:ascii="宋体" w:hAnsi="宋体"/>
          <w:sz w:val="24"/>
        </w:rPr>
        <w:t>投标人在同一招标人处中标率</w:t>
      </w:r>
      <w:r>
        <w:rPr>
          <w:rFonts w:hint="eastAsia" w:ascii="宋体" w:hAnsi="宋体"/>
          <w:sz w:val="24"/>
        </w:rPr>
        <w:t>、</w:t>
      </w:r>
      <w:r>
        <w:rPr>
          <w:rFonts w:ascii="宋体" w:hAnsi="宋体"/>
          <w:sz w:val="24"/>
        </w:rPr>
        <w:t>投标人参与招标人项目规模分布</w:t>
      </w:r>
      <w:r>
        <w:rPr>
          <w:rFonts w:hint="eastAsia" w:ascii="宋体" w:hAnsi="宋体"/>
          <w:sz w:val="24"/>
        </w:rPr>
        <w:t>、</w:t>
      </w:r>
      <w:r>
        <w:rPr>
          <w:rFonts w:ascii="宋体" w:hAnsi="宋体"/>
          <w:sz w:val="24"/>
        </w:rPr>
        <w:t>投标人参与招标人项目时间分布</w:t>
      </w:r>
      <w:r>
        <w:rPr>
          <w:rFonts w:hint="eastAsia" w:ascii="宋体" w:hAnsi="宋体"/>
          <w:sz w:val="24"/>
        </w:rPr>
        <w:t>、</w:t>
      </w:r>
      <w:r>
        <w:rPr>
          <w:rFonts w:ascii="宋体" w:hAnsi="宋体"/>
          <w:sz w:val="24"/>
        </w:rPr>
        <w:t>投标人参与招标人项目人员分布</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投标人与招标代理关联分析</w:t>
      </w:r>
      <w:r>
        <w:rPr>
          <w:rFonts w:hint="eastAsia" w:ascii="宋体" w:hAnsi="宋体"/>
          <w:sz w:val="24"/>
        </w:rPr>
        <w:t>包括：</w:t>
      </w:r>
      <w:r>
        <w:rPr>
          <w:rFonts w:ascii="宋体" w:hAnsi="宋体"/>
          <w:sz w:val="24"/>
        </w:rPr>
        <w:t>投标人参与招标代理服务的项目占比</w:t>
      </w:r>
      <w:r>
        <w:rPr>
          <w:rFonts w:hint="eastAsia" w:ascii="宋体" w:hAnsi="宋体"/>
          <w:sz w:val="24"/>
        </w:rPr>
        <w:t>、</w:t>
      </w:r>
      <w:r>
        <w:rPr>
          <w:rFonts w:ascii="宋体" w:hAnsi="宋体"/>
          <w:sz w:val="24"/>
        </w:rPr>
        <w:t>投标人参与招标代理服务项目中标率</w:t>
      </w:r>
      <w:r>
        <w:rPr>
          <w:rFonts w:hint="eastAsia" w:ascii="宋体" w:hAnsi="宋体"/>
          <w:sz w:val="24"/>
        </w:rPr>
        <w:t>、</w:t>
      </w:r>
      <w:r>
        <w:rPr>
          <w:rFonts w:ascii="宋体" w:hAnsi="宋体"/>
          <w:sz w:val="24"/>
        </w:rPr>
        <w:t>投标人参与招标代理服务项目规模分布</w:t>
      </w:r>
      <w:r>
        <w:rPr>
          <w:rFonts w:hint="eastAsia" w:ascii="宋体" w:hAnsi="宋体"/>
          <w:sz w:val="24"/>
        </w:rPr>
        <w:t>、</w:t>
      </w:r>
      <w:r>
        <w:rPr>
          <w:rFonts w:ascii="宋体" w:hAnsi="宋体"/>
          <w:sz w:val="24"/>
        </w:rPr>
        <w:t>投标人参与招标代理服务项目时间分布</w:t>
      </w:r>
      <w:r>
        <w:rPr>
          <w:rFonts w:hint="eastAsia" w:ascii="宋体" w:hAnsi="宋体"/>
          <w:sz w:val="24"/>
        </w:rPr>
        <w:t>、</w:t>
      </w:r>
      <w:r>
        <w:rPr>
          <w:rFonts w:ascii="宋体" w:hAnsi="宋体"/>
          <w:sz w:val="24"/>
        </w:rPr>
        <w:t>投标人参与招标代理服务项目人员分布</w:t>
      </w:r>
      <w:r>
        <w:rPr>
          <w:rFonts w:hint="eastAsia" w:ascii="宋体" w:hAnsi="宋体"/>
          <w:sz w:val="24"/>
        </w:rPr>
        <w:t>、</w:t>
      </w:r>
      <w:r>
        <w:rPr>
          <w:rFonts w:ascii="宋体" w:hAnsi="宋体"/>
          <w:sz w:val="24"/>
        </w:rPr>
        <w:t>招标人关联追溯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专家评分倾向分析</w:t>
      </w:r>
      <w:r>
        <w:rPr>
          <w:rFonts w:hint="eastAsia" w:ascii="宋体" w:hAnsi="宋体"/>
          <w:sz w:val="24"/>
        </w:rPr>
        <w:t>包括：</w:t>
      </w:r>
      <w:r>
        <w:rPr>
          <w:rFonts w:ascii="宋体" w:hAnsi="宋体"/>
          <w:sz w:val="24"/>
        </w:rPr>
        <w:t>投标人参与专家评审项目占比</w:t>
      </w:r>
      <w:r>
        <w:rPr>
          <w:rFonts w:hint="eastAsia" w:ascii="宋体" w:hAnsi="宋体"/>
          <w:sz w:val="24"/>
        </w:rPr>
        <w:t>、</w:t>
      </w:r>
      <w:r>
        <w:rPr>
          <w:rFonts w:ascii="宋体" w:hAnsi="宋体"/>
          <w:sz w:val="24"/>
        </w:rPr>
        <w:t>投标人参与专家评审项目中标率</w:t>
      </w:r>
      <w:r>
        <w:rPr>
          <w:rFonts w:hint="eastAsia" w:ascii="宋体" w:hAnsi="宋体"/>
          <w:sz w:val="24"/>
        </w:rPr>
        <w:t>、</w:t>
      </w:r>
      <w:r>
        <w:rPr>
          <w:rFonts w:ascii="宋体" w:hAnsi="宋体"/>
          <w:sz w:val="24"/>
        </w:rPr>
        <w:t>专家评分倾向分析</w:t>
      </w:r>
      <w:r>
        <w:rPr>
          <w:rFonts w:hint="eastAsia" w:ascii="宋体" w:hAnsi="宋体"/>
          <w:sz w:val="24"/>
        </w:rPr>
        <w:t>、</w:t>
      </w:r>
      <w:r>
        <w:rPr>
          <w:rFonts w:ascii="宋体" w:hAnsi="宋体"/>
          <w:sz w:val="24"/>
        </w:rPr>
        <w:t>评标专家与招标代理关联分析</w:t>
      </w:r>
      <w:r>
        <w:rPr>
          <w:rFonts w:hint="eastAsia" w:ascii="宋体" w:hAnsi="宋体"/>
          <w:sz w:val="24"/>
        </w:rPr>
        <w:t>、</w:t>
      </w:r>
      <w:r>
        <w:rPr>
          <w:rFonts w:ascii="宋体" w:hAnsi="宋体"/>
          <w:sz w:val="24"/>
        </w:rPr>
        <w:t>评标专家与招标人关联分析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投标企业人员流动分析</w:t>
      </w:r>
      <w:r>
        <w:rPr>
          <w:rFonts w:hint="eastAsia" w:ascii="宋体" w:hAnsi="宋体"/>
          <w:sz w:val="24"/>
        </w:rPr>
        <w:t>包括：</w:t>
      </w:r>
      <w:r>
        <w:rPr>
          <w:rFonts w:ascii="宋体" w:hAnsi="宋体"/>
          <w:sz w:val="24"/>
        </w:rPr>
        <w:t>项目经理就业企业情况</w:t>
      </w:r>
      <w:r>
        <w:rPr>
          <w:rFonts w:hint="eastAsia" w:ascii="宋体" w:hAnsi="宋体"/>
          <w:sz w:val="24"/>
        </w:rPr>
        <w:t>、</w:t>
      </w:r>
      <w:r>
        <w:rPr>
          <w:rFonts w:ascii="宋体" w:hAnsi="宋体"/>
          <w:sz w:val="24"/>
        </w:rPr>
        <w:t>项目经理项目业绩分析</w:t>
      </w:r>
      <w:r>
        <w:rPr>
          <w:rFonts w:hint="eastAsia" w:ascii="宋体" w:hAnsi="宋体"/>
          <w:sz w:val="24"/>
        </w:rPr>
        <w:t>、</w:t>
      </w:r>
      <w:r>
        <w:rPr>
          <w:rFonts w:ascii="宋体" w:hAnsi="宋体"/>
          <w:sz w:val="24"/>
        </w:rPr>
        <w:t>项目经理投标次数与中标概率分析</w:t>
      </w:r>
      <w:r>
        <w:rPr>
          <w:rFonts w:hint="eastAsia" w:ascii="宋体" w:hAnsi="宋体"/>
          <w:sz w:val="24"/>
        </w:rPr>
        <w:t>、</w:t>
      </w:r>
      <w:r>
        <w:rPr>
          <w:rFonts w:ascii="宋体" w:hAnsi="宋体"/>
          <w:sz w:val="24"/>
        </w:rPr>
        <w:t>项目经理投标项目规模分析</w:t>
      </w:r>
      <w:r>
        <w:rPr>
          <w:rFonts w:hint="eastAsia" w:ascii="宋体" w:hAnsi="宋体"/>
          <w:sz w:val="24"/>
        </w:rPr>
        <w:t>、</w:t>
      </w:r>
      <w:r>
        <w:rPr>
          <w:rFonts w:ascii="宋体" w:hAnsi="宋体"/>
          <w:sz w:val="24"/>
        </w:rPr>
        <w:t>项目经理投标项目时间分析</w:t>
      </w:r>
      <w:r>
        <w:rPr>
          <w:rFonts w:hint="eastAsia" w:ascii="宋体" w:hAnsi="宋体"/>
          <w:sz w:val="24"/>
        </w:rPr>
        <w:t>、</w:t>
      </w:r>
      <w:r>
        <w:rPr>
          <w:rFonts w:ascii="宋体" w:hAnsi="宋体"/>
          <w:sz w:val="24"/>
        </w:rPr>
        <w:t>项目经理历次变更分析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投标企业业绩分布分析</w:t>
      </w:r>
      <w:r>
        <w:rPr>
          <w:rFonts w:hint="eastAsia" w:ascii="宋体" w:hAnsi="宋体"/>
          <w:sz w:val="24"/>
        </w:rPr>
        <w:t>包括：</w:t>
      </w:r>
      <w:r>
        <w:rPr>
          <w:rFonts w:ascii="宋体" w:hAnsi="宋体"/>
          <w:sz w:val="24"/>
        </w:rPr>
        <w:t>投标人业绩规模所属业主分布</w:t>
      </w:r>
      <w:r>
        <w:rPr>
          <w:rFonts w:hint="eastAsia" w:ascii="宋体" w:hAnsi="宋体"/>
          <w:sz w:val="24"/>
        </w:rPr>
        <w:t>、</w:t>
      </w:r>
      <w:r>
        <w:rPr>
          <w:rFonts w:ascii="宋体" w:hAnsi="宋体"/>
          <w:sz w:val="24"/>
        </w:rPr>
        <w:t>投标人业绩数量所属业主分布</w:t>
      </w:r>
      <w:r>
        <w:rPr>
          <w:rFonts w:hint="eastAsia" w:ascii="宋体" w:hAnsi="宋体"/>
          <w:sz w:val="24"/>
        </w:rPr>
        <w:t>、</w:t>
      </w:r>
      <w:r>
        <w:rPr>
          <w:rFonts w:ascii="宋体" w:hAnsi="宋体"/>
          <w:sz w:val="24"/>
        </w:rPr>
        <w:t>投标人业绩时间分布</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投标企业投标及中标信息分析</w:t>
      </w:r>
      <w:r>
        <w:rPr>
          <w:rFonts w:hint="eastAsia" w:ascii="宋体" w:hAnsi="宋体"/>
          <w:sz w:val="24"/>
        </w:rPr>
        <w:t>包括：</w:t>
      </w:r>
      <w:r>
        <w:rPr>
          <w:rFonts w:ascii="宋体" w:hAnsi="宋体"/>
          <w:sz w:val="24"/>
        </w:rPr>
        <w:t>投标人投标时间分布</w:t>
      </w:r>
      <w:r>
        <w:rPr>
          <w:rFonts w:hint="eastAsia" w:ascii="宋体" w:hAnsi="宋体"/>
          <w:sz w:val="24"/>
        </w:rPr>
        <w:t>、</w:t>
      </w:r>
      <w:r>
        <w:rPr>
          <w:rFonts w:ascii="宋体" w:hAnsi="宋体"/>
          <w:sz w:val="24"/>
        </w:rPr>
        <w:t>投标人投标排名分布</w:t>
      </w:r>
      <w:r>
        <w:rPr>
          <w:rFonts w:hint="eastAsia" w:ascii="宋体" w:hAnsi="宋体"/>
          <w:sz w:val="24"/>
        </w:rPr>
        <w:t>、</w:t>
      </w:r>
      <w:r>
        <w:rPr>
          <w:rFonts w:ascii="宋体" w:hAnsi="宋体"/>
          <w:sz w:val="24"/>
        </w:rPr>
        <w:t>投标人废标比例分析</w:t>
      </w:r>
      <w:r>
        <w:rPr>
          <w:rFonts w:hint="eastAsia" w:ascii="宋体" w:hAnsi="宋体"/>
          <w:sz w:val="24"/>
        </w:rPr>
        <w:t>、</w:t>
      </w:r>
      <w:r>
        <w:rPr>
          <w:rFonts w:ascii="宋体" w:hAnsi="宋体"/>
          <w:sz w:val="24"/>
        </w:rPr>
        <w:t>投标报价下浮比例范围分布</w:t>
      </w:r>
      <w:r>
        <w:rPr>
          <w:rFonts w:hint="eastAsia" w:ascii="宋体" w:hAnsi="宋体"/>
          <w:sz w:val="24"/>
        </w:rPr>
        <w:t>、</w:t>
      </w:r>
      <w:r>
        <w:rPr>
          <w:rFonts w:ascii="宋体" w:hAnsi="宋体"/>
          <w:sz w:val="24"/>
        </w:rPr>
        <w:t>投标人中标业主分布</w:t>
      </w:r>
      <w:r>
        <w:rPr>
          <w:rFonts w:hint="eastAsia" w:ascii="宋体" w:hAnsi="宋体"/>
          <w:sz w:val="24"/>
        </w:rPr>
        <w:t>、</w:t>
      </w:r>
      <w:r>
        <w:rPr>
          <w:rFonts w:ascii="宋体" w:hAnsi="宋体"/>
          <w:sz w:val="24"/>
        </w:rPr>
        <w:t>投标人中标时间分布</w:t>
      </w:r>
      <w:r>
        <w:rPr>
          <w:rFonts w:hint="eastAsia" w:ascii="宋体" w:hAnsi="宋体"/>
          <w:sz w:val="24"/>
        </w:rPr>
        <w:t>、</w:t>
      </w:r>
      <w:r>
        <w:rPr>
          <w:rFonts w:ascii="宋体" w:hAnsi="宋体"/>
          <w:sz w:val="24"/>
        </w:rPr>
        <w:t>投标人中标规模分布</w:t>
      </w:r>
      <w:r>
        <w:rPr>
          <w:rFonts w:hint="eastAsia" w:ascii="宋体" w:hAnsi="宋体"/>
          <w:sz w:val="24"/>
        </w:rPr>
        <w:t>、</w:t>
      </w:r>
      <w:r>
        <w:rPr>
          <w:rFonts w:ascii="宋体" w:hAnsi="宋体"/>
          <w:sz w:val="24"/>
        </w:rPr>
        <w:t>投标人放弃中标分析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招标人数据查询：归集整理系统分析得到的招标人的数据信息。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招标代理机构数据查询：实现对招标代理的数据详细统计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投标人数据查询：主要对投标人的抱团分析结果进行展示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交易数量分析</w:t>
      </w:r>
      <w:r>
        <w:rPr>
          <w:rFonts w:hint="eastAsia" w:ascii="宋体" w:hAnsi="宋体"/>
          <w:sz w:val="24"/>
        </w:rPr>
        <w:t>包括：</w:t>
      </w:r>
      <w:r>
        <w:rPr>
          <w:rFonts w:ascii="宋体" w:hAnsi="宋体"/>
          <w:sz w:val="24"/>
        </w:rPr>
        <w:t>交易数量趋势分析</w:t>
      </w:r>
      <w:r>
        <w:rPr>
          <w:rFonts w:hint="eastAsia" w:ascii="宋体" w:hAnsi="宋体"/>
          <w:sz w:val="24"/>
        </w:rPr>
        <w:t>、</w:t>
      </w:r>
      <w:r>
        <w:rPr>
          <w:rFonts w:ascii="宋体" w:hAnsi="宋体"/>
          <w:sz w:val="24"/>
        </w:rPr>
        <w:t>各区县交易项目数量分析</w:t>
      </w:r>
      <w:r>
        <w:rPr>
          <w:rFonts w:hint="eastAsia" w:ascii="宋体" w:hAnsi="宋体"/>
          <w:sz w:val="24"/>
        </w:rPr>
        <w:t>、</w:t>
      </w:r>
      <w:r>
        <w:rPr>
          <w:rFonts w:ascii="宋体" w:hAnsi="宋体"/>
          <w:sz w:val="24"/>
        </w:rPr>
        <w:t>备案项目与完成交易对比</w:t>
      </w:r>
      <w:r>
        <w:rPr>
          <w:rFonts w:hint="eastAsia" w:ascii="宋体" w:hAnsi="宋体"/>
          <w:sz w:val="24"/>
        </w:rPr>
        <w:t>、</w:t>
      </w:r>
      <w:r>
        <w:rPr>
          <w:rFonts w:ascii="宋体" w:hAnsi="宋体"/>
          <w:sz w:val="24"/>
        </w:rPr>
        <w:t>各类型交易项目数量对比</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交易金额分析</w:t>
      </w:r>
      <w:r>
        <w:rPr>
          <w:rFonts w:hint="eastAsia" w:ascii="宋体" w:hAnsi="宋体"/>
          <w:sz w:val="24"/>
        </w:rPr>
        <w:t>包括：</w:t>
      </w:r>
      <w:r>
        <w:rPr>
          <w:rFonts w:ascii="宋体" w:hAnsi="宋体"/>
          <w:sz w:val="24"/>
        </w:rPr>
        <w:t>各区县交易金额对比</w:t>
      </w:r>
      <w:r>
        <w:rPr>
          <w:rFonts w:hint="eastAsia" w:ascii="宋体" w:hAnsi="宋体"/>
          <w:sz w:val="24"/>
        </w:rPr>
        <w:t>、</w:t>
      </w:r>
      <w:r>
        <w:rPr>
          <w:rFonts w:ascii="宋体" w:hAnsi="宋体"/>
          <w:sz w:val="24"/>
        </w:rPr>
        <w:t>各类型项目招标与中标金额</w:t>
      </w:r>
      <w:r>
        <w:rPr>
          <w:rFonts w:hint="eastAsia" w:ascii="宋体" w:hAnsi="宋体"/>
          <w:sz w:val="24"/>
        </w:rPr>
        <w:t>对比。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工作情况分析</w:t>
      </w:r>
      <w:r>
        <w:rPr>
          <w:rFonts w:hint="eastAsia" w:ascii="宋体" w:hAnsi="宋体"/>
          <w:sz w:val="24"/>
        </w:rPr>
        <w:t>包括：</w:t>
      </w:r>
      <w:r>
        <w:rPr>
          <w:rFonts w:ascii="宋体" w:hAnsi="宋体"/>
          <w:sz w:val="24"/>
        </w:rPr>
        <w:t>各管理部门提供备案服务工作分析</w:t>
      </w:r>
      <w:r>
        <w:rPr>
          <w:rFonts w:hint="eastAsia" w:ascii="宋体" w:hAnsi="宋体"/>
          <w:sz w:val="24"/>
        </w:rPr>
        <w:t>、</w:t>
      </w:r>
      <w:r>
        <w:rPr>
          <w:rFonts w:ascii="宋体" w:hAnsi="宋体"/>
          <w:sz w:val="24"/>
        </w:rPr>
        <w:t>各管理部门监标情况分析</w:t>
      </w:r>
      <w:r>
        <w:rPr>
          <w:rFonts w:hint="eastAsia" w:ascii="宋体" w:hAnsi="宋体"/>
          <w:sz w:val="24"/>
        </w:rPr>
        <w:t>、</w:t>
      </w:r>
      <w:r>
        <w:rPr>
          <w:rFonts w:ascii="宋体" w:hAnsi="宋体"/>
          <w:sz w:val="24"/>
        </w:rPr>
        <w:t>交易过程评标专家工作分析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项目交易数据查询：展示建设项目在各区县交易的金额分布、交易数量走势、各类项目交易数量、金额分布等信息。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投标人员数据积累及分析</w:t>
      </w:r>
      <w:r>
        <w:rPr>
          <w:rFonts w:hint="eastAsia" w:ascii="宋体" w:hAnsi="宋体"/>
          <w:sz w:val="24"/>
        </w:rPr>
        <w:t>包括：</w:t>
      </w:r>
      <w:r>
        <w:rPr>
          <w:rFonts w:ascii="宋体" w:hAnsi="宋体"/>
          <w:sz w:val="24"/>
        </w:rPr>
        <w:t>投标人的委托授权人分析</w:t>
      </w:r>
      <w:r>
        <w:rPr>
          <w:rFonts w:hint="eastAsia" w:ascii="宋体" w:hAnsi="宋体"/>
          <w:sz w:val="24"/>
        </w:rPr>
        <w:t>、</w:t>
      </w:r>
      <w:r>
        <w:rPr>
          <w:rFonts w:ascii="宋体" w:hAnsi="宋体"/>
          <w:sz w:val="24"/>
        </w:rPr>
        <w:t>投标人的项目经理分析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编制投标文件硬件信息积累及分析</w:t>
      </w:r>
      <w:r>
        <w:rPr>
          <w:rFonts w:hint="eastAsia" w:ascii="宋体" w:hAnsi="宋体"/>
          <w:sz w:val="24"/>
        </w:rPr>
        <w:t>：分析机器码重复概率，相同机器码不同单位应用次数等。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投标文件上传IP信息积累及分析</w:t>
      </w:r>
      <w:r>
        <w:rPr>
          <w:rFonts w:hint="eastAsia" w:ascii="宋体" w:hAnsi="宋体"/>
          <w:sz w:val="24"/>
        </w:rPr>
        <w:t>：对投标文件上传至交易平台的电脑</w:t>
      </w:r>
      <w:r>
        <w:rPr>
          <w:rFonts w:ascii="宋体" w:hAnsi="宋体"/>
          <w:sz w:val="24"/>
        </w:rPr>
        <w:t>IP地址记录并积累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开标情况及评标结果分析</w:t>
      </w:r>
      <w:r>
        <w:rPr>
          <w:rFonts w:hint="eastAsia" w:ascii="宋体" w:hAnsi="宋体"/>
          <w:sz w:val="24"/>
        </w:rPr>
        <w:t>包括：</w:t>
      </w:r>
      <w:r>
        <w:rPr>
          <w:rFonts w:ascii="宋体" w:hAnsi="宋体"/>
          <w:sz w:val="24"/>
        </w:rPr>
        <w:t>投标人放弃投标分析</w:t>
      </w:r>
      <w:r>
        <w:rPr>
          <w:rFonts w:hint="eastAsia" w:ascii="宋体" w:hAnsi="宋体"/>
          <w:sz w:val="24"/>
        </w:rPr>
        <w:t>、</w:t>
      </w:r>
      <w:r>
        <w:rPr>
          <w:rFonts w:ascii="宋体" w:hAnsi="宋体"/>
          <w:sz w:val="24"/>
        </w:rPr>
        <w:t>投标人废标分析</w:t>
      </w:r>
      <w:r>
        <w:rPr>
          <w:rFonts w:hint="eastAsia" w:ascii="宋体" w:hAnsi="宋体"/>
          <w:sz w:val="24"/>
        </w:rPr>
        <w:t>、</w:t>
      </w:r>
      <w:r>
        <w:rPr>
          <w:rFonts w:ascii="宋体" w:hAnsi="宋体"/>
          <w:sz w:val="24"/>
        </w:rPr>
        <w:t>投标人排名分析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招投标流程异常分析</w:t>
      </w:r>
      <w:r>
        <w:rPr>
          <w:rFonts w:hint="eastAsia" w:ascii="宋体" w:hAnsi="宋体"/>
          <w:sz w:val="24"/>
        </w:rPr>
        <w:t>包括：</w:t>
      </w:r>
      <w:r>
        <w:rPr>
          <w:rFonts w:ascii="宋体" w:hAnsi="宋体"/>
          <w:sz w:val="24"/>
        </w:rPr>
        <w:t>流标/终止招标分析</w:t>
      </w:r>
      <w:r>
        <w:rPr>
          <w:rFonts w:hint="eastAsia" w:ascii="宋体" w:hAnsi="宋体"/>
          <w:sz w:val="24"/>
        </w:rPr>
        <w:t>、</w:t>
      </w:r>
      <w:r>
        <w:rPr>
          <w:rFonts w:ascii="宋体" w:hAnsi="宋体"/>
          <w:sz w:val="24"/>
        </w:rPr>
        <w:t>补遗答疑次数分析</w:t>
      </w:r>
      <w:r>
        <w:rPr>
          <w:rFonts w:hint="eastAsia" w:ascii="宋体" w:hAnsi="宋体"/>
          <w:sz w:val="24"/>
        </w:rPr>
        <w:t>、</w:t>
      </w:r>
      <w:r>
        <w:rPr>
          <w:rFonts w:ascii="宋体" w:hAnsi="宋体"/>
          <w:sz w:val="24"/>
        </w:rPr>
        <w:t>废标率分析</w:t>
      </w:r>
      <w:r>
        <w:rPr>
          <w:rFonts w:hint="eastAsia" w:ascii="宋体" w:hAnsi="宋体"/>
          <w:sz w:val="24"/>
        </w:rPr>
        <w:t>、</w:t>
      </w:r>
      <w:r>
        <w:rPr>
          <w:rFonts w:ascii="宋体" w:hAnsi="宋体"/>
          <w:sz w:val="24"/>
        </w:rPr>
        <w:t>标书递交率分析</w:t>
      </w:r>
      <w:r>
        <w:rPr>
          <w:rFonts w:hint="eastAsia" w:ascii="宋体" w:hAnsi="宋体"/>
          <w:sz w:val="24"/>
        </w:rPr>
        <w:t>、</w:t>
      </w:r>
      <w:r>
        <w:rPr>
          <w:rFonts w:ascii="宋体" w:hAnsi="宋体"/>
          <w:sz w:val="24"/>
        </w:rPr>
        <w:t>延迟开标时间分析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工程计价行为分析</w:t>
      </w:r>
      <w:r>
        <w:rPr>
          <w:rFonts w:hint="eastAsia" w:ascii="宋体" w:hAnsi="宋体"/>
          <w:sz w:val="24"/>
        </w:rPr>
        <w:t>包括：报价范围分析、人为调整偏差分析、理解偏差分析。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编制清单的电脑硬件信息积累及分析</w:t>
      </w:r>
      <w:r>
        <w:rPr>
          <w:rFonts w:hint="eastAsia" w:ascii="宋体" w:hAnsi="宋体"/>
          <w:sz w:val="24"/>
        </w:rPr>
        <w:t>:分析工程量清单的机器码。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编制清单的计价软件信息积累及分析</w:t>
      </w:r>
      <w:r>
        <w:rPr>
          <w:rFonts w:hint="eastAsia" w:ascii="宋体" w:hAnsi="宋体"/>
          <w:sz w:val="24"/>
        </w:rPr>
        <w:t>:分析编制工程造价采用的计价软件标识。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中标价与合同价差异分析</w:t>
      </w:r>
      <w:r>
        <w:rPr>
          <w:rFonts w:hint="eastAsia" w:ascii="宋体" w:hAnsi="宋体"/>
          <w:sz w:val="24"/>
        </w:rPr>
        <w:t>：通过三价登记系统采集招投标人签订合同价，合同价调整行为暂不做行为分析，仅做差异分析。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行为数据查询及预警：将采集到的招投标的数据进行实时分析，自动按行为分类及预警管理模型进行分析成果的智能筛选识别，将存在风险的信息按预警登记进行展示。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81" w:name="_Toc79582856"/>
      <w:r>
        <w:rPr>
          <w:rFonts w:hint="eastAsia" w:ascii="宋体" w:hAnsi="宋体"/>
          <w:sz w:val="24"/>
          <w:lang w:val="zh-CN"/>
        </w:rPr>
        <w:t>●</w:t>
      </w:r>
      <w:r>
        <w:rPr>
          <w:rFonts w:hint="eastAsia" w:ascii="宋体" w:hAnsi="宋体"/>
          <w:sz w:val="24"/>
          <w:lang w:val="en-US" w:eastAsia="zh-CN"/>
        </w:rPr>
        <w:t>3.6.2</w:t>
      </w:r>
      <w:r>
        <w:rPr>
          <w:rFonts w:hint="eastAsia" w:ascii="宋体" w:hAnsi="宋体"/>
          <w:sz w:val="24"/>
        </w:rPr>
        <w:t>农民工工资保障</w:t>
      </w:r>
      <w:bookmarkEnd w:id="181"/>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农民工工资保障行业监测模块，分为“四框两图”。四框两图的内容用户可自行定义在四框两图中需要展示的内容。四框两图中默认展示专户资金情况、发薪情况、当年工程担保情况、重要数据情况、当年工资发放情况、当年预警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82" w:name="_Toc79582857"/>
      <w:r>
        <w:rPr>
          <w:rFonts w:hint="eastAsia" w:ascii="宋体" w:hAnsi="宋体"/>
          <w:sz w:val="24"/>
          <w:lang w:val="zh-CN"/>
        </w:rPr>
        <w:t>●</w:t>
      </w:r>
      <w:r>
        <w:rPr>
          <w:rFonts w:hint="eastAsia" w:ascii="宋体" w:hAnsi="宋体"/>
          <w:sz w:val="24"/>
          <w:lang w:val="en-US" w:eastAsia="zh-CN"/>
        </w:rPr>
        <w:t>3.6.3</w:t>
      </w:r>
      <w:r>
        <w:rPr>
          <w:rFonts w:hint="eastAsia" w:ascii="宋体" w:hAnsi="宋体"/>
          <w:sz w:val="24"/>
        </w:rPr>
        <w:t>信用评价管理</w:t>
      </w:r>
      <w:bookmarkEnd w:id="182"/>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信用评价行业监测模块，分为“四框两图”，并按企业类别进行分类展示，如全部企业、施工企业、监理企业、勘察企业、设计企业等。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全部企业包含评价主体情况、信用等级分布、当年企业活跃情况、本地外地企业数量、各区市县加分情况、各区市县异议、更改情况、企业分布飞行图、企业详情展展示（企业信息、企业基本信息、企业资质、企业人员）、企业招投标、企业信用（总体情况、良好行为、不良行为、异议情况跟、更改情况、信用修复、企业能力雷达图）、企业专户（企业工资专户、保证金专户、无拖欠证明、工资发放记录）、企业项目、企业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包含了企业数据量统计、企业信用分数统计（各类评价数据分值比重、企业信用得分明细）、现场扣分、市场不良行为扣分、业绩、奖项、企业纳税情况、企业产值情况、信用标应用情况、各区市县异议、更改、修复情况、企业分布飞行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3.6.4</w:t>
      </w:r>
      <w:r>
        <w:rPr>
          <w:rFonts w:hint="eastAsia" w:ascii="宋体" w:hAnsi="宋体"/>
          <w:sz w:val="24"/>
        </w:rPr>
        <w:t>评测双表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通过“信用评价体检表”，可以为主管部门、企业直观呈现在现行的评价办法下，一家企业的信用短板在哪里、是否偏科、是否可能存在应得而未得的分数，与</w:t>
      </w:r>
      <w:r>
        <w:rPr>
          <w:rFonts w:ascii="宋体" w:hAnsi="宋体"/>
          <w:sz w:val="24"/>
        </w:rPr>
        <w:t>A++企业和全市中位数企业的差距在哪里，也能够侧面反映信用评价办法条款的执行情况。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在企业的“行业风险评测表”中，结合企业在各个业务板块中的风险预警和异常线索，根据一定的权重比例进行打分，反映企业出现各类“爆雷”问题的可能性，客观反映企业遵守政策法规规定情况，同时帮助主管部门迅速锁定重点隐患企业进行核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3.6.5</w:t>
      </w:r>
      <w:r>
        <w:rPr>
          <w:rFonts w:hint="eastAsia" w:ascii="宋体" w:hAnsi="宋体"/>
          <w:sz w:val="24"/>
        </w:rPr>
        <w:t>智慧查询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智慧查询包括对市场主体、从业人员、工程项目、主管部门操作记录等信息的查询。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市场主体智慧查询包括：企业信息（含基本信息、资质、从业人员）、企业招投标、企业信用（含总体情况、良好行为、不良行为、异议情况、更改情况、信用修复、企业能力雷达图）、企业专户（含工资专户、保证金专户、无拖欠证明、工资发放记录）、企业项目、企业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从业人员信息智慧查询包括：基本信息、执业证书、业绩信息、良好行为、不良行为。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工程项目智慧查询包括：项目基本信息、项目招投标信息、现场人员派遣、材料进场、人员考勤、薪资情况、工程担保情况、培训信息、预警信息、电子围栏、项目信用。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主管部门操作记录智慧查询包括：招投标管理、信用管理（含基础信息、人员信息、合同登记、纳税信息、获奖信息、表彰信息、建筑业产值、成都市外业绩、市场不良行为、现场企业不良行为、专项检查）、实名制管理（项目锁人情况、考勤记录、电子围栏记录）、农民工工资保障（专户开户信息、工资拨付签收、退款信息、销户记录、担保信息、预警信息、预扣分信息、投诉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w:t>
      </w:r>
      <w:r>
        <w:rPr>
          <w:rFonts w:ascii="宋体" w:hAnsi="宋体"/>
          <w:sz w:val="24"/>
        </w:rPr>
        <w:t>业务及系统风险监测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3.7.1</w:t>
      </w:r>
      <w:r>
        <w:rPr>
          <w:rFonts w:hint="eastAsia" w:ascii="宋体" w:hAnsi="宋体"/>
          <w:sz w:val="24"/>
        </w:rPr>
        <w:t>数据异常变化</w:t>
      </w:r>
      <w:r>
        <w:rPr>
          <w:rFonts w:ascii="宋体" w:hAnsi="宋体"/>
          <w:sz w:val="24"/>
        </w:rPr>
        <w:t>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3.7.1.1</w:t>
      </w:r>
      <w:r>
        <w:rPr>
          <w:rFonts w:hint="eastAsia" w:ascii="宋体" w:hAnsi="宋体"/>
          <w:sz w:val="24"/>
        </w:rPr>
        <w:t>对业务中存在的关键字段进行监控，一旦关键字段的值进行变化，通过</w:t>
      </w:r>
      <w:r>
        <w:rPr>
          <w:rFonts w:ascii="宋体" w:hAnsi="宋体"/>
          <w:sz w:val="24"/>
        </w:rPr>
        <w:t>相关</w:t>
      </w:r>
      <w:r>
        <w:rPr>
          <w:rFonts w:hint="eastAsia" w:ascii="宋体" w:hAnsi="宋体"/>
          <w:sz w:val="24"/>
        </w:rPr>
        <w:t>业务进行关联分析，分析关键字段值发生变化的合理合规性。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3.7.1.2</w:t>
      </w:r>
      <w:r>
        <w:rPr>
          <w:rFonts w:hint="eastAsia" w:ascii="宋体" w:hAnsi="宋体"/>
          <w:sz w:val="24"/>
        </w:rPr>
        <w:t>业务数据变更情况追溯</w:t>
      </w:r>
      <w:r>
        <w:rPr>
          <w:rFonts w:ascii="宋体" w:hAnsi="宋体"/>
          <w:sz w:val="24"/>
        </w:rPr>
        <w:t>：</w:t>
      </w:r>
      <w:r>
        <w:rPr>
          <w:rFonts w:hint="eastAsia" w:ascii="宋体" w:hAnsi="宋体"/>
          <w:sz w:val="24"/>
        </w:rPr>
        <w:t>对已知的业务结果数据，通过分析业务日志数据、数据运维日志，追溯楼盘表</w:t>
      </w:r>
      <w:r>
        <w:rPr>
          <w:rFonts w:ascii="宋体" w:hAnsi="宋体"/>
          <w:sz w:val="24"/>
        </w:rPr>
        <w:t>、网签备案、个人</w:t>
      </w:r>
      <w:r>
        <w:rPr>
          <w:rFonts w:hint="eastAsia" w:ascii="宋体" w:hAnsi="宋体"/>
          <w:sz w:val="24"/>
        </w:rPr>
        <w:t>房屋</w:t>
      </w:r>
      <w:r>
        <w:rPr>
          <w:rFonts w:ascii="宋体" w:hAnsi="宋体"/>
          <w:sz w:val="24"/>
        </w:rPr>
        <w:t>信息</w:t>
      </w:r>
      <w:r>
        <w:rPr>
          <w:rFonts w:hint="eastAsia" w:ascii="宋体" w:hAnsi="宋体"/>
          <w:sz w:val="24"/>
        </w:rPr>
        <w:t>等关联业务</w:t>
      </w:r>
      <w:r>
        <w:rPr>
          <w:rFonts w:ascii="宋体" w:hAnsi="宋体"/>
          <w:sz w:val="24"/>
        </w:rPr>
        <w:t>数据</w:t>
      </w:r>
      <w:r>
        <w:rPr>
          <w:rFonts w:hint="eastAsia" w:ascii="宋体" w:hAnsi="宋体"/>
          <w:sz w:val="24"/>
        </w:rPr>
        <w:t>变化</w:t>
      </w:r>
      <w:r>
        <w:rPr>
          <w:rFonts w:ascii="宋体" w:hAnsi="宋体"/>
          <w:sz w:val="24"/>
        </w:rPr>
        <w:t>是否</w:t>
      </w:r>
      <w:r>
        <w:rPr>
          <w:rFonts w:hint="eastAsia" w:ascii="宋体" w:hAnsi="宋体"/>
          <w:sz w:val="24"/>
        </w:rPr>
        <w:t>合规</w:t>
      </w:r>
      <w:r>
        <w:rPr>
          <w:rFonts w:ascii="宋体" w:hAnsi="宋体"/>
          <w:sz w:val="24"/>
        </w:rPr>
        <w:t>正常</w:t>
      </w:r>
      <w:r>
        <w:rPr>
          <w:rFonts w:hint="eastAsia" w:ascii="宋体" w:hAnsi="宋体"/>
          <w:sz w:val="24"/>
        </w:rPr>
        <w:t>，审查业务操作是否</w:t>
      </w:r>
      <w:r>
        <w:rPr>
          <w:rFonts w:ascii="宋体" w:hAnsi="宋体"/>
          <w:sz w:val="24"/>
        </w:rPr>
        <w:t>经过正常业务流程办理，</w:t>
      </w:r>
      <w:r>
        <w:rPr>
          <w:rFonts w:hint="eastAsia" w:ascii="宋体" w:hAnsi="宋体"/>
          <w:sz w:val="24"/>
        </w:rPr>
        <w:t>确认</w:t>
      </w:r>
      <w:r>
        <w:rPr>
          <w:rFonts w:ascii="宋体" w:hAnsi="宋体"/>
          <w:sz w:val="24"/>
        </w:rPr>
        <w:t>业务数据变更</w:t>
      </w:r>
      <w:r>
        <w:rPr>
          <w:rFonts w:hint="eastAsia" w:ascii="宋体" w:hAnsi="宋体"/>
          <w:sz w:val="24"/>
        </w:rPr>
        <w:t>的</w:t>
      </w:r>
      <w:r>
        <w:rPr>
          <w:rFonts w:ascii="宋体" w:hAnsi="宋体"/>
          <w:sz w:val="24"/>
        </w:rPr>
        <w:t>合规性</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3.7.1.3</w:t>
      </w:r>
      <w:r>
        <w:rPr>
          <w:rFonts w:hint="eastAsia" w:ascii="宋体" w:hAnsi="宋体"/>
          <w:sz w:val="24"/>
        </w:rPr>
        <w:t>系统关键限制逻辑字段变化情况监测：对业务系统中所有关键逻辑字段的变化进行监测，结合业务系统日志记录、数据运维日志记录，对发生变化的字段的操作合规性进行审计，对违规操作进行预警。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3.7.1.4</w:t>
      </w:r>
      <w:r>
        <w:rPr>
          <w:rFonts w:ascii="宋体" w:hAnsi="宋体"/>
          <w:sz w:val="24"/>
        </w:rPr>
        <w:t>房产登记状态异常监测：房产登记信息有效性及状态变更时间的合理性审查。监测房产登记信息是否经过正常业务流程办理进行失效变更操作，新购房产时间与该人员其他房产登记信息失效变更时间间隔较短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3.7.2</w:t>
      </w:r>
      <w:r>
        <w:rPr>
          <w:rFonts w:hint="eastAsia" w:ascii="宋体" w:hAnsi="宋体"/>
          <w:sz w:val="24"/>
        </w:rPr>
        <w:t>数据一致性检测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3.7.2.1</w:t>
      </w:r>
      <w:r>
        <w:rPr>
          <w:rFonts w:hint="eastAsia" w:ascii="宋体" w:hAnsi="宋体"/>
          <w:sz w:val="24"/>
        </w:rPr>
        <w:t>对各个业务系统中的数据进行一致性检测，防范相同的数据在各个业务系统中存在不一致的情况，从而导致业务的异常。</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3.7.2.2</w:t>
      </w:r>
      <w:r>
        <w:rPr>
          <w:rFonts w:hint="eastAsia" w:ascii="宋体" w:hAnsi="宋体"/>
          <w:sz w:val="24"/>
        </w:rPr>
        <w:t>楼盘表相关标志位变化与业务办理情况的一致性检测：通过房屋查封、征收等业务办理数据与楼盘表查封、征收等标志位状态数据进行比对分析，发现未经业务办理即产生标志位变化的情况，不一致则预警。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3.7.2.3</w:t>
      </w:r>
      <w:r>
        <w:rPr>
          <w:rFonts w:ascii="宋体" w:hAnsi="宋体"/>
          <w:sz w:val="24"/>
        </w:rPr>
        <w:t>接口调用数据一致性检测：业务系统对外提供了多项业务信息查询接口，如房产信息查询接口、房产销售登记查询接口等以满足税务征收、</w:t>
      </w:r>
      <w:r>
        <w:rPr>
          <w:rFonts w:hint="eastAsia" w:ascii="宋体" w:hAnsi="宋体"/>
          <w:sz w:val="24"/>
        </w:rPr>
        <w:t>公积金、</w:t>
      </w:r>
      <w:r>
        <w:rPr>
          <w:rFonts w:ascii="宋体" w:hAnsi="宋体"/>
          <w:sz w:val="24"/>
        </w:rPr>
        <w:t>司法办理等其他业务工作需要。为防止系统故障等原因造成的实际数据与接口返回数据不一致的风险，系统需利用系统日志、业务数据及其他日志信息，检测接口调用返回数据的一致性并及时预警。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3.7.2.4</w:t>
      </w:r>
      <w:r>
        <w:rPr>
          <w:rFonts w:hint="eastAsia" w:ascii="宋体" w:hAnsi="宋体"/>
          <w:sz w:val="24"/>
        </w:rPr>
        <w:t>定向销售一致性监测：对通过定向销售取得商品住房（合同网签或备案）的买受人信息与定向人员名单比对，发现违规销售情况。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3.7.2.5</w:t>
      </w:r>
      <w:r>
        <w:rPr>
          <w:rFonts w:hint="eastAsia" w:ascii="宋体" w:hAnsi="宋体"/>
          <w:sz w:val="24"/>
        </w:rPr>
        <w:t>限售房屋的合同备案时间变化、产权证取得时间变化的监测预警：对有限售时间要求的房屋分析合同备案时间、产权证取得时间是否有变化，发现异常变化则预警。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3.7.3</w:t>
      </w:r>
      <w:r>
        <w:rPr>
          <w:rFonts w:hint="eastAsia" w:ascii="宋体" w:hAnsi="宋体"/>
          <w:sz w:val="24"/>
        </w:rPr>
        <w:t>敏感数据监控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将各业务系统敏感数据的操作进行监控，分析对敏感数据的修改等存在的异常操作。</w:t>
      </w:r>
      <w:r>
        <w:rPr>
          <w:rFonts w:ascii="宋体" w:hAnsi="宋体"/>
          <w:sz w:val="24"/>
        </w:rPr>
        <w:t>个人隐私数据如手机号码、证件号码等重要信息，存储时需要进行加密存储并确保在业务系统外无法解密。系统对隐私信息进行加密检测，防止应加密数据未加密及已加密信息被解密泄露的风险。</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3.7.4</w:t>
      </w:r>
      <w:r>
        <w:rPr>
          <w:rFonts w:hint="eastAsia" w:ascii="宋体" w:hAnsi="宋体"/>
          <w:sz w:val="24"/>
        </w:rPr>
        <w:t>用户及权限管理监测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3.7.4.1</w:t>
      </w:r>
      <w:r>
        <w:rPr>
          <w:rFonts w:hint="eastAsia" w:ascii="宋体" w:hAnsi="宋体"/>
          <w:sz w:val="24"/>
        </w:rPr>
        <w:t>对系统中账户的有效性、账号创建、权限分配等情况进行监控，监测发现是否存在风险行为。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3.7.4.2</w:t>
      </w:r>
      <w:r>
        <w:rPr>
          <w:rFonts w:ascii="宋体" w:hAnsi="宋体"/>
          <w:sz w:val="24"/>
        </w:rPr>
        <w:t>管理账户长期未使用情况审查：系统中管理账户具有较高权限，长期未使用的账户存在泄漏和滥用风险。系统需定期审查超过时间范围阀值的管理账户，并汇总统计。审查范围包含长时间未登录、账户登录但长时间未进行其他操作等维度。支持审查的时间范围阀值根据业务规则动态调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3.7.4.3</w:t>
      </w:r>
      <w:r>
        <w:rPr>
          <w:rFonts w:ascii="宋体" w:hAnsi="宋体"/>
          <w:sz w:val="24"/>
        </w:rPr>
        <w:t>管理账户操作日志审查：</w:t>
      </w:r>
      <w:r>
        <w:rPr>
          <w:rFonts w:hint="eastAsia" w:ascii="宋体" w:hAnsi="宋体"/>
          <w:sz w:val="24"/>
        </w:rPr>
        <w:t>对系统</w:t>
      </w:r>
      <w:r>
        <w:rPr>
          <w:rFonts w:ascii="宋体" w:hAnsi="宋体"/>
          <w:sz w:val="24"/>
        </w:rPr>
        <w:t>管理账户的操作日志进行常规性审查，</w:t>
      </w:r>
      <w:r>
        <w:rPr>
          <w:rFonts w:hint="eastAsia" w:ascii="宋体" w:hAnsi="宋体"/>
          <w:sz w:val="24"/>
        </w:rPr>
        <w:t>对访问业务系统功能点情况进行统计，</w:t>
      </w:r>
      <w:r>
        <w:rPr>
          <w:rFonts w:ascii="宋体" w:hAnsi="宋体"/>
          <w:sz w:val="24"/>
        </w:rPr>
        <w:t>对高风险及高敏感信息操作重点</w:t>
      </w:r>
      <w:r>
        <w:rPr>
          <w:rFonts w:hint="eastAsia" w:ascii="宋体" w:hAnsi="宋体"/>
          <w:sz w:val="24"/>
        </w:rPr>
        <w:t>监测；监测其创建账户、分配权限、更改账户信息（手机号、密码）的情况，对重要权限的分配操作进行预警</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3.7.4.4</w:t>
      </w:r>
      <w:r>
        <w:rPr>
          <w:rFonts w:hint="eastAsia" w:ascii="宋体" w:hAnsi="宋体"/>
          <w:sz w:val="24"/>
        </w:rPr>
        <w:t>离职（退休）等人员账号情况监测：已离职、退休等不在岗的工作人员在业务系统中账号应及时注销，通过与人事系统中人员情况进行比对，及时发现不在岗人员存在的有效账号。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3.7.4.5</w:t>
      </w:r>
      <w:r>
        <w:rPr>
          <w:rFonts w:hint="eastAsia" w:ascii="宋体" w:hAnsi="宋体"/>
          <w:sz w:val="24"/>
        </w:rPr>
        <w:t>非工作时间业务办理操作监测预警：对非工作时间内办理业务、登录系统、查询信息等的账户进行监测。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3.7.4.6</w:t>
      </w:r>
      <w:r>
        <w:rPr>
          <w:rFonts w:hint="eastAsia" w:ascii="宋体" w:hAnsi="宋体"/>
          <w:sz w:val="24"/>
        </w:rPr>
        <w:t>账号手机号变更情况监测：系统登录时均需输入账号持有人的手机收到的验证码信息，通过业务系统账号对应手机号码的变更情况监测，及时发现手机号码异常变更情况，从而发现窃取他人账号进行业务操作的行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3.7.5</w:t>
      </w:r>
      <w:r>
        <w:rPr>
          <w:rFonts w:hint="eastAsia" w:ascii="宋体" w:hAnsi="宋体"/>
          <w:sz w:val="24"/>
        </w:rPr>
        <w:t>业务风险及合规性监测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3.7.5.1</w:t>
      </w:r>
      <w:r>
        <w:rPr>
          <w:rFonts w:hint="eastAsia" w:ascii="宋体" w:hAnsi="宋体"/>
          <w:sz w:val="24"/>
        </w:rPr>
        <w:t>对业务数据进行整合分析，分析在各个不同的业务规则制度下，是否存在不合规业务办理的情况。目前住建局的业务分散在各个不同的业务系统，需要将各个业务系统的数据进行整合，监控并分析出业务办理结果在各个业务系统中的合规性，及时发现存在风险的业务或不合规业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3.7.5.2</w:t>
      </w:r>
      <w:r>
        <w:rPr>
          <w:rFonts w:hint="eastAsia" w:ascii="宋体" w:hAnsi="宋体"/>
          <w:sz w:val="24"/>
        </w:rPr>
        <w:t>商品房合同备案审计。</w:t>
      </w:r>
      <w:r>
        <w:rPr>
          <w:rFonts w:ascii="宋体" w:hAnsi="宋体"/>
          <w:sz w:val="24"/>
        </w:rPr>
        <w:t>对已</w:t>
      </w:r>
      <w:r>
        <w:rPr>
          <w:rFonts w:hint="eastAsia" w:ascii="宋体" w:hAnsi="宋体"/>
          <w:sz w:val="24"/>
        </w:rPr>
        <w:t>备案审核</w:t>
      </w:r>
      <w:r>
        <w:rPr>
          <w:rFonts w:ascii="宋体" w:hAnsi="宋体"/>
          <w:sz w:val="24"/>
        </w:rPr>
        <w:t>的合同</w:t>
      </w:r>
      <w:r>
        <w:rPr>
          <w:rFonts w:hint="eastAsia" w:ascii="宋体" w:hAnsi="宋体"/>
          <w:sz w:val="24"/>
        </w:rPr>
        <w:t>，</w:t>
      </w:r>
      <w:r>
        <w:rPr>
          <w:rFonts w:ascii="宋体" w:hAnsi="宋体"/>
          <w:sz w:val="24"/>
        </w:rPr>
        <w:t>应</w:t>
      </w:r>
      <w:r>
        <w:rPr>
          <w:rFonts w:hint="eastAsia" w:ascii="宋体" w:hAnsi="宋体"/>
          <w:sz w:val="24"/>
        </w:rPr>
        <w:t>核验房屋是否有查封、是否为住保房屋、是否存在所有权登记，验证买受人是否享受住房保障。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3.7.5.3</w:t>
      </w:r>
      <w:r>
        <w:rPr>
          <w:rFonts w:hint="eastAsia" w:ascii="宋体" w:hAnsi="宋体"/>
          <w:sz w:val="24"/>
        </w:rPr>
        <w:t>存量房合同备案审计。</w:t>
      </w:r>
      <w:r>
        <w:rPr>
          <w:rFonts w:ascii="宋体" w:hAnsi="宋体"/>
          <w:sz w:val="24"/>
        </w:rPr>
        <w:t>对已</w:t>
      </w:r>
      <w:r>
        <w:rPr>
          <w:rFonts w:hint="eastAsia" w:ascii="宋体" w:hAnsi="宋体"/>
          <w:sz w:val="24"/>
        </w:rPr>
        <w:t>备案审核</w:t>
      </w:r>
      <w:r>
        <w:rPr>
          <w:rFonts w:ascii="宋体" w:hAnsi="宋体"/>
          <w:sz w:val="24"/>
        </w:rPr>
        <w:t>的合同</w:t>
      </w:r>
      <w:r>
        <w:rPr>
          <w:rFonts w:hint="eastAsia" w:ascii="宋体" w:hAnsi="宋体"/>
          <w:sz w:val="24"/>
        </w:rPr>
        <w:t>，</w:t>
      </w:r>
      <w:r>
        <w:rPr>
          <w:rFonts w:ascii="宋体" w:hAnsi="宋体"/>
          <w:sz w:val="24"/>
        </w:rPr>
        <w:t>应</w:t>
      </w:r>
      <w:r>
        <w:rPr>
          <w:rFonts w:hint="eastAsia" w:ascii="宋体" w:hAnsi="宋体"/>
          <w:sz w:val="24"/>
        </w:rPr>
        <w:t>核验房屋是否有查封、是否为住保房屋、是否正在办理所有权登记、是否满足三年交易限制（判断三年内是否签订有效的存量房合同，根据合同备案时间判断）、中介签约合同验证是否签订资金监管协议、验证人员是否享受住房保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3.7.5.4</w:t>
      </w:r>
      <w:r>
        <w:rPr>
          <w:rFonts w:hint="eastAsia" w:ascii="宋体" w:hAnsi="宋体"/>
          <w:sz w:val="24"/>
        </w:rPr>
        <w:t>商品房合同审计。在拟定合同阶段，</w:t>
      </w:r>
      <w:r>
        <w:rPr>
          <w:rFonts w:ascii="宋体" w:hAnsi="宋体"/>
          <w:sz w:val="24"/>
        </w:rPr>
        <w:t>应</w:t>
      </w:r>
      <w:r>
        <w:rPr>
          <w:rFonts w:hint="eastAsia" w:ascii="宋体" w:hAnsi="宋体"/>
          <w:sz w:val="24"/>
        </w:rPr>
        <w:t>验证房屋是否有查封、是否存在所有权登记、是否为住保房屋。验证人员是否参加购房登记、是否满足限购套数。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3.7.5.5</w:t>
      </w:r>
      <w:r>
        <w:rPr>
          <w:rFonts w:hint="eastAsia" w:ascii="宋体" w:hAnsi="宋体"/>
          <w:sz w:val="24"/>
        </w:rPr>
        <w:t>享受保障政策的业务监测</w:t>
      </w:r>
      <w:r>
        <w:rPr>
          <w:rFonts w:ascii="宋体" w:hAnsi="宋体"/>
          <w:sz w:val="24"/>
        </w:rPr>
        <w:t>：享受征收保障、住房保障</w:t>
      </w:r>
      <w:r>
        <w:rPr>
          <w:rFonts w:hint="eastAsia" w:ascii="宋体" w:hAnsi="宋体"/>
          <w:sz w:val="24"/>
        </w:rPr>
        <w:t>、人才安居、直管公房</w:t>
      </w:r>
      <w:r>
        <w:rPr>
          <w:rFonts w:ascii="宋体" w:hAnsi="宋体"/>
          <w:sz w:val="24"/>
        </w:rPr>
        <w:t>等政策的时间跨度较大，并且多项政策不可同时办理。需</w:t>
      </w:r>
      <w:r>
        <w:rPr>
          <w:rFonts w:hint="eastAsia" w:ascii="宋体" w:hAnsi="宋体"/>
          <w:sz w:val="24"/>
        </w:rPr>
        <w:t>监测</w:t>
      </w:r>
      <w:r>
        <w:rPr>
          <w:rFonts w:ascii="宋体" w:hAnsi="宋体"/>
          <w:sz w:val="24"/>
        </w:rPr>
        <w:t>多项政策同时</w:t>
      </w:r>
      <w:r>
        <w:rPr>
          <w:rFonts w:hint="eastAsia" w:ascii="宋体" w:hAnsi="宋体"/>
          <w:sz w:val="24"/>
        </w:rPr>
        <w:t>享受的</w:t>
      </w:r>
      <w:r>
        <w:rPr>
          <w:rFonts w:ascii="宋体" w:hAnsi="宋体"/>
          <w:sz w:val="24"/>
        </w:rPr>
        <w:t>风险</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3.7.5.6</w:t>
      </w:r>
      <w:r>
        <w:rPr>
          <w:rFonts w:hint="eastAsia" w:ascii="宋体" w:hAnsi="宋体"/>
          <w:sz w:val="24"/>
        </w:rPr>
        <w:t>维修资金应归未归监测：校验已办理产权登记或登薄的房屋是否足额缴纳维修资金，没有缴纳或没有足额缴纳则预警。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3.7.5.7</w:t>
      </w:r>
      <w:r>
        <w:rPr>
          <w:rFonts w:hint="eastAsia" w:ascii="宋体" w:hAnsi="宋体"/>
          <w:sz w:val="24"/>
        </w:rPr>
        <w:t>商品房预售资金监管应归未归监测：在商品房</w:t>
      </w:r>
      <w:r>
        <w:rPr>
          <w:rFonts w:ascii="宋体" w:hAnsi="宋体"/>
          <w:sz w:val="24"/>
        </w:rPr>
        <w:t>网签合同备案</w:t>
      </w:r>
      <w:r>
        <w:rPr>
          <w:rFonts w:hint="eastAsia" w:ascii="宋体" w:hAnsi="宋体"/>
          <w:sz w:val="24"/>
        </w:rPr>
        <w:t>时，对已取得</w:t>
      </w:r>
      <w:r>
        <w:rPr>
          <w:rFonts w:ascii="宋体" w:hAnsi="宋体"/>
          <w:sz w:val="24"/>
        </w:rPr>
        <w:t>房屋</w:t>
      </w:r>
      <w:r>
        <w:rPr>
          <w:rFonts w:hint="eastAsia" w:ascii="宋体" w:hAnsi="宋体"/>
          <w:sz w:val="24"/>
        </w:rPr>
        <w:t>是否已归集商品预售资金款情况进行监测。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3.7.5.8</w:t>
      </w:r>
      <w:r>
        <w:rPr>
          <w:rFonts w:hint="eastAsia" w:ascii="宋体" w:hAnsi="宋体"/>
          <w:sz w:val="24"/>
        </w:rPr>
        <w:t>维修资金每日归集资金监测：维修资金每日完成的交款通知单和各专户管理银行每日分解的资金是否一致。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3.7.5.9</w:t>
      </w:r>
      <w:r>
        <w:rPr>
          <w:rFonts w:hint="eastAsia" w:ascii="宋体" w:hAnsi="宋体"/>
          <w:sz w:val="24"/>
        </w:rPr>
        <w:t>维修资金每日支取资金监测：维修资金每日完成的支取通知单和各专户管理银行每日支出的资金是否一致。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3.7.5.10</w:t>
      </w:r>
      <w:r>
        <w:rPr>
          <w:rFonts w:hint="eastAsia" w:ascii="宋体" w:hAnsi="宋体"/>
          <w:sz w:val="24"/>
        </w:rPr>
        <w:t>信用信息系统企业记分监测：针对企业记分的业务，企业加分情况和企业排名情况（加分、排名提升幅度较明显）进行监测。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3.7.5.11</w:t>
      </w:r>
      <w:r>
        <w:rPr>
          <w:rFonts w:hint="eastAsia" w:ascii="宋体" w:hAnsi="宋体"/>
          <w:sz w:val="24"/>
        </w:rPr>
        <w:t>工地扬尘监测值浮动情况监测；对工地扬尘监测值浮动范围较小情况进行监测，以及与全市国控点数据（环保数据）之间比对监测。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3.7.5.12</w:t>
      </w:r>
      <w:r>
        <w:rPr>
          <w:rFonts w:hint="eastAsia" w:ascii="宋体" w:hAnsi="宋体"/>
          <w:sz w:val="24"/>
        </w:rPr>
        <w:t>工地停工风险监测：结合材料检测、运渣车、农民工考勤数据等分析是否有停工风险。通过对建筑工地施工进度、材料进场信息、人员考勤信息的、工资发放信息的变化趋势研判哪些建筑工地存在停工停建风险，以便实施重点监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3.7.5.13</w:t>
      </w:r>
      <w:r>
        <w:rPr>
          <w:rFonts w:hint="eastAsia" w:ascii="宋体" w:hAnsi="宋体"/>
          <w:sz w:val="24"/>
        </w:rPr>
        <w:t>农民工欠薪情况监测：根据施工现场考勤情况与工资发放数据进行比对，监测是否存在欠薪的可能。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3.7.5.14</w:t>
      </w:r>
      <w:r>
        <w:rPr>
          <w:rFonts w:hint="eastAsia" w:ascii="宋体" w:hAnsi="宋体"/>
          <w:sz w:val="24"/>
        </w:rPr>
        <w:t>存量房资金监管登簿应划未划监测：存量房买卖合同不动产登簿后，将数据推送到存量房资金监管系统，资金监管系统将进行后续资金出账操作。为保障登簿数据准确同步，通过比对房屋登簿数据与存量房资金监管已出账数据，发现是否存在不动产登簿但未进行资金出账的业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3.7.5.15</w:t>
      </w:r>
      <w:r>
        <w:rPr>
          <w:rFonts w:hint="eastAsia" w:ascii="宋体" w:hAnsi="宋体"/>
          <w:sz w:val="24"/>
        </w:rPr>
        <w:t>特殊核验业务件量统计：针对某些特殊办理的业务件，需统计相关情况并反馈业务单位核实。</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3.7.5.16</w:t>
      </w:r>
      <w:r>
        <w:rPr>
          <w:rFonts w:hint="eastAsia" w:ascii="宋体" w:hAnsi="宋体"/>
          <w:sz w:val="24"/>
        </w:rPr>
        <w:t>围标串标行为监管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以参与建设项目招投标参与的各方主体、人员、招投标文件为分析对象，累积提取投标文件的关键信息数据，包括企业信息、人员信息、投标登记、开标信息、评标过程数据、评标结果等工程招标、投标的过程数据，通过对投标人员、业绩对投标人企业、投标人与招标人、投标人与招标代理之间关联关系，对工程量清单组价、报价相似度、材料相似度、特征码等数据提取分析并于企业关联的工程量清单相似度关系等关键信息的逐条分析和无缝关联，对围标串标行为进行监管，对异常行为及时预警，为围串标治理提供数据支撑。</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分析成果进行归类整理，按企业、人员、业绩和招投标项目的关系分别展示其关联关系，辅助以图表形式展示其关联，并在实现数据的层层追溯，可以通过企业查询人员、业绩和招投标项目的关系，也通过人员、业绩和招投标查询企业的关系，将所有的数据关系集中管理提供关联查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3.7.6</w:t>
      </w:r>
      <w:r>
        <w:rPr>
          <w:rFonts w:hint="eastAsia" w:ascii="宋体" w:hAnsi="宋体"/>
          <w:sz w:val="24"/>
        </w:rPr>
        <w:t>业务及系统风险可视化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3.7.6.1</w:t>
      </w:r>
      <w:r>
        <w:rPr>
          <w:rFonts w:hint="eastAsia" w:ascii="宋体" w:hAnsi="宋体"/>
          <w:sz w:val="24"/>
        </w:rPr>
        <w:t>基本</w:t>
      </w:r>
      <w:r>
        <w:rPr>
          <w:rFonts w:ascii="宋体" w:hAnsi="宋体"/>
          <w:sz w:val="24"/>
        </w:rPr>
        <w:t>要求</w:t>
      </w:r>
      <w:r>
        <w:rPr>
          <w:rFonts w:hint="eastAsia" w:ascii="宋体" w:hAnsi="宋体"/>
          <w:sz w:val="24"/>
        </w:rPr>
        <w:t>。提供将重点数据动态更新到数据驾驶舱，数据可根据后台分析结果进行实时更新，将各类分析数据和预警信息以动态直观的方式进行展示，帮助领导快速掌握重点信息。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3.7.6.2</w:t>
      </w:r>
      <w:r>
        <w:rPr>
          <w:rFonts w:hint="eastAsia" w:ascii="宋体" w:hAnsi="宋体"/>
          <w:sz w:val="24"/>
        </w:rPr>
        <w:t>驾驶舱</w:t>
      </w:r>
      <w:r>
        <w:rPr>
          <w:rFonts w:ascii="宋体" w:hAnsi="宋体"/>
          <w:sz w:val="24"/>
        </w:rPr>
        <w:t>动态配置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对</w:t>
      </w:r>
      <w:r>
        <w:rPr>
          <w:rFonts w:ascii="宋体" w:hAnsi="宋体"/>
          <w:sz w:val="24"/>
        </w:rPr>
        <w:t>合规性审查</w:t>
      </w:r>
      <w:r>
        <w:rPr>
          <w:rFonts w:hint="eastAsia" w:ascii="宋体" w:hAnsi="宋体"/>
          <w:sz w:val="24"/>
        </w:rPr>
        <w:t>业务</w:t>
      </w:r>
      <w:r>
        <w:rPr>
          <w:rFonts w:ascii="宋体" w:hAnsi="宋体"/>
          <w:sz w:val="24"/>
        </w:rPr>
        <w:t>数据可视化方式进行动态配置。支持多种可视化展现方式</w:t>
      </w:r>
      <w:r>
        <w:rPr>
          <w:rFonts w:hint="eastAsia" w:ascii="宋体" w:hAnsi="宋体"/>
          <w:sz w:val="24"/>
        </w:rPr>
        <w:t>，</w:t>
      </w:r>
      <w:r>
        <w:rPr>
          <w:rFonts w:ascii="宋体" w:hAnsi="宋体"/>
          <w:sz w:val="24"/>
        </w:rPr>
        <w:t>包括数据表格、折线图、柱状图、饼图、南丁格尔图、桑吉图、散点图、K线图、雷达图、盒须图、热力图、关系图、树图以及地理坐标地图等展现方式。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rPr>
      </w:pPr>
      <w:r>
        <w:rPr>
          <w:rFonts w:hint="eastAsia" w:ascii="宋体" w:hAnsi="宋体"/>
          <w:sz w:val="24"/>
          <w:lang w:val="en-US" w:eastAsia="zh-CN"/>
        </w:rPr>
        <w:t>3.7.6.3</w:t>
      </w:r>
      <w:r>
        <w:rPr>
          <w:rFonts w:hint="eastAsia" w:ascii="宋体" w:hAnsi="宋体"/>
          <w:b/>
          <w:sz w:val="24"/>
        </w:rPr>
        <w:t>技术</w:t>
      </w:r>
      <w:r>
        <w:rPr>
          <w:rFonts w:ascii="宋体" w:hAnsi="宋体"/>
          <w:b/>
          <w:sz w:val="24"/>
        </w:rPr>
        <w:t>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3.7.6.3.1</w:t>
      </w:r>
      <w:r>
        <w:rPr>
          <w:rFonts w:hint="eastAsia" w:ascii="宋体" w:hAnsi="宋体"/>
          <w:sz w:val="24"/>
        </w:rPr>
        <w:t>可以根据实际</w:t>
      </w:r>
      <w:r>
        <w:rPr>
          <w:rFonts w:ascii="宋体" w:hAnsi="宋体"/>
          <w:sz w:val="24"/>
        </w:rPr>
        <w:t>数据结构配置多种可视化图表进行数据展现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3.7.6.3.2</w:t>
      </w:r>
      <w:r>
        <w:rPr>
          <w:rFonts w:ascii="宋体" w:hAnsi="宋体"/>
          <w:sz w:val="24"/>
        </w:rPr>
        <w:t>支持动态调整可视化图表的内容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3.7.6.3.3</w:t>
      </w:r>
      <w:r>
        <w:rPr>
          <w:rFonts w:ascii="宋体" w:hAnsi="宋体"/>
          <w:sz w:val="24"/>
        </w:rPr>
        <w:t>支持多套驾驶舱风格切换，并内置2套风格模板</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3.7.6.3.4</w:t>
      </w:r>
      <w:r>
        <w:rPr>
          <w:rFonts w:ascii="宋体" w:hAnsi="宋体"/>
          <w:sz w:val="24"/>
        </w:rPr>
        <w:t>支持根据数据结构进行可视化图表自动适配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3.7.6.3.5</w:t>
      </w:r>
      <w:r>
        <w:rPr>
          <w:rFonts w:ascii="宋体" w:hAnsi="宋体"/>
          <w:sz w:val="24"/>
        </w:rPr>
        <w:t>支持驾驶舱数据实时更新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val="0"/>
          <w:bCs w:val="0"/>
          <w:sz w:val="24"/>
        </w:rPr>
      </w:pPr>
      <w:r>
        <w:rPr>
          <w:rFonts w:hint="eastAsia" w:ascii="宋体" w:hAnsi="宋体"/>
          <w:b w:val="0"/>
          <w:bCs w:val="0"/>
          <w:sz w:val="24"/>
          <w:lang w:val="zh-CN"/>
        </w:rPr>
        <w:t>●</w:t>
      </w:r>
      <w:r>
        <w:rPr>
          <w:rFonts w:hint="eastAsia" w:ascii="宋体" w:hAnsi="宋体"/>
          <w:sz w:val="24"/>
          <w:lang w:val="en-US" w:eastAsia="zh-CN"/>
        </w:rPr>
        <w:t>3.7.6.3.6</w:t>
      </w:r>
      <w:r>
        <w:rPr>
          <w:rFonts w:hint="eastAsia" w:ascii="宋体" w:hAnsi="宋体"/>
          <w:b w:val="0"/>
          <w:bCs w:val="0"/>
          <w:sz w:val="24"/>
        </w:rPr>
        <w:t>支持丰富的2.5D、3D组件。需具有2.5D饼图、2.5D柱状图、2.5D柱状堆积图、2.5D面积图、2.5D混合图、3D柱状图、3D散点图、3D地球、数字转盘。</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rPr>
      </w:pPr>
      <w:r>
        <w:rPr>
          <w:rFonts w:hint="eastAsia" w:ascii="宋体" w:hAnsi="宋体"/>
          <w:b w:val="0"/>
          <w:bCs w:val="0"/>
          <w:sz w:val="24"/>
          <w:lang w:val="zh-CN"/>
        </w:rPr>
        <w:t>●</w:t>
      </w:r>
      <w:r>
        <w:rPr>
          <w:rFonts w:hint="eastAsia" w:ascii="宋体" w:hAnsi="宋体"/>
          <w:sz w:val="24"/>
          <w:lang w:val="en-US" w:eastAsia="zh-CN"/>
        </w:rPr>
        <w:t>3.7.6.3.7</w:t>
      </w:r>
      <w:r>
        <w:rPr>
          <w:rFonts w:hint="eastAsia" w:ascii="宋体" w:hAnsi="宋体"/>
          <w:b w:val="0"/>
          <w:bCs w:val="0"/>
          <w:sz w:val="24"/>
        </w:rPr>
        <w:t>支持2D的场景管理，二维地图场景综合管理界面，需提供新增/修改/删除二维地图场景功能。二维场景导入、导出、复制、发布功能。在2D的场景管理中，须具有二维GIS图层模板，包含但不限于：点图层、线图层、面图层、热力图层、动态轨迹图层、点聚合图层、分布图层、信息窗图层、静态图层、网格图层、迁移图层、轨迹图层、2.5D 面图层、2.5D热力图层、2.5D柱状图层。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rPr>
      </w:pPr>
      <w:r>
        <w:rPr>
          <w:rFonts w:hint="eastAsia" w:ascii="宋体" w:hAnsi="宋体"/>
          <w:b w:val="0"/>
          <w:bCs w:val="0"/>
          <w:sz w:val="24"/>
          <w:lang w:val="zh-CN"/>
        </w:rPr>
        <w:t>●</w:t>
      </w:r>
      <w:r>
        <w:rPr>
          <w:rFonts w:hint="eastAsia" w:ascii="宋体" w:hAnsi="宋体"/>
          <w:sz w:val="24"/>
          <w:lang w:val="en-US" w:eastAsia="zh-CN"/>
        </w:rPr>
        <w:t>3.7.6.3.8</w:t>
      </w:r>
      <w:r>
        <w:rPr>
          <w:rFonts w:hint="eastAsia" w:ascii="宋体" w:hAnsi="宋体"/>
          <w:b w:val="0"/>
          <w:bCs w:val="0"/>
          <w:sz w:val="24"/>
        </w:rPr>
        <w:t>支持文字、文本编辑、按钮、下拉框、单选框、复选框、时间组件、矩形组件、开关组件、超链接组件、树组件、表单容器、Tab容器、查询容器、图片、菜单、水球图、iframe容器、胶片容器、进度条、日历图、视频组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3.7.6.4</w:t>
      </w:r>
      <w:r>
        <w:rPr>
          <w:rFonts w:hint="eastAsia" w:ascii="宋体" w:hAnsi="宋体"/>
          <w:sz w:val="24"/>
        </w:rPr>
        <w:t>业务</w:t>
      </w:r>
      <w:r>
        <w:rPr>
          <w:rFonts w:ascii="宋体" w:hAnsi="宋体"/>
          <w:sz w:val="24"/>
        </w:rPr>
        <w:t>数据监控</w:t>
      </w:r>
      <w:r>
        <w:rPr>
          <w:rFonts w:hint="eastAsia" w:ascii="宋体" w:hAnsi="宋体"/>
          <w:sz w:val="24"/>
        </w:rPr>
        <w:t>可视化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3.7.6.4.1</w:t>
      </w:r>
      <w:r>
        <w:rPr>
          <w:rFonts w:hint="eastAsia" w:ascii="宋体" w:hAnsi="宋体"/>
          <w:sz w:val="24"/>
          <w:lang w:val="zh-CN"/>
        </w:rPr>
        <w:t>基本要求：</w:t>
      </w:r>
      <w:r>
        <w:rPr>
          <w:rFonts w:hint="eastAsia" w:ascii="宋体" w:hAnsi="宋体"/>
          <w:sz w:val="24"/>
        </w:rPr>
        <w:t>对业务</w:t>
      </w:r>
      <w:r>
        <w:rPr>
          <w:rFonts w:ascii="宋体" w:hAnsi="宋体"/>
          <w:sz w:val="24"/>
        </w:rPr>
        <w:t>办理过程中数据变化异常、一致性检测问题、敏感数据检测等分析结果与常规监控结果使用用户方便理解的方式进行呈现，通过驾驶舱整合整体数据监控情况</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sz w:val="24"/>
          <w:lang w:val="en-US"/>
        </w:rPr>
      </w:pPr>
      <w:r>
        <w:rPr>
          <w:rFonts w:hint="eastAsia" w:ascii="宋体" w:hAnsi="宋体"/>
          <w:sz w:val="24"/>
          <w:lang w:val="en-US" w:eastAsia="zh-CN"/>
        </w:rPr>
        <w:t>3.7.6.4.2</w:t>
      </w:r>
      <w:r>
        <w:rPr>
          <w:rFonts w:hint="eastAsia" w:ascii="宋体" w:hAnsi="宋体"/>
          <w:sz w:val="24"/>
          <w:lang w:val="zh-CN"/>
        </w:rPr>
        <w:t>功能</w:t>
      </w:r>
      <w:r>
        <w:rPr>
          <w:rFonts w:ascii="宋体" w:hAnsi="宋体"/>
          <w:sz w:val="24"/>
          <w:lang w:val="zh-CN"/>
        </w:rPr>
        <w:t>要求</w:t>
      </w:r>
      <w:r>
        <w:rPr>
          <w:rFonts w:hint="eastAsia" w:ascii="宋体" w:hAnsi="宋体"/>
          <w:sz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①</w:t>
      </w:r>
      <w:r>
        <w:rPr>
          <w:rFonts w:ascii="宋体" w:hAnsi="宋体"/>
          <w:sz w:val="24"/>
        </w:rPr>
        <w:t>需要包含异常数据变化整体概况的可视化展示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②</w:t>
      </w:r>
      <w:r>
        <w:rPr>
          <w:rFonts w:ascii="宋体" w:hAnsi="宋体"/>
          <w:sz w:val="24"/>
        </w:rPr>
        <w:t>需要包含数据异常变化检测的可视化内容展示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③</w:t>
      </w:r>
      <w:r>
        <w:rPr>
          <w:rFonts w:ascii="宋体" w:hAnsi="宋体"/>
          <w:sz w:val="24"/>
        </w:rPr>
        <w:t>需要包含数据一致性检测的可视化内容展示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④</w:t>
      </w:r>
      <w:r>
        <w:rPr>
          <w:rFonts w:ascii="宋体" w:hAnsi="宋体"/>
          <w:sz w:val="24"/>
        </w:rPr>
        <w:t>需要包含敏感数据监控的可视化内容展示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⑤</w:t>
      </w:r>
      <w:r>
        <w:rPr>
          <w:rFonts w:ascii="宋体" w:hAnsi="宋体"/>
          <w:sz w:val="24"/>
        </w:rPr>
        <w:t>支持分区县进行数据展示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3.7.6.5</w:t>
      </w:r>
      <w:r>
        <w:rPr>
          <w:rFonts w:hint="eastAsia" w:ascii="宋体" w:hAnsi="宋体"/>
          <w:sz w:val="24"/>
        </w:rPr>
        <w:t>业务</w:t>
      </w:r>
      <w:r>
        <w:rPr>
          <w:rFonts w:ascii="宋体" w:hAnsi="宋体"/>
          <w:sz w:val="24"/>
        </w:rPr>
        <w:t>办理结果</w:t>
      </w:r>
      <w:r>
        <w:rPr>
          <w:rFonts w:hint="eastAsia" w:ascii="宋体" w:hAnsi="宋体"/>
          <w:sz w:val="24"/>
        </w:rPr>
        <w:t>可视化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3.7.6.5.1</w:t>
      </w:r>
      <w:r>
        <w:rPr>
          <w:rFonts w:hint="eastAsia" w:ascii="宋体" w:hAnsi="宋体"/>
          <w:sz w:val="24"/>
          <w:lang w:val="zh-CN"/>
        </w:rPr>
        <w:t>基本</w:t>
      </w:r>
      <w:r>
        <w:rPr>
          <w:rFonts w:ascii="宋体" w:hAnsi="宋体"/>
          <w:sz w:val="24"/>
          <w:lang w:val="zh-CN"/>
        </w:rPr>
        <w:t>要求</w:t>
      </w:r>
      <w:r>
        <w:rPr>
          <w:rFonts w:hint="eastAsia" w:ascii="宋体" w:hAnsi="宋体"/>
          <w:sz w:val="24"/>
          <w:lang w:val="zh-CN"/>
        </w:rPr>
        <w:t>：</w:t>
      </w:r>
      <w:r>
        <w:rPr>
          <w:rFonts w:hint="eastAsia" w:ascii="宋体" w:hAnsi="宋体"/>
          <w:sz w:val="24"/>
        </w:rPr>
        <w:t>对业务</w:t>
      </w:r>
      <w:r>
        <w:rPr>
          <w:rFonts w:ascii="宋体" w:hAnsi="宋体"/>
          <w:sz w:val="24"/>
        </w:rPr>
        <w:t>办理过程中业务合规性、越权限情况分析、办理结果合理性分析等监控情况进行实施可视化呈现</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sz w:val="24"/>
          <w:lang w:val="en-US"/>
        </w:rPr>
      </w:pPr>
      <w:r>
        <w:rPr>
          <w:rFonts w:hint="eastAsia" w:ascii="宋体" w:hAnsi="宋体"/>
          <w:sz w:val="24"/>
          <w:lang w:val="en-US" w:eastAsia="zh-CN"/>
        </w:rPr>
        <w:t>3.7.6.5.2</w:t>
      </w:r>
      <w:r>
        <w:rPr>
          <w:rFonts w:hint="eastAsia" w:ascii="宋体" w:hAnsi="宋体"/>
          <w:sz w:val="24"/>
          <w:lang w:val="zh-CN"/>
        </w:rPr>
        <w:t>功能要求：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①</w:t>
      </w:r>
      <w:r>
        <w:rPr>
          <w:rFonts w:ascii="宋体" w:hAnsi="宋体"/>
          <w:sz w:val="24"/>
        </w:rPr>
        <w:t>需要包含业务办理整体概况的可视化展示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②</w:t>
      </w:r>
      <w:r>
        <w:rPr>
          <w:rFonts w:ascii="宋体" w:hAnsi="宋体"/>
          <w:sz w:val="24"/>
        </w:rPr>
        <w:t>需要包含越权限业务办理审查的可视化内容展示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③</w:t>
      </w:r>
      <w:r>
        <w:rPr>
          <w:rFonts w:ascii="宋体" w:hAnsi="宋体"/>
          <w:sz w:val="24"/>
        </w:rPr>
        <w:t>需要包含业务规则使用合规性的可视化内容展示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④</w:t>
      </w:r>
      <w:r>
        <w:rPr>
          <w:rFonts w:ascii="宋体" w:hAnsi="宋体"/>
          <w:sz w:val="24"/>
        </w:rPr>
        <w:t>需要包含业务办理合规性的可视化内容展示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⑤</w:t>
      </w:r>
      <w:r>
        <w:rPr>
          <w:rFonts w:ascii="宋体" w:hAnsi="宋体"/>
          <w:sz w:val="24"/>
        </w:rPr>
        <w:t>需要包含业务办理结果回顾审查的可视化内容展示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⑥</w:t>
      </w:r>
      <w:r>
        <w:rPr>
          <w:rFonts w:ascii="宋体" w:hAnsi="宋体"/>
          <w:sz w:val="24"/>
        </w:rPr>
        <w:t>支持分区县进行数据展示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3.7.6.6</w:t>
      </w:r>
      <w:r>
        <w:rPr>
          <w:rFonts w:ascii="宋体" w:hAnsi="宋体"/>
          <w:sz w:val="24"/>
        </w:rPr>
        <w:t>业务风险预警可视化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3.7.6.6.1</w:t>
      </w:r>
      <w:r>
        <w:rPr>
          <w:rFonts w:hint="eastAsia" w:ascii="宋体" w:hAnsi="宋体"/>
          <w:sz w:val="24"/>
          <w:lang w:val="zh-CN"/>
        </w:rPr>
        <w:t>基本</w:t>
      </w:r>
      <w:r>
        <w:rPr>
          <w:rFonts w:ascii="宋体" w:hAnsi="宋体"/>
          <w:sz w:val="24"/>
          <w:lang w:val="zh-CN"/>
        </w:rPr>
        <w:t>要求：</w:t>
      </w:r>
      <w:r>
        <w:rPr>
          <w:rFonts w:ascii="宋体" w:hAnsi="宋体"/>
          <w:sz w:val="24"/>
        </w:rPr>
        <w:t>业务风险预警信息进行实时展示</w:t>
      </w:r>
      <w:r>
        <w:rPr>
          <w:rFonts w:hint="eastAsia" w:ascii="宋体" w:hAnsi="宋体"/>
          <w:sz w:val="24"/>
        </w:rPr>
        <w:t>。</w:t>
      </w:r>
      <w:r>
        <w:rPr>
          <w:rFonts w:ascii="宋体" w:hAnsi="宋体"/>
          <w:sz w:val="24"/>
        </w:rPr>
        <w:t>满足业务监管人员及时发现和处理业务过程中出现的风险问题。支持合规性审查分析所有出现的风险信息进行统一的展示。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sz w:val="24"/>
          <w:lang w:val="en-US"/>
        </w:rPr>
      </w:pPr>
      <w:r>
        <w:rPr>
          <w:rFonts w:hint="eastAsia" w:ascii="宋体" w:hAnsi="宋体"/>
          <w:sz w:val="24"/>
          <w:lang w:val="en-US" w:eastAsia="zh-CN"/>
        </w:rPr>
        <w:t>3.7.6.6.2</w:t>
      </w:r>
      <w:r>
        <w:rPr>
          <w:rFonts w:hint="eastAsia" w:ascii="宋体" w:hAnsi="宋体"/>
          <w:sz w:val="24"/>
          <w:lang w:val="zh-CN"/>
        </w:rPr>
        <w:t>共能要求</w:t>
      </w:r>
      <w:r>
        <w:rPr>
          <w:rFonts w:ascii="宋体" w:hAnsi="宋体"/>
          <w:sz w:val="24"/>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①</w:t>
      </w:r>
      <w:r>
        <w:rPr>
          <w:rFonts w:ascii="宋体" w:hAnsi="宋体"/>
          <w:sz w:val="24"/>
        </w:rPr>
        <w:t>需要包含运维过程出现的风险预警信息可视化展示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②</w:t>
      </w:r>
      <w:r>
        <w:rPr>
          <w:rFonts w:ascii="宋体" w:hAnsi="宋体"/>
          <w:sz w:val="24"/>
        </w:rPr>
        <w:t>需要包含数据异常变化风险预警的可视化内容展示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③</w:t>
      </w:r>
      <w:r>
        <w:rPr>
          <w:rFonts w:ascii="宋体" w:hAnsi="宋体"/>
          <w:sz w:val="24"/>
        </w:rPr>
        <w:t>需要包含越权限业务办理风险预警的可视化内容展示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④</w:t>
      </w:r>
      <w:r>
        <w:rPr>
          <w:rFonts w:ascii="宋体" w:hAnsi="宋体"/>
          <w:sz w:val="24"/>
        </w:rPr>
        <w:t>需要包含业务规则使用合规性风险预警的可视化内容展示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⑤</w:t>
      </w:r>
      <w:r>
        <w:rPr>
          <w:rFonts w:ascii="宋体" w:hAnsi="宋体"/>
          <w:sz w:val="24"/>
        </w:rPr>
        <w:t>支持风险预警的明细信息查看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⑥</w:t>
      </w:r>
      <w:r>
        <w:rPr>
          <w:rFonts w:ascii="宋体" w:hAnsi="宋体"/>
          <w:sz w:val="24"/>
        </w:rPr>
        <w:t>风险预警信息在处理后，不在进行预警提示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⑦</w:t>
      </w:r>
      <w:r>
        <w:rPr>
          <w:rFonts w:ascii="宋体" w:hAnsi="宋体"/>
          <w:sz w:val="24"/>
        </w:rPr>
        <w:t>支持驾驶舱信息动态实时更新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⑧</w:t>
      </w:r>
      <w:r>
        <w:rPr>
          <w:rFonts w:ascii="宋体" w:hAnsi="宋体"/>
          <w:sz w:val="24"/>
        </w:rPr>
        <w:t>支持分区县进行数据展示</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b/>
          <w:bCs/>
          <w:sz w:val="24"/>
          <w:lang w:val="en-US" w:eastAsia="zh-CN"/>
        </w:rPr>
      </w:pPr>
      <w:r>
        <w:rPr>
          <w:rFonts w:hint="eastAsia" w:ascii="宋体" w:hAnsi="宋体"/>
          <w:b/>
          <w:bCs/>
          <w:sz w:val="24"/>
          <w:lang w:val="en-US" w:eastAsia="zh-CN"/>
        </w:rPr>
        <w:t>▲3.7.7提供国家版权局出具的监测预警系统类计算机软件著作权证书复印件，并加盖投标人电子印章。</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sz w:val="24"/>
        </w:rPr>
      </w:pPr>
      <w:r>
        <w:rPr>
          <w:rFonts w:hint="eastAsia" w:ascii="宋体" w:hAnsi="宋体"/>
          <w:b/>
          <w:bCs/>
          <w:sz w:val="24"/>
          <w:lang w:val="en-US" w:eastAsia="zh-CN"/>
        </w:rPr>
        <w:t>4.</w:t>
      </w:r>
      <w:r>
        <w:rPr>
          <w:rFonts w:hint="eastAsia" w:ascii="宋体" w:hAnsi="宋体"/>
          <w:b/>
          <w:bCs/>
          <w:sz w:val="24"/>
        </w:rPr>
        <w:t>图形</w:t>
      </w:r>
      <w:r>
        <w:rPr>
          <w:rFonts w:ascii="宋体" w:hAnsi="宋体"/>
          <w:b/>
          <w:bCs/>
          <w:sz w:val="24"/>
        </w:rPr>
        <w:t>工作站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b/>
          <w:sz w:val="24"/>
        </w:rPr>
      </w:pPr>
      <w:r>
        <w:rPr>
          <w:rFonts w:hint="eastAsia" w:ascii="宋体" w:hAnsi="宋体"/>
          <w:b w:val="0"/>
          <w:bCs/>
          <w:sz w:val="24"/>
          <w:lang w:val="zh-CN"/>
        </w:rPr>
        <w:t>●</w:t>
      </w:r>
      <w:r>
        <w:rPr>
          <w:rFonts w:hint="eastAsia" w:ascii="宋体" w:hAnsi="宋体"/>
          <w:b w:val="0"/>
          <w:bCs/>
          <w:sz w:val="24"/>
          <w:lang w:val="en-US" w:eastAsia="zh-CN"/>
        </w:rPr>
        <w:t>4.1</w:t>
      </w:r>
      <w:r>
        <w:rPr>
          <w:rFonts w:hint="eastAsia" w:ascii="宋体" w:hAnsi="宋体"/>
          <w:bCs/>
          <w:sz w:val="24"/>
          <w:lang w:val="zh-CN"/>
        </w:rPr>
        <w:t>基本</w:t>
      </w:r>
      <w:r>
        <w:rPr>
          <w:rFonts w:ascii="宋体" w:hAnsi="宋体"/>
          <w:bCs/>
          <w:sz w:val="24"/>
          <w:lang w:val="zh-CN"/>
        </w:rPr>
        <w:t>要求：</w:t>
      </w:r>
      <w:r>
        <w:rPr>
          <w:rFonts w:hint="eastAsia" w:ascii="宋体" w:hAnsi="宋体"/>
          <w:b w:val="0"/>
          <w:bCs/>
          <w:sz w:val="24"/>
        </w:rPr>
        <w:t>配置高性能图形工作站设备一台，整合大屏可视化电脑图像、网络实时视频图像等多种视频资源，进行高清晰、高分辨的图像显示和窗口组合显示，并可按需设定成不同的使用模式，提供给不同场景调用，可处理并输出高清信号，支持4K显示，配套经正版授权的企业版64位操作系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rPr>
      </w:pPr>
      <w:r>
        <w:rPr>
          <w:rFonts w:hint="eastAsia" w:ascii="宋体" w:hAnsi="宋体"/>
          <w:b w:val="0"/>
          <w:bCs/>
          <w:sz w:val="24"/>
          <w:lang w:val="en-US" w:eastAsia="zh-CN"/>
        </w:rPr>
        <w:t>4.2</w:t>
      </w:r>
      <w:r>
        <w:rPr>
          <w:rFonts w:hint="eastAsia" w:ascii="宋体" w:hAnsi="宋体"/>
          <w:b w:val="0"/>
          <w:bCs/>
          <w:sz w:val="24"/>
        </w:rPr>
        <w:t>技术</w:t>
      </w:r>
      <w:r>
        <w:rPr>
          <w:rFonts w:ascii="宋体" w:hAnsi="宋体"/>
          <w:b w:val="0"/>
          <w:bCs/>
          <w:sz w:val="24"/>
        </w:rPr>
        <w:t>参数</w:t>
      </w:r>
      <w:r>
        <w:rPr>
          <w:rFonts w:hint="eastAsia" w:ascii="宋体" w:hAnsi="宋体"/>
          <w:b w:val="0"/>
          <w:bCs/>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b w:val="0"/>
          <w:bCs/>
          <w:sz w:val="24"/>
          <w:lang w:val="en-US" w:eastAsia="zh-CN"/>
        </w:rPr>
        <w:t>4.2.1</w:t>
      </w:r>
      <w:r>
        <w:rPr>
          <w:rFonts w:hint="eastAsia" w:ascii="宋体" w:hAnsi="宋体"/>
          <w:sz w:val="24"/>
        </w:rPr>
        <w:t>处理器：不少于2颗八核心，主频不低于3.8GHz；</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b w:val="0"/>
          <w:bCs/>
          <w:sz w:val="24"/>
          <w:lang w:val="en-US" w:eastAsia="zh-CN"/>
        </w:rPr>
        <w:t>4.2.2</w:t>
      </w:r>
      <w:r>
        <w:rPr>
          <w:rFonts w:hint="eastAsia" w:ascii="宋体" w:hAnsi="宋体"/>
          <w:sz w:val="24"/>
        </w:rPr>
        <w:t>内存：不少于128GB；</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b w:val="0"/>
          <w:bCs/>
          <w:sz w:val="24"/>
          <w:lang w:val="en-US" w:eastAsia="zh-CN"/>
        </w:rPr>
        <w:t>4.2.3</w:t>
      </w:r>
      <w:r>
        <w:rPr>
          <w:rFonts w:hint="eastAsia" w:ascii="宋体" w:hAnsi="宋体"/>
          <w:sz w:val="24"/>
        </w:rPr>
        <w:t>硬盘：不低于1TB SSD存储空间，8T</w:t>
      </w:r>
      <w:r>
        <w:rPr>
          <w:rFonts w:hint="eastAsia" w:ascii="宋体" w:hAnsi="宋体"/>
          <w:sz w:val="24"/>
          <w:lang w:val="en-US" w:eastAsia="zh-CN"/>
        </w:rPr>
        <w:t>B</w:t>
      </w:r>
      <w:r>
        <w:rPr>
          <w:rFonts w:hint="eastAsia" w:ascii="宋体" w:hAnsi="宋体"/>
          <w:sz w:val="24"/>
        </w:rPr>
        <w:t xml:space="preserve"> 机械硬盘（接口类型: SATA 6Gb/s或以上、转速:7200rpm或以上、缓存:128M或以上）；</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b w:val="0"/>
          <w:bCs/>
          <w:sz w:val="24"/>
          <w:lang w:val="en-US" w:eastAsia="zh-CN"/>
        </w:rPr>
        <w:t>4.2.4</w:t>
      </w:r>
      <w:r>
        <w:rPr>
          <w:rFonts w:hint="eastAsia" w:ascii="宋体" w:hAnsi="宋体"/>
          <w:sz w:val="24"/>
        </w:rPr>
        <w:t>显卡：24G显存；</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sz w:val="24"/>
        </w:rPr>
      </w:pPr>
      <w:r>
        <w:rPr>
          <w:rFonts w:hint="eastAsia" w:ascii="宋体" w:hAnsi="宋体"/>
          <w:b/>
          <w:bCs/>
          <w:sz w:val="24"/>
          <w:lang w:val="en-US" w:eastAsia="zh-CN"/>
        </w:rPr>
        <w:t>5.</w:t>
      </w:r>
      <w:r>
        <w:rPr>
          <w:rFonts w:hint="eastAsia" w:ascii="宋体" w:hAnsi="宋体"/>
          <w:b/>
          <w:bCs/>
          <w:sz w:val="24"/>
        </w:rPr>
        <w:t>数据</w:t>
      </w:r>
      <w:r>
        <w:rPr>
          <w:rFonts w:ascii="宋体" w:hAnsi="宋体"/>
          <w:b/>
          <w:bCs/>
          <w:sz w:val="24"/>
        </w:rPr>
        <w:t>同步软件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5.1</w:t>
      </w:r>
      <w:r>
        <w:rPr>
          <w:rFonts w:hint="eastAsia" w:ascii="宋体" w:hAnsi="宋体"/>
          <w:sz w:val="24"/>
          <w:lang w:val="zh-CN"/>
        </w:rPr>
        <w:t>基本</w:t>
      </w:r>
      <w:r>
        <w:rPr>
          <w:rFonts w:ascii="宋体" w:hAnsi="宋体"/>
          <w:sz w:val="24"/>
          <w:lang w:val="zh-CN"/>
        </w:rPr>
        <w:t>要求</w:t>
      </w:r>
      <w:r>
        <w:rPr>
          <w:rFonts w:hint="eastAsia" w:ascii="宋体" w:hAnsi="宋体"/>
          <w:sz w:val="24"/>
          <w:lang w:val="zh-CN"/>
        </w:rPr>
        <w:t>：</w:t>
      </w:r>
      <w:r>
        <w:rPr>
          <w:rFonts w:hint="eastAsia" w:ascii="宋体" w:hAnsi="宋体"/>
          <w:sz w:val="24"/>
        </w:rPr>
        <w:t>本项目数据库同步软件选择自主可控品牌。授权使用的数据库节点不低于</w:t>
      </w:r>
      <w:r>
        <w:rPr>
          <w:rFonts w:ascii="宋体" w:hAnsi="宋体"/>
          <w:sz w:val="24"/>
        </w:rPr>
        <w:t>2</w:t>
      </w:r>
      <w:r>
        <w:rPr>
          <w:rFonts w:hint="eastAsia" w:ascii="宋体" w:hAnsi="宋体"/>
          <w:sz w:val="24"/>
        </w:rPr>
        <w:t>0个(运行于同一个操作系统下的数据库服务视为同一个数据库节点)。</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r>
        <w:rPr>
          <w:rFonts w:hint="eastAsia" w:ascii="宋体" w:hAnsi="宋体"/>
          <w:b/>
          <w:sz w:val="24"/>
          <w:lang w:val="en-US" w:eastAsia="zh-CN"/>
        </w:rPr>
        <w:t>5.2</w:t>
      </w:r>
      <w:r>
        <w:rPr>
          <w:rFonts w:hint="eastAsia" w:ascii="宋体" w:hAnsi="宋体"/>
          <w:b/>
          <w:sz w:val="24"/>
        </w:rPr>
        <w:t>技术</w:t>
      </w:r>
      <w:r>
        <w:rPr>
          <w:rFonts w:ascii="宋体" w:hAnsi="宋体"/>
          <w:b/>
          <w:sz w:val="24"/>
        </w:rPr>
        <w:t>参数和</w:t>
      </w:r>
      <w:r>
        <w:rPr>
          <w:rFonts w:hint="eastAsia" w:ascii="宋体" w:hAnsi="宋体"/>
          <w:b/>
          <w:sz w:val="24"/>
        </w:rPr>
        <w:t>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.1</w:t>
      </w:r>
      <w:r>
        <w:rPr>
          <w:rFonts w:hint="eastAsia" w:ascii="宋体" w:hAnsi="宋体"/>
          <w:sz w:val="24"/>
        </w:rPr>
        <w:t>采集的目标端处于Open可用状态，目标端系统时刻处于可读可写状态，目标端可以实时提供访问服务。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.2</w:t>
      </w:r>
      <w:r>
        <w:rPr>
          <w:rFonts w:hint="eastAsia" w:ascii="宋体" w:hAnsi="宋体"/>
          <w:sz w:val="24"/>
        </w:rPr>
        <w:t>采集的数据库操作系统范围支持：Linux/Windows/HP-UNIX/ Solaris/AIX等国内外主流操作系统。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.3</w:t>
      </w:r>
      <w:r>
        <w:rPr>
          <w:rFonts w:hint="eastAsia" w:ascii="宋体" w:hAnsi="宋体"/>
          <w:sz w:val="24"/>
        </w:rPr>
        <w:t>支持DB2、SQLServer、Informix、达梦、浪潮K-DB、Mysql、Postgresql、Sybase、Mongodb、Tdsql、Tbase、rds等数据库的数据采集。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.4</w:t>
      </w:r>
      <w:r>
        <w:rPr>
          <w:rFonts w:hint="eastAsia" w:ascii="宋体" w:hAnsi="宋体"/>
          <w:sz w:val="24"/>
        </w:rPr>
        <w:t>支持Hdfs、Hive、Hbase、Es作为源端的大数据采集；支持各种API接口采集功能，http/ WebService等；依托原有数据复制已投入生产的应用程序和脚本无需修改即可在新购数据复制软件上使用对接，或由产品供应商负责更新原有应用程序和脚本进行新同步工具对接；支持ftp采集,可以将ftp文件服务器的文件(Excel,txt)采集存放到关系型数据库。</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.5</w:t>
      </w:r>
      <w:r>
        <w:rPr>
          <w:rFonts w:hint="eastAsia" w:ascii="宋体" w:hAnsi="宋体"/>
          <w:sz w:val="24"/>
        </w:rPr>
        <w:t>支持Xml/Json/txt等文件格式的数据输出，分析及装载；可以输出关系型数据库(DB2、SQLSERVER、INFORMIX、MYSQL、达梦、POSTGRESQL)DDL的变化轨迹信息；支持数据实时采集到基于kerbors安全认证的kafka 环境，支持json格式数据实时入kerbors安全认证的kafka，支持可自定义配置json格式模板数据实时入kerbors安全认证的kafka。</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.6</w:t>
      </w:r>
      <w:r>
        <w:rPr>
          <w:rFonts w:hint="eastAsia" w:ascii="宋体" w:hAnsi="宋体"/>
          <w:sz w:val="24"/>
        </w:rPr>
        <w:t>支持到目标大数据平台Maxcompute、hbase、hive、es等，关系型数据库DB2、SQLServer、Informix、达梦、浪潮K-DB、Mysql、Postgresql、Sybase、Mongodb、Tdsql、Tbase、rds等，消息队列kafka，或文件的准实时或定时数据同步。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.7</w:t>
      </w:r>
      <w:r>
        <w:rPr>
          <w:rFonts w:hint="eastAsia" w:ascii="宋体" w:hAnsi="宋体"/>
          <w:sz w:val="24"/>
        </w:rPr>
        <w:t>采集期间支持增量数据的脱敏能力，支持数据实时采集过程中进行敏感数据脱敏功能；提供一键全同步采集功能，在全量采集过程中，源端业务可以不用停止，全量采集过程中不需人工干预；关系型数据库单通道工作流支持存量数据150GB/小时以上的采集效率；支持异构关系型数据库之间的DDL复制；支持所有数据类型的实时复制；支持异构数据库之间的自动数据类型映射和手工数据类型映射；关系型数据库采集需要基于自主可控的日志解析技术,交易以事务为单位进行采集；采集过程中,支持单表部分数据过滤,增加减少列等部分ETL功能；支持异构或同构的DDL、DML的数据采集功能；采集工作流支持输出源端关系型数据库DDL的操作轨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.8</w:t>
      </w:r>
      <w:r>
        <w:rPr>
          <w:rFonts w:hint="eastAsia" w:ascii="宋体" w:hAnsi="宋体"/>
          <w:sz w:val="24"/>
        </w:rPr>
        <w:t>数据一致性比对：软件自身支持对数据条数、内容进行对比并展示；数据修复：如果数据</w:t>
      </w:r>
      <w:r>
        <w:rPr>
          <w:rFonts w:ascii="宋体" w:hAnsi="宋体"/>
          <w:sz w:val="24"/>
        </w:rPr>
        <w:t>比对</w:t>
      </w:r>
      <w:r>
        <w:rPr>
          <w:rFonts w:hint="eastAsia" w:ascii="宋体" w:hAnsi="宋体"/>
          <w:sz w:val="24"/>
        </w:rPr>
        <w:t>发现不一致情况后能够提供便利的记录级以及表级数据修复，且修复过程中不影响业务正常运行。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.9</w:t>
      </w:r>
      <w:r>
        <w:rPr>
          <w:rFonts w:hint="eastAsia" w:ascii="宋体" w:hAnsi="宋体"/>
          <w:sz w:val="24"/>
        </w:rPr>
        <w:t>故障应对：当网络异常、源主机异常、目标主机异常、软件本身异常的情况下，保证数据复制的一致性和断点续传功能。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.10</w:t>
      </w:r>
      <w:r>
        <w:rPr>
          <w:rFonts w:hint="eastAsia" w:ascii="宋体" w:hAnsi="宋体"/>
          <w:sz w:val="24"/>
        </w:rPr>
        <w:t>管理监控：系统软件具有故障的监视和诊断能力，提供丰富的监控指标，可</w:t>
      </w:r>
      <w:r>
        <w:rPr>
          <w:rFonts w:ascii="宋体" w:hAnsi="宋体"/>
          <w:sz w:val="24"/>
        </w:rPr>
        <w:t>根据实际情况</w:t>
      </w:r>
      <w:r>
        <w:rPr>
          <w:rFonts w:hint="eastAsia" w:ascii="宋体" w:hAnsi="宋体"/>
          <w:sz w:val="24"/>
        </w:rPr>
        <w:t>自定义配置同步运行状态监控kpi，出现不正常情况时，应能及时识别并发出告警信息。告警信息发送支持短信、电子邮件方式，且支持不同告警等级通过不同发送通道进行发送。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.11</w:t>
      </w:r>
      <w:r>
        <w:rPr>
          <w:rFonts w:hint="eastAsia" w:ascii="宋体" w:hAnsi="宋体"/>
          <w:sz w:val="24"/>
        </w:rPr>
        <w:t>批量任务设计支持接入表和目标表的自动映射，支持同表名映射、加前缀映射、加后缀映射三种自动映射规则；支持批量设置同步方式、目标表更新方式、调度类型；支持单个设置同步方式、目标表更新方式、调度类型、字段映射和单个删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rPr>
      </w:pPr>
      <w:r>
        <w:rPr>
          <w:rFonts w:hint="eastAsia" w:ascii="宋体" w:hAnsi="宋体"/>
          <w:sz w:val="24"/>
          <w:lang w:val="zh-CN"/>
        </w:rPr>
        <w:t>●</w:t>
      </w:r>
      <w:r>
        <w:rPr>
          <w:rFonts w:hint="eastAsia" w:ascii="宋体" w:hAnsi="宋体"/>
          <w:sz w:val="24"/>
          <w:lang w:val="zh-CN" w:eastAsia="zh-CN"/>
        </w:rPr>
        <w:t>5.2</w:t>
      </w:r>
      <w:r>
        <w:rPr>
          <w:rFonts w:hint="eastAsia" w:ascii="宋体" w:hAnsi="宋体"/>
          <w:sz w:val="24"/>
          <w:lang w:val="en-US" w:eastAsia="zh-CN"/>
        </w:rPr>
        <w:t>.12</w:t>
      </w:r>
      <w:r>
        <w:rPr>
          <w:rFonts w:hint="eastAsia" w:ascii="宋体" w:hAnsi="宋体"/>
          <w:sz w:val="24"/>
        </w:rPr>
        <w:t>任务管理支持显示当前目标库下所有数据表，若有关联任务则显示任务信息；支持对任务进行上线、下线、立即运行、设置调度、查看、编辑、删除操作；调度设置支持分钟，小时，天，周，月调度频率，支持周期性和一次性调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b/>
          <w:bCs/>
          <w:sz w:val="24"/>
          <w:lang w:val="en-US" w:eastAsia="zh-CN"/>
        </w:rPr>
        <w:t>6.</w:t>
      </w:r>
      <w:r>
        <w:rPr>
          <w:rFonts w:hint="eastAsia" w:ascii="宋体" w:hAnsi="宋体"/>
          <w:b/>
          <w:bCs/>
          <w:sz w:val="24"/>
        </w:rPr>
        <w:t>基础设施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本次项目将依托于成都市政务</w:t>
      </w:r>
      <w:r>
        <w:rPr>
          <w:rFonts w:ascii="宋体" w:hAnsi="宋体"/>
          <w:sz w:val="24"/>
        </w:rPr>
        <w:t>云</w:t>
      </w:r>
      <w:r>
        <w:rPr>
          <w:rFonts w:hint="eastAsia" w:ascii="宋体" w:hAnsi="宋体"/>
          <w:sz w:val="24"/>
        </w:rPr>
        <w:t>现有资源（包括网络、存储、服务器、操作系统、数据库软件和成都市数据存储与灾备中心建设），中标人负责系统安装、集成部署及相关实施工作。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为适应未来网络发展的方向，本项目系统建设从应用软件设计到网络环境规划，都应提供良好的IPv6协议的支持或平滑演进能力，如：支持双栈策略、隧道策略、地址翻译策略等。</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r>
        <w:rPr>
          <w:rFonts w:hint="eastAsia" w:ascii="宋体" w:hAnsi="宋体"/>
          <w:b/>
          <w:sz w:val="24"/>
          <w:lang w:val="en-US" w:eastAsia="zh-CN"/>
        </w:rPr>
        <w:t>★7.</w:t>
      </w:r>
      <w:r>
        <w:rPr>
          <w:rFonts w:hint="eastAsia" w:ascii="宋体" w:hAnsi="宋体"/>
          <w:b/>
          <w:sz w:val="24"/>
        </w:rPr>
        <w:t>安全</w:t>
      </w:r>
      <w:r>
        <w:rPr>
          <w:rFonts w:ascii="宋体" w:hAnsi="宋体"/>
          <w:b/>
          <w:sz w:val="24"/>
        </w:rPr>
        <w:t>性要求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7.1</w:t>
      </w:r>
      <w:r>
        <w:rPr>
          <w:rFonts w:hint="eastAsia" w:ascii="宋体" w:hAnsi="宋体"/>
          <w:sz w:val="24"/>
        </w:rPr>
        <w:t>总体要求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本项目</w:t>
      </w:r>
      <w:r>
        <w:rPr>
          <w:rFonts w:ascii="宋体" w:hAnsi="宋体"/>
          <w:sz w:val="24"/>
        </w:rPr>
        <w:t>建设</w:t>
      </w:r>
      <w:r>
        <w:rPr>
          <w:rFonts w:hint="eastAsia" w:ascii="宋体" w:hAnsi="宋体"/>
          <w:sz w:val="24"/>
        </w:rPr>
        <w:t>和</w:t>
      </w:r>
      <w:r>
        <w:rPr>
          <w:rFonts w:ascii="宋体" w:hAnsi="宋体"/>
          <w:sz w:val="24"/>
        </w:rPr>
        <w:t>维护需符合</w:t>
      </w:r>
      <w:r>
        <w:rPr>
          <w:rFonts w:hint="eastAsia" w:ascii="宋体" w:hAnsi="宋体"/>
          <w:sz w:val="24"/>
        </w:rPr>
        <w:t>技术</w:t>
      </w:r>
      <w:r>
        <w:rPr>
          <w:rFonts w:ascii="宋体" w:hAnsi="宋体"/>
          <w:sz w:val="24"/>
        </w:rPr>
        <w:t>规范《</w:t>
      </w:r>
      <w:r>
        <w:rPr>
          <w:rFonts w:hint="eastAsia" w:ascii="宋体" w:hAnsi="宋体"/>
          <w:sz w:val="24"/>
        </w:rPr>
        <w:t>信息安全技术网络安全等级保护基本要求</w:t>
      </w:r>
      <w:r>
        <w:rPr>
          <w:rFonts w:ascii="宋体" w:hAnsi="宋体"/>
          <w:sz w:val="24"/>
        </w:rPr>
        <w:t>》</w:t>
      </w:r>
      <w:r>
        <w:rPr>
          <w:rFonts w:hint="eastAsia" w:ascii="宋体" w:hAnsi="宋体"/>
          <w:sz w:val="24"/>
        </w:rPr>
        <w:t>（</w:t>
      </w:r>
      <w:r>
        <w:rPr>
          <w:rFonts w:ascii="宋体" w:hAnsi="宋体"/>
          <w:sz w:val="24"/>
        </w:rPr>
        <w:t>GB/T22239-2019</w:t>
      </w:r>
      <w:r>
        <w:rPr>
          <w:rFonts w:hint="eastAsia" w:ascii="宋体" w:hAnsi="宋体"/>
          <w:sz w:val="24"/>
        </w:rPr>
        <w:t>）第</w:t>
      </w:r>
      <w:r>
        <w:rPr>
          <w:rFonts w:ascii="宋体" w:hAnsi="宋体"/>
          <w:sz w:val="24"/>
        </w:rPr>
        <w:t>三级安全要求。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7.2</w:t>
      </w:r>
      <w:r>
        <w:rPr>
          <w:rFonts w:hint="eastAsia" w:ascii="宋体" w:hAnsi="宋体"/>
          <w:sz w:val="24"/>
        </w:rPr>
        <w:t>安全物理环境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本期项目系统运行物理环境由云中心提供，云中心物理机房按照</w:t>
      </w:r>
      <w:r>
        <w:rPr>
          <w:rFonts w:ascii="宋体" w:hAnsi="宋体"/>
          <w:sz w:val="24"/>
        </w:rPr>
        <w:t>A</w:t>
      </w:r>
      <w:r>
        <w:rPr>
          <w:rFonts w:hint="eastAsia" w:ascii="宋体" w:hAnsi="宋体"/>
          <w:sz w:val="24"/>
        </w:rPr>
        <w:t>级机房要求进行建设，并已通过等级保护三级符合本期项目建设要求。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7.3</w:t>
      </w:r>
      <w:r>
        <w:rPr>
          <w:rFonts w:hint="eastAsia" w:ascii="宋体" w:hAnsi="宋体"/>
          <w:sz w:val="24"/>
        </w:rPr>
        <w:t>安全通讯网络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本项目部署到成都市电子政务云，由电子政务云划分并提供单独的</w:t>
      </w:r>
      <w:r>
        <w:rPr>
          <w:rFonts w:ascii="宋体" w:hAnsi="宋体"/>
          <w:sz w:val="24"/>
        </w:rPr>
        <w:t>VLAN</w:t>
      </w:r>
      <w:r>
        <w:rPr>
          <w:rFonts w:hint="eastAsia" w:ascii="宋体" w:hAnsi="宋体"/>
          <w:sz w:val="24"/>
        </w:rPr>
        <w:t>区域，用于部署平台服务端相关系统。基础网络将基于成都市电子政务云平台提供的电子政务外网，并通过电子政务外网的端口映射接入互联网；在网络设备防护、数据传输安全等网络安全方面，成都市电子政务云已按照等级保护三级标准技术要求建设，部署了相关网络安全系统和设备，并配置了相关的安全策略，满足</w:t>
      </w:r>
      <w:r>
        <w:rPr>
          <w:rFonts w:hint="eastAsia" w:ascii="宋体" w:hAnsi="宋体"/>
          <w:sz w:val="24"/>
          <w:lang w:val="en-US"/>
        </w:rPr>
        <w:t>链路冗余、通信传输</w:t>
      </w:r>
      <w:r>
        <w:rPr>
          <w:rFonts w:hint="eastAsia" w:ascii="宋体" w:hAnsi="宋体"/>
          <w:sz w:val="24"/>
        </w:rPr>
        <w:t>等相关技术要求。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7.4</w:t>
      </w:r>
      <w:r>
        <w:rPr>
          <w:rFonts w:hint="eastAsia" w:ascii="宋体" w:hAnsi="宋体"/>
          <w:sz w:val="24"/>
        </w:rPr>
        <w:t>应用安全保障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sz w:val="24"/>
        </w:rPr>
        <w:t>除成都市</w:t>
      </w:r>
      <w:r>
        <w:rPr>
          <w:rFonts w:ascii="宋体" w:hAnsi="宋体"/>
          <w:sz w:val="24"/>
        </w:rPr>
        <w:t>电子</w:t>
      </w:r>
      <w:r>
        <w:rPr>
          <w:rFonts w:hint="eastAsia" w:ascii="宋体" w:hAnsi="宋体"/>
          <w:sz w:val="24"/>
        </w:rPr>
        <w:t>政务云平台提供的相关安全功能外，在应用系统开发过程中应至少满足以下要求（不涉及</w:t>
      </w:r>
      <w:r>
        <w:rPr>
          <w:rFonts w:hint="eastAsia" w:ascii="宋体" w:hAnsi="宋体"/>
          <w:sz w:val="24"/>
          <w:lang w:val="en-US" w:eastAsia="zh-CN"/>
        </w:rPr>
        <w:t>信息安全软</w:t>
      </w:r>
      <w:r>
        <w:rPr>
          <w:rFonts w:hint="eastAsia" w:ascii="宋体" w:hAnsi="宋体"/>
          <w:sz w:val="24"/>
        </w:rPr>
        <w:t>硬件产品）：</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sz w:val="24"/>
          <w:lang w:val="en-US" w:eastAsia="zh-CN"/>
        </w:rPr>
        <w:t>7.4.1</w:t>
      </w:r>
      <w:r>
        <w:rPr>
          <w:rFonts w:hint="eastAsia" w:ascii="宋体" w:hAnsi="宋体"/>
          <w:b/>
          <w:sz w:val="24"/>
        </w:rPr>
        <w:t>身份鉴别：</w:t>
      </w:r>
      <w:r>
        <w:rPr>
          <w:rFonts w:hint="eastAsia" w:ascii="宋体" w:hAnsi="宋体"/>
          <w:sz w:val="24"/>
        </w:rPr>
        <w:t>应提供对用户身份进行标识和鉴别的能力，采用两种或两种以上组合的鉴别技术进行用户认证；应设计密码的存储和传输安全策略；身份鉴别过程中应设计统一错误提示，避免认证错误提示泄露信息；设计账号锁定功能、连续失败登录等；通过加密和安全的通信通道来保护验证凭证，并限制验证凭证的有效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sz w:val="24"/>
          <w:lang w:val="en-US" w:eastAsia="zh-CN"/>
        </w:rPr>
        <w:t>7.4.2</w:t>
      </w:r>
      <w:r>
        <w:rPr>
          <w:rFonts w:ascii="宋体" w:hAnsi="宋体"/>
          <w:b/>
          <w:sz w:val="24"/>
        </w:rPr>
        <w:t>授权</w:t>
      </w:r>
      <w:r>
        <w:rPr>
          <w:rFonts w:hint="eastAsia" w:ascii="宋体" w:hAnsi="宋体"/>
          <w:b/>
          <w:sz w:val="24"/>
        </w:rPr>
        <w:t>：</w:t>
      </w:r>
      <w:r>
        <w:rPr>
          <w:rFonts w:ascii="宋体" w:hAnsi="宋体"/>
          <w:sz w:val="24"/>
        </w:rPr>
        <w:t>应设计资源访问控制方案，验证用户访问权限</w:t>
      </w:r>
      <w:r>
        <w:rPr>
          <w:rFonts w:hint="eastAsia" w:ascii="宋体" w:hAnsi="宋体"/>
          <w:sz w:val="24"/>
        </w:rPr>
        <w:t>；</w:t>
      </w:r>
      <w:r>
        <w:rPr>
          <w:rFonts w:ascii="宋体" w:hAnsi="宋体"/>
          <w:sz w:val="24"/>
        </w:rPr>
        <w:t>应限制用户对系统级资源的访问</w:t>
      </w:r>
      <w:r>
        <w:rPr>
          <w:rFonts w:hint="eastAsia" w:ascii="宋体" w:hAnsi="宋体"/>
          <w:sz w:val="24"/>
        </w:rPr>
        <w:t>；</w:t>
      </w:r>
      <w:r>
        <w:rPr>
          <w:rFonts w:ascii="宋体" w:hAnsi="宋体"/>
          <w:sz w:val="24"/>
        </w:rPr>
        <w:t>应设计后台管理控制方案</w:t>
      </w:r>
      <w:r>
        <w:rPr>
          <w:rFonts w:hint="eastAsia" w:ascii="宋体" w:hAnsi="宋体"/>
          <w:sz w:val="24"/>
        </w:rPr>
        <w:t>；</w:t>
      </w:r>
      <w:r>
        <w:rPr>
          <w:rFonts w:ascii="宋体" w:hAnsi="宋体"/>
          <w:sz w:val="24"/>
        </w:rPr>
        <w:t>应设计在服务器端实现访问控制，禁止仅在客户端实现访问控制</w:t>
      </w:r>
      <w:r>
        <w:rPr>
          <w:rFonts w:hint="eastAsia" w:ascii="宋体" w:hAnsi="宋体"/>
          <w:sz w:val="24"/>
        </w:rPr>
        <w:t>；</w:t>
      </w:r>
      <w:r>
        <w:rPr>
          <w:rFonts w:ascii="宋体" w:hAnsi="宋体"/>
          <w:sz w:val="24"/>
        </w:rPr>
        <w:t>应设计统一的访问控制机制</w:t>
      </w:r>
      <w:r>
        <w:rPr>
          <w:rFonts w:hint="eastAsia" w:ascii="宋体" w:hAnsi="宋体"/>
          <w:sz w:val="24"/>
        </w:rPr>
        <w:t>；</w:t>
      </w:r>
      <w:r>
        <w:rPr>
          <w:rFonts w:ascii="宋体" w:hAnsi="宋体"/>
          <w:sz w:val="24"/>
        </w:rPr>
        <w:t>应进行防功能滥用设计，避免大量并发 HTTP请求</w:t>
      </w:r>
      <w:r>
        <w:rPr>
          <w:rFonts w:hint="eastAsia" w:ascii="宋体" w:hAnsi="宋体"/>
          <w:sz w:val="24"/>
        </w:rPr>
        <w:t>；</w:t>
      </w:r>
      <w:r>
        <w:rPr>
          <w:rFonts w:ascii="宋体" w:hAnsi="宋体"/>
          <w:sz w:val="24"/>
        </w:rPr>
        <w:t>应限制启动进程的权限</w:t>
      </w:r>
      <w:r>
        <w:rPr>
          <w:rFonts w:hint="eastAsia" w:ascii="宋体" w:hAnsi="宋体"/>
          <w:sz w:val="24"/>
        </w:rPr>
        <w:t>；</w:t>
      </w:r>
      <w:r>
        <w:rPr>
          <w:rFonts w:ascii="宋体" w:hAnsi="宋体"/>
          <w:sz w:val="24"/>
        </w:rPr>
        <w:t>授权粒度尽可能小，可根据应用程序的角色和功能分类。</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sz w:val="24"/>
          <w:lang w:val="en-US" w:eastAsia="zh-CN"/>
        </w:rPr>
        <w:t>7.4.3</w:t>
      </w:r>
      <w:r>
        <w:rPr>
          <w:rFonts w:ascii="宋体" w:hAnsi="宋体"/>
          <w:b/>
          <w:sz w:val="24"/>
        </w:rPr>
        <w:t>输入和输出验证</w:t>
      </w:r>
      <w:r>
        <w:rPr>
          <w:rFonts w:hint="eastAsia" w:ascii="宋体" w:hAnsi="宋体"/>
          <w:b/>
          <w:sz w:val="24"/>
        </w:rPr>
        <w:t>：</w:t>
      </w:r>
      <w:r>
        <w:rPr>
          <w:rFonts w:ascii="宋体" w:hAnsi="宋体"/>
          <w:sz w:val="24"/>
        </w:rPr>
        <w:t>应对所有来源不在可信范围之内的输入数据进行验证</w:t>
      </w:r>
      <w:r>
        <w:rPr>
          <w:rFonts w:hint="eastAsia" w:ascii="宋体" w:hAnsi="宋体"/>
          <w:sz w:val="24"/>
        </w:rPr>
        <w:t>；</w:t>
      </w:r>
      <w:r>
        <w:rPr>
          <w:rFonts w:ascii="宋体" w:hAnsi="宋体"/>
          <w:sz w:val="24"/>
        </w:rPr>
        <w:t>应设计多种输入验证的方法</w:t>
      </w:r>
      <w:r>
        <w:rPr>
          <w:rFonts w:hint="eastAsia" w:ascii="宋体" w:hAnsi="宋体"/>
          <w:sz w:val="24"/>
        </w:rPr>
        <w:t>；应检查数据是否包含非法特殊字符同时应使用正则表达式进行白名单检查；</w:t>
      </w:r>
      <w:r>
        <w:rPr>
          <w:rFonts w:ascii="宋体" w:hAnsi="宋体"/>
          <w:sz w:val="24"/>
        </w:rPr>
        <w:t>服务器端和客户端都应进行输入验证</w:t>
      </w:r>
      <w:r>
        <w:rPr>
          <w:rFonts w:hint="eastAsia" w:ascii="宋体" w:hAnsi="宋体"/>
          <w:sz w:val="24"/>
        </w:rPr>
        <w:t>；</w:t>
      </w:r>
      <w:r>
        <w:rPr>
          <w:rFonts w:ascii="宋体" w:hAnsi="宋体"/>
          <w:sz w:val="24"/>
        </w:rPr>
        <w:t>应建立统一的输入验证接口，为整个信息系统提供一致的验证方法</w:t>
      </w:r>
      <w:r>
        <w:rPr>
          <w:rFonts w:hint="eastAsia" w:ascii="宋体" w:hAnsi="宋体"/>
          <w:sz w:val="24"/>
        </w:rPr>
        <w:t>；</w:t>
      </w:r>
      <w:r>
        <w:rPr>
          <w:rFonts w:ascii="宋体" w:hAnsi="宋体"/>
          <w:sz w:val="24"/>
        </w:rPr>
        <w:t>应将输入验证策略作为应用程序设计的核心元素</w:t>
      </w:r>
      <w:r>
        <w:rPr>
          <w:rFonts w:hint="eastAsia" w:ascii="宋体" w:hAnsi="宋体"/>
          <w:sz w:val="24"/>
        </w:rPr>
        <w:t>；</w:t>
      </w:r>
      <w:r>
        <w:rPr>
          <w:rFonts w:ascii="宋体" w:hAnsi="宋体"/>
          <w:sz w:val="24"/>
        </w:rPr>
        <w:t>应对输入内容进行规范化处理后再进行验证</w:t>
      </w:r>
      <w:r>
        <w:rPr>
          <w:rFonts w:hint="eastAsia" w:ascii="宋体" w:hAnsi="宋体"/>
          <w:sz w:val="24"/>
        </w:rPr>
        <w:t>；</w:t>
      </w:r>
      <w:r>
        <w:rPr>
          <w:rFonts w:ascii="宋体" w:hAnsi="宋体"/>
          <w:sz w:val="24"/>
        </w:rPr>
        <w:t>应当从服务器端提取关键参数，禁止从客户端输入</w:t>
      </w:r>
      <w:r>
        <w:rPr>
          <w:rFonts w:hint="eastAsia" w:ascii="宋体" w:hAnsi="宋体"/>
          <w:sz w:val="24"/>
        </w:rPr>
        <w:t>；</w:t>
      </w:r>
      <w:r>
        <w:rPr>
          <w:rFonts w:ascii="宋体" w:hAnsi="宋体"/>
          <w:sz w:val="24"/>
        </w:rPr>
        <w:t>根据输出目标的不同，应对输出数据进行相应的格式化处理</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sz w:val="24"/>
          <w:lang w:val="en-US" w:eastAsia="zh-CN"/>
        </w:rPr>
        <w:t>7.4.4</w:t>
      </w:r>
      <w:r>
        <w:rPr>
          <w:rFonts w:ascii="宋体" w:hAnsi="宋体"/>
          <w:b/>
          <w:sz w:val="24"/>
        </w:rPr>
        <w:t>配置管理</w:t>
      </w:r>
      <w:r>
        <w:rPr>
          <w:rFonts w:hint="eastAsia" w:ascii="宋体" w:hAnsi="宋体"/>
          <w:b/>
          <w:sz w:val="24"/>
        </w:rPr>
        <w:t>：</w:t>
      </w:r>
      <w:r>
        <w:rPr>
          <w:rFonts w:ascii="宋体" w:hAnsi="宋体"/>
          <w:sz w:val="24"/>
        </w:rPr>
        <w:t>确保配置存储的安全；应避免以纯文本形式存储重要配置；应通过加密确保配置的安全，并限制对包含加密数据的注册表项、文件或表的访问权限；应确保对配置文件的修改、删除和访问等权限的变更；应避免授权帐户具备更改自身配置信息的权限。应使用</w:t>
      </w:r>
      <w:r>
        <w:rPr>
          <w:rFonts w:hint="eastAsia" w:ascii="宋体" w:hAnsi="宋体"/>
          <w:sz w:val="24"/>
        </w:rPr>
        <w:t>最小</w:t>
      </w:r>
      <w:r>
        <w:rPr>
          <w:rFonts w:ascii="宋体" w:hAnsi="宋体"/>
          <w:sz w:val="24"/>
        </w:rPr>
        <w:t>特权进程和服务帐户</w:t>
      </w:r>
      <w:r>
        <w:rPr>
          <w:rFonts w:hint="eastAsia" w:ascii="宋体" w:hAnsi="宋体"/>
          <w:sz w:val="24"/>
        </w:rPr>
        <w:t>；</w:t>
      </w:r>
      <w:r>
        <w:rPr>
          <w:rFonts w:ascii="宋体" w:hAnsi="宋体"/>
          <w:sz w:val="24"/>
        </w:rPr>
        <w:t>配置管理功能只能由经过授权的操作员和管理员访问，在管理界面上实施强身份验证；</w:t>
      </w:r>
      <w:r>
        <w:rPr>
          <w:rFonts w:hint="eastAsia" w:ascii="宋体" w:hAnsi="宋体"/>
          <w:sz w:val="24"/>
        </w:rPr>
        <w:t>远程管理</w:t>
      </w:r>
      <w:r>
        <w:rPr>
          <w:rFonts w:ascii="宋体" w:hAnsi="宋体"/>
          <w:sz w:val="24"/>
        </w:rPr>
        <w:t>应使用加密通道，如SSL或VPN 技术</w:t>
      </w:r>
      <w:r>
        <w:rPr>
          <w:rFonts w:hint="eastAsia" w:ascii="宋体" w:hAnsi="宋体"/>
          <w:sz w:val="24"/>
        </w:rPr>
        <w:t>；</w:t>
      </w:r>
      <w:r>
        <w:rPr>
          <w:rFonts w:ascii="宋体" w:hAnsi="宋体"/>
          <w:sz w:val="24"/>
        </w:rPr>
        <w:t>应避免应用程序调用底层系统资源</w:t>
      </w:r>
      <w:r>
        <w:rPr>
          <w:rFonts w:hint="eastAsia" w:ascii="宋体" w:hAnsi="宋体"/>
          <w:sz w:val="24"/>
        </w:rPr>
        <w:t>；</w:t>
      </w:r>
      <w:r>
        <w:rPr>
          <w:rFonts w:ascii="宋体" w:hAnsi="宋体"/>
          <w:sz w:val="24"/>
        </w:rPr>
        <w:t>应单独分配管理特权。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sz w:val="24"/>
          <w:lang w:val="en-US" w:eastAsia="zh-CN"/>
        </w:rPr>
        <w:t>7.4.5</w:t>
      </w:r>
      <w:r>
        <w:rPr>
          <w:rFonts w:ascii="宋体" w:hAnsi="宋体"/>
          <w:b/>
          <w:sz w:val="24"/>
        </w:rPr>
        <w:t>会话管理</w:t>
      </w:r>
      <w:r>
        <w:rPr>
          <w:rFonts w:hint="eastAsia" w:ascii="宋体" w:hAnsi="宋体"/>
          <w:b/>
          <w:sz w:val="24"/>
        </w:rPr>
        <w:t>：</w:t>
      </w:r>
      <w:r>
        <w:rPr>
          <w:rFonts w:ascii="宋体" w:hAnsi="宋体"/>
          <w:sz w:val="24"/>
        </w:rPr>
        <w:t>登录成功后应建立新的会话。应确保会话数据的存储安全</w:t>
      </w:r>
      <w:r>
        <w:rPr>
          <w:rFonts w:hint="eastAsia" w:ascii="宋体" w:hAnsi="宋体"/>
          <w:sz w:val="24"/>
        </w:rPr>
        <w:t>，</w:t>
      </w:r>
      <w:r>
        <w:rPr>
          <w:rFonts w:ascii="宋体" w:hAnsi="宋体"/>
          <w:sz w:val="24"/>
        </w:rPr>
        <w:t>更新会话数据时，应对数据进行严格的输入验证，避免会话数据被非法篡改</w:t>
      </w:r>
      <w:r>
        <w:rPr>
          <w:rFonts w:hint="eastAsia" w:ascii="宋体" w:hAnsi="宋体"/>
          <w:sz w:val="24"/>
        </w:rPr>
        <w:t>；</w:t>
      </w:r>
      <w:r>
        <w:rPr>
          <w:rFonts w:ascii="宋体" w:hAnsi="宋体"/>
          <w:sz w:val="24"/>
        </w:rPr>
        <w:t>应确保会话数据的传输安全</w:t>
      </w:r>
      <w:r>
        <w:rPr>
          <w:rFonts w:hint="eastAsia" w:ascii="宋体" w:hAnsi="宋体"/>
          <w:sz w:val="24"/>
        </w:rPr>
        <w:t>；</w:t>
      </w:r>
      <w:r>
        <w:rPr>
          <w:rFonts w:ascii="宋体" w:hAnsi="宋体"/>
          <w:sz w:val="24"/>
        </w:rPr>
        <w:t>应及时终止会话</w:t>
      </w:r>
      <w:r>
        <w:rPr>
          <w:rFonts w:hint="eastAsia" w:ascii="宋体" w:hAnsi="宋体"/>
          <w:sz w:val="24"/>
        </w:rPr>
        <w:t>，</w:t>
      </w:r>
      <w:r>
        <w:rPr>
          <w:rFonts w:ascii="宋体" w:hAnsi="宋体"/>
          <w:sz w:val="24"/>
        </w:rPr>
        <w:t>当处于登录状态的用户直接关闭浏览器时，应提示用户执行安全退出或者自动为用户完成退出过程</w:t>
      </w:r>
      <w:r>
        <w:rPr>
          <w:rFonts w:hint="eastAsia" w:ascii="宋体" w:hAnsi="宋体"/>
          <w:sz w:val="24"/>
        </w:rPr>
        <w:t>；</w:t>
      </w:r>
      <w:r>
        <w:rPr>
          <w:rFonts w:ascii="宋体" w:hAnsi="宋体"/>
          <w:sz w:val="24"/>
        </w:rPr>
        <w:t>应设计避免跨站请求伪造</w:t>
      </w:r>
      <w:r>
        <w:rPr>
          <w:rFonts w:hint="eastAsia" w:ascii="宋体" w:hAnsi="宋体"/>
          <w:sz w:val="24"/>
        </w:rPr>
        <w:t>；</w:t>
      </w:r>
      <w:r>
        <w:rPr>
          <w:rFonts w:ascii="宋体" w:hAnsi="宋体"/>
          <w:sz w:val="24"/>
        </w:rPr>
        <w:t>采取加密措施来保护数据安全时，</w:t>
      </w:r>
      <w:r>
        <w:rPr>
          <w:rFonts w:hint="eastAsia" w:ascii="宋体" w:hAnsi="宋体"/>
          <w:sz w:val="24"/>
        </w:rPr>
        <w:t>应采用满足国家要求的密码技术。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sz w:val="24"/>
          <w:lang w:val="en-US" w:eastAsia="zh-CN"/>
        </w:rPr>
        <w:t>7.4.6</w:t>
      </w:r>
      <w:r>
        <w:rPr>
          <w:rFonts w:ascii="宋体" w:hAnsi="宋体"/>
          <w:b/>
          <w:sz w:val="24"/>
        </w:rPr>
        <w:t>参数操作</w:t>
      </w:r>
      <w:r>
        <w:rPr>
          <w:rFonts w:hint="eastAsia" w:ascii="宋体" w:hAnsi="宋体"/>
          <w:b/>
          <w:sz w:val="24"/>
        </w:rPr>
        <w:t>：</w:t>
      </w:r>
      <w:r>
        <w:rPr>
          <w:rFonts w:ascii="宋体" w:hAnsi="宋体"/>
          <w:sz w:val="24"/>
        </w:rPr>
        <w:t>避免使用包含敏感数据或者影响服务器安全逻辑的查询字符串参数</w:t>
      </w:r>
      <w:r>
        <w:rPr>
          <w:rFonts w:hint="eastAsia" w:ascii="宋体" w:hAnsi="宋体"/>
          <w:sz w:val="24"/>
        </w:rPr>
        <w:t>；</w:t>
      </w:r>
      <w:r>
        <w:rPr>
          <w:rFonts w:ascii="宋体" w:hAnsi="宋体"/>
          <w:sz w:val="24"/>
        </w:rPr>
        <w:t>使用会话标识符来标识客户端，并将敏感项存储在服务器上的会话存储区中</w:t>
      </w:r>
      <w:r>
        <w:rPr>
          <w:rFonts w:hint="eastAsia" w:ascii="宋体" w:hAnsi="宋体"/>
          <w:sz w:val="24"/>
        </w:rPr>
        <w:t>；</w:t>
      </w:r>
      <w:r>
        <w:rPr>
          <w:rFonts w:ascii="宋体" w:hAnsi="宋体"/>
          <w:sz w:val="24"/>
        </w:rPr>
        <w:t>使用HTTP POST来代替 GET提交窗体，避免使用隐藏窗体</w:t>
      </w:r>
      <w:r>
        <w:rPr>
          <w:rFonts w:hint="eastAsia" w:ascii="宋体" w:hAnsi="宋体"/>
          <w:sz w:val="24"/>
        </w:rPr>
        <w:t>；</w:t>
      </w:r>
      <w:r>
        <w:rPr>
          <w:rFonts w:ascii="宋体" w:hAnsi="宋体"/>
          <w:sz w:val="24"/>
        </w:rPr>
        <w:t>加密查询字符串参数。</w:t>
      </w:r>
      <w:r>
        <w:rPr>
          <w:rFonts w:hint="eastAsia" w:ascii="宋体" w:hAnsi="宋体"/>
          <w:sz w:val="24"/>
        </w:rPr>
        <w:t>拒绝</w:t>
      </w:r>
      <w:r>
        <w:rPr>
          <w:rFonts w:ascii="宋体" w:hAnsi="宋体"/>
          <w:sz w:val="24"/>
        </w:rPr>
        <w:t>信任HTTP头信息</w:t>
      </w:r>
      <w:r>
        <w:rPr>
          <w:rFonts w:hint="eastAsia" w:ascii="宋体" w:hAnsi="宋体"/>
          <w:sz w:val="24"/>
        </w:rPr>
        <w:t>；</w:t>
      </w:r>
      <w:r>
        <w:rPr>
          <w:rFonts w:ascii="宋体" w:hAnsi="宋体"/>
          <w:sz w:val="24"/>
        </w:rPr>
        <w:t>应验证从客户端发送的所有数据</w:t>
      </w:r>
      <w:r>
        <w:rPr>
          <w:rFonts w:hint="eastAsia" w:ascii="宋体" w:hAnsi="宋体"/>
          <w:sz w:val="24"/>
        </w:rPr>
        <w:t>，</w:t>
      </w:r>
      <w:r>
        <w:rPr>
          <w:rFonts w:ascii="宋体" w:hAnsi="宋体"/>
          <w:sz w:val="24"/>
        </w:rPr>
        <w:t>确保用户没有绕过检查。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sz w:val="24"/>
          <w:lang w:val="en-US" w:eastAsia="zh-CN"/>
        </w:rPr>
        <w:t>7.4.7</w:t>
      </w:r>
      <w:r>
        <w:rPr>
          <w:rFonts w:ascii="宋体" w:hAnsi="宋体"/>
          <w:b/>
          <w:sz w:val="24"/>
        </w:rPr>
        <w:t>异常管理</w:t>
      </w:r>
      <w:r>
        <w:rPr>
          <w:rFonts w:hint="eastAsia" w:ascii="宋体" w:hAnsi="宋体"/>
          <w:b/>
          <w:sz w:val="24"/>
        </w:rPr>
        <w:t>：</w:t>
      </w:r>
      <w:r>
        <w:rPr>
          <w:rFonts w:hint="eastAsia" w:ascii="宋体" w:hAnsi="宋体"/>
          <w:sz w:val="24"/>
        </w:rPr>
        <w:t>异常信息一般包含了针对开发和维护人员调试使用的系统信息，</w:t>
      </w:r>
      <w:r>
        <w:rPr>
          <w:rFonts w:ascii="宋体" w:hAnsi="宋体"/>
          <w:sz w:val="24"/>
        </w:rPr>
        <w:t>这些信息将增加攻击者发现</w:t>
      </w:r>
      <w:r>
        <w:rPr>
          <w:rFonts w:hint="eastAsia" w:ascii="宋体" w:hAnsi="宋体"/>
          <w:sz w:val="24"/>
        </w:rPr>
        <w:t>潜在缺陷并进行攻击的机会。要求如下：</w:t>
      </w:r>
      <w:r>
        <w:rPr>
          <w:rFonts w:ascii="宋体" w:hAnsi="宋体"/>
          <w:sz w:val="24"/>
        </w:rPr>
        <w:t>应使用结构化异常处理机制。应使用通用错误信息：</w:t>
      </w:r>
      <w:r>
        <w:rPr>
          <w:rFonts w:hint="eastAsia" w:ascii="宋体" w:hAnsi="宋体"/>
          <w:sz w:val="24"/>
        </w:rPr>
        <w:t>程序发生异常时，</w:t>
      </w:r>
      <w:r>
        <w:rPr>
          <w:rFonts w:ascii="宋体" w:hAnsi="宋体"/>
          <w:sz w:val="24"/>
        </w:rPr>
        <w:t>应向外部服务或应用程序的用户发送通用的信息或重定向到特定应用网页</w:t>
      </w:r>
      <w:r>
        <w:rPr>
          <w:rFonts w:hint="eastAsia" w:ascii="宋体" w:hAnsi="宋体"/>
          <w:sz w:val="24"/>
        </w:rPr>
        <w:t>；应向客户端返回一般性错误消息。</w:t>
      </w:r>
      <w:r>
        <w:rPr>
          <w:rFonts w:ascii="宋体" w:hAnsi="宋体"/>
          <w:sz w:val="24"/>
        </w:rPr>
        <w:t>程序发生异常时，应终止当前业务，并对当前业务进行回滚操作</w:t>
      </w:r>
      <w:r>
        <w:rPr>
          <w:rFonts w:hint="eastAsia" w:ascii="宋体" w:hAnsi="宋体"/>
          <w:sz w:val="24"/>
        </w:rPr>
        <w:t>；</w:t>
      </w:r>
      <w:r>
        <w:rPr>
          <w:rFonts w:ascii="宋体" w:hAnsi="宋体"/>
          <w:sz w:val="24"/>
        </w:rPr>
        <w:t>通信双方中一方在一段时间内未作反应，另一方应自动结束回话</w:t>
      </w:r>
      <w:r>
        <w:rPr>
          <w:rFonts w:hint="eastAsia" w:ascii="宋体" w:hAnsi="宋体"/>
          <w:sz w:val="24"/>
        </w:rPr>
        <w:t>；</w:t>
      </w:r>
      <w:r>
        <w:rPr>
          <w:rFonts w:ascii="宋体" w:hAnsi="宋体"/>
          <w:sz w:val="24"/>
        </w:rPr>
        <w:t>程序发生异常时，应在日志中记录详细的错误消息。</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80" w:firstLineChars="200"/>
        <w:textAlignment w:val="auto"/>
      </w:pPr>
      <w:r>
        <w:rPr>
          <w:rFonts w:hint="eastAsia" w:ascii="宋体" w:hAnsi="宋体"/>
          <w:sz w:val="24"/>
          <w:lang w:val="en-US" w:eastAsia="zh-CN"/>
        </w:rPr>
        <w:t>7.4.8</w:t>
      </w:r>
      <w:r>
        <w:rPr>
          <w:rFonts w:ascii="宋体" w:hAnsi="宋体"/>
          <w:b/>
          <w:sz w:val="24"/>
        </w:rPr>
        <w:t>审核与日志</w:t>
      </w:r>
      <w:r>
        <w:rPr>
          <w:rFonts w:hint="eastAsia" w:ascii="宋体" w:hAnsi="宋体"/>
          <w:sz w:val="24"/>
        </w:rPr>
        <w:t>：</w:t>
      </w:r>
      <w:r>
        <w:rPr>
          <w:rFonts w:ascii="宋体" w:hAnsi="宋体"/>
          <w:sz w:val="24"/>
        </w:rPr>
        <w:t>用户访问信息系统时，应对登录行为、业务操作以及系统运行状态进行记录与保存，保证操作过程可追溯、可审计，确保业务日志数据的安全。</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80" w:firstLineChars="200"/>
        <w:textAlignment w:val="auto"/>
      </w:pPr>
      <w:r>
        <w:rPr>
          <w:rFonts w:ascii="宋体" w:hAnsi="宋体"/>
          <w:sz w:val="24"/>
        </w:rPr>
        <w:t>日志记录事件宜包含以下事件：审计功能的启动和关闭。信息系统的启动和停止。配置变化。访问控制信息，比如：由于超出尝试次数的限制而引起的拒绝登录，成功或失败的登录</w:t>
      </w:r>
      <w:r>
        <w:rPr>
          <w:rFonts w:hint="eastAsia" w:ascii="宋体" w:hAnsi="宋体"/>
          <w:sz w:val="24"/>
        </w:rPr>
        <w:t>；</w:t>
      </w:r>
      <w:r>
        <w:rPr>
          <w:rFonts w:ascii="宋体" w:hAnsi="宋体"/>
          <w:sz w:val="24"/>
        </w:rPr>
        <w:t>用户权限的变更</w:t>
      </w:r>
      <w:r>
        <w:rPr>
          <w:rFonts w:hint="eastAsia" w:ascii="宋体" w:hAnsi="宋体"/>
          <w:sz w:val="24"/>
        </w:rPr>
        <w:t>；</w:t>
      </w:r>
      <w:r>
        <w:rPr>
          <w:rFonts w:ascii="宋体" w:hAnsi="宋体"/>
          <w:sz w:val="24"/>
        </w:rPr>
        <w:t>用户密码的变更</w:t>
      </w:r>
      <w:r>
        <w:rPr>
          <w:rFonts w:hint="eastAsia" w:ascii="宋体" w:hAnsi="宋体"/>
          <w:sz w:val="24"/>
        </w:rPr>
        <w:t>；</w:t>
      </w:r>
      <w:r>
        <w:rPr>
          <w:rFonts w:ascii="宋体" w:hAnsi="宋体"/>
          <w:sz w:val="24"/>
        </w:rPr>
        <w:t>用户试图执行角期、时间（时间戳）</w:t>
      </w:r>
      <w:r>
        <w:rPr>
          <w:rFonts w:hint="eastAsia" w:ascii="宋体" w:hAnsi="宋体"/>
          <w:sz w:val="24"/>
        </w:rPr>
        <w:t>、</w:t>
      </w:r>
      <w:r>
        <w:rPr>
          <w:rFonts w:ascii="宋体" w:hAnsi="宋体"/>
          <w:sz w:val="24"/>
        </w:rPr>
        <w:t>事件类型</w:t>
      </w:r>
      <w:r>
        <w:rPr>
          <w:rFonts w:hint="eastAsia" w:ascii="宋体" w:hAnsi="宋体"/>
          <w:sz w:val="24"/>
        </w:rPr>
        <w:t>、</w:t>
      </w:r>
      <w:r>
        <w:rPr>
          <w:rFonts w:ascii="宋体" w:hAnsi="宋体"/>
          <w:sz w:val="24"/>
        </w:rPr>
        <w:t>事件内容</w:t>
      </w:r>
      <w:r>
        <w:rPr>
          <w:rFonts w:hint="eastAsia" w:ascii="宋体" w:hAnsi="宋体"/>
          <w:sz w:val="24"/>
        </w:rPr>
        <w:t>、</w:t>
      </w:r>
      <w:r>
        <w:rPr>
          <w:rFonts w:ascii="宋体" w:hAnsi="宋体"/>
          <w:sz w:val="24"/>
        </w:rPr>
        <w:t>事件是否成功</w:t>
      </w:r>
      <w:r>
        <w:rPr>
          <w:rFonts w:hint="eastAsia" w:ascii="宋体" w:hAnsi="宋体"/>
          <w:sz w:val="24"/>
        </w:rPr>
        <w:t>、</w:t>
      </w:r>
      <w:r>
        <w:rPr>
          <w:rFonts w:ascii="宋体" w:hAnsi="宋体"/>
          <w:sz w:val="24"/>
        </w:rPr>
        <w:t>请求的来源（例如请求的 IP 地址）。</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80" w:firstLineChars="200"/>
        <w:textAlignment w:val="auto"/>
      </w:pPr>
      <w:r>
        <w:rPr>
          <w:rFonts w:ascii="宋体" w:hAnsi="宋体"/>
          <w:sz w:val="24"/>
        </w:rPr>
        <w:t>审计日志应禁止包含如下内容</w:t>
      </w:r>
      <w:r>
        <w:rPr>
          <w:rFonts w:hint="eastAsia" w:ascii="宋体" w:hAnsi="宋体"/>
          <w:sz w:val="24"/>
        </w:rPr>
        <w:t>：</w:t>
      </w:r>
      <w:r>
        <w:rPr>
          <w:rFonts w:ascii="宋体" w:hAnsi="宋体"/>
          <w:sz w:val="24"/>
        </w:rPr>
        <w:t>用户敏感信息（如密码信息等）</w:t>
      </w:r>
      <w:r>
        <w:rPr>
          <w:rFonts w:hint="eastAsia" w:ascii="宋体" w:hAnsi="宋体"/>
          <w:sz w:val="24"/>
        </w:rPr>
        <w:t>、</w:t>
      </w:r>
      <w:r>
        <w:rPr>
          <w:rFonts w:ascii="宋体" w:hAnsi="宋体"/>
          <w:sz w:val="24"/>
        </w:rPr>
        <w:t>用户完整交易信息</w:t>
      </w:r>
      <w:r>
        <w:rPr>
          <w:rFonts w:hint="eastAsia" w:ascii="宋体" w:hAnsi="宋体"/>
          <w:sz w:val="24"/>
        </w:rPr>
        <w:t>、</w:t>
      </w:r>
      <w:r>
        <w:rPr>
          <w:rFonts w:ascii="宋体" w:hAnsi="宋体"/>
          <w:sz w:val="24"/>
        </w:rPr>
        <w:t>用户的隐私信息（如银行卡信息、密码信息、身份信息等）</w:t>
      </w:r>
      <w:r>
        <w:rPr>
          <w:rFonts w:hint="eastAsia" w:ascii="宋体" w:hAnsi="宋体"/>
          <w:sz w:val="24"/>
        </w:rPr>
        <w:t>、</w:t>
      </w:r>
      <w:r>
        <w:rPr>
          <w:rFonts w:ascii="宋体" w:hAnsi="宋体"/>
          <w:sz w:val="24"/>
        </w:rPr>
        <w:t>宜加强业务安全审计</w:t>
      </w:r>
      <w:r>
        <w:rPr>
          <w:rFonts w:hint="eastAsia" w:ascii="宋体" w:hAnsi="宋体"/>
          <w:sz w:val="24"/>
        </w:rPr>
        <w:t>、</w:t>
      </w:r>
      <w:r>
        <w:rPr>
          <w:rFonts w:ascii="宋体" w:hAnsi="宋体"/>
          <w:sz w:val="24"/>
        </w:rPr>
        <w:t>应防止业务日志欺骗。</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80" w:firstLineChars="200"/>
        <w:textAlignment w:val="auto"/>
      </w:pPr>
      <w:r>
        <w:rPr>
          <w:rFonts w:ascii="宋体" w:hAnsi="宋体"/>
          <w:sz w:val="24"/>
        </w:rPr>
        <w:t>应保证业务日志安全存储与访问</w:t>
      </w:r>
      <w:r>
        <w:rPr>
          <w:rFonts w:hint="eastAsia" w:ascii="宋体" w:hAnsi="宋体"/>
          <w:sz w:val="24"/>
        </w:rPr>
        <w:t>：</w:t>
      </w:r>
      <w:r>
        <w:rPr>
          <w:rFonts w:ascii="宋体" w:hAnsi="宋体"/>
          <w:sz w:val="24"/>
        </w:rPr>
        <w:t>禁止将业务日志保存到WEB目录下</w:t>
      </w:r>
      <w:r>
        <w:rPr>
          <w:rFonts w:hint="eastAsia" w:ascii="宋体" w:hAnsi="宋体"/>
          <w:sz w:val="24"/>
        </w:rPr>
        <w:t>、</w:t>
      </w:r>
      <w:r>
        <w:rPr>
          <w:rFonts w:ascii="宋体" w:hAnsi="宋体"/>
          <w:sz w:val="24"/>
        </w:rPr>
        <w:t>应对业务日志记录进行数字签名来实现防篡改</w:t>
      </w:r>
      <w:r>
        <w:rPr>
          <w:rFonts w:hint="eastAsia" w:ascii="宋体" w:hAnsi="宋体"/>
          <w:sz w:val="24"/>
        </w:rPr>
        <w:t>、</w:t>
      </w:r>
      <w:r>
        <w:rPr>
          <w:rFonts w:ascii="宋体" w:hAnsi="宋体"/>
          <w:sz w:val="24"/>
        </w:rPr>
        <w:t>日志保存期限应与系统应用等级相匹配。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7.4.9</w:t>
      </w:r>
      <w:r>
        <w:rPr>
          <w:rFonts w:ascii="宋体" w:hAnsi="宋体"/>
          <w:b/>
          <w:sz w:val="24"/>
        </w:rPr>
        <w:t>明确交互系统</w:t>
      </w:r>
      <w:r>
        <w:rPr>
          <w:rFonts w:hint="eastAsia" w:ascii="宋体" w:hAnsi="宋体"/>
          <w:b/>
          <w:sz w:val="24"/>
        </w:rPr>
        <w:t>：</w:t>
      </w:r>
      <w:r>
        <w:rPr>
          <w:rFonts w:ascii="宋体" w:hAnsi="宋体"/>
          <w:sz w:val="24"/>
        </w:rPr>
        <w:t>应确定所有和本系统交互的其他系统</w:t>
      </w:r>
      <w:r>
        <w:rPr>
          <w:rFonts w:hint="eastAsia" w:ascii="宋体" w:hAnsi="宋体"/>
          <w:sz w:val="24"/>
        </w:rPr>
        <w:t>；</w:t>
      </w:r>
      <w:r>
        <w:rPr>
          <w:rFonts w:ascii="宋体" w:hAnsi="宋体"/>
          <w:sz w:val="24"/>
        </w:rPr>
        <w:t>应确定交互的数据类型、采用的传输方式。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7.4.10</w:t>
      </w:r>
      <w:r>
        <w:rPr>
          <w:rFonts w:ascii="宋体" w:hAnsi="宋体"/>
          <w:b/>
          <w:sz w:val="24"/>
        </w:rPr>
        <w:t>接口方式安全</w:t>
      </w:r>
      <w:r>
        <w:rPr>
          <w:rFonts w:hint="eastAsia" w:ascii="宋体" w:hAnsi="宋体"/>
          <w:b/>
          <w:sz w:val="24"/>
        </w:rPr>
        <w:t>：</w:t>
      </w:r>
      <w:r>
        <w:rPr>
          <w:rFonts w:ascii="宋体" w:hAnsi="宋体"/>
          <w:sz w:val="24"/>
        </w:rPr>
        <w:t>系统互联应仅通过接口设备（前置机、接口机、通信服务器、应用服务器等设备）进行，不能直接访问核心数据库</w:t>
      </w:r>
      <w:r>
        <w:rPr>
          <w:rFonts w:hint="eastAsia" w:ascii="宋体" w:hAnsi="宋体"/>
          <w:sz w:val="24"/>
        </w:rPr>
        <w:t>；</w:t>
      </w:r>
      <w:r>
        <w:rPr>
          <w:rFonts w:ascii="宋体" w:hAnsi="宋体"/>
          <w:sz w:val="24"/>
        </w:rPr>
        <w:t>接口设备上的应用宜只包含实现系统互联所必须的业务功能，不包含业务系统的所有功能</w:t>
      </w:r>
      <w:r>
        <w:rPr>
          <w:rFonts w:hint="eastAsia" w:ascii="宋体" w:hAnsi="宋体"/>
          <w:sz w:val="24"/>
        </w:rPr>
        <w:t>；</w:t>
      </w:r>
      <w:r>
        <w:rPr>
          <w:rFonts w:ascii="宋体" w:hAnsi="宋体"/>
          <w:sz w:val="24"/>
        </w:rPr>
        <w:t>其他系统访问本系统设备宜进行接口认证。各种收发数据、消息的日志都应予以保存，以备审计与核对。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7.4.11</w:t>
      </w:r>
      <w:r>
        <w:rPr>
          <w:rFonts w:hint="eastAsia" w:ascii="宋体" w:hAnsi="宋体"/>
          <w:b/>
          <w:sz w:val="24"/>
        </w:rPr>
        <w:t>数据机密性要求：</w:t>
      </w:r>
      <w:r>
        <w:rPr>
          <w:rFonts w:ascii="宋体" w:hAnsi="宋体"/>
          <w:sz w:val="24"/>
        </w:rPr>
        <w:t>数据传输应确保保密性</w:t>
      </w:r>
      <w:r>
        <w:rPr>
          <w:rFonts w:hint="eastAsia" w:ascii="宋体" w:hAnsi="宋体"/>
          <w:sz w:val="24"/>
        </w:rPr>
        <w:t>：</w:t>
      </w:r>
      <w:r>
        <w:rPr>
          <w:rFonts w:ascii="宋体" w:hAnsi="宋体"/>
          <w:sz w:val="24"/>
        </w:rPr>
        <w:t>应使用加密技术对传输的敏感信息进行机密性保护</w:t>
      </w:r>
      <w:r>
        <w:rPr>
          <w:rFonts w:hint="eastAsia" w:ascii="宋体" w:hAnsi="宋体"/>
          <w:sz w:val="24"/>
        </w:rPr>
        <w:t>；</w:t>
      </w:r>
      <w:r>
        <w:rPr>
          <w:rFonts w:ascii="宋体" w:hAnsi="宋体"/>
          <w:sz w:val="24"/>
        </w:rPr>
        <w:t>宜使用安全的传输协议（如：HTTPS、SFTP等加密传输协议）来传输文件</w:t>
      </w:r>
      <w:r>
        <w:rPr>
          <w:rFonts w:hint="eastAsia" w:ascii="宋体" w:hAnsi="宋体"/>
          <w:sz w:val="24"/>
        </w:rPr>
        <w:t>；</w:t>
      </w:r>
      <w:r>
        <w:rPr>
          <w:rFonts w:ascii="宋体" w:hAnsi="宋体"/>
          <w:sz w:val="24"/>
        </w:rPr>
        <w:t>宜通过加密和数据签名等方式保障客户端和服务器通信的安全性</w:t>
      </w:r>
      <w:r>
        <w:rPr>
          <w:rFonts w:hint="eastAsia" w:ascii="宋体" w:hAnsi="宋体"/>
          <w:sz w:val="24"/>
        </w:rPr>
        <w:t>；</w:t>
      </w:r>
      <w:r>
        <w:rPr>
          <w:rFonts w:ascii="宋体" w:hAnsi="宋体"/>
          <w:sz w:val="24"/>
        </w:rPr>
        <w:t>数据使用应确保保密性</w:t>
      </w:r>
      <w:r>
        <w:rPr>
          <w:rFonts w:hint="eastAsia" w:ascii="宋体" w:hAnsi="宋体"/>
          <w:sz w:val="24"/>
        </w:rPr>
        <w:t>：</w:t>
      </w:r>
      <w:r>
        <w:rPr>
          <w:rFonts w:ascii="宋体" w:hAnsi="宋体"/>
          <w:sz w:val="24"/>
        </w:rPr>
        <w:t>数据的使用应进行检错和校验操作</w:t>
      </w:r>
      <w:r>
        <w:rPr>
          <w:rFonts w:hint="eastAsia" w:ascii="宋体" w:hAnsi="宋体"/>
          <w:sz w:val="24"/>
        </w:rPr>
        <w:t>，</w:t>
      </w:r>
      <w:r>
        <w:rPr>
          <w:rFonts w:ascii="宋体" w:hAnsi="宋体"/>
          <w:sz w:val="24"/>
        </w:rPr>
        <w:t>临时数据使用后需进行存储或销毁处理</w:t>
      </w:r>
      <w:r>
        <w:rPr>
          <w:rFonts w:hint="eastAsia" w:ascii="宋体" w:hAnsi="宋体"/>
          <w:sz w:val="24"/>
        </w:rPr>
        <w:t>；</w:t>
      </w:r>
      <w:r>
        <w:rPr>
          <w:rFonts w:ascii="宋体" w:hAnsi="宋体"/>
          <w:sz w:val="24"/>
        </w:rPr>
        <w:t>文件的使用过程中需避免产生临时文件，如果存在临时文件，宜对临时文件做加密处理，临时文件使用后应及时销毁。数据删除应确保保密性</w:t>
      </w:r>
      <w:r>
        <w:rPr>
          <w:rFonts w:hint="eastAsia" w:ascii="宋体" w:hAnsi="宋体"/>
          <w:sz w:val="24"/>
        </w:rPr>
        <w:t>：</w:t>
      </w:r>
      <w:r>
        <w:rPr>
          <w:rFonts w:ascii="宋体" w:hAnsi="宋体"/>
          <w:sz w:val="24"/>
        </w:rPr>
        <w:t>敏感数据销毁应不可恢复。数据删除宜经过访问控制。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7.4.12</w:t>
      </w:r>
      <w:r>
        <w:rPr>
          <w:rFonts w:hint="eastAsia" w:ascii="宋体" w:hAnsi="宋体"/>
          <w:b/>
          <w:sz w:val="24"/>
        </w:rPr>
        <w:t>数据</w:t>
      </w:r>
      <w:r>
        <w:rPr>
          <w:rFonts w:ascii="宋体" w:hAnsi="宋体"/>
          <w:b/>
          <w:sz w:val="24"/>
        </w:rPr>
        <w:t>完整性要求</w:t>
      </w:r>
      <w:r>
        <w:rPr>
          <w:rFonts w:hint="eastAsia" w:ascii="宋体" w:hAnsi="宋体"/>
          <w:b/>
          <w:sz w:val="24"/>
        </w:rPr>
        <w:t>：</w:t>
      </w:r>
      <w:r>
        <w:rPr>
          <w:rFonts w:hint="eastAsia" w:ascii="宋体" w:hAnsi="宋体"/>
          <w:sz w:val="24"/>
        </w:rPr>
        <w:t>应</w:t>
      </w:r>
      <w:r>
        <w:rPr>
          <w:rFonts w:ascii="宋体" w:hAnsi="宋体"/>
          <w:sz w:val="24"/>
        </w:rPr>
        <w:t>采用使用密钥的密码机制（如：MAC、签名值）或使用硬件设备（加密机、加密卡、IC卡/USB KEY）对传输数据完整性进行保护，完整性校验值附在业务数据之后。数据使用应确保完整性：应通过系统业务交易完整性机制来保证处理数据的完整性，一般通过调用系统自带功能实现。步骤包括：业务开始</w:t>
      </w:r>
      <w:r>
        <w:rPr>
          <w:rFonts w:hint="eastAsia" w:ascii="宋体" w:hAnsi="宋体"/>
          <w:sz w:val="24"/>
        </w:rPr>
        <w:t>、</w:t>
      </w:r>
      <w:r>
        <w:rPr>
          <w:rFonts w:ascii="宋体" w:hAnsi="宋体"/>
          <w:sz w:val="24"/>
        </w:rPr>
        <w:t>数据准备</w:t>
      </w:r>
      <w:r>
        <w:rPr>
          <w:rFonts w:hint="eastAsia" w:ascii="宋体" w:hAnsi="宋体"/>
          <w:sz w:val="24"/>
        </w:rPr>
        <w:t>、</w:t>
      </w:r>
      <w:r>
        <w:rPr>
          <w:rFonts w:ascii="宋体" w:hAnsi="宋体"/>
          <w:sz w:val="24"/>
        </w:rPr>
        <w:t>数据提交</w:t>
      </w:r>
      <w:r>
        <w:rPr>
          <w:rFonts w:hint="eastAsia" w:ascii="宋体" w:hAnsi="宋体"/>
          <w:sz w:val="24"/>
        </w:rPr>
        <w:t>、交易</w:t>
      </w:r>
      <w:r>
        <w:rPr>
          <w:rFonts w:ascii="宋体" w:hAnsi="宋体"/>
          <w:sz w:val="24"/>
        </w:rPr>
        <w:t>回退（提交失败时）。敏感数据的使用应在应用程序中进行检错和校验操作，保证原始数据的正确性和完整性。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7.4.13</w:t>
      </w:r>
      <w:r>
        <w:rPr>
          <w:rFonts w:hint="eastAsia" w:ascii="宋体" w:hAnsi="宋体"/>
          <w:b/>
          <w:bCs/>
          <w:sz w:val="24"/>
        </w:rPr>
        <w:t>可用性要求</w:t>
      </w:r>
      <w:r>
        <w:rPr>
          <w:rFonts w:hint="eastAsia" w:ascii="宋体" w:hAnsi="宋体"/>
          <w:b w:val="0"/>
          <w:sz w:val="24"/>
        </w:rPr>
        <w:t>：</w:t>
      </w:r>
      <w:r>
        <w:rPr>
          <w:rFonts w:hint="eastAsia" w:ascii="宋体" w:hAnsi="宋体"/>
          <w:sz w:val="24"/>
        </w:rPr>
        <w:t>数据采集应确保可用性，验证的方式包括：数据格式验证、数据长度验证和数据类型验证等。数据传输应确保可用性：敏感数据或可用性要求高的数据在传输时禁止采用</w:t>
      </w:r>
      <w:r>
        <w:rPr>
          <w:rFonts w:ascii="宋体" w:hAnsi="宋体"/>
          <w:sz w:val="24"/>
        </w:rPr>
        <w:t>UDP</w:t>
      </w:r>
      <w:r>
        <w:rPr>
          <w:rFonts w:hint="eastAsia" w:ascii="宋体" w:hAnsi="宋体"/>
          <w:sz w:val="24"/>
        </w:rPr>
        <w:t>协议，应采用</w:t>
      </w:r>
      <w:r>
        <w:rPr>
          <w:rFonts w:ascii="宋体" w:hAnsi="宋体"/>
          <w:sz w:val="24"/>
        </w:rPr>
        <w:t>TCP</w:t>
      </w:r>
      <w:r>
        <w:rPr>
          <w:rFonts w:hint="eastAsia" w:ascii="宋体" w:hAnsi="宋体"/>
          <w:sz w:val="24"/>
        </w:rPr>
        <w:t>协议传输；应具备断线重传确保其可用性。数据处理应确保可用性：数据在转换过程中，应采用通用的标准格式。数据使用应确保可用性，验证的方式包括：数据格式验证、数据长度验证和数据类型验证等。</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bookmarkStart w:id="183" w:name="_Toc78467154"/>
      <w:r>
        <w:rPr>
          <w:rFonts w:hint="eastAsia" w:ascii="宋体" w:hAnsi="宋体"/>
          <w:b/>
          <w:sz w:val="24"/>
          <w:lang w:val="en-US" w:eastAsia="zh-CN"/>
        </w:rPr>
        <w:t>8.</w:t>
      </w:r>
      <w:r>
        <w:rPr>
          <w:rFonts w:hint="eastAsia" w:ascii="宋体" w:hAnsi="宋体"/>
          <w:b/>
          <w:sz w:val="24"/>
        </w:rPr>
        <w:t>软件技术要求</w:t>
      </w:r>
      <w:bookmarkEnd w:id="183"/>
      <w:bookmarkStart w:id="184" w:name="_Toc22964"/>
      <w:bookmarkStart w:id="185" w:name="_Toc37455221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8.1</w:t>
      </w:r>
      <w:r>
        <w:rPr>
          <w:rFonts w:hint="eastAsia" w:ascii="宋体" w:hAnsi="宋体"/>
          <w:sz w:val="24"/>
        </w:rPr>
        <w:t>技术实现</w:t>
      </w:r>
      <w:bookmarkEnd w:id="184"/>
      <w:r>
        <w:rPr>
          <w:rFonts w:hint="eastAsia" w:ascii="宋体" w:hAnsi="宋体"/>
          <w:sz w:val="24"/>
        </w:rPr>
        <w:t>原则</w:t>
      </w:r>
      <w:bookmarkEnd w:id="185"/>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86" w:name="_Toc25672"/>
      <w:r>
        <w:rPr>
          <w:rFonts w:hint="eastAsia" w:ascii="宋体" w:hAnsi="宋体"/>
          <w:sz w:val="24"/>
          <w:lang w:val="zh-CN"/>
        </w:rPr>
        <w:t>●</w:t>
      </w:r>
      <w:r>
        <w:rPr>
          <w:rFonts w:hint="eastAsia" w:ascii="宋体" w:hAnsi="宋体"/>
          <w:sz w:val="24"/>
          <w:lang w:val="en-US" w:eastAsia="zh-CN"/>
        </w:rPr>
        <w:t>8.1.1</w:t>
      </w:r>
      <w:r>
        <w:rPr>
          <w:rFonts w:ascii="宋体" w:hAnsi="宋体"/>
          <w:sz w:val="24"/>
        </w:rPr>
        <w:t>统一性</w:t>
      </w:r>
      <w:bookmarkEnd w:id="18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系统的架构、服务、模块、数据接口进行统一合理规划，提高系统的性能。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87" w:name="_Toc19686"/>
      <w:r>
        <w:rPr>
          <w:rFonts w:hint="eastAsia" w:ascii="宋体" w:hAnsi="宋体"/>
          <w:sz w:val="24"/>
          <w:lang w:val="zh-CN"/>
        </w:rPr>
        <w:t>●</w:t>
      </w:r>
      <w:r>
        <w:rPr>
          <w:rFonts w:hint="eastAsia" w:ascii="宋体" w:hAnsi="宋体"/>
          <w:sz w:val="24"/>
          <w:lang w:val="en-US" w:eastAsia="zh-CN"/>
        </w:rPr>
        <w:t>8.1.2</w:t>
      </w:r>
      <w:r>
        <w:rPr>
          <w:rFonts w:ascii="宋体" w:hAnsi="宋体"/>
          <w:sz w:val="24"/>
        </w:rPr>
        <w:t>扩展性</w:t>
      </w:r>
      <w:bookmarkEnd w:id="18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系统在产品的软件架构方面，应充分考虑其平滑扩展功能，且在不影响使用的前提下自由扩展系统的功能和承载能力。</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88" w:name="_Toc10409"/>
      <w:r>
        <w:rPr>
          <w:rFonts w:hint="eastAsia" w:ascii="宋体" w:hAnsi="宋体"/>
          <w:sz w:val="24"/>
          <w:lang w:val="zh-CN"/>
        </w:rPr>
        <w:t>●</w:t>
      </w:r>
      <w:r>
        <w:rPr>
          <w:rFonts w:hint="eastAsia" w:ascii="宋体" w:hAnsi="宋体"/>
          <w:sz w:val="24"/>
          <w:lang w:val="en-US" w:eastAsia="zh-CN"/>
        </w:rPr>
        <w:t>8.1.3</w:t>
      </w:r>
      <w:r>
        <w:rPr>
          <w:rFonts w:ascii="宋体" w:hAnsi="宋体"/>
          <w:sz w:val="24"/>
        </w:rPr>
        <w:t>可靠性</w:t>
      </w:r>
      <w:bookmarkEnd w:id="18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在系统设计架构和技术实现上，满足企业级计算所需要的稳定及可靠性要求。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89" w:name="_Toc2172"/>
      <w:r>
        <w:rPr>
          <w:rFonts w:hint="eastAsia" w:ascii="宋体" w:hAnsi="宋体"/>
          <w:sz w:val="24"/>
          <w:lang w:val="zh-CN"/>
        </w:rPr>
        <w:t>●</w:t>
      </w:r>
      <w:r>
        <w:rPr>
          <w:rFonts w:hint="eastAsia" w:ascii="宋体" w:hAnsi="宋体"/>
          <w:sz w:val="24"/>
          <w:lang w:val="en-US" w:eastAsia="zh-CN"/>
        </w:rPr>
        <w:t>8.1.4</w:t>
      </w:r>
      <w:r>
        <w:rPr>
          <w:rFonts w:ascii="宋体" w:hAnsi="宋体"/>
          <w:sz w:val="24"/>
        </w:rPr>
        <w:t>开放性</w:t>
      </w:r>
      <w:bookmarkEnd w:id="189"/>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提供基于Web Service的数据接口，能够集成到其他应用系统，亦可访问其他系统的数据接口（包括但不限于Web Service等），从其中提取数据。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软件安装支持物理服务器环境，也支持虚拟环境安装。</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90" w:name="_Toc9355"/>
      <w:r>
        <w:rPr>
          <w:rFonts w:hint="eastAsia" w:ascii="宋体" w:hAnsi="宋体"/>
          <w:sz w:val="24"/>
          <w:lang w:val="zh-CN"/>
        </w:rPr>
        <w:t>●</w:t>
      </w:r>
      <w:r>
        <w:rPr>
          <w:rFonts w:hint="eastAsia" w:ascii="宋体" w:hAnsi="宋体"/>
          <w:sz w:val="24"/>
          <w:lang w:val="en-US" w:eastAsia="zh-CN"/>
        </w:rPr>
        <w:t>8.1.5</w:t>
      </w:r>
      <w:r>
        <w:rPr>
          <w:rFonts w:ascii="宋体" w:hAnsi="宋体"/>
          <w:sz w:val="24"/>
        </w:rPr>
        <w:t>易用性</w:t>
      </w:r>
      <w:bookmarkEnd w:id="190"/>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提供友好的用户管理和使用界面，便于操作的维护。支持自定义流程，提供图像化的配置和查看工具。</w:t>
      </w:r>
      <w:bookmarkStart w:id="191" w:name="_Toc37455221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lang w:val="zh-CN"/>
        </w:rPr>
      </w:pPr>
      <w:r>
        <w:rPr>
          <w:rFonts w:hint="eastAsia" w:ascii="宋体" w:hAnsi="宋体"/>
          <w:sz w:val="24"/>
          <w:lang w:val="zh-CN"/>
        </w:rPr>
        <w:t>●</w:t>
      </w:r>
      <w:r>
        <w:rPr>
          <w:rFonts w:hint="eastAsia" w:ascii="宋体" w:hAnsi="宋体"/>
          <w:sz w:val="24"/>
          <w:lang w:val="en-US" w:eastAsia="zh-CN"/>
        </w:rPr>
        <w:t>8.1.6</w:t>
      </w:r>
      <w:r>
        <w:rPr>
          <w:rFonts w:hint="eastAsia" w:ascii="宋体" w:hAnsi="宋体" w:eastAsia="宋体" w:cs="宋体"/>
          <w:sz w:val="24"/>
          <w:lang w:val="zh-CN"/>
        </w:rPr>
        <w:t>信创适配性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rPr>
        <w:t>项目建设所需新增基础软硬件、支撑组件的选择应以当前先进的信创产品为主进行选型，系统及设备可与信创终端进行适配，可通过信创终端访问系统，确保系统的可用性、可靠性和安全性。</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8.2</w:t>
      </w:r>
      <w:r>
        <w:rPr>
          <w:rFonts w:hint="eastAsia" w:ascii="宋体" w:hAnsi="宋体"/>
          <w:sz w:val="24"/>
        </w:rPr>
        <w:t>技术要求</w:t>
      </w:r>
      <w:bookmarkEnd w:id="191"/>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系统可以支持定制开发，具体要求如下：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二次开发</w:t>
      </w:r>
      <w:r>
        <w:rPr>
          <w:rFonts w:hint="eastAsia" w:ascii="宋体" w:hAnsi="宋体"/>
          <w:sz w:val="24"/>
          <w:lang w:eastAsia="zh-CN"/>
        </w:rPr>
        <w:t>：</w:t>
      </w:r>
      <w:r>
        <w:rPr>
          <w:rFonts w:ascii="宋体" w:hAnsi="宋体"/>
          <w:sz w:val="24"/>
        </w:rPr>
        <w:t>提供二次开发的工具，具有表单管理、报表管理等组件功能，基于系统或平台可以动态扩展新的功能。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提供基于SOA架构的数据采集平台；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提供可视化的任务管理、预警机制；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系统基于多组织架构、角色、权限管理模式，实现灵活的多层级的组织架构管理；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提供的软件产品可在服务器虚拟化环境中部署并稳定运行。</w:t>
      </w:r>
      <w:r>
        <w:rPr>
          <w:rFonts w:ascii="宋体" w:hAnsi="宋体"/>
          <w:sz w:val="24"/>
        </w:rPr>
        <w:tab/>
      </w:r>
      <w:bookmarkStart w:id="192" w:name="_Toc374552218"/>
      <w:bookmarkStart w:id="193" w:name="_Toc2098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8.3</w:t>
      </w:r>
      <w:r>
        <w:rPr>
          <w:rFonts w:ascii="宋体" w:hAnsi="宋体"/>
          <w:sz w:val="24"/>
        </w:rPr>
        <w:t>软件性能要求</w:t>
      </w:r>
      <w:bookmarkEnd w:id="192"/>
      <w:bookmarkEnd w:id="193"/>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sz w:val="24"/>
          <w:lang w:val="zh-CN"/>
        </w:rPr>
      </w:pPr>
      <w:bookmarkStart w:id="194" w:name="_Toc374552219"/>
      <w:bookmarkStart w:id="195" w:name="_Toc15445"/>
      <w:r>
        <w:rPr>
          <w:rFonts w:hint="eastAsia" w:ascii="宋体" w:hAnsi="宋体"/>
          <w:b/>
          <w:bCs/>
          <w:sz w:val="24"/>
          <w:lang w:val="en-US" w:eastAsia="zh-CN"/>
        </w:rPr>
        <w:t>8.3.1</w:t>
      </w:r>
      <w:r>
        <w:rPr>
          <w:rFonts w:hint="eastAsia" w:ascii="宋体" w:hAnsi="宋体"/>
          <w:b/>
          <w:bCs/>
          <w:sz w:val="24"/>
          <w:lang w:val="zh-CN"/>
        </w:rPr>
        <w:t>可视化监测性能要求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●8.3.1</w:t>
      </w:r>
      <w:r>
        <w:rPr>
          <w:rFonts w:hint="eastAsia" w:ascii="宋体" w:hAnsi="宋体"/>
          <w:sz w:val="24"/>
          <w:lang w:val="en-US" w:eastAsia="zh-CN"/>
        </w:rPr>
        <w:t>.1</w:t>
      </w:r>
      <w:r>
        <w:rPr>
          <w:rFonts w:hint="eastAsia" w:ascii="宋体" w:hAnsi="宋体"/>
          <w:sz w:val="24"/>
        </w:rPr>
        <w:t>系统满足30000用户使用，6</w:t>
      </w:r>
      <w:r>
        <w:rPr>
          <w:rFonts w:ascii="宋体" w:hAnsi="宋体"/>
          <w:sz w:val="24"/>
        </w:rPr>
        <w:t>000</w:t>
      </w:r>
      <w:r>
        <w:rPr>
          <w:rFonts w:hint="eastAsia" w:ascii="宋体" w:hAnsi="宋体"/>
          <w:sz w:val="24"/>
        </w:rPr>
        <w:t xml:space="preserve">用户同时在线，在 </w:t>
      </w:r>
      <w:r>
        <w:rPr>
          <w:rFonts w:ascii="宋体" w:hAnsi="宋体"/>
          <w:sz w:val="24"/>
        </w:rPr>
        <w:t>15</w:t>
      </w:r>
      <w:r>
        <w:rPr>
          <w:rFonts w:hint="eastAsia" w:ascii="宋体" w:hAnsi="宋体"/>
          <w:sz w:val="24"/>
        </w:rPr>
        <w:t>0 并发用户下 7×24 小时以上连续运行，</w:t>
      </w:r>
      <w:r>
        <w:rPr>
          <w:rFonts w:ascii="宋体" w:hAnsi="宋体"/>
          <w:sz w:val="24"/>
        </w:rPr>
        <w:t>15</w:t>
      </w:r>
      <w:r>
        <w:rPr>
          <w:rFonts w:hint="eastAsia" w:ascii="宋体" w:hAnsi="宋体"/>
          <w:sz w:val="24"/>
        </w:rPr>
        <w:t>0 并发用户下不出现因错误导致系统重新启动或崩溃。应用系统至少保证故障率小于1%。</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●8.3.1</w:t>
      </w:r>
      <w:r>
        <w:rPr>
          <w:rFonts w:hint="eastAsia" w:ascii="宋体" w:hAnsi="宋体"/>
          <w:sz w:val="24"/>
          <w:lang w:val="en-US" w:eastAsia="zh-CN"/>
        </w:rPr>
        <w:t>.2</w:t>
      </w:r>
      <w:r>
        <w:rPr>
          <w:rFonts w:hint="eastAsia" w:ascii="宋体" w:hAnsi="宋体"/>
          <w:sz w:val="24"/>
        </w:rPr>
        <w:t>响应时间：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系统的基本业务响应时限&lt;=</w:t>
      </w:r>
      <w:r>
        <w:rPr>
          <w:rFonts w:hint="eastAsia" w:ascii="宋体" w:hAnsi="宋体"/>
          <w:sz w:val="24"/>
          <w:lang w:val="en-US" w:eastAsia="zh-CN"/>
        </w:rPr>
        <w:t>3</w:t>
      </w:r>
      <w:r>
        <w:rPr>
          <w:rFonts w:hint="eastAsia" w:ascii="宋体" w:hAnsi="宋体"/>
          <w:sz w:val="24"/>
        </w:rPr>
        <w:t>秒；</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单表简单查询响应时限&lt;=</w:t>
      </w:r>
      <w:r>
        <w:rPr>
          <w:rFonts w:hint="eastAsia" w:ascii="宋体" w:hAnsi="宋体"/>
          <w:sz w:val="24"/>
          <w:lang w:val="en-US" w:eastAsia="zh-CN"/>
        </w:rPr>
        <w:t>5</w:t>
      </w:r>
      <w:r>
        <w:rPr>
          <w:rFonts w:hint="eastAsia" w:ascii="宋体" w:hAnsi="宋体"/>
          <w:sz w:val="24"/>
        </w:rPr>
        <w:t>秒；</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多表复杂查询响应时限&lt;=</w:t>
      </w:r>
      <w:r>
        <w:rPr>
          <w:rFonts w:hint="eastAsia" w:ascii="宋体" w:hAnsi="宋体"/>
          <w:sz w:val="24"/>
          <w:lang w:val="en-US" w:eastAsia="zh-CN"/>
        </w:rPr>
        <w:t>7</w:t>
      </w:r>
      <w:r>
        <w:rPr>
          <w:rFonts w:hint="eastAsia" w:ascii="宋体" w:hAnsi="宋体"/>
          <w:sz w:val="24"/>
        </w:rPr>
        <w:t>秒；</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8.3.1</w:t>
      </w:r>
      <w:r>
        <w:rPr>
          <w:rFonts w:hint="eastAsia" w:ascii="宋体" w:hAnsi="宋体"/>
          <w:sz w:val="24"/>
          <w:lang w:val="en-US" w:eastAsia="zh-CN"/>
        </w:rPr>
        <w:t>.3</w:t>
      </w:r>
      <w:r>
        <w:rPr>
          <w:rFonts w:ascii="宋体" w:hAnsi="宋体"/>
          <w:sz w:val="24"/>
        </w:rPr>
        <w:t>软件其他性能要求</w:t>
      </w:r>
      <w:bookmarkEnd w:id="194"/>
      <w:bookmarkEnd w:id="195"/>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●8.3.1</w:t>
      </w:r>
      <w:r>
        <w:rPr>
          <w:rFonts w:hint="eastAsia" w:ascii="宋体" w:hAnsi="宋体"/>
          <w:sz w:val="24"/>
          <w:lang w:val="en-US" w:eastAsia="zh-CN"/>
        </w:rPr>
        <w:t>.3.1</w:t>
      </w:r>
      <w:r>
        <w:rPr>
          <w:rFonts w:ascii="宋体" w:hAnsi="宋体"/>
          <w:sz w:val="24"/>
        </w:rPr>
        <w:t>系统针对平台的处理能力应采用相应的流量控制措施，满足对处理时延、CPU占有率的要求，保证系统的稳定运行；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●8.3.1</w:t>
      </w:r>
      <w:r>
        <w:rPr>
          <w:rFonts w:hint="eastAsia" w:ascii="宋体" w:hAnsi="宋体"/>
          <w:sz w:val="24"/>
          <w:lang w:val="en-US" w:eastAsia="zh-CN"/>
        </w:rPr>
        <w:t>.3.2</w:t>
      </w:r>
      <w:r>
        <w:rPr>
          <w:rFonts w:ascii="宋体" w:hAnsi="宋体"/>
          <w:sz w:val="24"/>
        </w:rPr>
        <w:t>系统硬件设备的CPU忙时利用率平均不应超过70%，内存忙时利用率平均不应超过70%；</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●8.3.1</w:t>
      </w:r>
      <w:r>
        <w:rPr>
          <w:rFonts w:hint="eastAsia" w:ascii="宋体" w:hAnsi="宋体"/>
          <w:sz w:val="24"/>
          <w:lang w:val="en-US" w:eastAsia="zh-CN"/>
        </w:rPr>
        <w:t>.3.3</w:t>
      </w:r>
      <w:r>
        <w:rPr>
          <w:rFonts w:ascii="宋体" w:hAnsi="宋体"/>
          <w:sz w:val="24"/>
        </w:rPr>
        <w:t>软件应提供良好的虚拟化环境支持，可在主流虚拟环境下正常运行。</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b w:val="0"/>
          <w:bCs/>
          <w:sz w:val="24"/>
          <w:lang w:val="en-US" w:eastAsia="zh-CN"/>
        </w:rPr>
      </w:pPr>
      <w:bookmarkStart w:id="196" w:name="_Toc78467155"/>
      <w:r>
        <w:rPr>
          <w:rFonts w:hint="eastAsia" w:ascii="宋体" w:hAnsi="宋体"/>
          <w:b/>
          <w:bCs/>
          <w:sz w:val="24"/>
          <w:lang w:val="en-US" w:eastAsia="zh-CN"/>
        </w:rPr>
        <w:t>8.3.2</w:t>
      </w:r>
      <w:r>
        <w:rPr>
          <w:rFonts w:hint="eastAsia" w:ascii="宋体" w:hAnsi="宋体"/>
          <w:b/>
          <w:bCs w:val="0"/>
          <w:sz w:val="24"/>
          <w:lang w:val="en-US" w:eastAsia="zh-CN"/>
        </w:rPr>
        <w:t>大数据应用支持平台性能要求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w:t>
      </w:r>
      <w:r>
        <w:rPr>
          <w:rFonts w:hint="eastAsia" w:ascii="宋体" w:hAnsi="宋体"/>
          <w:sz w:val="24"/>
          <w:lang w:val="zh-CN"/>
        </w:rPr>
        <w:t>8.3.</w:t>
      </w:r>
      <w:r>
        <w:rPr>
          <w:rFonts w:hint="eastAsia" w:ascii="宋体" w:hAnsi="宋体"/>
          <w:sz w:val="24"/>
          <w:lang w:val="en-US" w:eastAsia="zh-CN"/>
        </w:rPr>
        <w:t>2.1</w:t>
      </w:r>
      <w:r>
        <w:rPr>
          <w:rFonts w:hint="eastAsia" w:ascii="宋体" w:hAnsi="宋体"/>
          <w:b w:val="0"/>
          <w:bCs/>
          <w:sz w:val="24"/>
          <w:lang w:val="en-US" w:eastAsia="zh-CN"/>
        </w:rPr>
        <w:t>系统的用户数不少于1000个，支持至少30个用户并发同时访问，系统在 7×24 小时以上连续稳定运行，不会出现系统性崩溃。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w:t>
      </w:r>
      <w:r>
        <w:rPr>
          <w:rFonts w:hint="eastAsia" w:ascii="宋体" w:hAnsi="宋体"/>
          <w:sz w:val="24"/>
          <w:lang w:val="zh-CN"/>
        </w:rPr>
        <w:t>8.3.</w:t>
      </w:r>
      <w:r>
        <w:rPr>
          <w:rFonts w:hint="eastAsia" w:ascii="宋体" w:hAnsi="宋体"/>
          <w:sz w:val="24"/>
          <w:lang w:val="en-US" w:eastAsia="zh-CN"/>
        </w:rPr>
        <w:t>2.2</w:t>
      </w:r>
      <w:r>
        <w:rPr>
          <w:rFonts w:hint="eastAsia" w:ascii="宋体" w:hAnsi="宋体"/>
          <w:b w:val="0"/>
          <w:bCs/>
          <w:sz w:val="24"/>
          <w:lang w:val="en-US" w:eastAsia="zh-CN"/>
        </w:rPr>
        <w:t>数据服务接口要求支持的用户并发数不少于200个，数据服务接口平均响应时间≤5s，且数据服务接口响应的故障率小于1%。</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b/>
          <w:sz w:val="24"/>
          <w:lang w:val="en-US" w:eastAsia="zh-CN"/>
        </w:rPr>
      </w:pPr>
      <w:r>
        <w:rPr>
          <w:rFonts w:hint="eastAsia" w:ascii="宋体" w:hAnsi="宋体"/>
          <w:b w:val="0"/>
          <w:bCs/>
          <w:sz w:val="24"/>
          <w:lang w:val="en-US" w:eastAsia="zh-CN"/>
        </w:rPr>
        <w:t>●</w:t>
      </w:r>
      <w:r>
        <w:rPr>
          <w:rFonts w:hint="eastAsia" w:ascii="宋体" w:hAnsi="宋体"/>
          <w:sz w:val="24"/>
          <w:lang w:val="zh-CN"/>
        </w:rPr>
        <w:t>8.3.</w:t>
      </w:r>
      <w:r>
        <w:rPr>
          <w:rFonts w:hint="eastAsia" w:ascii="宋体" w:hAnsi="宋体"/>
          <w:sz w:val="24"/>
          <w:lang w:val="en-US" w:eastAsia="zh-CN"/>
        </w:rPr>
        <w:t>2.3</w:t>
      </w:r>
      <w:r>
        <w:rPr>
          <w:rFonts w:hint="eastAsia" w:ascii="宋体" w:hAnsi="宋体"/>
          <w:b w:val="0"/>
          <w:bCs/>
          <w:sz w:val="24"/>
          <w:lang w:val="en-US" w:eastAsia="zh-CN"/>
        </w:rPr>
        <w:t>支持系统扩容适应用户量增长；系统页面用户访问平均响应时间≤5s；系统在性能上、易用性、安全性方面满足系统运行要求；系统运行稳定可靠；</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r>
        <w:rPr>
          <w:rFonts w:hint="eastAsia" w:ascii="宋体" w:hAnsi="宋体"/>
          <w:b/>
          <w:sz w:val="24"/>
          <w:lang w:val="en-US" w:eastAsia="zh-CN"/>
        </w:rPr>
        <w:t>9.</w:t>
      </w:r>
      <w:bookmarkEnd w:id="196"/>
      <w:r>
        <w:rPr>
          <w:rFonts w:hint="eastAsia" w:ascii="宋体" w:hAnsi="宋体"/>
          <w:b/>
          <w:sz w:val="24"/>
        </w:rPr>
        <w:t>软件开发及项目管理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197" w:name="_Toc3583"/>
      <w:r>
        <w:rPr>
          <w:rFonts w:hint="eastAsia" w:ascii="宋体" w:hAnsi="宋体"/>
          <w:sz w:val="24"/>
          <w:lang w:val="en-US" w:eastAsia="zh-CN"/>
        </w:rPr>
        <w:t>9.1</w:t>
      </w:r>
      <w:r>
        <w:rPr>
          <w:rFonts w:ascii="宋体" w:hAnsi="宋体"/>
          <w:sz w:val="24"/>
        </w:rPr>
        <w:t>人员配置</w:t>
      </w:r>
      <w:bookmarkEnd w:id="19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9.1.1</w:t>
      </w:r>
      <w:r>
        <w:rPr>
          <w:rFonts w:ascii="宋体" w:hAnsi="宋体"/>
          <w:sz w:val="24"/>
        </w:rPr>
        <w:t>服务提供方</w:t>
      </w:r>
      <w:r>
        <w:rPr>
          <w:rFonts w:hint="eastAsia" w:ascii="宋体" w:hAnsi="宋体"/>
          <w:sz w:val="24"/>
        </w:rPr>
        <w:t>（即</w:t>
      </w:r>
      <w:r>
        <w:rPr>
          <w:rFonts w:ascii="宋体" w:hAnsi="宋体"/>
          <w:sz w:val="24"/>
        </w:rPr>
        <w:t>中标人）应针对本项目成立专门的项目组，项目组的角色包括：</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角色</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职责与能力要求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numPr>
                <w:ilvl w:val="0"/>
                <w:numId w:val="7"/>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具备较强的项目管理能力，熟悉项目范围管理、项目进度管理、项目质量管理、项目成本管理、项目安全管理、项目风险管理等相关项目管理知识。</w:t>
            </w:r>
          </w:p>
          <w:p>
            <w:pPr>
              <w:pStyle w:val="59"/>
              <w:numPr>
                <w:ilvl w:val="0"/>
                <w:numId w:val="7"/>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具备较强的沟通能力，能很好的协调项目内外干系人，确保项目目标顺利交付。</w:t>
            </w:r>
          </w:p>
          <w:p>
            <w:pPr>
              <w:pStyle w:val="59"/>
              <w:numPr>
                <w:ilvl w:val="0"/>
                <w:numId w:val="7"/>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具备较强的文档编写和审查能力，保证项目各类资料结构完整、逻辑清晰。</w:t>
            </w:r>
          </w:p>
          <w:p>
            <w:pPr>
              <w:pStyle w:val="59"/>
              <w:numPr>
                <w:ilvl w:val="0"/>
                <w:numId w:val="7"/>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具备一定的软硬件专业知识，能与项目团队进行无障碍沟通。</w:t>
            </w:r>
          </w:p>
          <w:p>
            <w:pPr>
              <w:pStyle w:val="59"/>
              <w:numPr>
                <w:ilvl w:val="0"/>
                <w:numId w:val="7"/>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熟悉项目测评、验收流程，能高效的组织开展项目的第三方测评、等保测评、竣工验收等相关工作。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numPr>
                <w:ilvl w:val="0"/>
                <w:numId w:val="8"/>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具备较强的信息系统项目管理知识体系及丰富项目技术经验，能组织技术团队按照相关要求开展系统开发工作。</w:t>
            </w:r>
          </w:p>
          <w:p>
            <w:pPr>
              <w:pStyle w:val="59"/>
              <w:numPr>
                <w:ilvl w:val="0"/>
                <w:numId w:val="8"/>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具备较强的文件编写能力，能完成项目交付所涉及的相关技术文档的统筹编制、审核工作，如《系统详细设计说明书》、《需求规格说明书》等。</w:t>
            </w:r>
          </w:p>
          <w:p>
            <w:pPr>
              <w:pStyle w:val="59"/>
              <w:numPr>
                <w:ilvl w:val="0"/>
                <w:numId w:val="8"/>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具备较强的沟通协调能力，能很好和实施负责人和实施团队开展技术交底工作。</w:t>
            </w:r>
          </w:p>
          <w:p>
            <w:pPr>
              <w:pStyle w:val="59"/>
              <w:numPr>
                <w:ilvl w:val="0"/>
                <w:numId w:val="8"/>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具备较强的技术能力，为项目实施中的各道工序提供技术指导，并在各阶段完成后进行技术审核工作，同时组织技术团队及时处理项目实施过程中遇到的各类技术问题。</w:t>
            </w:r>
          </w:p>
          <w:p>
            <w:pPr>
              <w:pStyle w:val="59"/>
              <w:numPr>
                <w:ilvl w:val="0"/>
                <w:numId w:val="8"/>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具备较强的大数据分析与数据库管理能力，能协助项目经理对本项目所涉及的政务数据、数据对接、数据接入的审核工作，并提出指导性建议</w:t>
            </w:r>
          </w:p>
          <w:p>
            <w:pPr>
              <w:pStyle w:val="59"/>
              <w:numPr>
                <w:ilvl w:val="0"/>
                <w:numId w:val="8"/>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具备丰富的信息安全相关知识，能完成本项目所涉及的相关数据的安全审核工作，并提出指导性建议。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架构组负责人</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numPr>
                <w:ilvl w:val="0"/>
                <w:numId w:val="9"/>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具备较强的信息系统项目管理知识体系及丰富项目实施经验，能组织实施团队按照要求开展项目实施工作。</w:t>
            </w:r>
          </w:p>
          <w:p>
            <w:pPr>
              <w:pStyle w:val="59"/>
              <w:numPr>
                <w:ilvl w:val="0"/>
                <w:numId w:val="9"/>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具备较强的系统规划和管理能力，能熟练的实施信息技术服务规划和系统运行管理。</w:t>
            </w:r>
          </w:p>
          <w:p>
            <w:pPr>
              <w:pStyle w:val="2"/>
              <w:numPr>
                <w:ilvl w:val="0"/>
                <w:numId w:val="9"/>
              </w:numPr>
              <w:adjustRightInd w:val="0"/>
              <w:snapToGrid w:val="0"/>
              <w:spacing w:before="120" w:beforeLines="50" w:afterLines="50"/>
              <w:rPr>
                <w:rFonts w:hint="eastAsia" w:ascii="宋体" w:hAnsi="宋体" w:eastAsia="宋体" w:cs="宋体"/>
                <w:sz w:val="24"/>
                <w:szCs w:val="24"/>
              </w:rPr>
            </w:pPr>
            <w:r>
              <w:rPr>
                <w:rFonts w:hint="eastAsia" w:ascii="宋体" w:hAnsi="宋体" w:eastAsia="宋体" w:cs="宋体"/>
                <w:sz w:val="24"/>
                <w:szCs w:val="24"/>
              </w:rPr>
              <w:t>具有大数据方面的管理技能，能承担大数据方面的架构设计工作</w:t>
            </w:r>
          </w:p>
          <w:p>
            <w:pPr>
              <w:pStyle w:val="59"/>
              <w:numPr>
                <w:ilvl w:val="0"/>
                <w:numId w:val="9"/>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界定各系统功能边界，负责平台系统架构，系统设计。</w:t>
            </w:r>
          </w:p>
          <w:p>
            <w:pPr>
              <w:pStyle w:val="2"/>
              <w:numPr>
                <w:ilvl w:val="0"/>
                <w:numId w:val="9"/>
              </w:numPr>
              <w:adjustRightInd w:val="0"/>
              <w:snapToGrid w:val="0"/>
              <w:spacing w:before="120" w:beforeLines="50" w:afterLines="50"/>
              <w:rPr>
                <w:rFonts w:hint="eastAsia" w:ascii="宋体" w:hAnsi="宋体" w:eastAsia="宋体" w:cs="宋体"/>
                <w:sz w:val="24"/>
                <w:szCs w:val="24"/>
              </w:rPr>
            </w:pPr>
            <w:r>
              <w:rPr>
                <w:rFonts w:hint="eastAsia" w:ascii="宋体" w:hAnsi="宋体" w:eastAsia="宋体" w:cs="宋体"/>
                <w:sz w:val="24"/>
                <w:szCs w:val="24"/>
              </w:rPr>
              <w:t>具备较强的信息安全知识，能有序的组织开展信息安全相关建设工作。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数据分析组负责人</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numPr>
                <w:ilvl w:val="0"/>
                <w:numId w:val="10"/>
              </w:numPr>
              <w:adjustRightInd w:val="0"/>
              <w:snapToGrid w:val="0"/>
              <w:spacing w:before="120" w:beforeLines="50" w:afterLines="50"/>
              <w:rPr>
                <w:rFonts w:hint="eastAsia" w:ascii="宋体" w:hAnsi="宋体" w:eastAsia="宋体" w:cs="宋体"/>
                <w:sz w:val="24"/>
                <w:szCs w:val="24"/>
              </w:rPr>
            </w:pPr>
            <w:r>
              <w:rPr>
                <w:rFonts w:hint="eastAsia" w:ascii="宋体" w:hAnsi="宋体" w:eastAsia="宋体" w:cs="宋体"/>
                <w:sz w:val="24"/>
                <w:szCs w:val="24"/>
              </w:rPr>
              <w:t>负责数据事项的梳理与获取协调工作</w:t>
            </w:r>
          </w:p>
          <w:p>
            <w:pPr>
              <w:pStyle w:val="2"/>
              <w:numPr>
                <w:ilvl w:val="0"/>
                <w:numId w:val="10"/>
              </w:numPr>
              <w:adjustRightInd w:val="0"/>
              <w:snapToGrid w:val="0"/>
              <w:spacing w:before="120" w:beforeLines="50" w:afterLines="50"/>
              <w:rPr>
                <w:rFonts w:hint="eastAsia" w:ascii="宋体" w:hAnsi="宋体" w:eastAsia="宋体" w:cs="宋体"/>
                <w:sz w:val="24"/>
                <w:szCs w:val="24"/>
              </w:rPr>
            </w:pPr>
            <w:r>
              <w:rPr>
                <w:rFonts w:hint="eastAsia" w:ascii="宋体" w:hAnsi="宋体" w:eastAsia="宋体" w:cs="宋体"/>
                <w:sz w:val="24"/>
                <w:szCs w:val="24"/>
              </w:rPr>
              <w:t>负责应用资源数据的录入和核查</w:t>
            </w:r>
          </w:p>
          <w:p>
            <w:pPr>
              <w:pStyle w:val="2"/>
              <w:numPr>
                <w:ilvl w:val="0"/>
                <w:numId w:val="10"/>
              </w:numPr>
              <w:adjustRightInd w:val="0"/>
              <w:snapToGrid w:val="0"/>
              <w:spacing w:before="120" w:beforeLines="50" w:afterLines="50"/>
              <w:rPr>
                <w:rFonts w:hint="eastAsia" w:ascii="宋体" w:hAnsi="宋体" w:eastAsia="宋体" w:cs="宋体"/>
                <w:sz w:val="24"/>
                <w:szCs w:val="24"/>
              </w:rPr>
            </w:pPr>
            <w:r>
              <w:rPr>
                <w:rFonts w:hint="eastAsia" w:ascii="宋体" w:hAnsi="宋体" w:eastAsia="宋体" w:cs="宋体"/>
                <w:sz w:val="24"/>
                <w:szCs w:val="24"/>
              </w:rPr>
              <w:t>具备较强的大数据分析与数据库管理能力，能协助项目经理、技术负责人对本项目所涉及的政务数据、数据对接、数据接入的工作，并提出指导性建议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开发组负责人</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numPr>
                <w:ilvl w:val="0"/>
                <w:numId w:val="11"/>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具备较强的信息系统项目管理知识体系及丰富项目实施经验，能组织实施团队按照要求开展项目实施工作，如系统安装部署、系统测试等。</w:t>
            </w:r>
          </w:p>
          <w:p>
            <w:pPr>
              <w:pStyle w:val="59"/>
              <w:numPr>
                <w:ilvl w:val="0"/>
                <w:numId w:val="11"/>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具备较强沟通协调能力，能与技术负责人流畅的沟通，并按照相关要求完成项目的实施交付工作。</w:t>
            </w:r>
          </w:p>
          <w:p>
            <w:pPr>
              <w:pStyle w:val="59"/>
              <w:numPr>
                <w:ilvl w:val="0"/>
                <w:numId w:val="11"/>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具备一定的文档编制能力，能组织开展实施计划、实施方案、各项管理制度以及《用户手册》等资料的编制工作。</w:t>
            </w:r>
          </w:p>
          <w:p>
            <w:pPr>
              <w:pStyle w:val="59"/>
              <w:numPr>
                <w:ilvl w:val="0"/>
                <w:numId w:val="11"/>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具备较强的大数据分析能力，能协助项目经理对本项目所涉及的政务数据、数据对接、数据接入的管理工作，并提出指导性建议</w:t>
            </w:r>
          </w:p>
          <w:p>
            <w:pPr>
              <w:pStyle w:val="59"/>
              <w:numPr>
                <w:ilvl w:val="0"/>
                <w:numId w:val="11"/>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具备较强的信息安全知识，能有序的组织开展信息安全相关建设工作。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交付保障服务组负责人</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numPr>
                <w:ilvl w:val="0"/>
                <w:numId w:val="12"/>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 xml:space="preserve">负责对项目服务人员的总体组织和管理，与用户及时沟通，对服务团队进行内部考核， </w:t>
            </w:r>
          </w:p>
          <w:p>
            <w:pPr>
              <w:pStyle w:val="59"/>
              <w:numPr>
                <w:ilvl w:val="0"/>
                <w:numId w:val="12"/>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具备IT服务项目的服务能力，能对项目服务响应时效、服务质量负责。</w:t>
            </w:r>
          </w:p>
          <w:p>
            <w:pPr>
              <w:pStyle w:val="59"/>
              <w:numPr>
                <w:ilvl w:val="0"/>
                <w:numId w:val="12"/>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具有一定的数据分析与安全管理能力，能针对交付过程中的政务数据进行数据分析与安全管理，确保数据交付质量与数据安全。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系统安全保障组负责人</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numPr>
                <w:ilvl w:val="0"/>
                <w:numId w:val="13"/>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负责系统开发阶段安全管理以及系统的安全测试工作，保障系统上线后的信息安全</w:t>
            </w:r>
          </w:p>
          <w:p>
            <w:pPr>
              <w:pStyle w:val="59"/>
              <w:numPr>
                <w:ilvl w:val="0"/>
                <w:numId w:val="13"/>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具备信息安全管理能力，能承担数据保密、数据安全等工作</w:t>
            </w:r>
          </w:p>
          <w:p>
            <w:pPr>
              <w:pStyle w:val="59"/>
              <w:numPr>
                <w:ilvl w:val="0"/>
                <w:numId w:val="13"/>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具备网络信息安全的技术能力，在系统部署、系统调测中对系统网络架构、网络安全配置等基础环境进行审核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120" w:beforeLines="50" w:after="120" w:afterLines="5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团队各组成员</w:t>
            </w:r>
          </w:p>
        </w:tc>
        <w:tc>
          <w:tcPr>
            <w:tcW w:w="6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numPr>
                <w:ilvl w:val="0"/>
                <w:numId w:val="14"/>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协助负责人和项目开发团队完成产品研发、安全管理、服务、测试；</w:t>
            </w:r>
          </w:p>
          <w:p>
            <w:pPr>
              <w:pStyle w:val="59"/>
              <w:numPr>
                <w:ilvl w:val="0"/>
                <w:numId w:val="14"/>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协助负责人完成产品开发设计并及时与用户单位进行设计确认。</w:t>
            </w:r>
          </w:p>
          <w:p>
            <w:pPr>
              <w:pStyle w:val="59"/>
              <w:numPr>
                <w:ilvl w:val="0"/>
                <w:numId w:val="14"/>
              </w:numPr>
              <w:adjustRightInd w:val="0"/>
              <w:snapToGrid w:val="0"/>
              <w:spacing w:before="120" w:beforeLines="50" w:after="120" w:afterLines="50"/>
              <w:ind w:firstLineChars="0"/>
              <w:rPr>
                <w:rFonts w:hint="eastAsia" w:ascii="宋体" w:hAnsi="宋体" w:eastAsia="宋体" w:cs="宋体"/>
                <w:sz w:val="24"/>
                <w:szCs w:val="24"/>
              </w:rPr>
            </w:pPr>
            <w:r>
              <w:rPr>
                <w:rFonts w:hint="eastAsia" w:ascii="宋体" w:hAnsi="宋体" w:eastAsia="宋体" w:cs="宋体"/>
                <w:sz w:val="24"/>
                <w:szCs w:val="24"/>
              </w:rPr>
              <w:t>项目团队各组人员需具备相应职责的技术能力。</w:t>
            </w:r>
          </w:p>
        </w:tc>
      </w:tr>
    </w:tbl>
    <w:p>
      <w:pPr>
        <w:adjustRightInd w:val="0"/>
        <w:snapToGrid w:val="0"/>
        <w:spacing w:line="360" w:lineRule="auto"/>
        <w:ind w:firstLine="480"/>
        <w:rPr>
          <w:rFonts w:hint="eastAsia" w:ascii="宋体" w:hAnsi="宋体"/>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sz w:val="24"/>
          <w:lang w:val="en-US" w:eastAsia="zh-CN"/>
        </w:rPr>
      </w:pPr>
      <w:r>
        <w:rPr>
          <w:rFonts w:hint="eastAsia" w:ascii="宋体" w:hAnsi="宋体"/>
          <w:sz w:val="24"/>
          <w:lang w:val="zh-CN"/>
        </w:rPr>
        <w:t>●</w:t>
      </w:r>
      <w:r>
        <w:rPr>
          <w:rFonts w:hint="eastAsia" w:ascii="宋体" w:hAnsi="宋体"/>
          <w:sz w:val="24"/>
          <w:lang w:val="en-US" w:eastAsia="zh-CN"/>
        </w:rPr>
        <w:t>9.1.2</w:t>
      </w:r>
      <w:r>
        <w:rPr>
          <w:rFonts w:ascii="宋体" w:hAnsi="宋体"/>
          <w:sz w:val="24"/>
        </w:rPr>
        <w:t>服务提供方应将项目配置的人员与项目各实施阶段进行对应，并提供配置人员的详细技术背景和资质材料，各成员的简历和项目时间投入保证；采购人有权对服务提供方人员进行审查、抽查、面试，并有权要求服务提供方更换不称职的人员</w:t>
      </w:r>
      <w:r>
        <w:rPr>
          <w:rFonts w:hint="eastAsia" w:ascii="宋体" w:hAnsi="宋体"/>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9.1.3</w:t>
      </w:r>
      <w:r>
        <w:rPr>
          <w:rFonts w:hint="eastAsia" w:ascii="宋体" w:hAnsi="宋体"/>
          <w:sz w:val="24"/>
        </w:rPr>
        <w:t>服务方承诺项目人员系公司正式员工，</w:t>
      </w:r>
      <w:r>
        <w:rPr>
          <w:rFonts w:hint="eastAsia" w:ascii="宋体" w:hAnsi="宋体"/>
          <w:b/>
          <w:bCs/>
          <w:sz w:val="24"/>
        </w:rPr>
        <w:t>提供承诺函，并加盖投标人电子印章（格式自拟）</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9.1.4</w:t>
      </w:r>
      <w:r>
        <w:rPr>
          <w:rFonts w:ascii="宋体" w:hAnsi="宋体"/>
          <w:sz w:val="24"/>
        </w:rPr>
        <w:t>服务提供方应保证在系统开发过程中，项目经理、</w:t>
      </w:r>
      <w:r>
        <w:rPr>
          <w:rFonts w:hint="eastAsia" w:cs="等线" w:asciiTheme="minorEastAsia" w:hAnsiTheme="minorEastAsia" w:eastAsiaTheme="minorEastAsia"/>
          <w:sz w:val="24"/>
        </w:rPr>
        <w:t>技术负责人</w:t>
      </w:r>
      <w:r>
        <w:rPr>
          <w:rFonts w:ascii="宋体" w:hAnsi="宋体"/>
          <w:sz w:val="24"/>
        </w:rPr>
        <w:t>、</w:t>
      </w:r>
      <w:r>
        <w:rPr>
          <w:rFonts w:hint="eastAsia" w:ascii="宋体" w:hAnsi="宋体"/>
          <w:sz w:val="24"/>
        </w:rPr>
        <w:t>技术团队</w:t>
      </w:r>
      <w:r>
        <w:rPr>
          <w:rFonts w:ascii="宋体" w:hAnsi="宋体"/>
          <w:sz w:val="24"/>
        </w:rPr>
        <w:t>主要研发成员全程采用</w:t>
      </w:r>
      <w:r>
        <w:rPr>
          <w:rFonts w:hint="eastAsia" w:ascii="宋体" w:hAnsi="宋体"/>
          <w:sz w:val="24"/>
        </w:rPr>
        <w:t>驻场</w:t>
      </w:r>
      <w:r>
        <w:rPr>
          <w:rFonts w:ascii="宋体" w:hAnsi="宋体"/>
          <w:sz w:val="24"/>
        </w:rPr>
        <w:t>办公方式进行产品研发；在系统测试和工程实施阶段，要求</w:t>
      </w:r>
      <w:r>
        <w:rPr>
          <w:rFonts w:hint="eastAsia" w:ascii="宋体" w:hAnsi="宋体"/>
          <w:sz w:val="24"/>
        </w:rPr>
        <w:t>团队</w:t>
      </w:r>
      <w:r>
        <w:rPr>
          <w:rFonts w:ascii="宋体" w:hAnsi="宋体"/>
          <w:sz w:val="24"/>
        </w:rPr>
        <w:t>主要实施人员</w:t>
      </w:r>
      <w:r>
        <w:rPr>
          <w:rFonts w:hint="eastAsia" w:ascii="宋体" w:hAnsi="宋体"/>
          <w:sz w:val="24"/>
        </w:rPr>
        <w:t>驻场</w:t>
      </w:r>
      <w:r>
        <w:rPr>
          <w:rFonts w:ascii="宋体" w:hAnsi="宋体"/>
          <w:sz w:val="24"/>
        </w:rPr>
        <w:t>办公</w:t>
      </w:r>
      <w:r>
        <w:rPr>
          <w:rFonts w:hint="eastAsia" w:ascii="宋体" w:hAnsi="宋体"/>
          <w:sz w:val="24"/>
        </w:rPr>
        <w:t>。采购</w:t>
      </w:r>
      <w:r>
        <w:rPr>
          <w:rFonts w:ascii="宋体" w:hAnsi="宋体"/>
          <w:sz w:val="24"/>
        </w:rPr>
        <w:t>人提供驻场办公场地和必要</w:t>
      </w:r>
      <w:r>
        <w:rPr>
          <w:rFonts w:hint="eastAsia" w:ascii="宋体" w:hAnsi="宋体"/>
          <w:sz w:val="24"/>
        </w:rPr>
        <w:t>的</w:t>
      </w:r>
      <w:r>
        <w:rPr>
          <w:rFonts w:ascii="宋体" w:hAnsi="宋体"/>
          <w:sz w:val="24"/>
        </w:rPr>
        <w:t>网络环境</w:t>
      </w:r>
      <w:r>
        <w:rPr>
          <w:rFonts w:hint="eastAsia" w:ascii="宋体" w:hAnsi="宋体"/>
          <w:sz w:val="24"/>
        </w:rPr>
        <w:t>，</w:t>
      </w:r>
      <w:r>
        <w:rPr>
          <w:rFonts w:ascii="宋体" w:hAnsi="宋体"/>
          <w:sz w:val="24"/>
        </w:rPr>
        <w:t>其他</w:t>
      </w:r>
      <w:r>
        <w:rPr>
          <w:rFonts w:hint="eastAsia" w:ascii="宋体" w:hAnsi="宋体"/>
          <w:sz w:val="24"/>
        </w:rPr>
        <w:t>设备</w:t>
      </w:r>
      <w:r>
        <w:rPr>
          <w:rFonts w:ascii="宋体" w:hAnsi="宋体"/>
          <w:sz w:val="24"/>
        </w:rPr>
        <w:t>设施</w:t>
      </w:r>
      <w:r>
        <w:rPr>
          <w:rFonts w:hint="eastAsia" w:ascii="宋体" w:hAnsi="宋体"/>
          <w:sz w:val="24"/>
        </w:rPr>
        <w:t>由</w:t>
      </w:r>
      <w:r>
        <w:rPr>
          <w:rFonts w:ascii="宋体" w:hAnsi="宋体"/>
          <w:sz w:val="24"/>
        </w:rPr>
        <w:t>服务提供方自</w:t>
      </w:r>
      <w:r>
        <w:rPr>
          <w:rFonts w:hint="eastAsia" w:ascii="宋体" w:hAnsi="宋体"/>
          <w:sz w:val="24"/>
        </w:rPr>
        <w:t>备</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9.1.5</w:t>
      </w:r>
      <w:r>
        <w:rPr>
          <w:rFonts w:ascii="宋体" w:hAnsi="宋体"/>
          <w:sz w:val="24"/>
        </w:rPr>
        <w:t>服务提供方应保证项目组成员稳定，减少核心人员流失，项目组人员在一年内不得退出或更换，若因特殊原因需调整，需经采购人同意；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9.1.6</w:t>
      </w:r>
      <w:r>
        <w:rPr>
          <w:rFonts w:ascii="宋体" w:hAnsi="宋体"/>
          <w:sz w:val="24"/>
        </w:rPr>
        <w:t>为保证工程质量与进度，服务提供方应根据工程实施情况，及时增派项目人员。</w:t>
      </w:r>
      <w:bookmarkStart w:id="198" w:name="_Toc2195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en-US" w:eastAsia="zh-CN"/>
        </w:rPr>
        <w:t>9.2</w:t>
      </w:r>
      <w:r>
        <w:rPr>
          <w:rFonts w:ascii="宋体" w:hAnsi="宋体"/>
          <w:sz w:val="24"/>
        </w:rPr>
        <w:t>程序设计和开发</w:t>
      </w:r>
      <w:bookmarkEnd w:id="19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9.2.1</w:t>
      </w:r>
      <w:r>
        <w:rPr>
          <w:rFonts w:ascii="宋体" w:hAnsi="宋体"/>
          <w:sz w:val="24"/>
        </w:rPr>
        <w:t>服务提供方在接到采购人的业务开发需求后</w:t>
      </w:r>
      <w:r>
        <w:rPr>
          <w:rFonts w:hint="eastAsia" w:ascii="宋体" w:hAnsi="宋体"/>
          <w:sz w:val="24"/>
          <w:lang w:val="en-US" w:eastAsia="zh-CN"/>
        </w:rPr>
        <w:t>需</w:t>
      </w:r>
      <w:r>
        <w:rPr>
          <w:rFonts w:ascii="宋体" w:hAnsi="宋体"/>
          <w:sz w:val="24"/>
        </w:rPr>
        <w:t>组织相关部门技术负责人讨论技术方案并做出系统概要设计和详细设计，在设计过程中</w:t>
      </w:r>
      <w:r>
        <w:rPr>
          <w:rFonts w:hint="eastAsia" w:ascii="宋体" w:hAnsi="宋体"/>
          <w:sz w:val="24"/>
          <w:lang w:val="en-US" w:eastAsia="zh-CN"/>
        </w:rPr>
        <w:t>需</w:t>
      </w:r>
      <w:r>
        <w:rPr>
          <w:rFonts w:ascii="宋体" w:hAnsi="宋体"/>
          <w:sz w:val="24"/>
        </w:rPr>
        <w:t>考虑各子系统间的相互影响，杜绝程序修改影响其他子系统不能正常工作的现象发生。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9.2.2</w:t>
      </w:r>
      <w:r>
        <w:rPr>
          <w:rFonts w:ascii="宋体" w:hAnsi="宋体"/>
          <w:sz w:val="24"/>
        </w:rPr>
        <w:t>服务提供方在制定系统概要设计和详细设计时</w:t>
      </w:r>
      <w:r>
        <w:rPr>
          <w:rFonts w:hint="eastAsia" w:ascii="宋体" w:hAnsi="宋体"/>
          <w:sz w:val="24"/>
          <w:lang w:val="en-US" w:eastAsia="zh-CN"/>
        </w:rPr>
        <w:t>需</w:t>
      </w:r>
      <w:r>
        <w:rPr>
          <w:rFonts w:ascii="宋体" w:hAnsi="宋体"/>
          <w:sz w:val="24"/>
        </w:rPr>
        <w:t>和采购人相关部门进行需求的讨论，并在完成概要设计和详细设计后经采购人相关部门确认再做相关具体开发工作。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9.2.3</w:t>
      </w:r>
      <w:r>
        <w:rPr>
          <w:rFonts w:ascii="宋体" w:hAnsi="宋体"/>
          <w:sz w:val="24"/>
        </w:rPr>
        <w:t>服务提供方在完成详细设计后即可进入程序开发阶段，开发工作</w:t>
      </w:r>
      <w:r>
        <w:rPr>
          <w:rFonts w:hint="eastAsia" w:ascii="宋体" w:hAnsi="宋体"/>
          <w:sz w:val="24"/>
          <w:lang w:val="en-US" w:eastAsia="zh-CN"/>
        </w:rPr>
        <w:t>需</w:t>
      </w:r>
      <w:r>
        <w:rPr>
          <w:rFonts w:ascii="宋体" w:hAnsi="宋体"/>
          <w:sz w:val="24"/>
        </w:rPr>
        <w:t>根据概要设计和详细设计进行，不得任意修改程序设计，如确</w:t>
      </w:r>
      <w:r>
        <w:rPr>
          <w:rFonts w:hint="eastAsia" w:ascii="宋体" w:hAnsi="宋体"/>
          <w:sz w:val="24"/>
          <w:lang w:val="en-US" w:eastAsia="zh-CN"/>
        </w:rPr>
        <w:t>需</w:t>
      </w:r>
      <w:r>
        <w:rPr>
          <w:rFonts w:ascii="宋体" w:hAnsi="宋体"/>
          <w:sz w:val="24"/>
        </w:rPr>
        <w:t>修改则应修改设计并提交采购人重新评审完成后再开始程序开发。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9.2.4</w:t>
      </w:r>
      <w:r>
        <w:rPr>
          <w:rFonts w:ascii="宋体" w:hAnsi="宋体"/>
          <w:sz w:val="24"/>
        </w:rPr>
        <w:t>开发人员</w:t>
      </w:r>
      <w:r>
        <w:rPr>
          <w:rFonts w:hint="eastAsia" w:ascii="宋体" w:hAnsi="宋体"/>
          <w:sz w:val="24"/>
          <w:lang w:val="en-US" w:eastAsia="zh-CN"/>
        </w:rPr>
        <w:t>需</w:t>
      </w:r>
      <w:r>
        <w:rPr>
          <w:rFonts w:ascii="宋体" w:hAnsi="宋体"/>
          <w:sz w:val="24"/>
        </w:rPr>
        <w:t>严格遵循业界相关开发标准，不得随</w:t>
      </w:r>
      <w:r>
        <w:rPr>
          <w:rFonts w:hint="eastAsia" w:ascii="宋体" w:hAnsi="宋体"/>
          <w:sz w:val="24"/>
        </w:rPr>
        <w:t>意</w:t>
      </w:r>
      <w:r>
        <w:rPr>
          <w:rFonts w:ascii="宋体" w:hAnsi="宋体"/>
          <w:sz w:val="24"/>
        </w:rPr>
        <w:t>改变程序编码风格，不得随意简化程序的实现方式。</w:t>
      </w:r>
      <w:r>
        <w:rPr>
          <w:rFonts w:hint="eastAsia" w:ascii="宋体" w:hAnsi="宋体"/>
          <w:sz w:val="24"/>
          <w:lang w:val="en-US" w:eastAsia="zh-CN"/>
        </w:rPr>
        <w:t>需</w:t>
      </w:r>
      <w:r>
        <w:rPr>
          <w:rFonts w:ascii="宋体" w:hAnsi="宋体"/>
          <w:sz w:val="24"/>
        </w:rPr>
        <w:t>保证开发完成的程序具有较好的可读性、灵活性、完备性，保证系统的质量。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9.2.5</w:t>
      </w:r>
      <w:r>
        <w:rPr>
          <w:rFonts w:ascii="宋体" w:hAnsi="宋体"/>
          <w:sz w:val="24"/>
        </w:rPr>
        <w:t>服务提供方</w:t>
      </w:r>
      <w:r>
        <w:rPr>
          <w:rFonts w:hint="eastAsia" w:ascii="宋体" w:hAnsi="宋体"/>
          <w:sz w:val="24"/>
          <w:lang w:val="en-US" w:eastAsia="zh-CN"/>
        </w:rPr>
        <w:t>可</w:t>
      </w:r>
      <w:r>
        <w:rPr>
          <w:rFonts w:ascii="宋体" w:hAnsi="宋体"/>
          <w:sz w:val="24"/>
        </w:rPr>
        <w:t>根据采购人要求对软件不符合实际需求的地方进行二次定制开发</w:t>
      </w:r>
      <w:r>
        <w:rPr>
          <w:rFonts w:hint="eastAsia" w:ascii="宋体" w:hAnsi="宋体"/>
          <w:sz w:val="24"/>
        </w:rPr>
        <w:t>，</w:t>
      </w:r>
      <w:r>
        <w:rPr>
          <w:rFonts w:ascii="宋体" w:hAnsi="宋体"/>
          <w:sz w:val="24"/>
        </w:rPr>
        <w:t>提供需求分析</w:t>
      </w:r>
      <w:r>
        <w:rPr>
          <w:rFonts w:hint="eastAsia" w:ascii="宋体" w:hAnsi="宋体"/>
          <w:sz w:val="24"/>
        </w:rPr>
        <w:t>、概要设计、</w:t>
      </w:r>
      <w:r>
        <w:rPr>
          <w:rFonts w:ascii="宋体" w:hAnsi="宋体"/>
          <w:sz w:val="24"/>
        </w:rPr>
        <w:t>详细设计</w:t>
      </w:r>
      <w:r>
        <w:rPr>
          <w:rFonts w:hint="eastAsia" w:ascii="宋体" w:hAnsi="宋体"/>
          <w:sz w:val="24"/>
        </w:rPr>
        <w:t>，</w:t>
      </w:r>
      <w:r>
        <w:rPr>
          <w:rFonts w:ascii="宋体" w:hAnsi="宋体"/>
          <w:sz w:val="24"/>
        </w:rPr>
        <w:t>经采购人相关部门确认后进行二次开发工作</w:t>
      </w:r>
      <w:r>
        <w:rPr>
          <w:rFonts w:hint="eastAsia" w:ascii="宋体" w:hAnsi="宋体"/>
          <w:sz w:val="24"/>
        </w:rPr>
        <w:t>。程序设计和开发要求同前述5点。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9.3</w:t>
      </w:r>
      <w:r>
        <w:rPr>
          <w:rFonts w:hint="eastAsia" w:ascii="宋体" w:hAnsi="宋体"/>
          <w:sz w:val="24"/>
        </w:rPr>
        <w:t>文档要求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rPr>
        <w:t>服务</w:t>
      </w:r>
      <w:r>
        <w:rPr>
          <w:rFonts w:ascii="宋体" w:hAnsi="宋体"/>
          <w:sz w:val="24"/>
        </w:rPr>
        <w:t>提供方在项目建设过程中，应提供软件安装、操作、使用、测试、控制和维护手册，以及</w:t>
      </w:r>
      <w:r>
        <w:rPr>
          <w:rFonts w:hint="eastAsia" w:ascii="宋体" w:hAnsi="宋体"/>
          <w:sz w:val="24"/>
        </w:rPr>
        <w:t>为本项目定制开发的</w:t>
      </w:r>
      <w:r>
        <w:rPr>
          <w:rFonts w:ascii="宋体" w:hAnsi="宋体"/>
          <w:sz w:val="24"/>
        </w:rPr>
        <w:t>应用软件的所有源代码。包括但不仅限于以下内容：</w:t>
      </w:r>
      <w:bookmarkStart w:id="199" w:name="_Toc310412062"/>
      <w:bookmarkStart w:id="200" w:name="_Toc310410802"/>
      <w:bookmarkStart w:id="201" w:name="_Toc177972978"/>
      <w:bookmarkStart w:id="202" w:name="_Toc177972292"/>
      <w:bookmarkStart w:id="203" w:name="_Toc310411993"/>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sz w:val="24"/>
          <w:lang w:eastAsia="zh-CN"/>
        </w:rPr>
      </w:pPr>
      <w:r>
        <w:rPr>
          <w:rFonts w:hint="eastAsia" w:ascii="宋体" w:hAnsi="宋体"/>
          <w:b/>
          <w:bCs/>
          <w:sz w:val="24"/>
        </w:rPr>
        <w:t>技术</w:t>
      </w:r>
      <w:r>
        <w:rPr>
          <w:rFonts w:ascii="宋体" w:hAnsi="宋体"/>
          <w:b/>
          <w:bCs/>
          <w:sz w:val="24"/>
        </w:rPr>
        <w:t>文档</w:t>
      </w:r>
      <w:bookmarkEnd w:id="199"/>
      <w:bookmarkEnd w:id="200"/>
      <w:bookmarkEnd w:id="201"/>
      <w:bookmarkEnd w:id="202"/>
      <w:bookmarkEnd w:id="203"/>
      <w:r>
        <w:rPr>
          <w:rFonts w:hint="eastAsia" w:ascii="宋体" w:hAnsi="宋体"/>
          <w:b/>
          <w:bCs/>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项目开发计划，系统上线和试运行方案等</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系统设计类文档：含需求分析报告、软件需求确认书、应用系统软件数据流分析、需采集的数据分析与数据结构设计方案、软件总体设计方案、《详细设计方案》、《模块开发卷宗》、数据库字典等文档</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用户使用手册（包括《管理员使用手册》、《日常工作人员使用手册》等）</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软件主要技术数据、性能、功能详细描述文档</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开发修改所需环境说明，编程记录，修改记录等技术资料</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所有为本项目定制开发软件的源代码</w:t>
      </w:r>
      <w:r>
        <w:rPr>
          <w:rFonts w:hint="eastAsia" w:ascii="宋体" w:hAnsi="宋体"/>
          <w:sz w:val="24"/>
        </w:rPr>
        <w:t>，</w:t>
      </w:r>
      <w:r>
        <w:rPr>
          <w:rFonts w:ascii="宋体" w:hAnsi="宋体"/>
          <w:sz w:val="24"/>
        </w:rPr>
        <w:t>包括二次定制开发的源代码</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项目实施计划</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平台实施规划文档</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《系统安装配置手册》</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《系统故障维护手册》</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sz w:val="24"/>
          <w:lang w:eastAsia="zh-CN"/>
        </w:rPr>
      </w:pPr>
      <w:bookmarkStart w:id="204" w:name="_Toc310412063"/>
      <w:bookmarkStart w:id="205" w:name="_Toc310411994"/>
      <w:bookmarkStart w:id="206" w:name="_Toc177972293"/>
      <w:bookmarkStart w:id="207" w:name="_Toc310410803"/>
      <w:bookmarkStart w:id="208" w:name="_Toc177972979"/>
      <w:r>
        <w:rPr>
          <w:rFonts w:ascii="宋体" w:hAnsi="宋体"/>
          <w:b/>
          <w:bCs/>
          <w:sz w:val="24"/>
        </w:rPr>
        <w:t>测试验收文档</w:t>
      </w:r>
      <w:bookmarkEnd w:id="204"/>
      <w:bookmarkEnd w:id="205"/>
      <w:bookmarkEnd w:id="206"/>
      <w:bookmarkEnd w:id="207"/>
      <w:bookmarkEnd w:id="208"/>
      <w:r>
        <w:rPr>
          <w:rFonts w:hint="eastAsia" w:ascii="宋体" w:hAnsi="宋体"/>
          <w:b/>
          <w:bCs/>
          <w:sz w:val="24"/>
          <w:lang w:eastAsia="zh-CN"/>
        </w:rPr>
        <w:t>：</w:t>
      </w:r>
      <w:r>
        <w:rPr>
          <w:rFonts w:ascii="宋体" w:hAnsi="宋体"/>
          <w:sz w:val="24"/>
        </w:rPr>
        <w:t>《测试计划》及《测试方案》</w:t>
      </w:r>
      <w:r>
        <w:rPr>
          <w:rFonts w:hint="eastAsia" w:ascii="宋体" w:hAnsi="宋体"/>
          <w:sz w:val="24"/>
          <w:lang w:eastAsia="zh-CN"/>
        </w:rPr>
        <w:t>、</w:t>
      </w:r>
      <w:r>
        <w:rPr>
          <w:rFonts w:ascii="宋体" w:hAnsi="宋体"/>
          <w:sz w:val="24"/>
        </w:rPr>
        <w:t>《测试记录》</w:t>
      </w:r>
      <w:r>
        <w:rPr>
          <w:rFonts w:hint="eastAsia" w:ascii="宋体" w:hAnsi="宋体"/>
          <w:sz w:val="24"/>
          <w:lang w:eastAsia="zh-CN"/>
        </w:rPr>
        <w:t>、</w:t>
      </w:r>
      <w:r>
        <w:rPr>
          <w:rFonts w:ascii="宋体" w:hAnsi="宋体"/>
          <w:sz w:val="24"/>
        </w:rPr>
        <w:t>《测试报告》</w:t>
      </w:r>
      <w:r>
        <w:rPr>
          <w:rFonts w:hint="eastAsia" w:ascii="宋体" w:hAnsi="宋体"/>
          <w:sz w:val="24"/>
          <w:lang w:eastAsia="zh-CN"/>
        </w:rPr>
        <w:t>、</w:t>
      </w:r>
      <w:r>
        <w:rPr>
          <w:rFonts w:ascii="宋体" w:hAnsi="宋体"/>
          <w:sz w:val="24"/>
        </w:rPr>
        <w:t>《试运行/上线报告》</w:t>
      </w:r>
      <w:r>
        <w:rPr>
          <w:rFonts w:hint="eastAsia" w:ascii="宋体" w:hAnsi="宋体"/>
          <w:sz w:val="24"/>
          <w:lang w:eastAsia="zh-CN"/>
        </w:rPr>
        <w:t>、</w:t>
      </w:r>
      <w:r>
        <w:rPr>
          <w:rFonts w:ascii="宋体" w:hAnsi="宋体"/>
          <w:sz w:val="24"/>
        </w:rPr>
        <w:t>《验收方案》（包括验收方式、方法、指标等）</w:t>
      </w:r>
      <w:r>
        <w:rPr>
          <w:rFonts w:hint="eastAsia" w:ascii="宋体" w:hAnsi="宋体"/>
          <w:sz w:val="24"/>
          <w:lang w:eastAsia="zh-CN"/>
        </w:rPr>
        <w:t>、</w:t>
      </w:r>
      <w:r>
        <w:rPr>
          <w:rFonts w:ascii="宋体" w:hAnsi="宋体"/>
          <w:sz w:val="24"/>
        </w:rPr>
        <w:t>《验收记录》</w:t>
      </w:r>
      <w:r>
        <w:rPr>
          <w:rFonts w:hint="eastAsia" w:ascii="宋体" w:hAnsi="宋体"/>
          <w:sz w:val="24"/>
          <w:lang w:eastAsia="zh-CN"/>
        </w:rPr>
        <w:t>、</w:t>
      </w:r>
      <w:r>
        <w:rPr>
          <w:rFonts w:ascii="宋体" w:hAnsi="宋体"/>
          <w:sz w:val="24"/>
        </w:rPr>
        <w:t>《验收报告》</w:t>
      </w:r>
      <w:bookmarkStart w:id="209" w:name="_Toc177972294"/>
      <w:bookmarkStart w:id="210" w:name="_Toc310411995"/>
      <w:bookmarkStart w:id="211" w:name="_Toc177972980"/>
      <w:bookmarkStart w:id="212" w:name="_Toc310410804"/>
      <w:bookmarkStart w:id="213" w:name="_Toc310412064"/>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sz w:val="24"/>
          <w:lang w:eastAsia="zh-CN"/>
        </w:rPr>
      </w:pPr>
      <w:r>
        <w:rPr>
          <w:rFonts w:ascii="宋体" w:hAnsi="宋体"/>
          <w:b/>
          <w:bCs/>
          <w:sz w:val="24"/>
        </w:rPr>
        <w:t>培训文档</w:t>
      </w:r>
      <w:bookmarkEnd w:id="209"/>
      <w:bookmarkEnd w:id="210"/>
      <w:bookmarkEnd w:id="211"/>
      <w:bookmarkEnd w:id="212"/>
      <w:bookmarkEnd w:id="213"/>
      <w:r>
        <w:rPr>
          <w:rFonts w:hint="eastAsia" w:ascii="宋体" w:hAnsi="宋体"/>
          <w:b/>
          <w:bCs/>
          <w:sz w:val="24"/>
          <w:lang w:eastAsia="zh-CN"/>
        </w:rPr>
        <w:t>：</w:t>
      </w:r>
      <w:r>
        <w:rPr>
          <w:rFonts w:ascii="宋体" w:hAnsi="宋体"/>
          <w:sz w:val="24"/>
        </w:rPr>
        <w:t>《培训计划》</w:t>
      </w:r>
      <w:r>
        <w:rPr>
          <w:rFonts w:hint="eastAsia" w:ascii="宋体" w:hAnsi="宋体"/>
          <w:sz w:val="24"/>
          <w:lang w:eastAsia="zh-CN"/>
        </w:rPr>
        <w:t>、</w:t>
      </w:r>
      <w:r>
        <w:rPr>
          <w:rFonts w:ascii="宋体" w:hAnsi="宋体"/>
          <w:sz w:val="24"/>
        </w:rPr>
        <w:t>《培训记录》</w:t>
      </w:r>
      <w:r>
        <w:rPr>
          <w:rFonts w:hint="eastAsia" w:ascii="宋体" w:hAnsi="宋体"/>
          <w:sz w:val="24"/>
          <w:lang w:eastAsia="zh-CN"/>
        </w:rPr>
        <w:t>、</w:t>
      </w:r>
      <w:r>
        <w:rPr>
          <w:rFonts w:hint="eastAsia" w:ascii="宋体" w:hAnsi="宋体"/>
          <w:sz w:val="24"/>
        </w:rPr>
        <w:t xml:space="preserve"> </w:t>
      </w:r>
      <w:r>
        <w:rPr>
          <w:rFonts w:ascii="宋体" w:hAnsi="宋体"/>
          <w:sz w:val="24"/>
        </w:rPr>
        <w:t>培训教材</w:t>
      </w:r>
      <w:bookmarkStart w:id="214" w:name="_Toc310411996"/>
      <w:bookmarkStart w:id="215" w:name="_Toc177972981"/>
      <w:bookmarkStart w:id="216" w:name="_Toc310412065"/>
      <w:bookmarkStart w:id="217" w:name="_Toc310410805"/>
      <w:bookmarkStart w:id="218" w:name="_Toc177972295"/>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sz w:val="24"/>
          <w:lang w:eastAsia="zh-CN"/>
        </w:rPr>
      </w:pPr>
      <w:r>
        <w:rPr>
          <w:rFonts w:ascii="宋体" w:hAnsi="宋体"/>
          <w:b/>
          <w:bCs/>
          <w:sz w:val="24"/>
        </w:rPr>
        <w:t>服务文档</w:t>
      </w:r>
      <w:bookmarkEnd w:id="214"/>
      <w:bookmarkEnd w:id="215"/>
      <w:bookmarkEnd w:id="216"/>
      <w:bookmarkEnd w:id="217"/>
      <w:bookmarkEnd w:id="218"/>
      <w:r>
        <w:rPr>
          <w:rFonts w:hint="eastAsia" w:ascii="宋体" w:hAnsi="宋体"/>
          <w:b/>
          <w:bCs/>
          <w:sz w:val="24"/>
          <w:lang w:eastAsia="zh-CN"/>
        </w:rPr>
        <w:t>：</w:t>
      </w:r>
      <w:r>
        <w:rPr>
          <w:rFonts w:hint="eastAsia" w:ascii="宋体" w:hAnsi="宋体"/>
          <w:sz w:val="24"/>
        </w:rPr>
        <w:t xml:space="preserve"> </w:t>
      </w:r>
      <w:r>
        <w:rPr>
          <w:rFonts w:ascii="宋体" w:hAnsi="宋体"/>
          <w:sz w:val="24"/>
        </w:rPr>
        <w:t>售后服务规范</w:t>
      </w:r>
      <w:r>
        <w:rPr>
          <w:rFonts w:hint="eastAsia" w:ascii="宋体" w:hAnsi="宋体"/>
          <w:sz w:val="24"/>
          <w:lang w:eastAsia="zh-CN"/>
        </w:rPr>
        <w:t>、</w:t>
      </w:r>
      <w:r>
        <w:rPr>
          <w:rFonts w:hint="eastAsia" w:ascii="宋体" w:hAnsi="宋体"/>
          <w:sz w:val="24"/>
        </w:rPr>
        <w:t xml:space="preserve"> </w:t>
      </w:r>
      <w:r>
        <w:rPr>
          <w:rFonts w:ascii="宋体" w:hAnsi="宋体"/>
          <w:sz w:val="24"/>
        </w:rPr>
        <w:t>售后服务方案</w:t>
      </w:r>
      <w:bookmarkStart w:id="219" w:name="_Toc310411997"/>
      <w:bookmarkStart w:id="220" w:name="_Toc177972982"/>
      <w:bookmarkStart w:id="221" w:name="_Toc177972296"/>
      <w:bookmarkStart w:id="222" w:name="_Toc310410806"/>
      <w:bookmarkStart w:id="223" w:name="_Toc310412066"/>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sz w:val="24"/>
        </w:rPr>
      </w:pPr>
      <w:r>
        <w:rPr>
          <w:rFonts w:ascii="宋体" w:hAnsi="宋体"/>
          <w:b/>
          <w:bCs/>
          <w:sz w:val="24"/>
        </w:rPr>
        <w:t>会议记录文档</w:t>
      </w:r>
      <w:bookmarkEnd w:id="219"/>
      <w:bookmarkEnd w:id="220"/>
      <w:bookmarkEnd w:id="221"/>
      <w:bookmarkEnd w:id="222"/>
      <w:bookmarkEnd w:id="223"/>
      <w:r>
        <w:rPr>
          <w:rFonts w:hint="eastAsia" w:ascii="宋体" w:hAnsi="宋体"/>
          <w:b/>
          <w:bCs/>
          <w:sz w:val="24"/>
          <w:lang w:eastAsia="zh-CN"/>
        </w:rPr>
        <w:t>：</w:t>
      </w:r>
      <w:r>
        <w:rPr>
          <w:rFonts w:ascii="宋体" w:hAnsi="宋体"/>
          <w:sz w:val="24"/>
        </w:rPr>
        <w:t>《例会记录》</w:t>
      </w:r>
      <w:r>
        <w:rPr>
          <w:rFonts w:hint="eastAsia" w:ascii="宋体" w:hAnsi="宋体"/>
          <w:sz w:val="24"/>
          <w:lang w:eastAsia="zh-CN"/>
        </w:rPr>
        <w:t>、</w:t>
      </w:r>
      <w:r>
        <w:rPr>
          <w:rFonts w:ascii="宋体" w:hAnsi="宋体"/>
          <w:sz w:val="24"/>
        </w:rPr>
        <w:t>《会议记要》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sz w:val="24"/>
          <w:lang w:eastAsia="zh-CN"/>
        </w:rPr>
      </w:pPr>
      <w:bookmarkStart w:id="224" w:name="_Toc177972983"/>
      <w:bookmarkStart w:id="225" w:name="_Toc310411998"/>
      <w:bookmarkStart w:id="226" w:name="_Toc310412067"/>
      <w:bookmarkStart w:id="227" w:name="_Toc177972297"/>
      <w:bookmarkStart w:id="228" w:name="_Toc310410807"/>
      <w:r>
        <w:rPr>
          <w:rFonts w:ascii="宋体" w:hAnsi="宋体"/>
          <w:b/>
          <w:bCs/>
          <w:sz w:val="24"/>
        </w:rPr>
        <w:t>与项目相关的其他文档</w:t>
      </w:r>
      <w:bookmarkEnd w:id="224"/>
      <w:bookmarkEnd w:id="225"/>
      <w:bookmarkEnd w:id="226"/>
      <w:bookmarkEnd w:id="227"/>
      <w:bookmarkEnd w:id="228"/>
      <w:r>
        <w:rPr>
          <w:rFonts w:hint="eastAsia" w:ascii="宋体" w:hAnsi="宋体"/>
          <w:b/>
          <w:bCs/>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en-US" w:eastAsia="zh-CN"/>
        </w:rPr>
        <w:t>9.4</w:t>
      </w:r>
      <w:r>
        <w:rPr>
          <w:rFonts w:hint="eastAsia" w:ascii="宋体" w:hAnsi="宋体"/>
          <w:sz w:val="24"/>
        </w:rPr>
        <w:t>开发进度控制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9.4.1</w:t>
      </w:r>
      <w:r>
        <w:rPr>
          <w:rFonts w:ascii="宋体" w:hAnsi="宋体"/>
          <w:sz w:val="24"/>
        </w:rPr>
        <w:t>服务提供方</w:t>
      </w:r>
      <w:r>
        <w:rPr>
          <w:rFonts w:hint="eastAsia" w:ascii="宋体" w:hAnsi="宋体"/>
          <w:sz w:val="24"/>
          <w:lang w:val="en-US" w:eastAsia="zh-CN"/>
        </w:rPr>
        <w:t>需</w:t>
      </w:r>
      <w:r>
        <w:rPr>
          <w:rFonts w:ascii="宋体" w:hAnsi="宋体"/>
          <w:sz w:val="24"/>
        </w:rPr>
        <w:t>对程序开发进度严格控制，保证能够在规定时间内完成程序开发工作，要求提供详细工程进度计划，在规定的时间内未能完成程序开发，采购人可对服务提供方进行相应考核处罚。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9.4.2</w:t>
      </w:r>
      <w:r>
        <w:rPr>
          <w:rFonts w:ascii="宋体" w:hAnsi="宋体"/>
          <w:sz w:val="24"/>
        </w:rPr>
        <w:t>程序在提交前，服务提供方</w:t>
      </w:r>
      <w:r>
        <w:rPr>
          <w:rFonts w:hint="eastAsia" w:ascii="宋体" w:hAnsi="宋体"/>
          <w:sz w:val="24"/>
          <w:lang w:val="en-US" w:eastAsia="zh-CN"/>
        </w:rPr>
        <w:t>需</w:t>
      </w:r>
      <w:r>
        <w:rPr>
          <w:rFonts w:ascii="宋体" w:hAnsi="宋体"/>
          <w:sz w:val="24"/>
        </w:rPr>
        <w:t>配合进行详细的功能测试、稳定性测试、坚固性测试、异常测试、压力测试等工作，以保证程序的正确性。同时还</w:t>
      </w:r>
      <w:r>
        <w:rPr>
          <w:rFonts w:hint="eastAsia" w:ascii="宋体" w:hAnsi="宋体"/>
          <w:sz w:val="24"/>
          <w:lang w:val="en-US" w:eastAsia="zh-CN"/>
        </w:rPr>
        <w:t>需</w:t>
      </w:r>
      <w:r>
        <w:rPr>
          <w:rFonts w:ascii="宋体" w:hAnsi="宋体"/>
          <w:sz w:val="24"/>
        </w:rPr>
        <w:t>完成相关模块的回归测试工作，保证程序上线后对相关模块不产生影响。测试工作</w:t>
      </w:r>
      <w:r>
        <w:rPr>
          <w:rFonts w:hint="eastAsia" w:ascii="宋体" w:hAnsi="宋体"/>
          <w:sz w:val="24"/>
          <w:lang w:val="en-US" w:eastAsia="zh-CN"/>
        </w:rPr>
        <w:t>需</w:t>
      </w:r>
      <w:r>
        <w:rPr>
          <w:rFonts w:ascii="宋体" w:hAnsi="宋体"/>
          <w:sz w:val="24"/>
        </w:rPr>
        <w:t>配合向采购人相关部门提交详细的测试文档和测试案例。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en-US" w:eastAsia="zh-CN"/>
        </w:rPr>
        <w:t>9.5</w:t>
      </w:r>
      <w:r>
        <w:rPr>
          <w:rFonts w:ascii="宋体" w:hAnsi="宋体"/>
          <w:sz w:val="24"/>
        </w:rPr>
        <w:t>保证程序上线的正确性，移交手续完备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9.5.1</w:t>
      </w:r>
      <w:r>
        <w:rPr>
          <w:rFonts w:ascii="宋体" w:hAnsi="宋体"/>
          <w:sz w:val="24"/>
        </w:rPr>
        <w:t>经测试满足上线运行条件的程序方可上线运行，上线之前</w:t>
      </w:r>
      <w:r>
        <w:rPr>
          <w:rFonts w:hint="eastAsia" w:ascii="宋体" w:hAnsi="宋体"/>
          <w:sz w:val="24"/>
          <w:lang w:val="en-US" w:eastAsia="zh-CN"/>
        </w:rPr>
        <w:t>需</w:t>
      </w:r>
      <w:r>
        <w:rPr>
          <w:rFonts w:ascii="宋体" w:hAnsi="宋体"/>
          <w:sz w:val="24"/>
        </w:rPr>
        <w:t>先提交上线相关文档和代码：最新程序源代码、最新程序维护文档、上线相关脚本、上线计划和操作步骤。服务提供方</w:t>
      </w:r>
      <w:r>
        <w:rPr>
          <w:rFonts w:hint="eastAsia" w:ascii="宋体" w:hAnsi="宋体"/>
          <w:sz w:val="24"/>
          <w:lang w:val="en-US" w:eastAsia="zh-CN"/>
        </w:rPr>
        <w:t>需</w:t>
      </w:r>
      <w:r>
        <w:rPr>
          <w:rFonts w:ascii="宋体" w:hAnsi="宋体"/>
          <w:sz w:val="24"/>
        </w:rPr>
        <w:t>在采购人相关部门的同意和配合下方可完成上线工作。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9.5.2</w:t>
      </w:r>
      <w:r>
        <w:rPr>
          <w:rFonts w:ascii="宋体" w:hAnsi="宋体"/>
          <w:sz w:val="24"/>
        </w:rPr>
        <w:t>程序上线前</w:t>
      </w:r>
      <w:r>
        <w:rPr>
          <w:rFonts w:hint="eastAsia" w:ascii="宋体" w:hAnsi="宋体"/>
          <w:sz w:val="24"/>
          <w:lang w:val="en-US" w:eastAsia="zh-CN"/>
        </w:rPr>
        <w:t>需</w:t>
      </w:r>
      <w:r>
        <w:rPr>
          <w:rFonts w:ascii="宋体" w:hAnsi="宋体"/>
          <w:sz w:val="24"/>
        </w:rPr>
        <w:t>完成好上线前的准备工作，严格按照上线操作步骤执行，不允许在上线过程中对上线工作随意修改，不得在上线过程中现场修改代码，如发生以上现象按该项开发工作未按时完成处理。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9.5.3</w:t>
      </w:r>
      <w:r>
        <w:rPr>
          <w:rFonts w:ascii="宋体" w:hAnsi="宋体"/>
          <w:sz w:val="24"/>
        </w:rPr>
        <w:t>上线工作完成后</w:t>
      </w:r>
      <w:r>
        <w:rPr>
          <w:rFonts w:hint="eastAsia" w:ascii="宋体" w:hAnsi="宋体"/>
          <w:sz w:val="24"/>
          <w:lang w:val="en-US" w:eastAsia="zh-CN"/>
        </w:rPr>
        <w:t>需</w:t>
      </w:r>
      <w:r>
        <w:rPr>
          <w:rFonts w:ascii="宋体" w:hAnsi="宋体"/>
          <w:sz w:val="24"/>
        </w:rPr>
        <w:t>形成相关上线报告和观察报告，详细记录上线过程，备案。同时对上线程序进行跟踪观察，并按时提交《软件上线观察报告》。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9.5.4</w:t>
      </w:r>
      <w:r>
        <w:rPr>
          <w:rFonts w:ascii="宋体" w:hAnsi="宋体"/>
          <w:sz w:val="24"/>
        </w:rPr>
        <w:t>对于新增业务以及较大修改变动的程序，上线之前</w:t>
      </w:r>
      <w:r>
        <w:rPr>
          <w:rFonts w:hint="eastAsia" w:ascii="宋体" w:hAnsi="宋体"/>
          <w:sz w:val="24"/>
          <w:lang w:val="en-US" w:eastAsia="zh-CN"/>
        </w:rPr>
        <w:t>需</w:t>
      </w:r>
      <w:r>
        <w:rPr>
          <w:rFonts w:ascii="宋体" w:hAnsi="宋体"/>
          <w:sz w:val="24"/>
        </w:rPr>
        <w:t>对采购人相关人员提供培训，并提供相应培训文档。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9.5.5</w:t>
      </w:r>
      <w:r>
        <w:rPr>
          <w:rFonts w:ascii="宋体" w:hAnsi="宋体"/>
          <w:sz w:val="24"/>
        </w:rPr>
        <w:t>上线观察期间，服务提供方要有专人配合维护和程序开发。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9.6</w:t>
      </w:r>
      <w:r>
        <w:rPr>
          <w:rFonts w:hint="eastAsia" w:ascii="宋体" w:hAnsi="宋体"/>
          <w:sz w:val="24"/>
        </w:rPr>
        <w:t>运行</w:t>
      </w:r>
      <w:r>
        <w:rPr>
          <w:rFonts w:ascii="宋体" w:hAnsi="宋体"/>
          <w:sz w:val="24"/>
        </w:rPr>
        <w:t>测试</w:t>
      </w:r>
      <w:r>
        <w:rPr>
          <w:rFonts w:hint="eastAsia" w:ascii="宋体" w:hAnsi="宋体"/>
          <w:sz w:val="24"/>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配合</w:t>
      </w:r>
      <w:r>
        <w:rPr>
          <w:rFonts w:hint="eastAsia" w:ascii="宋体" w:hAnsi="宋体"/>
          <w:sz w:val="24"/>
        </w:rPr>
        <w:t>第</w:t>
      </w:r>
      <w:r>
        <w:rPr>
          <w:rFonts w:ascii="宋体" w:hAnsi="宋体"/>
          <w:sz w:val="24"/>
        </w:rPr>
        <w:t>三方测试机构进行QA/QC测试。系统测试的条款应与技术规范书一致。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基于以上要求，服务提供方应配合提供详细测试工具、条件、方法和过程等技术文档，配合测试内容应至少包括：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功能测试----对系统所实现的每一项功能进行测试；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性能测试----查看系统是否具备一些必备的功能；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稳定测试----测试系统的稳定性运行时间；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请求量测试----测试系统所能接收的请求个数，直至系统报满警告发生以及在此量下系统的稳定运行时间；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容错测试----人为生成不太规格的数据包（经常出现的错误，要求系统给予纠正），看看系统是否能正常处理；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故障测试----人为制造一些错误，如拔掉网线、断开模块间的连接等，看看系统是否能照旧运行；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网管功能测试；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安全性测试；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其它测试等。</w:t>
      </w:r>
    </w:p>
    <w:p>
      <w:pPr>
        <w:pStyle w:val="4"/>
        <w:pageBreakBefore w:val="0"/>
        <w:widowControl w:val="0"/>
        <w:kinsoku/>
        <w:wordWrap/>
        <w:overflowPunct/>
        <w:topLinePunct w:val="0"/>
        <w:autoSpaceDE/>
        <w:autoSpaceDN/>
        <w:bidi w:val="0"/>
        <w:spacing w:before="0" w:after="0" w:line="500" w:lineRule="exact"/>
        <w:ind w:firstLine="482" w:firstLineChars="200"/>
        <w:textAlignment w:val="auto"/>
        <w:rPr>
          <w:rFonts w:cs="仿宋" w:asciiTheme="majorEastAsia" w:hAnsiTheme="majorEastAsia" w:eastAsiaTheme="majorEastAsia"/>
        </w:rPr>
      </w:pPr>
      <w:r>
        <w:rPr>
          <w:rFonts w:hint="eastAsia" w:cs="仿宋" w:asciiTheme="majorEastAsia" w:hAnsiTheme="majorEastAsia" w:eastAsiaTheme="majorEastAsia"/>
          <w:lang w:eastAsia="zh-CN"/>
        </w:rPr>
        <w:t>（</w:t>
      </w:r>
      <w:r>
        <w:rPr>
          <w:rFonts w:hint="eastAsia" w:cs="仿宋" w:asciiTheme="majorEastAsia" w:hAnsiTheme="majorEastAsia" w:eastAsiaTheme="majorEastAsia"/>
          <w:lang w:val="en-US" w:eastAsia="zh-CN"/>
        </w:rPr>
        <w:t>二</w:t>
      </w:r>
      <w:r>
        <w:rPr>
          <w:rFonts w:hint="eastAsia" w:cs="仿宋" w:asciiTheme="majorEastAsia" w:hAnsiTheme="majorEastAsia" w:eastAsiaTheme="majorEastAsia"/>
          <w:lang w:eastAsia="zh-CN"/>
        </w:rPr>
        <w:t>）</w:t>
      </w:r>
      <w:r>
        <w:rPr>
          <w:rFonts w:hint="eastAsia" w:cs="仿宋" w:asciiTheme="majorEastAsia" w:hAnsiTheme="majorEastAsia" w:eastAsiaTheme="majorEastAsia"/>
        </w:rPr>
        <w:t>商务要求</w:t>
      </w:r>
    </w:p>
    <w:p>
      <w:pPr>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b/>
          <w:sz w:val="24"/>
          <w:lang w:val="en-US" w:eastAsia="zh-CN"/>
        </w:rPr>
      </w:pPr>
      <w:r>
        <w:rPr>
          <w:rFonts w:hint="eastAsia" w:ascii="宋体" w:hAnsi="宋体"/>
          <w:b/>
          <w:sz w:val="24"/>
          <w:lang w:val="en-US" w:eastAsia="zh-CN"/>
        </w:rPr>
        <w:t>★1.合同履行期限(实施工期要求)：</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b/>
          <w:sz w:val="24"/>
          <w:lang w:val="en-US" w:eastAsia="zh-CN"/>
        </w:rPr>
      </w:pPr>
      <w:r>
        <w:rPr>
          <w:rFonts w:hint="eastAsia" w:ascii="宋体" w:hAnsi="宋体"/>
          <w:b w:val="0"/>
          <w:bCs/>
          <w:sz w:val="24"/>
          <w:lang w:val="en-US" w:eastAsia="zh-CN"/>
        </w:rPr>
        <w:t>合同签订后360个自然日内完成项目建设，达到项目初验的条件。</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rPr>
      </w:pPr>
      <w:r>
        <w:rPr>
          <w:rFonts w:hint="eastAsia" w:ascii="宋体" w:hAnsi="宋体"/>
          <w:sz w:val="24"/>
          <w:lang w:val="zh-CN"/>
        </w:rPr>
        <w:t>●</w:t>
      </w:r>
      <w:r>
        <w:rPr>
          <w:rFonts w:hint="eastAsia" w:ascii="宋体" w:hAnsi="宋体"/>
          <w:b/>
          <w:sz w:val="24"/>
          <w:lang w:val="en-US" w:eastAsia="zh-CN"/>
        </w:rPr>
        <w:t>2.</w:t>
      </w:r>
      <w:r>
        <w:rPr>
          <w:rFonts w:hint="eastAsia" w:ascii="宋体" w:hAnsi="宋体"/>
          <w:b/>
          <w:sz w:val="24"/>
        </w:rPr>
        <w:t>界面</w:t>
      </w:r>
      <w:r>
        <w:rPr>
          <w:rFonts w:ascii="宋体" w:hAnsi="宋体"/>
          <w:b/>
          <w:sz w:val="24"/>
        </w:rPr>
        <w:t>要求</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根据系统本身用户类别较多，各类用户功能应用鲜明的特点，设计时应保证用户界面的简洁性、功能应用及业务流程的清晰性、系统功能本身的易用性、系统栏目的可维护性、系统功能的可扩展性。</w:t>
      </w:r>
    </w:p>
    <w:tbl>
      <w:tblPr>
        <w:tblStyle w:val="33"/>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3519"/>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42" w:type="pct"/>
            <w:shd w:val="clear" w:color="auto" w:fill="BFBFBF"/>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项目</w:t>
            </w:r>
          </w:p>
        </w:tc>
        <w:tc>
          <w:tcPr>
            <w:tcW w:w="1977" w:type="pct"/>
            <w:shd w:val="clear" w:color="auto" w:fill="BFBFBF"/>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用户需求</w:t>
            </w:r>
          </w:p>
        </w:tc>
        <w:tc>
          <w:tcPr>
            <w:tcW w:w="2281" w:type="pct"/>
            <w:shd w:val="clear" w:color="auto" w:fill="BFBFBF"/>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42"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简洁性</w:t>
            </w:r>
          </w:p>
        </w:tc>
        <w:tc>
          <w:tcPr>
            <w:tcW w:w="1977"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页面形式简单、大方</w:t>
            </w:r>
          </w:p>
        </w:tc>
        <w:tc>
          <w:tcPr>
            <w:tcW w:w="2281"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页面采用通用简洁式设计，重点突出在主窗口区完成各项操作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42"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易用性</w:t>
            </w:r>
          </w:p>
        </w:tc>
        <w:tc>
          <w:tcPr>
            <w:tcW w:w="1977"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确保任何功能都可以在3次鼠标点击内完成</w:t>
            </w:r>
          </w:p>
        </w:tc>
        <w:tc>
          <w:tcPr>
            <w:tcW w:w="2281"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将常用操作固定地放在首页的顶部，最大程度地减少用户点击鼠标的次数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42"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可维护性</w:t>
            </w:r>
          </w:p>
        </w:tc>
        <w:tc>
          <w:tcPr>
            <w:tcW w:w="1977"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系统栏目可以在系统管理中方便进行修改，个人的信息页面可以由个人进行信息订阅</w:t>
            </w:r>
          </w:p>
        </w:tc>
        <w:tc>
          <w:tcPr>
            <w:tcW w:w="2281"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菜单栏目可以定义，查询可定义，将力争所有的列表都可以用户自定义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42"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可扩展性</w:t>
            </w:r>
          </w:p>
        </w:tc>
        <w:tc>
          <w:tcPr>
            <w:tcW w:w="1977"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在首页设计时要考虑日后页面内容的扩展</w:t>
            </w:r>
          </w:p>
        </w:tc>
        <w:tc>
          <w:tcPr>
            <w:tcW w:w="2281" w:type="pc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宋体" w:hAnsi="宋体"/>
                <w:sz w:val="24"/>
              </w:rPr>
            </w:pPr>
            <w:r>
              <w:rPr>
                <w:rFonts w:hint="eastAsia" w:ascii="宋体" w:hAnsi="宋体"/>
                <w:sz w:val="24"/>
              </w:rPr>
              <w:t>采用页面框架设计，所有操作页面都可以集成到其它风格的系统中，只需要改变框架</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bookmarkStart w:id="229" w:name="_Toc78467158"/>
      <w:r>
        <w:rPr>
          <w:rFonts w:hint="eastAsia" w:ascii="宋体" w:hAnsi="宋体"/>
          <w:b/>
          <w:bCs/>
          <w:sz w:val="24"/>
          <w:lang w:val="en-US" w:eastAsia="zh-CN"/>
        </w:rPr>
        <w:t>★3.</w:t>
      </w:r>
      <w:r>
        <w:rPr>
          <w:rFonts w:hint="eastAsia" w:ascii="宋体" w:hAnsi="宋体"/>
          <w:b/>
          <w:sz w:val="24"/>
        </w:rPr>
        <w:t>项目管理要求</w:t>
      </w:r>
      <w:bookmarkEnd w:id="229"/>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3.1</w:t>
      </w:r>
      <w:r>
        <w:rPr>
          <w:rFonts w:hint="eastAsia" w:ascii="宋体" w:hAnsi="宋体"/>
          <w:sz w:val="24"/>
        </w:rPr>
        <w:t>中标人在工程实施过程中，需对项目进行规范化管理，要有项目管理组织、项目管理计划、项目进度计划、项目验收计划等方案，确保工程实施质量。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3.2</w:t>
      </w:r>
      <w:r>
        <w:rPr>
          <w:rFonts w:hint="eastAsia" w:ascii="宋体" w:hAnsi="宋体"/>
          <w:sz w:val="24"/>
        </w:rPr>
        <w:t>中标人应成立相应的项目指挥小组，并指定一名专职的项目经理，负责协调和调度工作。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3.3</w:t>
      </w:r>
      <w:r>
        <w:rPr>
          <w:rFonts w:hint="eastAsia" w:ascii="宋体" w:hAnsi="宋体"/>
          <w:sz w:val="24"/>
        </w:rPr>
        <w:t>中标人应配合项目监理方以及第三方测评的工作，从而保障项目的成功实施。</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3.4</w:t>
      </w:r>
      <w:r>
        <w:rPr>
          <w:rFonts w:hint="eastAsia" w:ascii="宋体" w:hAnsi="宋体"/>
          <w:sz w:val="24"/>
        </w:rPr>
        <w:t>中标人</w:t>
      </w:r>
      <w:r>
        <w:rPr>
          <w:rFonts w:ascii="宋体" w:hAnsi="宋体"/>
          <w:sz w:val="24"/>
        </w:rPr>
        <w:t>应</w:t>
      </w:r>
      <w:r>
        <w:rPr>
          <w:rFonts w:hint="eastAsia" w:ascii="宋体" w:hAnsi="宋体"/>
          <w:sz w:val="24"/>
        </w:rPr>
        <w:t>对项目提出保密和网络安全要求，指导并监督项目中各方对建设过程中的人员、信息、系统的保密和网络安全管理；应与业主方签订相关网络安全和保密协议。</w:t>
      </w:r>
      <w:bookmarkStart w:id="230" w:name="_Toc78467159"/>
      <w:bookmarkStart w:id="231" w:name="_Toc338418066"/>
      <w:bookmarkStart w:id="232" w:name="_Toc253583219"/>
      <w:bookmarkStart w:id="233" w:name="_Toc310260300"/>
      <w:bookmarkStart w:id="234" w:name="_Toc239305019"/>
      <w:bookmarkStart w:id="235" w:name="_Toc242877283"/>
      <w:bookmarkStart w:id="236" w:name="_Toc309584398"/>
      <w:bookmarkStart w:id="237" w:name="_Toc206908328"/>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r>
        <w:rPr>
          <w:rFonts w:hint="eastAsia" w:ascii="宋体" w:hAnsi="宋体"/>
          <w:b/>
          <w:sz w:val="24"/>
        </w:rPr>
        <w:t>★</w:t>
      </w:r>
      <w:r>
        <w:rPr>
          <w:rFonts w:hint="eastAsia" w:ascii="宋体" w:hAnsi="宋体"/>
          <w:b/>
          <w:sz w:val="24"/>
          <w:lang w:val="en-US" w:eastAsia="zh-CN"/>
        </w:rPr>
        <w:t>4.</w:t>
      </w:r>
      <w:r>
        <w:rPr>
          <w:rFonts w:hint="eastAsia" w:ascii="宋体" w:hAnsi="宋体"/>
          <w:b/>
          <w:sz w:val="24"/>
        </w:rPr>
        <w:t>验收要求</w:t>
      </w:r>
      <w:bookmarkEnd w:id="230"/>
      <w:bookmarkEnd w:id="231"/>
      <w:bookmarkEnd w:id="232"/>
      <w:bookmarkEnd w:id="233"/>
      <w:bookmarkEnd w:id="234"/>
      <w:bookmarkEnd w:id="235"/>
      <w:bookmarkEnd w:id="23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根据</w:t>
      </w:r>
      <w:r>
        <w:rPr>
          <w:rFonts w:ascii="宋体" w:hAnsi="宋体" w:cs="宋体"/>
          <w:sz w:val="24"/>
        </w:rPr>
        <w:t>《财政部关于进一步加强政府采购需求和履约验收管理的指导意见》（财库【2016】205号）</w:t>
      </w:r>
      <w:r>
        <w:rPr>
          <w:rFonts w:hint="eastAsia" w:ascii="宋体" w:hAnsi="宋体"/>
          <w:sz w:val="24"/>
        </w:rPr>
        <w:t>有关</w:t>
      </w:r>
      <w:r>
        <w:rPr>
          <w:rFonts w:ascii="宋体" w:hAnsi="宋体"/>
          <w:sz w:val="24"/>
        </w:rPr>
        <w:t>规定及</w:t>
      </w:r>
      <w:r>
        <w:rPr>
          <w:rFonts w:hint="eastAsia" w:ascii="宋体" w:hAnsi="宋体"/>
          <w:sz w:val="24"/>
        </w:rPr>
        <w:t>采购人</w:t>
      </w:r>
      <w:r>
        <w:rPr>
          <w:rFonts w:ascii="宋体" w:hAnsi="宋体"/>
          <w:sz w:val="24"/>
        </w:rPr>
        <w:t>与</w:t>
      </w:r>
      <w:r>
        <w:rPr>
          <w:rFonts w:hint="eastAsia" w:ascii="宋体" w:hAnsi="宋体"/>
          <w:sz w:val="24"/>
        </w:rPr>
        <w:t>中标人</w:t>
      </w:r>
      <w:r>
        <w:rPr>
          <w:rFonts w:ascii="宋体" w:hAnsi="宋体"/>
          <w:sz w:val="24"/>
        </w:rPr>
        <w:t>签订的合同</w:t>
      </w:r>
      <w:r>
        <w:rPr>
          <w:rFonts w:hint="eastAsia" w:ascii="宋体" w:hAnsi="宋体"/>
          <w:sz w:val="24"/>
        </w:rPr>
        <w:t>组织</w:t>
      </w:r>
      <w:r>
        <w:rPr>
          <w:rFonts w:ascii="宋体" w:hAnsi="宋体"/>
          <w:sz w:val="24"/>
        </w:rPr>
        <w:t>验收。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系统开发完成一个月后进行</w:t>
      </w:r>
      <w:r>
        <w:rPr>
          <w:rFonts w:ascii="宋体" w:hAnsi="宋体"/>
          <w:sz w:val="24"/>
        </w:rPr>
        <w:t>系统初验</w:t>
      </w:r>
      <w:r>
        <w:rPr>
          <w:rFonts w:hint="eastAsia" w:ascii="宋体" w:hAnsi="宋体"/>
          <w:sz w:val="24"/>
        </w:rPr>
        <w:t>，初验通过</w:t>
      </w:r>
      <w:r>
        <w:rPr>
          <w:rFonts w:ascii="宋体" w:hAnsi="宋体"/>
          <w:sz w:val="24"/>
        </w:rPr>
        <w:t>后</w:t>
      </w:r>
      <w:r>
        <w:rPr>
          <w:rFonts w:hint="eastAsia" w:ascii="宋体" w:hAnsi="宋体"/>
          <w:sz w:val="24"/>
        </w:rPr>
        <w:t>进入系统整体试运行期。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系统经过两个月正常试运行期，所有功能、性能指标经过第三方测评机构测评通过并达到技术规范要求时，进行系统的最终验收。</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系统终验</w:t>
      </w:r>
      <w:r>
        <w:rPr>
          <w:rFonts w:ascii="宋体" w:hAnsi="宋体"/>
          <w:sz w:val="24"/>
        </w:rPr>
        <w:t>由</w:t>
      </w:r>
      <w:r>
        <w:rPr>
          <w:rFonts w:hint="eastAsia" w:ascii="宋体" w:hAnsi="宋体"/>
          <w:sz w:val="24"/>
        </w:rPr>
        <w:t>中标人向采购人提出申请。中标人项目经理根据相关规范或与采购人商定的内容、步骤制定项目验收方案，并至少提前10日提交给采购人，双方对验收方案进行确认。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委托</w:t>
      </w:r>
      <w:r>
        <w:rPr>
          <w:rFonts w:ascii="宋体" w:hAnsi="宋体"/>
          <w:sz w:val="24"/>
        </w:rPr>
        <w:t>第三方</w:t>
      </w:r>
      <w:r>
        <w:rPr>
          <w:rFonts w:hint="eastAsia" w:ascii="宋体" w:hAnsi="宋体"/>
          <w:sz w:val="24"/>
        </w:rPr>
        <w:t>组织</w:t>
      </w:r>
      <w:r>
        <w:rPr>
          <w:rFonts w:ascii="宋体" w:hAnsi="宋体"/>
          <w:sz w:val="24"/>
        </w:rPr>
        <w:t>专家进行项目终验。</w:t>
      </w:r>
      <w:r>
        <w:rPr>
          <w:rFonts w:hint="eastAsia" w:ascii="宋体" w:hAnsi="宋体"/>
          <w:sz w:val="24"/>
        </w:rPr>
        <w:t>终验包括对所有交付品的检查、功能与性能等验收。</w:t>
      </w:r>
      <w:bookmarkStart w:id="238" w:name="_Toc310410797"/>
      <w:bookmarkStart w:id="239" w:name="_Toc309911302"/>
      <w:bookmarkStart w:id="240" w:name="_Toc78467160"/>
      <w:bookmarkStart w:id="241" w:name="_Toc310412057"/>
      <w:bookmarkStart w:id="242" w:name="_Toc310411988"/>
      <w:bookmarkStart w:id="243" w:name="_Toc338418067"/>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r>
        <w:rPr>
          <w:rFonts w:hint="eastAsia" w:ascii="宋体" w:hAnsi="宋体"/>
          <w:b/>
          <w:sz w:val="24"/>
          <w:lang w:val="en-US" w:eastAsia="zh-CN"/>
        </w:rPr>
        <w:t>5.</w:t>
      </w:r>
      <w:r>
        <w:rPr>
          <w:rFonts w:ascii="宋体" w:hAnsi="宋体"/>
          <w:b/>
          <w:sz w:val="24"/>
        </w:rPr>
        <w:t>培训要求</w:t>
      </w:r>
      <w:bookmarkEnd w:id="237"/>
      <w:bookmarkEnd w:id="238"/>
      <w:bookmarkEnd w:id="239"/>
      <w:bookmarkEnd w:id="240"/>
      <w:bookmarkEnd w:id="241"/>
      <w:bookmarkEnd w:id="242"/>
      <w:bookmarkEnd w:id="243"/>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5.1</w:t>
      </w:r>
      <w:r>
        <w:rPr>
          <w:rFonts w:ascii="宋体" w:hAnsi="宋体"/>
          <w:sz w:val="24"/>
        </w:rPr>
        <w:t>投标人</w:t>
      </w:r>
      <w:r>
        <w:rPr>
          <w:rFonts w:hint="eastAsia" w:ascii="宋体" w:hAnsi="宋体"/>
          <w:sz w:val="24"/>
        </w:rPr>
        <w:t>应</w:t>
      </w:r>
      <w:r>
        <w:rPr>
          <w:rFonts w:ascii="宋体" w:hAnsi="宋体"/>
          <w:sz w:val="24"/>
        </w:rPr>
        <w:t>向</w:t>
      </w:r>
      <w:r>
        <w:rPr>
          <w:rFonts w:hint="eastAsia" w:ascii="宋体" w:hAnsi="宋体"/>
          <w:sz w:val="24"/>
        </w:rPr>
        <w:t>采购人</w:t>
      </w:r>
      <w:r>
        <w:rPr>
          <w:rFonts w:ascii="宋体" w:hAnsi="宋体"/>
          <w:sz w:val="24"/>
        </w:rPr>
        <w:t>提供培训</w:t>
      </w:r>
      <w:r>
        <w:rPr>
          <w:rFonts w:hint="eastAsia" w:ascii="宋体" w:hAnsi="宋体"/>
          <w:sz w:val="24"/>
          <w:lang w:eastAsia="zh-CN"/>
        </w:rPr>
        <w:t>，</w:t>
      </w:r>
      <w:r>
        <w:rPr>
          <w:rFonts w:hint="eastAsia" w:ascii="宋体" w:hAnsi="宋体"/>
          <w:sz w:val="24"/>
          <w:lang w:val="en-US" w:eastAsia="zh-CN"/>
        </w:rPr>
        <w:t>费用由投标人承担</w:t>
      </w:r>
      <w:r>
        <w:rPr>
          <w:rFonts w:ascii="宋体" w:hAnsi="宋体"/>
          <w:sz w:val="24"/>
        </w:rPr>
        <w:t>，直至</w:t>
      </w:r>
      <w:r>
        <w:rPr>
          <w:rFonts w:hint="eastAsia" w:ascii="宋体" w:hAnsi="宋体"/>
          <w:sz w:val="24"/>
        </w:rPr>
        <w:t>采购人相关操作人员</w:t>
      </w:r>
      <w:r>
        <w:rPr>
          <w:rFonts w:ascii="宋体" w:hAnsi="宋体"/>
          <w:sz w:val="24"/>
        </w:rPr>
        <w:t>完全熟练掌握。培训方式应包括现场集中培训</w:t>
      </w:r>
      <w:r>
        <w:rPr>
          <w:rFonts w:hint="eastAsia" w:ascii="宋体" w:hAnsi="宋体"/>
          <w:sz w:val="24"/>
        </w:rPr>
        <w:t>和分散小范围培训</w:t>
      </w:r>
      <w:r>
        <w:rPr>
          <w:rFonts w:ascii="宋体" w:hAnsi="宋体"/>
          <w:sz w:val="24"/>
        </w:rPr>
        <w:t>。投标人</w:t>
      </w:r>
      <w:r>
        <w:rPr>
          <w:rFonts w:hint="eastAsia" w:ascii="宋体" w:hAnsi="宋体"/>
          <w:sz w:val="24"/>
          <w:lang w:val="en-US" w:eastAsia="zh-CN"/>
        </w:rPr>
        <w:t>需</w:t>
      </w:r>
      <w:r>
        <w:rPr>
          <w:rFonts w:hint="eastAsia" w:ascii="宋体" w:hAnsi="宋体"/>
          <w:sz w:val="24"/>
        </w:rPr>
        <w:t>针对不同的培训对象、并按不同的产品</w:t>
      </w:r>
      <w:r>
        <w:rPr>
          <w:rFonts w:ascii="宋体" w:hAnsi="宋体"/>
          <w:sz w:val="24"/>
        </w:rPr>
        <w:t>在投标文件中提</w:t>
      </w:r>
      <w:r>
        <w:rPr>
          <w:rFonts w:hint="eastAsia" w:ascii="宋体" w:hAnsi="宋体"/>
          <w:sz w:val="24"/>
        </w:rPr>
        <w:t>出全面、</w:t>
      </w:r>
      <w:r>
        <w:rPr>
          <w:rFonts w:ascii="宋体" w:hAnsi="宋体"/>
          <w:sz w:val="24"/>
        </w:rPr>
        <w:t>详细的培训计划，包括</w:t>
      </w:r>
      <w:r>
        <w:rPr>
          <w:rFonts w:hint="eastAsia" w:ascii="宋体" w:hAnsi="宋体"/>
          <w:sz w:val="24"/>
        </w:rPr>
        <w:t>但不限于</w:t>
      </w:r>
      <w:r>
        <w:rPr>
          <w:rFonts w:ascii="宋体" w:hAnsi="宋体"/>
          <w:sz w:val="24"/>
        </w:rPr>
        <w:t>培训内容、培训时间</w:t>
      </w:r>
      <w:r>
        <w:rPr>
          <w:rFonts w:hint="eastAsia" w:ascii="宋体" w:hAnsi="宋体"/>
          <w:sz w:val="24"/>
        </w:rPr>
        <w:t>、地点、授课老师</w:t>
      </w:r>
      <w:r>
        <w:rPr>
          <w:rFonts w:ascii="宋体" w:hAnsi="宋体"/>
          <w:sz w:val="24"/>
        </w:rPr>
        <w:t>等。投标人派出的培训教员应具备丰富的相同课程教学经验，所有的培训教员</w:t>
      </w:r>
      <w:r>
        <w:rPr>
          <w:rFonts w:hint="eastAsia" w:ascii="宋体" w:hAnsi="宋体"/>
          <w:sz w:val="24"/>
        </w:rPr>
        <w:t>应以</w:t>
      </w:r>
      <w:r>
        <w:rPr>
          <w:rFonts w:ascii="宋体" w:hAnsi="宋体"/>
          <w:sz w:val="24"/>
        </w:rPr>
        <w:t>中文授课，投标人</w:t>
      </w:r>
      <w:r>
        <w:rPr>
          <w:rFonts w:hint="eastAsia" w:ascii="宋体" w:hAnsi="宋体"/>
          <w:sz w:val="24"/>
        </w:rPr>
        <w:t>应</w:t>
      </w:r>
      <w:r>
        <w:rPr>
          <w:rFonts w:ascii="宋体" w:hAnsi="宋体"/>
          <w:sz w:val="24"/>
        </w:rPr>
        <w:t>为所有被培训人员提供培训用文字资料和讲义等相关用品。投标人应按</w:t>
      </w:r>
      <w:r>
        <w:rPr>
          <w:rFonts w:hint="eastAsia" w:ascii="宋体" w:hAnsi="宋体"/>
          <w:sz w:val="24"/>
        </w:rPr>
        <w:t>采购人</w:t>
      </w:r>
      <w:r>
        <w:rPr>
          <w:rFonts w:ascii="宋体" w:hAnsi="宋体"/>
          <w:sz w:val="24"/>
        </w:rPr>
        <w:t>约定</w:t>
      </w:r>
      <w:r>
        <w:rPr>
          <w:rFonts w:hint="eastAsia" w:ascii="宋体" w:hAnsi="宋体"/>
          <w:sz w:val="24"/>
        </w:rPr>
        <w:t>合理地</w:t>
      </w:r>
      <w:r>
        <w:rPr>
          <w:rFonts w:ascii="宋体" w:hAnsi="宋体"/>
          <w:sz w:val="24"/>
        </w:rPr>
        <w:t>安排培训时间。培训人员：</w:t>
      </w:r>
      <w:r>
        <w:rPr>
          <w:rFonts w:hint="eastAsia" w:ascii="宋体" w:hAnsi="宋体"/>
          <w:sz w:val="24"/>
        </w:rPr>
        <w:t>包括机构管理人员、一般使用人员、系统管理人员</w:t>
      </w:r>
      <w:r>
        <w:rPr>
          <w:rFonts w:ascii="宋体" w:hAnsi="宋体"/>
          <w:sz w:val="24"/>
        </w:rPr>
        <w:t>。</w:t>
      </w:r>
      <w:bookmarkStart w:id="244" w:name="_Toc177972118"/>
      <w:bookmarkStart w:id="245" w:name="_Toc206908329"/>
      <w:bookmarkStart w:id="246" w:name="_Toc309911303"/>
      <w:bookmarkStart w:id="247" w:name="_Toc310411989"/>
      <w:bookmarkStart w:id="248" w:name="_Toc148505257"/>
      <w:bookmarkStart w:id="249" w:name="_Toc310410798"/>
      <w:bookmarkStart w:id="250" w:name="_Toc310412058"/>
      <w:bookmarkStart w:id="251" w:name="_Toc338418068"/>
      <w:bookmarkStart w:id="252" w:name="_Toc101328533"/>
      <w:bookmarkStart w:id="253" w:name="_Toc204575934"/>
      <w:bookmarkStart w:id="254" w:name="_Toc178825684"/>
      <w:bookmarkStart w:id="255" w:name="_Toc177972288"/>
      <w:bookmarkStart w:id="256" w:name="_Toc177972974"/>
      <w:bookmarkStart w:id="257" w:name="_Toc101234261"/>
      <w:bookmarkStart w:id="258" w:name="_Toc101247325"/>
      <w:r>
        <w:rPr>
          <w:rFonts w:hint="eastAsia" w:ascii="宋体" w:hAnsi="宋体"/>
          <w:sz w:val="24"/>
        </w:rPr>
        <w:t>培训内容：包括但不限于系统平台使用课程和系统运行与维护培训课程。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5.2</w:t>
      </w:r>
      <w:r>
        <w:rPr>
          <w:rFonts w:hint="eastAsia" w:ascii="宋体" w:hAnsi="宋体"/>
          <w:sz w:val="24"/>
        </w:rPr>
        <w:t>培训目标：</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5.2.1</w:t>
      </w:r>
      <w:r>
        <w:rPr>
          <w:rFonts w:hint="eastAsia" w:ascii="宋体" w:hAnsi="宋体"/>
          <w:sz w:val="24"/>
        </w:rPr>
        <w:t>提供完整的中文培训教材和相关培训内容PPT文档，保证培训质量。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5.2.2</w:t>
      </w:r>
      <w:r>
        <w:rPr>
          <w:rFonts w:hint="eastAsia" w:ascii="宋体" w:hAnsi="宋体"/>
          <w:sz w:val="24"/>
        </w:rPr>
        <w:t>要求对一般工作人员、操作人员的培训应达到：能够熟练使用系统软件，了解软件中的各种快捷操作。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5.2.3</w:t>
      </w:r>
      <w:r>
        <w:rPr>
          <w:rFonts w:hint="eastAsia" w:ascii="宋体" w:hAnsi="宋体"/>
          <w:sz w:val="24"/>
        </w:rPr>
        <w:t>要求对管理工作人员的培训应达到：能够通过系统进行管理工作，了解软件提供哪些管理功能和结果数据，便于开展管理工作。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5.2.4</w:t>
      </w:r>
      <w:r>
        <w:rPr>
          <w:rFonts w:hint="eastAsia" w:ascii="宋体" w:hAnsi="宋体"/>
          <w:sz w:val="24"/>
        </w:rPr>
        <w:t>要求对系统管理员的培训应达到：可以维护日常应用方面出现的问题，包括权限变更、数据备份与恢复等。具有熟练查询各种技术手册和维护手册的能力；能够对系统级的错误进行初步判断的能力；独立安装、调试应用软件；具备系统运行情况监控的能力。</w:t>
      </w:r>
      <w:bookmarkStart w:id="259" w:name="_Toc78467161"/>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b/>
          <w:sz w:val="24"/>
          <w:lang w:val="en-US" w:eastAsia="zh-CN"/>
        </w:rPr>
      </w:pPr>
      <w:r>
        <w:rPr>
          <w:rFonts w:hint="eastAsia" w:ascii="宋体" w:hAnsi="宋体"/>
          <w:b/>
          <w:sz w:val="24"/>
        </w:rPr>
        <w:t>★</w:t>
      </w:r>
      <w:r>
        <w:rPr>
          <w:rFonts w:hint="eastAsia" w:ascii="宋体" w:hAnsi="宋体"/>
          <w:b/>
          <w:sz w:val="24"/>
          <w:lang w:val="en-US" w:eastAsia="zh-CN"/>
        </w:rPr>
        <w:t>6.</w:t>
      </w:r>
      <w:r>
        <w:rPr>
          <w:rFonts w:ascii="宋体" w:hAnsi="宋体"/>
          <w:b/>
          <w:sz w:val="24"/>
        </w:rPr>
        <w:t>售后服务要求</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ascii="宋体" w:hAnsi="宋体"/>
          <w:b/>
          <w:sz w:val="24"/>
          <w:lang w:eastAsia="zh-CN"/>
        </w:rPr>
        <w:t>（提供承诺函，并加盖投标人电子印章（格式自拟））</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6.1</w:t>
      </w:r>
      <w:r>
        <w:rPr>
          <w:rFonts w:ascii="宋体" w:hAnsi="宋体"/>
          <w:sz w:val="24"/>
        </w:rPr>
        <w:t>投标人应具备与本项目匹配的服务能力</w:t>
      </w:r>
      <w:r>
        <w:rPr>
          <w:rFonts w:hint="eastAsia" w:ascii="宋体" w:hAnsi="宋体"/>
          <w:sz w:val="24"/>
        </w:rPr>
        <w:t>,明确作出服务承诺，详细阐述实施的组织保障、时间保障、技术保障等，以及保修期内的维修、维护内容及服务方式和范围。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260" w:name="_Toc177972289"/>
      <w:bookmarkStart w:id="261" w:name="_Toc310410799"/>
      <w:bookmarkStart w:id="262" w:name="_Toc177972975"/>
      <w:bookmarkStart w:id="263" w:name="_Toc310411990"/>
      <w:bookmarkStart w:id="264" w:name="_Toc310412059"/>
      <w:bookmarkStart w:id="265" w:name="_Toc338418069"/>
      <w:bookmarkStart w:id="266" w:name="_Toc148505258"/>
      <w:r>
        <w:rPr>
          <w:rFonts w:hint="eastAsia" w:ascii="宋体" w:hAnsi="宋体"/>
          <w:sz w:val="24"/>
          <w:lang w:val="en-US" w:eastAsia="zh-CN"/>
        </w:rPr>
        <w:t>6.2</w:t>
      </w:r>
      <w:r>
        <w:rPr>
          <w:rFonts w:ascii="宋体" w:hAnsi="宋体"/>
          <w:sz w:val="24"/>
        </w:rPr>
        <w:t>服务支持队伍要求</w:t>
      </w:r>
      <w:bookmarkEnd w:id="260"/>
      <w:bookmarkEnd w:id="261"/>
      <w:bookmarkEnd w:id="262"/>
      <w:bookmarkEnd w:id="263"/>
      <w:bookmarkEnd w:id="264"/>
      <w:bookmarkEnd w:id="265"/>
      <w:bookmarkEnd w:id="26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为保证响应时间及服务质量，投标人应具备必要技术人员和技术服务能力，以响应采购人的技术服务要求</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ascii="宋体" w:hAnsi="宋体"/>
          <w:sz w:val="24"/>
        </w:rPr>
        <w:t>在质保期内，中标人应提供本地售后服务人员（要求在本项目建设</w:t>
      </w:r>
      <w:r>
        <w:rPr>
          <w:rFonts w:hint="eastAsia" w:ascii="宋体" w:hAnsi="宋体"/>
          <w:sz w:val="24"/>
        </w:rPr>
        <w:t>期间</w:t>
      </w:r>
      <w:r>
        <w:rPr>
          <w:rFonts w:ascii="宋体" w:hAnsi="宋体"/>
          <w:sz w:val="24"/>
        </w:rPr>
        <w:t>参与了</w:t>
      </w:r>
      <w:r>
        <w:rPr>
          <w:rFonts w:hint="eastAsia" w:ascii="宋体" w:hAnsi="宋体"/>
          <w:sz w:val="24"/>
        </w:rPr>
        <w:t>项目实施工作</w:t>
      </w:r>
      <w:r>
        <w:rPr>
          <w:rFonts w:ascii="宋体" w:hAnsi="宋体"/>
          <w:sz w:val="24"/>
        </w:rPr>
        <w:t>，其中不少于</w:t>
      </w:r>
      <w:r>
        <w:rPr>
          <w:rFonts w:hint="eastAsia" w:ascii="宋体" w:hAnsi="宋体"/>
          <w:sz w:val="24"/>
        </w:rPr>
        <w:t>1</w:t>
      </w:r>
      <w:r>
        <w:rPr>
          <w:rFonts w:ascii="宋体" w:hAnsi="宋体"/>
          <w:sz w:val="24"/>
        </w:rPr>
        <w:t>人应为</w:t>
      </w:r>
      <w:r>
        <w:rPr>
          <w:rFonts w:hint="eastAsia" w:ascii="宋体" w:hAnsi="宋体"/>
          <w:sz w:val="24"/>
        </w:rPr>
        <w:t>项目</w:t>
      </w:r>
      <w:r>
        <w:rPr>
          <w:rFonts w:ascii="宋体" w:hAnsi="宋体"/>
          <w:sz w:val="24"/>
        </w:rPr>
        <w:t>的负责人或核心成员）</w:t>
      </w:r>
      <w:r>
        <w:rPr>
          <w:rFonts w:hint="eastAsia" w:ascii="宋体" w:hAnsi="宋体"/>
          <w:sz w:val="24"/>
        </w:rPr>
        <w:t>，</w:t>
      </w:r>
      <w:r>
        <w:rPr>
          <w:rFonts w:ascii="宋体" w:hAnsi="宋体"/>
          <w:sz w:val="24"/>
        </w:rPr>
        <w:t>在业主现场提供技术支持和故障清查</w:t>
      </w:r>
      <w:r>
        <w:rPr>
          <w:rFonts w:hint="eastAsia" w:ascii="宋体" w:hAnsi="宋体"/>
          <w:sz w:val="24"/>
        </w:rPr>
        <w:t>、不定期培训</w:t>
      </w:r>
      <w:r>
        <w:rPr>
          <w:rFonts w:ascii="宋体" w:hAnsi="宋体"/>
          <w:sz w:val="24"/>
        </w:rPr>
        <w:t>等服务。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bookmarkStart w:id="267" w:name="_Toc310412060"/>
      <w:bookmarkStart w:id="268" w:name="_Toc177972976"/>
      <w:bookmarkStart w:id="269" w:name="_Toc148505259"/>
      <w:bookmarkStart w:id="270" w:name="_Toc310410800"/>
      <w:bookmarkStart w:id="271" w:name="_Toc310411991"/>
      <w:bookmarkStart w:id="272" w:name="_Toc177972290"/>
      <w:bookmarkStart w:id="273" w:name="_Toc338418070"/>
      <w:r>
        <w:rPr>
          <w:rFonts w:hint="eastAsia" w:ascii="宋体" w:hAnsi="宋体"/>
          <w:sz w:val="24"/>
          <w:lang w:val="en-US" w:eastAsia="zh-CN"/>
        </w:rPr>
        <w:t>6.3</w:t>
      </w:r>
      <w:r>
        <w:rPr>
          <w:rFonts w:ascii="宋体" w:hAnsi="宋体"/>
          <w:sz w:val="24"/>
        </w:rPr>
        <w:t>售后服务</w:t>
      </w:r>
      <w:bookmarkEnd w:id="267"/>
      <w:bookmarkEnd w:id="268"/>
      <w:bookmarkEnd w:id="269"/>
      <w:bookmarkEnd w:id="270"/>
      <w:bookmarkEnd w:id="271"/>
      <w:bookmarkEnd w:id="272"/>
      <w:r>
        <w:rPr>
          <w:rFonts w:hint="eastAsia" w:ascii="宋体" w:hAnsi="宋体"/>
          <w:sz w:val="24"/>
        </w:rPr>
        <w:t>质量保证</w:t>
      </w:r>
      <w:bookmarkEnd w:id="273"/>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6.3.1</w:t>
      </w:r>
      <w:r>
        <w:rPr>
          <w:rFonts w:ascii="宋体" w:hAnsi="宋体"/>
          <w:sz w:val="24"/>
        </w:rPr>
        <w:t>质保期自本项目终验合格交付使用并签订终验证书之日起开始计算。中标人</w:t>
      </w:r>
      <w:r>
        <w:rPr>
          <w:rFonts w:hint="eastAsia" w:ascii="宋体" w:hAnsi="宋体"/>
          <w:sz w:val="24"/>
        </w:rPr>
        <w:t>应</w:t>
      </w:r>
      <w:r>
        <w:rPr>
          <w:rFonts w:ascii="宋体" w:hAnsi="宋体"/>
          <w:sz w:val="24"/>
        </w:rPr>
        <w:t>对</w:t>
      </w:r>
      <w:r>
        <w:rPr>
          <w:rFonts w:hint="eastAsia" w:ascii="宋体" w:hAnsi="宋体"/>
          <w:sz w:val="24"/>
        </w:rPr>
        <w:t>本项目应用系统</w:t>
      </w:r>
      <w:r>
        <w:rPr>
          <w:rFonts w:ascii="宋体" w:hAnsi="宋体"/>
          <w:sz w:val="24"/>
        </w:rPr>
        <w:t>提供</w:t>
      </w:r>
      <w:r>
        <w:rPr>
          <w:rFonts w:hint="eastAsia" w:ascii="宋体" w:hAnsi="宋体"/>
          <w:sz w:val="24"/>
        </w:rPr>
        <w:t>1年7</w:t>
      </w:r>
      <w:r>
        <w:rPr>
          <w:rFonts w:ascii="宋体" w:hAnsi="宋体"/>
          <w:sz w:val="24"/>
        </w:rPr>
        <w:t>×</w:t>
      </w:r>
      <w:r>
        <w:rPr>
          <w:rFonts w:hint="eastAsia" w:ascii="宋体" w:hAnsi="宋体"/>
          <w:sz w:val="24"/>
        </w:rPr>
        <w:t>24</w:t>
      </w:r>
      <w:r>
        <w:rPr>
          <w:rFonts w:ascii="宋体" w:hAnsi="宋体"/>
          <w:sz w:val="24"/>
        </w:rPr>
        <w:t>小时售后服务</w:t>
      </w:r>
      <w:r>
        <w:rPr>
          <w:rFonts w:hint="eastAsia" w:ascii="宋体" w:hAnsi="宋体"/>
          <w:sz w:val="24"/>
          <w:lang w:eastAsia="zh-CN"/>
        </w:rPr>
        <w:t>，</w:t>
      </w:r>
      <w:r>
        <w:rPr>
          <w:rFonts w:hint="eastAsia" w:ascii="宋体" w:hAnsi="宋体"/>
          <w:sz w:val="24"/>
          <w:lang w:val="en-US" w:eastAsia="zh-CN"/>
        </w:rPr>
        <w:t>产生的费用由中标人承担</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6.3.2</w:t>
      </w:r>
      <w:r>
        <w:rPr>
          <w:rFonts w:hint="eastAsia" w:ascii="宋体" w:hAnsi="宋体"/>
          <w:sz w:val="24"/>
        </w:rPr>
        <w:t>项目</w:t>
      </w:r>
      <w:r>
        <w:rPr>
          <w:rFonts w:ascii="宋体" w:hAnsi="宋体"/>
          <w:sz w:val="24"/>
        </w:rPr>
        <w:t>质保期由投标人在投标文件中明确承诺，自本项目终验合格交付使用并签订终验证书之日起开始计算。</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6.3.3项目建设期间，服务提供方需提供必要技术团队驻场服务；项目质保期，服务提供方每周派员至少提供2天驻场服务。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6.3.4</w:t>
      </w:r>
      <w:r>
        <w:rPr>
          <w:rFonts w:hint="eastAsia" w:ascii="宋体" w:hAnsi="宋体"/>
          <w:sz w:val="24"/>
        </w:rPr>
        <w:t>项目</w:t>
      </w:r>
      <w:r>
        <w:rPr>
          <w:rFonts w:ascii="宋体" w:hAnsi="宋体"/>
          <w:sz w:val="24"/>
        </w:rPr>
        <w:t>建设期间及质保期</w:t>
      </w:r>
      <w:r>
        <w:rPr>
          <w:rFonts w:hint="eastAsia" w:ascii="宋体" w:hAnsi="宋体"/>
          <w:sz w:val="24"/>
          <w:lang w:val="en-US" w:eastAsia="zh-CN"/>
        </w:rPr>
        <w:t>费用均由中标人承担</w:t>
      </w:r>
      <w:r>
        <w:rPr>
          <w:rFonts w:ascii="宋体" w:hAnsi="宋体"/>
          <w:sz w:val="24"/>
        </w:rPr>
        <w:t>，该期限内的所有售后服务，包括但不限于软件维护维修、</w:t>
      </w:r>
      <w:r>
        <w:rPr>
          <w:rFonts w:hint="eastAsia" w:ascii="宋体" w:hAnsi="宋体"/>
          <w:sz w:val="24"/>
        </w:rPr>
        <w:t>应用系统</w:t>
      </w:r>
      <w:r>
        <w:rPr>
          <w:rFonts w:ascii="宋体" w:hAnsi="宋体"/>
          <w:sz w:val="24"/>
        </w:rPr>
        <w:t>升级等所产生的费用均由中标人承担。</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6.3.5</w:t>
      </w:r>
      <w:r>
        <w:rPr>
          <w:rFonts w:hint="eastAsia" w:ascii="宋体" w:hAnsi="宋体"/>
          <w:sz w:val="24"/>
        </w:rPr>
        <w:t>故障响应</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sz w:val="24"/>
        </w:rPr>
      </w:pPr>
      <w:r>
        <w:rPr>
          <w:rFonts w:hint="eastAsia" w:ascii="宋体" w:hAnsi="宋体"/>
          <w:sz w:val="24"/>
        </w:rPr>
        <w:t>提供7×24小时电话或电子邮件服务</w:t>
      </w:r>
      <w:r>
        <w:rPr>
          <w:rFonts w:hint="eastAsia" w:ascii="宋体" w:hAnsi="宋体"/>
          <w:sz w:val="24"/>
          <w:lang w:eastAsia="zh-CN"/>
        </w:rPr>
        <w:t>，</w:t>
      </w:r>
      <w:r>
        <w:rPr>
          <w:rFonts w:hint="eastAsia" w:ascii="宋体" w:hAnsi="宋体"/>
          <w:sz w:val="24"/>
        </w:rPr>
        <w:t>若需要现场服务才能解决问题的，在1小时内到达现场。具体的响应时间要求如下：</w:t>
      </w:r>
    </w:p>
    <w:tbl>
      <w:tblPr>
        <w:tblStyle w:val="33"/>
        <w:tblW w:w="519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4929"/>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70" w:type="pct"/>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故障级别</w:t>
            </w:r>
          </w:p>
        </w:tc>
        <w:tc>
          <w:tcPr>
            <w:tcW w:w="1729"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恢复时限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一级故障</w:t>
            </w:r>
          </w:p>
        </w:tc>
        <w:tc>
          <w:tcPr>
            <w:tcW w:w="2635"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系统中的关键设备或应用系统出现故障，导致系统瘫痪，重要核心业务无法开展，或出现严重信息、数据出错、重要数据丢失，甚至引起纠纷，给业主带来非常严重的损失。</w:t>
            </w:r>
          </w:p>
        </w:tc>
        <w:tc>
          <w:tcPr>
            <w:tcW w:w="1729"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应立即做出明确响应和安排，并在4小时内完成故障处置及恢复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二级故障</w:t>
            </w:r>
          </w:p>
        </w:tc>
        <w:tc>
          <w:tcPr>
            <w:tcW w:w="2635"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系统中的主要设备或应用系统出现故障，或处理性能严重下降,基本业务受到严重影响，如果不立即排除故障、恢复业务，会给业主带来严重的损失。</w:t>
            </w:r>
          </w:p>
        </w:tc>
        <w:tc>
          <w:tcPr>
            <w:tcW w:w="1729"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2小时内做出明确响应和安排，8小时内完成故障处置及恢复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三级故障</w:t>
            </w:r>
          </w:p>
        </w:tc>
        <w:tc>
          <w:tcPr>
            <w:tcW w:w="2635"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系统的部分操作性能受损，处理部分性能出现下降，系统功能削弱，但大部分业务运作仍可正常工作。</w:t>
            </w:r>
          </w:p>
        </w:tc>
        <w:tc>
          <w:tcPr>
            <w:tcW w:w="1729"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4小时内做出明确响应和安排，24小时内完成故障处置及恢复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四级故障</w:t>
            </w:r>
          </w:p>
        </w:tc>
        <w:tc>
          <w:tcPr>
            <w:tcW w:w="2635"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系统中发现有故障隐患的报错、或软硬件临时性报错、或某个单项功能出错需要修复。这些故障均在可控制范围内，对基本业务系统运作几乎无影响或影响甚微。</w:t>
            </w:r>
          </w:p>
        </w:tc>
        <w:tc>
          <w:tcPr>
            <w:tcW w:w="1729" w:type="pct"/>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24小时内做出明确响应和安排，72个小时内完成故障处置及恢复</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w:t>
      </w:r>
      <w:r>
        <w:rPr>
          <w:rFonts w:hint="eastAsia" w:ascii="宋体" w:hAnsi="宋体"/>
          <w:sz w:val="24"/>
        </w:rPr>
        <w:t>服务内容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6.3.6.1</w:t>
      </w:r>
      <w:r>
        <w:rPr>
          <w:rFonts w:ascii="宋体" w:hAnsi="宋体"/>
          <w:sz w:val="24"/>
        </w:rPr>
        <w:t>若软件性能</w:t>
      </w:r>
      <w:r>
        <w:rPr>
          <w:rFonts w:hint="eastAsia" w:ascii="宋体" w:hAnsi="宋体"/>
          <w:sz w:val="24"/>
        </w:rPr>
        <w:t>未通过测评</w:t>
      </w:r>
      <w:r>
        <w:rPr>
          <w:rFonts w:ascii="宋体" w:hAnsi="宋体"/>
          <w:sz w:val="24"/>
        </w:rPr>
        <w:t>，</w:t>
      </w:r>
      <w:r>
        <w:rPr>
          <w:rFonts w:hint="eastAsia" w:ascii="宋体" w:hAnsi="宋体"/>
          <w:sz w:val="24"/>
        </w:rPr>
        <w:t>投标人应</w:t>
      </w:r>
      <w:r>
        <w:rPr>
          <w:rFonts w:ascii="宋体" w:hAnsi="宋体"/>
          <w:sz w:val="24"/>
        </w:rPr>
        <w:t>修复直至达到最终验收指标和性能的要求，</w:t>
      </w:r>
      <w:r>
        <w:rPr>
          <w:rFonts w:hint="eastAsia" w:ascii="宋体" w:hAnsi="宋体"/>
          <w:sz w:val="24"/>
          <w:lang w:val="en-US" w:eastAsia="zh-CN"/>
        </w:rPr>
        <w:t>并承担产生的费用</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6.3.6.2</w:t>
      </w:r>
      <w:r>
        <w:rPr>
          <w:rFonts w:ascii="宋体" w:hAnsi="宋体"/>
          <w:sz w:val="24"/>
        </w:rPr>
        <w:t>服务提供方承诺在采购人对本</w:t>
      </w:r>
      <w:r>
        <w:rPr>
          <w:rFonts w:hint="eastAsia" w:ascii="宋体" w:hAnsi="宋体"/>
          <w:sz w:val="24"/>
        </w:rPr>
        <w:t>项目</w:t>
      </w:r>
      <w:r>
        <w:rPr>
          <w:rFonts w:ascii="宋体" w:hAnsi="宋体"/>
          <w:sz w:val="24"/>
        </w:rPr>
        <w:t>后续的扩容、改造工程或本</w:t>
      </w:r>
      <w:r>
        <w:rPr>
          <w:rFonts w:hint="eastAsia" w:ascii="宋体" w:hAnsi="宋体"/>
          <w:sz w:val="24"/>
        </w:rPr>
        <w:t>项目</w:t>
      </w:r>
      <w:r>
        <w:rPr>
          <w:rFonts w:ascii="宋体" w:hAnsi="宋体"/>
          <w:sz w:val="24"/>
        </w:rPr>
        <w:t>相关的其他工程中，无论服务提供方中标与否，均提供</w:t>
      </w:r>
      <w:r>
        <w:rPr>
          <w:rFonts w:hint="eastAsia" w:ascii="宋体" w:hAnsi="宋体"/>
          <w:sz w:val="24"/>
        </w:rPr>
        <w:t>必要的</w:t>
      </w:r>
      <w:r>
        <w:rPr>
          <w:rFonts w:ascii="宋体" w:hAnsi="宋体"/>
          <w:sz w:val="24"/>
        </w:rPr>
        <w:t>配合工作</w:t>
      </w:r>
      <w:r>
        <w:rPr>
          <w:rFonts w:hint="eastAsia" w:ascii="宋体" w:hAnsi="宋体"/>
          <w:sz w:val="24"/>
          <w:lang w:eastAsia="zh-CN"/>
        </w:rPr>
        <w:t>，</w:t>
      </w:r>
      <w:r>
        <w:rPr>
          <w:rFonts w:hint="eastAsia" w:ascii="宋体" w:hAnsi="宋体"/>
          <w:sz w:val="24"/>
          <w:lang w:val="en-US" w:eastAsia="zh-CN"/>
        </w:rPr>
        <w:t>费用由中标人自行承担</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6.3.6.3</w:t>
      </w:r>
      <w:r>
        <w:rPr>
          <w:rFonts w:ascii="宋体" w:hAnsi="宋体"/>
          <w:sz w:val="24"/>
        </w:rPr>
        <w:t>如因服务提供方有缺陷的设计和生产造成系统的性能和质量与采购人实际要求不符，服务提供方应负责弥补缺陷</w:t>
      </w:r>
      <w:r>
        <w:rPr>
          <w:rFonts w:hint="eastAsia" w:ascii="宋体" w:hAnsi="宋体"/>
          <w:sz w:val="24"/>
          <w:lang w:eastAsia="zh-CN"/>
        </w:rPr>
        <w:t>，</w:t>
      </w:r>
      <w:r>
        <w:rPr>
          <w:rFonts w:hint="eastAsia" w:ascii="宋体" w:hAnsi="宋体"/>
          <w:sz w:val="24"/>
          <w:lang w:val="en-US" w:eastAsia="zh-CN"/>
        </w:rPr>
        <w:t>并承担产生的费用</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6.3.6.4</w:t>
      </w:r>
      <w:r>
        <w:rPr>
          <w:rFonts w:ascii="宋体" w:hAnsi="宋体"/>
          <w:sz w:val="24"/>
        </w:rPr>
        <w:t>服务提供方应尽快按照最终用户</w:t>
      </w:r>
      <w:r>
        <w:rPr>
          <w:rFonts w:hint="eastAsia" w:ascii="宋体" w:hAnsi="宋体"/>
          <w:sz w:val="24"/>
        </w:rPr>
        <w:t>项目进度表</w:t>
      </w:r>
      <w:r>
        <w:rPr>
          <w:rFonts w:ascii="宋体" w:hAnsi="宋体"/>
          <w:sz w:val="24"/>
        </w:rPr>
        <w:t>，纠正或替换任何与本合同规定的功能有偏差的软件部分。纠正或替换的软件的相关技术文件资料应及时提供给</w:t>
      </w:r>
      <w:r>
        <w:rPr>
          <w:rFonts w:hint="eastAsia" w:ascii="宋体" w:hAnsi="宋体"/>
          <w:sz w:val="24"/>
        </w:rPr>
        <w:t>采购人</w:t>
      </w:r>
      <w:r>
        <w:rPr>
          <w:rFonts w:hint="eastAsia" w:ascii="宋体" w:hAnsi="宋体"/>
          <w:sz w:val="24"/>
          <w:lang w:eastAsia="zh-CN"/>
        </w:rPr>
        <w:t>，</w:t>
      </w:r>
      <w:r>
        <w:rPr>
          <w:rFonts w:hint="eastAsia" w:ascii="宋体" w:hAnsi="宋体"/>
          <w:sz w:val="24"/>
          <w:lang w:val="en-US" w:eastAsia="zh-CN"/>
        </w:rPr>
        <w:t>以上产生的费用由中标人承担</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6.3.6.5</w:t>
      </w:r>
      <w:r>
        <w:rPr>
          <w:rFonts w:hint="eastAsia" w:ascii="宋体" w:hAnsi="宋体"/>
          <w:sz w:val="24"/>
        </w:rPr>
        <w:t>升级服务。质保期内，如果软件存在版本升级或更新，服务提供方应提供升级或更新服务</w:t>
      </w:r>
      <w:r>
        <w:rPr>
          <w:rFonts w:ascii="宋体" w:hAnsi="宋体"/>
          <w:sz w:val="24"/>
        </w:rPr>
        <w:t>。</w:t>
      </w:r>
      <w:r>
        <w:rPr>
          <w:rFonts w:hint="eastAsia" w:ascii="宋体" w:hAnsi="宋体"/>
          <w:sz w:val="24"/>
        </w:rPr>
        <w:t>投标人提供的新版本必须是向下兼容的，并提供数据迁移服务，数据迁移必须保证数据的完整性、一致性</w:t>
      </w:r>
      <w:r>
        <w:rPr>
          <w:rFonts w:hint="eastAsia" w:ascii="宋体" w:hAnsi="宋体"/>
          <w:sz w:val="24"/>
          <w:lang w:eastAsia="zh-CN"/>
        </w:rPr>
        <w:t>。</w:t>
      </w:r>
      <w:r>
        <w:rPr>
          <w:rFonts w:hint="eastAsia" w:ascii="宋体" w:hAnsi="宋体"/>
          <w:sz w:val="24"/>
          <w:lang w:val="en-US" w:eastAsia="zh-CN"/>
        </w:rPr>
        <w:t>以上产生的费用由中标人承担</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6.3.6.6</w:t>
      </w:r>
      <w:r>
        <w:rPr>
          <w:rFonts w:ascii="宋体" w:hAnsi="宋体"/>
          <w:sz w:val="24"/>
        </w:rPr>
        <w:t>若本系统后期维护单位发生变更，</w:t>
      </w:r>
      <w:r>
        <w:rPr>
          <w:rFonts w:hint="eastAsia" w:ascii="宋体" w:hAnsi="宋体"/>
          <w:sz w:val="24"/>
        </w:rPr>
        <w:t>供货商</w:t>
      </w:r>
      <w:r>
        <w:rPr>
          <w:rFonts w:ascii="宋体" w:hAnsi="宋体"/>
          <w:sz w:val="24"/>
        </w:rPr>
        <w:t>需在协助维护期</w:t>
      </w:r>
      <w:r>
        <w:rPr>
          <w:rFonts w:hint="eastAsia" w:ascii="宋体" w:hAnsi="宋体"/>
          <w:sz w:val="24"/>
        </w:rPr>
        <w:t>（一年）</w:t>
      </w:r>
      <w:r>
        <w:rPr>
          <w:rFonts w:ascii="宋体" w:hAnsi="宋体"/>
          <w:sz w:val="24"/>
        </w:rPr>
        <w:t>内负责对后期维护单位人员进行必要的培训</w:t>
      </w:r>
      <w:r>
        <w:rPr>
          <w:rFonts w:hint="eastAsia" w:ascii="宋体" w:hAnsi="宋体"/>
          <w:sz w:val="24"/>
        </w:rPr>
        <w:t>并承担相应培训费用</w:t>
      </w:r>
      <w:r>
        <w:rPr>
          <w:rFonts w:ascii="宋体" w:hAnsi="宋体"/>
          <w:sz w:val="24"/>
        </w:rPr>
        <w:t>，以便进行维护工作顺利移交。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6.3.6.7</w:t>
      </w:r>
      <w:r>
        <w:rPr>
          <w:rFonts w:hint="eastAsia" w:ascii="宋体" w:hAnsi="宋体"/>
          <w:sz w:val="24"/>
        </w:rPr>
        <w:t>在满足要求的前提下，可采用成熟软件，也可定制开发或二次开发，但定制开发的软件版权属于采购人。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6.3.6.8</w:t>
      </w:r>
      <w:r>
        <w:rPr>
          <w:rFonts w:hint="eastAsia" w:ascii="宋体" w:hAnsi="宋体"/>
          <w:sz w:val="24"/>
        </w:rPr>
        <w:t>咨询服务。在质保期内提供系统软件应用和维护技术咨询服务</w:t>
      </w:r>
      <w:r>
        <w:rPr>
          <w:rFonts w:hint="eastAsia" w:ascii="宋体" w:hAnsi="宋体"/>
          <w:sz w:val="24"/>
          <w:lang w:eastAsia="zh-CN"/>
        </w:rPr>
        <w:t>，</w:t>
      </w:r>
      <w:r>
        <w:rPr>
          <w:rFonts w:hint="eastAsia" w:ascii="宋体" w:hAnsi="宋体"/>
          <w:sz w:val="24"/>
          <w:lang w:val="en-US" w:eastAsia="zh-CN"/>
        </w:rPr>
        <w:t>并承担产生的费用</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6.3.7</w:t>
      </w:r>
      <w:r>
        <w:rPr>
          <w:rFonts w:hint="eastAsia" w:ascii="宋体" w:hAnsi="宋体"/>
          <w:sz w:val="24"/>
        </w:rPr>
        <w:t>在系统质保期满后，投标人仍应满足招标人对所出现故障的系统进行维修的要求，</w:t>
      </w:r>
      <w:r>
        <w:rPr>
          <w:rFonts w:ascii="宋体" w:hAnsi="宋体"/>
          <w:sz w:val="24"/>
        </w:rPr>
        <w:t>并只收工本费</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bookmarkStart w:id="274" w:name="_Toc78467162"/>
      <w:bookmarkStart w:id="275" w:name="_Toc310412061"/>
      <w:bookmarkStart w:id="276" w:name="_Toc204575935"/>
      <w:bookmarkStart w:id="277" w:name="_Toc177972977"/>
      <w:bookmarkStart w:id="278" w:name="_Toc206908330"/>
      <w:bookmarkStart w:id="279" w:name="_Toc177972119"/>
      <w:bookmarkStart w:id="280" w:name="_Toc177972291"/>
      <w:bookmarkStart w:id="281" w:name="_Toc178825685"/>
      <w:bookmarkStart w:id="282" w:name="_Toc148505260"/>
      <w:bookmarkStart w:id="283" w:name="_Toc310410801"/>
      <w:bookmarkStart w:id="284" w:name="_Toc309911304"/>
      <w:bookmarkStart w:id="285" w:name="_Toc310411992"/>
      <w:bookmarkStart w:id="286" w:name="_Toc338418071"/>
      <w:r>
        <w:rPr>
          <w:rFonts w:hint="eastAsia" w:ascii="宋体" w:hAnsi="宋体"/>
          <w:b/>
          <w:sz w:val="24"/>
          <w:lang w:val="en-US" w:eastAsia="zh-CN"/>
        </w:rPr>
        <w:t>7.</w:t>
      </w:r>
      <w:r>
        <w:rPr>
          <w:rFonts w:hint="eastAsia" w:ascii="宋体" w:hAnsi="宋体"/>
          <w:b/>
          <w:sz w:val="24"/>
        </w:rPr>
        <w:t>运行维护要求</w:t>
      </w:r>
      <w:bookmarkEnd w:id="274"/>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7.1</w:t>
      </w:r>
      <w:r>
        <w:rPr>
          <w:rFonts w:hint="eastAsia" w:ascii="宋体" w:hAnsi="宋体"/>
          <w:sz w:val="24"/>
        </w:rPr>
        <w:t>在系统质保期内，服务提供</w:t>
      </w:r>
      <w:r>
        <w:rPr>
          <w:rFonts w:ascii="宋体" w:hAnsi="宋体"/>
          <w:sz w:val="24"/>
        </w:rPr>
        <w:t>方</w:t>
      </w:r>
      <w:r>
        <w:rPr>
          <w:rFonts w:hint="eastAsia" w:ascii="宋体" w:hAnsi="宋体"/>
          <w:sz w:val="24"/>
        </w:rPr>
        <w:t>提供软件运行维护服务</w:t>
      </w:r>
      <w:r>
        <w:rPr>
          <w:rFonts w:hint="eastAsia" w:ascii="宋体" w:hAnsi="宋体"/>
          <w:sz w:val="24"/>
          <w:lang w:eastAsia="zh-CN"/>
        </w:rPr>
        <w:t>；</w:t>
      </w:r>
      <w:r>
        <w:rPr>
          <w:rFonts w:ascii="宋体" w:hAnsi="宋体"/>
          <w:sz w:val="24"/>
        </w:rPr>
        <w:t>实行项目经理负责制</w:t>
      </w:r>
      <w:r>
        <w:rPr>
          <w:rFonts w:hint="eastAsia" w:ascii="宋体" w:hAnsi="宋体"/>
          <w:sz w:val="24"/>
        </w:rPr>
        <w:t>，制定完善的软件运行维护服务策略</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7.2</w:t>
      </w:r>
      <w:r>
        <w:rPr>
          <w:rFonts w:hint="eastAsia" w:ascii="宋体" w:hAnsi="宋体"/>
          <w:sz w:val="24"/>
        </w:rPr>
        <w:t>需建立本地的售后服务团队，在运行维护服务合同期内，根据项目需要提供电话支持或派遣技术人员及时到达现场，提供技术支持和故障清查、不定期培训等服务，以满足招标人对技术支持的需求</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7.3</w:t>
      </w:r>
      <w:r>
        <w:rPr>
          <w:rFonts w:ascii="宋体" w:hAnsi="宋体"/>
          <w:sz w:val="24"/>
        </w:rPr>
        <w:t>在</w:t>
      </w:r>
      <w:r>
        <w:rPr>
          <w:rFonts w:hint="eastAsia" w:ascii="宋体" w:hAnsi="宋体"/>
          <w:sz w:val="24"/>
        </w:rPr>
        <w:t>运维期</w:t>
      </w:r>
      <w:r>
        <w:rPr>
          <w:rFonts w:ascii="宋体" w:hAnsi="宋体"/>
          <w:sz w:val="24"/>
        </w:rPr>
        <w:t>内，应定期对系统进行必要的补丁装载和软件升级工作，防止潜在故障的发生。具体实施及操作</w:t>
      </w:r>
      <w:r>
        <w:rPr>
          <w:rFonts w:hint="eastAsia" w:ascii="宋体" w:hAnsi="宋体"/>
          <w:sz w:val="24"/>
        </w:rPr>
        <w:t>需经过招标人的同意</w:t>
      </w:r>
      <w:r>
        <w:rPr>
          <w:rFonts w:ascii="宋体" w:hAnsi="宋体"/>
          <w:sz w:val="24"/>
        </w:rPr>
        <w:t>方可执行</w:t>
      </w:r>
      <w:r>
        <w:rPr>
          <w:rFonts w:hint="eastAsia" w:ascii="宋体" w:hAnsi="宋体"/>
          <w:sz w:val="24"/>
        </w:rPr>
        <w:t>，</w:t>
      </w:r>
      <w:r>
        <w:rPr>
          <w:rFonts w:ascii="宋体" w:hAnsi="宋体"/>
          <w:sz w:val="24"/>
        </w:rPr>
        <w:t>安装时</w:t>
      </w:r>
      <w:r>
        <w:rPr>
          <w:rFonts w:hint="eastAsia" w:ascii="宋体" w:hAnsi="宋体"/>
          <w:sz w:val="24"/>
        </w:rPr>
        <w:t>需采购方有关</w:t>
      </w:r>
      <w:r>
        <w:rPr>
          <w:rFonts w:ascii="宋体" w:hAnsi="宋体"/>
          <w:sz w:val="24"/>
        </w:rPr>
        <w:t>技术负责人或管理人员在场。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7.4</w:t>
      </w:r>
      <w:r>
        <w:rPr>
          <w:rFonts w:ascii="宋体" w:hAnsi="宋体"/>
          <w:sz w:val="24"/>
        </w:rPr>
        <w:t>应将技术服务过程中的记录</w:t>
      </w:r>
      <w:r>
        <w:rPr>
          <w:rFonts w:hint="eastAsia" w:ascii="宋体" w:hAnsi="宋体"/>
          <w:sz w:val="24"/>
        </w:rPr>
        <w:t>、</w:t>
      </w:r>
      <w:r>
        <w:rPr>
          <w:rFonts w:ascii="宋体" w:hAnsi="宋体"/>
          <w:sz w:val="24"/>
        </w:rPr>
        <w:t>经验，定期以汇总和分类的方式转交</w:t>
      </w:r>
      <w:r>
        <w:rPr>
          <w:rFonts w:hint="eastAsia" w:ascii="宋体" w:hAnsi="宋体"/>
          <w:sz w:val="24"/>
        </w:rPr>
        <w:t>招标人存档</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7.5</w:t>
      </w:r>
      <w:r>
        <w:rPr>
          <w:rFonts w:ascii="宋体" w:hAnsi="宋体"/>
          <w:sz w:val="24"/>
        </w:rPr>
        <w:t>应在</w:t>
      </w:r>
      <w:r>
        <w:rPr>
          <w:rFonts w:hint="eastAsia" w:ascii="宋体" w:hAnsi="宋体"/>
          <w:sz w:val="24"/>
        </w:rPr>
        <w:t>采购方要求</w:t>
      </w:r>
      <w:r>
        <w:rPr>
          <w:rFonts w:ascii="宋体" w:hAnsi="宋体"/>
          <w:sz w:val="24"/>
        </w:rPr>
        <w:t>时配合，提供并完成系统与</w:t>
      </w:r>
      <w:r>
        <w:rPr>
          <w:rFonts w:hint="eastAsia" w:ascii="宋体" w:hAnsi="宋体"/>
          <w:sz w:val="24"/>
        </w:rPr>
        <w:t>招标人</w:t>
      </w:r>
      <w:r>
        <w:rPr>
          <w:rFonts w:ascii="宋体" w:hAnsi="宋体"/>
          <w:sz w:val="24"/>
        </w:rPr>
        <w:t>其它系统间的互通性测试，开放相关的接口协议</w:t>
      </w:r>
      <w:r>
        <w:rPr>
          <w:rFonts w:hint="eastAsia" w:ascii="宋体" w:hAnsi="宋体"/>
          <w:sz w:val="24"/>
          <w:lang w:eastAsia="zh-CN"/>
        </w:rPr>
        <w:t>，</w:t>
      </w:r>
      <w:r>
        <w:rPr>
          <w:rFonts w:hint="eastAsia" w:ascii="宋体" w:hAnsi="宋体"/>
          <w:sz w:val="24"/>
          <w:lang w:val="en-US" w:eastAsia="zh-CN"/>
        </w:rPr>
        <w:t>以上产生的费用由中标人承担</w:t>
      </w:r>
      <w:r>
        <w:rPr>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zh-CN"/>
        </w:rPr>
        <w:t>●</w:t>
      </w:r>
      <w:r>
        <w:rPr>
          <w:rFonts w:hint="eastAsia" w:ascii="宋体" w:hAnsi="宋体"/>
          <w:sz w:val="24"/>
          <w:lang w:val="en-US" w:eastAsia="zh-CN"/>
        </w:rPr>
        <w:t>7.6</w:t>
      </w:r>
      <w:r>
        <w:rPr>
          <w:rFonts w:hint="eastAsia" w:ascii="宋体" w:hAnsi="宋体"/>
          <w:sz w:val="24"/>
        </w:rPr>
        <w:t>项目开发实施</w:t>
      </w:r>
      <w:r>
        <w:rPr>
          <w:rFonts w:hint="eastAsia" w:ascii="宋体" w:hAnsi="宋体"/>
          <w:sz w:val="24"/>
          <w:lang w:val="en-US" w:eastAsia="zh-CN"/>
        </w:rPr>
        <w:t>需</w:t>
      </w:r>
      <w:r>
        <w:rPr>
          <w:rFonts w:hint="eastAsia" w:ascii="宋体" w:hAnsi="宋体"/>
          <w:sz w:val="24"/>
        </w:rPr>
        <w:t>买卖双方进行需求调研和确认，系统主要功能要求，采购方有权根据实际情况变化提出变更需求（不包括功能性体系重大的调整），供应商需要予以理解和支持，并承诺能够根据采购方的实际应用要求对需求进行优化调整和深化，并不再提出任何额外的费用。</w:t>
      </w:r>
      <w:r>
        <w:rPr>
          <w:rFonts w:hint="eastAsia" w:ascii="宋体" w:hAnsi="宋体"/>
          <w:b/>
          <w:sz w:val="24"/>
          <w:lang w:eastAsia="zh-CN"/>
        </w:rPr>
        <w:t>（提供承诺函，并加盖投标人电子印章（格式自拟））</w:t>
      </w:r>
    </w:p>
    <w:bookmarkEnd w:id="275"/>
    <w:bookmarkEnd w:id="276"/>
    <w:bookmarkEnd w:id="277"/>
    <w:bookmarkEnd w:id="278"/>
    <w:bookmarkEnd w:id="279"/>
    <w:bookmarkEnd w:id="280"/>
    <w:bookmarkEnd w:id="281"/>
    <w:bookmarkEnd w:id="282"/>
    <w:bookmarkEnd w:id="283"/>
    <w:bookmarkEnd w:id="284"/>
    <w:bookmarkEnd w:id="285"/>
    <w:bookmarkEnd w:id="286"/>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sz w:val="24"/>
        </w:rPr>
      </w:pPr>
      <w:bookmarkStart w:id="287" w:name="_Toc338418073"/>
      <w:bookmarkStart w:id="288" w:name="_Toc78467163"/>
      <w:r>
        <w:rPr>
          <w:rFonts w:hint="eastAsia" w:ascii="宋体" w:hAnsi="宋体"/>
          <w:sz w:val="24"/>
        </w:rPr>
        <w:t>★</w:t>
      </w:r>
      <w:r>
        <w:rPr>
          <w:rFonts w:hint="eastAsia" w:ascii="宋体" w:hAnsi="宋体"/>
          <w:b/>
          <w:sz w:val="24"/>
          <w:lang w:val="en-US" w:eastAsia="zh-CN"/>
        </w:rPr>
        <w:t>8.</w:t>
      </w:r>
      <w:r>
        <w:rPr>
          <w:rFonts w:hint="eastAsia" w:ascii="宋体" w:hAnsi="宋体"/>
          <w:b/>
          <w:sz w:val="24"/>
        </w:rPr>
        <w:t>付款方式</w:t>
      </w:r>
      <w:bookmarkEnd w:id="287"/>
      <w:bookmarkEnd w:id="28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rPr>
        <w:t>合同签订生效后5个工作日内，向中标人支付合同总金额的40%的合同款；项目通过初验上线试运行后，7个工作日内采购人向中标人支付合同总金额的40%的合同款；项目无故障试运行三个月后对系统进行终验评审，项目通过评审并签署终验报告后7个工作日内采购人向中标人支付合同总金额的20%的合同款。</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b/>
          <w:sz w:val="24"/>
        </w:rPr>
      </w:pPr>
      <w:bookmarkStart w:id="289" w:name="_Toc78467166"/>
      <w:r>
        <w:rPr>
          <w:rFonts w:hint="eastAsia" w:ascii="宋体" w:hAnsi="宋体"/>
          <w:b/>
          <w:sz w:val="24"/>
          <w:lang w:val="en-US" w:eastAsia="zh-CN"/>
        </w:rPr>
        <w:t>★9.</w:t>
      </w:r>
      <w:r>
        <w:rPr>
          <w:rFonts w:hint="eastAsia" w:ascii="宋体" w:hAnsi="宋体"/>
          <w:b/>
          <w:sz w:val="24"/>
        </w:rPr>
        <w:t>知识产权</w:t>
      </w:r>
      <w:bookmarkEnd w:id="289"/>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9.1</w:t>
      </w:r>
      <w:r>
        <w:rPr>
          <w:rFonts w:ascii="宋体" w:hAnsi="宋体"/>
          <w:sz w:val="24"/>
        </w:rPr>
        <w:t>采购人拥有服务提供方为本项目开发的软件(包括源程序和文档)的所有权。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9.2</w:t>
      </w:r>
      <w:r>
        <w:rPr>
          <w:rFonts w:ascii="宋体" w:hAnsi="宋体"/>
          <w:sz w:val="24"/>
        </w:rPr>
        <w:t>服务提供方应将本项目的所有设计（概要设计、详细设计）文档、源代码、测试</w:t>
      </w:r>
      <w:r>
        <w:rPr>
          <w:rFonts w:hint="eastAsia" w:ascii="宋体" w:hAnsi="宋体"/>
          <w:sz w:val="24"/>
          <w:lang w:val="en-US" w:eastAsia="zh-CN"/>
        </w:rPr>
        <w:t>文档</w:t>
      </w:r>
      <w:r>
        <w:rPr>
          <w:rFonts w:ascii="宋体" w:hAnsi="宋体"/>
          <w:sz w:val="24"/>
        </w:rPr>
        <w:t>、使用说明等相关资料移交给采购人，并保证文档的一致性和完整性。服务提供方有责任对第三方保密。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sz w:val="24"/>
        </w:rPr>
      </w:pPr>
      <w:r>
        <w:rPr>
          <w:rFonts w:hint="eastAsia" w:ascii="宋体" w:hAnsi="宋体"/>
          <w:sz w:val="24"/>
          <w:lang w:val="en-US" w:eastAsia="zh-CN"/>
        </w:rPr>
        <w:t>9.3</w:t>
      </w:r>
      <w:r>
        <w:rPr>
          <w:rFonts w:hint="eastAsia" w:ascii="宋体" w:hAnsi="宋体"/>
          <w:sz w:val="24"/>
          <w:lang w:eastAsia="zh-CN"/>
        </w:rPr>
        <w:t>服务提供</w:t>
      </w:r>
      <w:r>
        <w:rPr>
          <w:rFonts w:ascii="宋体" w:hAnsi="宋体"/>
          <w:sz w:val="24"/>
        </w:rPr>
        <w:t>方全面承担由</w:t>
      </w:r>
      <w:r>
        <w:rPr>
          <w:rFonts w:hint="eastAsia" w:ascii="宋体" w:hAnsi="宋体"/>
          <w:sz w:val="24"/>
        </w:rPr>
        <w:t>其提供</w:t>
      </w:r>
      <w:r>
        <w:rPr>
          <w:rFonts w:ascii="宋体" w:hAnsi="宋体"/>
          <w:sz w:val="24"/>
        </w:rPr>
        <w:t>的</w:t>
      </w:r>
      <w:r>
        <w:rPr>
          <w:rFonts w:hint="eastAsia" w:ascii="宋体" w:hAnsi="宋体"/>
          <w:sz w:val="24"/>
        </w:rPr>
        <w:t>涉及</w:t>
      </w:r>
      <w:r>
        <w:rPr>
          <w:rFonts w:ascii="宋体" w:hAnsi="宋体"/>
          <w:sz w:val="24"/>
        </w:rPr>
        <w:t>第三方产品所引起的一切法律责任</w:t>
      </w:r>
      <w:r>
        <w:rPr>
          <w:rFonts w:hint="eastAsia" w:ascii="宋体" w:hAnsi="宋体"/>
          <w:sz w:val="24"/>
          <w:lang w:eastAsia="zh-CN"/>
        </w:rPr>
        <w:t>，</w:t>
      </w:r>
      <w:r>
        <w:rPr>
          <w:rFonts w:ascii="宋体" w:hAnsi="宋体"/>
          <w:sz w:val="24"/>
        </w:rPr>
        <w:t>服务提供方应保证并确认其合法拥有或被授权后合法拥有向采购人提供的所有文件、技术资料、软件、程序的专利权、版权、商标权、工业设计或其它知识产权。所有由服务提供方提供的产品所引发的知识产权纠纷由服务提供方负责。</w:t>
      </w:r>
    </w:p>
    <w:p>
      <w:pPr>
        <w:adjustRightInd w:val="0"/>
        <w:snapToGrid w:val="0"/>
        <w:spacing w:line="360" w:lineRule="auto"/>
        <w:ind w:firstLine="480"/>
        <w:rPr>
          <w:rFonts w:ascii="宋体" w:hAnsi="宋体"/>
          <w:sz w:val="24"/>
        </w:rPr>
      </w:pPr>
      <w:r>
        <w:rPr>
          <w:rFonts w:hint="eastAsia" w:ascii="宋体" w:hAnsi="宋体"/>
          <w:sz w:val="24"/>
          <w:lang w:val="en-US" w:eastAsia="zh-CN"/>
        </w:rPr>
        <w:t>9.4</w:t>
      </w:r>
      <w:r>
        <w:rPr>
          <w:rFonts w:ascii="宋体" w:hAnsi="宋体"/>
          <w:sz w:val="24"/>
        </w:rPr>
        <w:t>采购人拥有基于服务提供方所提供软件和文档、数据模型、类库等进行软件再开发的权利，同时具有包括但不限于：上述软件的使用、复制、展示、修改、翻译、注释等权利。</w:t>
      </w:r>
    </w:p>
    <w:p>
      <w:pPr>
        <w:pStyle w:val="9"/>
        <w:spacing w:line="360" w:lineRule="auto"/>
        <w:ind w:firstLine="283" w:firstLineChars="118"/>
        <w:rPr>
          <w:rFonts w:cs="仿宋" w:asciiTheme="majorEastAsia" w:hAnsiTheme="majorEastAsia" w:eastAsiaTheme="majorEastAsia"/>
          <w:sz w:val="24"/>
        </w:rPr>
      </w:pPr>
    </w:p>
    <w:p>
      <w:pPr>
        <w:pStyle w:val="2"/>
        <w:spacing w:after="0" w:line="360" w:lineRule="auto"/>
        <w:ind w:firstLine="473"/>
        <w:rPr>
          <w:rFonts w:cs="仿宋" w:asciiTheme="majorEastAsia" w:hAnsiTheme="majorEastAsia" w:eastAsiaTheme="majorEastAsia"/>
          <w:b/>
        </w:rPr>
      </w:pPr>
      <w:r>
        <w:rPr>
          <w:rFonts w:hint="eastAsia" w:cs="仿宋" w:asciiTheme="majorEastAsia" w:hAnsiTheme="majorEastAsia" w:eastAsiaTheme="majorEastAsia"/>
          <w:b/>
          <w:sz w:val="24"/>
        </w:rPr>
        <w:t>注：本项目若涉及国家法律法规规定的其他强制性条件，包括工程、医疗器械、特种设备、涉密、计量器具、安全技术防范系统及产品、计算机信息系统安全专业产品类等相关</w:t>
      </w:r>
      <w:r>
        <w:rPr>
          <w:rFonts w:cs="仿宋" w:asciiTheme="majorEastAsia" w:hAnsiTheme="majorEastAsia" w:eastAsiaTheme="majorEastAsia"/>
          <w:b/>
          <w:sz w:val="24"/>
        </w:rPr>
        <w:t>领域和强制性产品认证（3C），</w:t>
      </w:r>
      <w:bookmarkEnd w:id="170"/>
      <w:bookmarkEnd w:id="171"/>
      <w:bookmarkStart w:id="290" w:name="_Toc495913056"/>
      <w:bookmarkStart w:id="291" w:name="_Toc495165850"/>
      <w:r>
        <w:rPr>
          <w:rFonts w:cs="仿宋" w:asciiTheme="majorEastAsia" w:hAnsiTheme="majorEastAsia" w:eastAsiaTheme="majorEastAsia"/>
          <w:b/>
          <w:sz w:val="24"/>
        </w:rPr>
        <w:t>投标产品需</w:t>
      </w:r>
      <w:r>
        <w:rPr>
          <w:rFonts w:hint="eastAsia" w:cs="仿宋" w:asciiTheme="majorEastAsia" w:hAnsiTheme="majorEastAsia" w:eastAsiaTheme="majorEastAsia"/>
          <w:b/>
          <w:sz w:val="24"/>
        </w:rPr>
        <w:t>提供投标文件格式附件</w:t>
      </w:r>
      <w:r>
        <w:rPr>
          <w:rFonts w:hint="eastAsia" w:cs="仿宋" w:asciiTheme="majorEastAsia" w:hAnsiTheme="majorEastAsia" w:eastAsiaTheme="majorEastAsia"/>
          <w:b/>
          <w:sz w:val="24"/>
          <w:lang w:val="en-US" w:eastAsia="zh-CN"/>
        </w:rPr>
        <w:t>二</w:t>
      </w:r>
      <w:r>
        <w:rPr>
          <w:rFonts w:hint="eastAsia" w:cs="仿宋" w:asciiTheme="majorEastAsia" w:hAnsiTheme="majorEastAsia" w:eastAsiaTheme="majorEastAsia"/>
          <w:b/>
          <w:sz w:val="24"/>
        </w:rPr>
        <w:t>：强制性产品的认证（3C）证书承诺函</w:t>
      </w:r>
      <w:bookmarkStart w:id="292" w:name="_Hlk48919622"/>
      <w:r>
        <w:rPr>
          <w:rFonts w:hint="eastAsia" w:cs="仿宋" w:asciiTheme="majorEastAsia" w:hAnsiTheme="majorEastAsia" w:eastAsiaTheme="majorEastAsia"/>
          <w:b/>
          <w:sz w:val="24"/>
        </w:rPr>
        <w:t>或按招标文件要求提供相关资料</w:t>
      </w:r>
      <w:r>
        <w:rPr>
          <w:rFonts w:cs="仿宋" w:asciiTheme="majorEastAsia" w:hAnsiTheme="majorEastAsia" w:eastAsiaTheme="majorEastAsia"/>
          <w:b/>
          <w:sz w:val="24"/>
        </w:rPr>
        <w:t>。</w:t>
      </w:r>
      <w:bookmarkEnd w:id="292"/>
    </w:p>
    <w:p>
      <w:pPr>
        <w:pStyle w:val="9"/>
        <w:spacing w:line="360" w:lineRule="auto"/>
        <w:ind w:firstLine="284" w:firstLineChars="118"/>
        <w:rPr>
          <w:rFonts w:cs="仿宋" w:asciiTheme="majorEastAsia" w:hAnsiTheme="majorEastAsia" w:eastAsiaTheme="majorEastAsia"/>
          <w:b/>
          <w:sz w:val="24"/>
        </w:rPr>
      </w:pPr>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第七章  评标办法</w:t>
      </w:r>
      <w:bookmarkEnd w:id="290"/>
      <w:bookmarkEnd w:id="291"/>
      <w:bookmarkStart w:id="293" w:name="_Hlt101846155"/>
      <w:bookmarkEnd w:id="293"/>
      <w:bookmarkStart w:id="294" w:name="_Toc208849007"/>
      <w:bookmarkStart w:id="295" w:name="_Toc183682415"/>
      <w:bookmarkStart w:id="296" w:name="_Toc183582280"/>
      <w:bookmarkStart w:id="297" w:name="_Toc217446097"/>
    </w:p>
    <w:p>
      <w:pPr>
        <w:tabs>
          <w:tab w:val="left" w:pos="720"/>
        </w:tabs>
        <w:spacing w:line="360" w:lineRule="auto"/>
        <w:ind w:firstLine="472" w:firstLineChars="196"/>
        <w:outlineLvl w:val="2"/>
        <w:rPr>
          <w:rFonts w:cs="仿宋" w:asciiTheme="majorEastAsia" w:hAnsiTheme="majorEastAsia" w:eastAsiaTheme="majorEastAsia"/>
          <w:b/>
          <w:color w:val="000000"/>
          <w:sz w:val="24"/>
          <w:szCs w:val="20"/>
        </w:rPr>
      </w:pPr>
      <w:bookmarkStart w:id="298" w:name="_Toc495165851"/>
      <w:bookmarkStart w:id="299" w:name="_Toc495570311"/>
      <w:bookmarkStart w:id="300" w:name="_Toc495521103"/>
      <w:r>
        <w:rPr>
          <w:rFonts w:cs="仿宋" w:asciiTheme="majorEastAsia" w:hAnsiTheme="majorEastAsia" w:eastAsiaTheme="majorEastAsia"/>
          <w:b/>
          <w:color w:val="000000"/>
          <w:sz w:val="24"/>
          <w:szCs w:val="20"/>
        </w:rPr>
        <w:t xml:space="preserve">1. </w:t>
      </w:r>
      <w:r>
        <w:rPr>
          <w:rFonts w:hint="eastAsia" w:cs="仿宋" w:asciiTheme="majorEastAsia" w:hAnsiTheme="majorEastAsia" w:eastAsiaTheme="majorEastAsia"/>
          <w:b/>
          <w:color w:val="000000"/>
          <w:sz w:val="24"/>
          <w:szCs w:val="20"/>
        </w:rPr>
        <w:t>总则</w:t>
      </w:r>
      <w:bookmarkEnd w:id="298"/>
      <w:bookmarkEnd w:id="299"/>
      <w:bookmarkEnd w:id="300"/>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1.1</w:t>
      </w:r>
      <w:r>
        <w:rPr>
          <w:rFonts w:hint="eastAsia" w:cs="仿宋" w:asciiTheme="majorEastAsia" w:hAnsiTheme="majorEastAsia" w:eastAsiaTheme="majorEastAsia"/>
          <w:color w:val="000000"/>
          <w:sz w:val="24"/>
          <w:szCs w:val="20"/>
        </w:rPr>
        <w:t>根据《中华人民共和国政府采购法》、《中华人民共和国政府采购法实施条例》、《政府采购货物和服务招标投标管理办法》（财政部第</w:t>
      </w:r>
      <w:r>
        <w:rPr>
          <w:rFonts w:cs="仿宋" w:asciiTheme="majorEastAsia" w:hAnsiTheme="majorEastAsia" w:eastAsiaTheme="majorEastAsia"/>
          <w:color w:val="000000"/>
          <w:sz w:val="24"/>
          <w:szCs w:val="20"/>
        </w:rPr>
        <w:t>87号令）、</w:t>
      </w:r>
      <w:r>
        <w:rPr>
          <w:rFonts w:cs="仿宋" w:asciiTheme="majorEastAsia" w:hAnsiTheme="majorEastAsia" w:eastAsiaTheme="majorEastAsia"/>
          <w:sz w:val="24"/>
        </w:rPr>
        <w:t>《</w:t>
      </w:r>
      <w:r>
        <w:rPr>
          <w:rFonts w:hint="eastAsia" w:cs="仿宋" w:asciiTheme="majorEastAsia" w:hAnsiTheme="majorEastAsia" w:eastAsiaTheme="majorEastAsia"/>
          <w:sz w:val="24"/>
        </w:rPr>
        <w:t>四川省政府采购</w:t>
      </w:r>
      <w:r>
        <w:rPr>
          <w:rFonts w:cs="仿宋" w:asciiTheme="majorEastAsia" w:hAnsiTheme="majorEastAsia" w:eastAsiaTheme="majorEastAsia"/>
          <w:sz w:val="24"/>
        </w:rPr>
        <w:t>评审工作规程</w:t>
      </w:r>
      <w:r>
        <w:rPr>
          <w:rFonts w:hint="eastAsia" w:cs="仿宋" w:asciiTheme="majorEastAsia" w:hAnsiTheme="majorEastAsia" w:eastAsiaTheme="majorEastAsia"/>
          <w:sz w:val="24"/>
        </w:rPr>
        <w:t>（修订</w:t>
      </w:r>
      <w:r>
        <w:rPr>
          <w:rFonts w:cs="仿宋" w:asciiTheme="majorEastAsia" w:hAnsiTheme="majorEastAsia" w:eastAsiaTheme="majorEastAsia"/>
          <w:sz w:val="24"/>
        </w:rPr>
        <w:t>）》</w:t>
      </w:r>
      <w:r>
        <w:rPr>
          <w:rFonts w:hint="eastAsia" w:cs="仿宋" w:asciiTheme="majorEastAsia" w:hAnsiTheme="majorEastAsia" w:eastAsiaTheme="majorEastAsia"/>
          <w:color w:val="000000"/>
          <w:sz w:val="24"/>
          <w:szCs w:val="20"/>
        </w:rPr>
        <w:t>等法律规章，结合采购项目特点制定本评标办法。</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bCs/>
          <w:color w:val="000000"/>
          <w:sz w:val="24"/>
          <w:szCs w:val="20"/>
        </w:rPr>
        <w:t>1.2</w:t>
      </w:r>
      <w:r>
        <w:rPr>
          <w:rFonts w:hint="eastAsia" w:cs="仿宋" w:asciiTheme="majorEastAsia" w:hAnsiTheme="majorEastAsia" w:eastAsiaTheme="majorEastAsia"/>
          <w:color w:val="000000"/>
          <w:sz w:val="24"/>
          <w:szCs w:val="20"/>
        </w:rPr>
        <w:t>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r>
        <w:rPr>
          <w:rFonts w:hint="eastAsia" w:cs="仿宋" w:asciiTheme="majorEastAsia" w:hAnsiTheme="majorEastAsia" w:eastAsiaTheme="majorEastAsia"/>
          <w:color w:val="000000"/>
          <w:sz w:val="24"/>
          <w:szCs w:val="20"/>
          <w:lang w:eastAsia="zh-CN"/>
        </w:rPr>
        <w:t>（</w:t>
      </w:r>
      <w:r>
        <w:rPr>
          <w:rFonts w:hint="eastAsia" w:cs="仿宋" w:asciiTheme="majorEastAsia" w:hAnsiTheme="majorEastAsia" w:eastAsiaTheme="majorEastAsia"/>
          <w:color w:val="000000"/>
          <w:sz w:val="24"/>
          <w:szCs w:val="20"/>
          <w:lang w:val="en-US" w:eastAsia="zh-CN"/>
        </w:rPr>
        <w:t>资</w:t>
      </w:r>
      <w:r>
        <w:rPr>
          <w:rFonts w:hint="eastAsia" w:cs="仿宋" w:asciiTheme="majorEastAsia" w:hAnsiTheme="majorEastAsia" w:eastAsiaTheme="majorEastAsia"/>
          <w:color w:val="000000"/>
          <w:sz w:val="24"/>
          <w:szCs w:val="20"/>
        </w:rPr>
        <w:t>格性审查时因</w:t>
      </w:r>
      <w:r>
        <w:rPr>
          <w:rFonts w:hint="eastAsia" w:cs="仿宋" w:asciiTheme="majorEastAsia" w:hAnsiTheme="majorEastAsia" w:eastAsiaTheme="majorEastAsia"/>
          <w:color w:val="000000"/>
          <w:sz w:val="24"/>
          <w:szCs w:val="20"/>
          <w:lang w:val="en-US" w:eastAsia="zh-CN"/>
        </w:rPr>
        <w:t>组织场所</w:t>
      </w:r>
      <w:r>
        <w:rPr>
          <w:rFonts w:hint="eastAsia" w:cs="仿宋" w:asciiTheme="majorEastAsia" w:hAnsiTheme="majorEastAsia" w:eastAsiaTheme="majorEastAsia"/>
          <w:color w:val="000000"/>
          <w:sz w:val="24"/>
          <w:szCs w:val="20"/>
        </w:rPr>
        <w:t>断电、断网、系统故障或其他不可抗力等因素，导致资格审查小组无法通过系统阅读投标文件进行审查的，待系统恢复后继续审查。出现上述情况时，采购代理机构将以电子邮件</w:t>
      </w:r>
      <w:r>
        <w:rPr>
          <w:rFonts w:hint="eastAsia" w:cs="仿宋" w:asciiTheme="majorEastAsia" w:hAnsiTheme="majorEastAsia" w:eastAsiaTheme="majorEastAsia"/>
          <w:color w:val="000000"/>
          <w:sz w:val="24"/>
          <w:szCs w:val="20"/>
          <w:lang w:eastAsia="zh-CN"/>
        </w:rPr>
        <w:t>、</w:t>
      </w:r>
      <w:r>
        <w:rPr>
          <w:rFonts w:hint="eastAsia" w:cs="仿宋" w:asciiTheme="majorEastAsia" w:hAnsiTheme="majorEastAsia" w:eastAsiaTheme="majorEastAsia"/>
          <w:color w:val="000000"/>
          <w:sz w:val="24"/>
          <w:szCs w:val="20"/>
          <w:lang w:val="en-US" w:eastAsia="zh-CN"/>
        </w:rPr>
        <w:t>电话、短信</w:t>
      </w:r>
      <w:r>
        <w:rPr>
          <w:rFonts w:hint="eastAsia" w:cs="仿宋" w:asciiTheme="majorEastAsia" w:hAnsiTheme="majorEastAsia" w:eastAsiaTheme="majorEastAsia"/>
          <w:color w:val="000000"/>
          <w:sz w:val="24"/>
          <w:szCs w:val="20"/>
        </w:rPr>
        <w:t>形式通知各投标人。</w:t>
      </w:r>
      <w:r>
        <w:rPr>
          <w:rFonts w:hint="eastAsia" w:cs="仿宋" w:asciiTheme="majorEastAsia" w:hAnsiTheme="majorEastAsia" w:eastAsiaTheme="majorEastAsia"/>
          <w:color w:val="000000"/>
          <w:sz w:val="24"/>
          <w:szCs w:val="20"/>
          <w:lang w:eastAsia="zh-CN"/>
        </w:rPr>
        <w:t>）</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合格投标人不足三家的，不得评标。</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bCs/>
          <w:color w:val="000000"/>
          <w:sz w:val="24"/>
          <w:szCs w:val="20"/>
        </w:rPr>
        <w:t>评标工作由采购代理机构负责组织，具体评标事务由采购代理机构依法组建的评标委员会负责。</w:t>
      </w:r>
      <w:r>
        <w:rPr>
          <w:rFonts w:hint="eastAsia" w:cs="仿宋" w:asciiTheme="majorEastAsia" w:hAnsiTheme="majorEastAsia" w:eastAsiaTheme="majorEastAsia"/>
          <w:color w:val="000000"/>
          <w:sz w:val="24"/>
          <w:szCs w:val="20"/>
        </w:rPr>
        <w:t>评标委员会</w:t>
      </w:r>
      <w:r>
        <w:rPr>
          <w:rFonts w:hint="eastAsia" w:cs="仿宋" w:asciiTheme="majorEastAsia" w:hAnsiTheme="majorEastAsia" w:eastAsiaTheme="majorEastAsia"/>
          <w:bCs/>
          <w:color w:val="000000"/>
          <w:sz w:val="24"/>
          <w:szCs w:val="20"/>
        </w:rPr>
        <w:t>由采购人代表和有关技术、经济、法律等方面的专家组成。</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1.3</w:t>
      </w:r>
      <w:r>
        <w:rPr>
          <w:rFonts w:hint="eastAsia" w:cs="仿宋" w:asciiTheme="majorEastAsia" w:hAnsiTheme="majorEastAsia" w:eastAsiaTheme="majorEastAsia"/>
          <w:color w:val="000000"/>
          <w:sz w:val="24"/>
          <w:szCs w:val="20"/>
        </w:rPr>
        <w:t>评标工作应遵循公平、公正、科学及择优的原则，并以相同的评标程序和标准对待所有的投标人。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1.4 </w:t>
      </w:r>
      <w:r>
        <w:rPr>
          <w:rFonts w:hint="eastAsia" w:cs="仿宋" w:asciiTheme="majorEastAsia" w:hAnsiTheme="majorEastAsia" w:eastAsiaTheme="majorEastAsia"/>
          <w:color w:val="000000"/>
          <w:sz w:val="24"/>
          <w:szCs w:val="20"/>
        </w:rPr>
        <w:t>评标委员会按照招标文件规定的评标方法和标准进行评标，并独立履行下列职责：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（一）熟悉和理解招标文件；</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（二）审查供应商（已通过资格审查）的投标文件是否满足招标文件要求，并作出评价；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（三）根据需要要求招标采购单位对招标文件作出解释；根据需要要求供应商对投标文件有关事项作出澄清、说明或者更正；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（四）推荐中标候选供应商，或者受采购人委托确定中标供应商；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（五）起草评标报告并进行签署；</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（六）向招标采购单位、财政部门或者其他监督部门报告非法干预评标工作的行为；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（七）法律、法规和规章规定的其他职责。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1.5 </w:t>
      </w:r>
      <w:r>
        <w:rPr>
          <w:rFonts w:hint="eastAsia" w:cs="仿宋" w:asciiTheme="majorEastAsia" w:hAnsiTheme="majorEastAsia" w:eastAsiaTheme="majorEastAsia"/>
          <w:color w:val="000000"/>
          <w:sz w:val="24"/>
          <w:szCs w:val="20"/>
        </w:rPr>
        <w:t>评标过程独立、保密。投标人非法干预评标过程的行为将导致其投标文件作为无效处理。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1.6 </w:t>
      </w:r>
      <w:r>
        <w:rPr>
          <w:rFonts w:hint="eastAsia" w:cs="仿宋" w:asciiTheme="majorEastAsia" w:hAnsiTheme="majorEastAsia" w:eastAsiaTheme="majorEastAsia"/>
          <w:color w:val="000000"/>
          <w:sz w:val="24"/>
          <w:szCs w:val="20"/>
        </w:rPr>
        <w:t>评标委员会评价投标文件的响应性，对于投标人而言，除评标委员会要求其澄清、说明或者更正而提供的资料外，仅依据投标文件本身的内容，不寻求其他外部证据。</w:t>
      </w:r>
    </w:p>
    <w:p>
      <w:pPr>
        <w:pStyle w:val="4"/>
        <w:spacing w:line="360" w:lineRule="auto"/>
        <w:rPr>
          <w:rFonts w:cs="仿宋" w:asciiTheme="majorEastAsia" w:hAnsiTheme="majorEastAsia" w:eastAsiaTheme="majorEastAsia"/>
          <w:color w:val="000000"/>
          <w:szCs w:val="20"/>
        </w:rPr>
      </w:pPr>
      <w:bookmarkStart w:id="301" w:name="_Toc495521104"/>
      <w:bookmarkStart w:id="302" w:name="_Toc495165852"/>
      <w:bookmarkStart w:id="303" w:name="_Toc495570312"/>
      <w:r>
        <w:rPr>
          <w:rFonts w:cs="仿宋" w:asciiTheme="majorEastAsia" w:hAnsiTheme="majorEastAsia" w:eastAsiaTheme="majorEastAsia"/>
          <w:color w:val="000000"/>
          <w:szCs w:val="20"/>
        </w:rPr>
        <w:t xml:space="preserve">2、 </w:t>
      </w:r>
      <w:r>
        <w:rPr>
          <w:rFonts w:hint="eastAsia" w:cs="仿宋" w:asciiTheme="majorEastAsia" w:hAnsiTheme="majorEastAsia" w:eastAsiaTheme="majorEastAsia"/>
          <w:color w:val="000000"/>
          <w:szCs w:val="20"/>
        </w:rPr>
        <w:t>评标方法</w:t>
      </w:r>
    </w:p>
    <w:p>
      <w:pPr>
        <w:spacing w:line="360" w:lineRule="auto"/>
        <w:ind w:firstLine="480" w:firstLineChars="200"/>
        <w:rPr>
          <w:rFonts w:cs="仿宋" w:asciiTheme="majorEastAsia" w:hAnsiTheme="majorEastAsia" w:eastAsiaTheme="majorEastAsia"/>
          <w:color w:val="000000"/>
          <w:sz w:val="24"/>
          <w:szCs w:val="20"/>
        </w:rPr>
      </w:pPr>
      <w:bookmarkStart w:id="304" w:name="_Toc217446103"/>
      <w:r>
        <w:rPr>
          <w:rFonts w:cs="仿宋" w:asciiTheme="majorEastAsia" w:hAnsiTheme="majorEastAsia" w:eastAsiaTheme="majorEastAsia"/>
          <w:color w:val="000000"/>
          <w:sz w:val="24"/>
          <w:szCs w:val="20"/>
        </w:rPr>
        <w:t>2.1本项目评标方法为：</w:t>
      </w:r>
      <w:r>
        <w:rPr>
          <w:rFonts w:cs="仿宋" w:asciiTheme="majorEastAsia" w:hAnsiTheme="majorEastAsia" w:eastAsiaTheme="majorEastAsia"/>
          <w:b/>
          <w:color w:val="000000"/>
          <w:sz w:val="24"/>
          <w:szCs w:val="20"/>
        </w:rPr>
        <w:t>综合评分法。</w:t>
      </w:r>
    </w:p>
    <w:p>
      <w:pPr>
        <w:pStyle w:val="4"/>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3、 </w:t>
      </w:r>
      <w:r>
        <w:rPr>
          <w:rFonts w:hint="eastAsia" w:cs="仿宋" w:asciiTheme="majorEastAsia" w:hAnsiTheme="majorEastAsia" w:eastAsiaTheme="majorEastAsia"/>
          <w:color w:val="000000"/>
          <w:szCs w:val="20"/>
        </w:rPr>
        <w:t>评标程序</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3.1熟悉和理解招标文件和停止评标。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3.1.2评标委员会熟悉和理解招标文件以及评标过程中，发现本招标文件有下列情形之一的，评标委员会应当停止评标：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1）招标文件的规定存在歧义、重大缺陷的；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2）招标文件明显以不合理条件对供应商实行差别待遇或者歧视待遇的；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3）采购项目属于国家规定的优先、强制采购范围，但是招标文件未依法体现优先、强制采购相关规定的；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4）采购项目属于政府采购促进中小企业发展的范围，但是招标文件未依法体现促进中小企业发展相关规定的；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6）招标文件将投标人的资格条件列为评分因素的；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7）招标文件有违反国家其他有关强制性规定的情形。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3.2符合性检查。</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2"/>
      </w:pPr>
      <w:r>
        <w:rPr>
          <w:rFonts w:hint="eastAsia" w:ascii="宋体" w:hAnsi="宋体"/>
          <w:color w:val="000000" w:themeColor="text1"/>
          <w:sz w:val="28"/>
          <w:szCs w:val="28"/>
          <w14:textFill>
            <w14:solidFill>
              <w14:schemeClr w14:val="tx1"/>
            </w14:solidFill>
          </w14:textFill>
        </w:rPr>
        <w:t>符合性审查标准见下表（按以下顺序审查）</w:t>
      </w:r>
    </w:p>
    <w:tbl>
      <w:tblPr>
        <w:tblStyle w:val="33"/>
        <w:tblW w:w="5082"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849"/>
        <w:gridCol w:w="3181"/>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4"/>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487" w:firstLineChars="202"/>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9"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010"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符合性审查项</w:t>
            </w:r>
          </w:p>
        </w:tc>
        <w:tc>
          <w:tcPr>
            <w:tcW w:w="1738"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487" w:firstLineChars="202"/>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通过条件</w:t>
            </w:r>
          </w:p>
        </w:tc>
        <w:tc>
          <w:tcPr>
            <w:tcW w:w="1811"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487" w:firstLineChars="202"/>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39"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w:t>
            </w:r>
          </w:p>
        </w:tc>
        <w:tc>
          <w:tcPr>
            <w:tcW w:w="1010"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s="宋体"/>
                <w:kern w:val="0"/>
                <w:sz w:val="24"/>
                <w:szCs w:val="24"/>
                <w:lang w:bidi="en-US"/>
              </w:rPr>
              <w:t>投标文件的盖章</w:t>
            </w:r>
          </w:p>
        </w:tc>
        <w:tc>
          <w:tcPr>
            <w:tcW w:w="1738"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均按招标文件要求盖章。</w:t>
            </w:r>
          </w:p>
        </w:tc>
        <w:tc>
          <w:tcPr>
            <w:tcW w:w="1811"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left"/>
              <w:textAlignment w:val="auto"/>
              <w:rPr>
                <w:rFonts w:ascii="宋体" w:hAnsi="宋体" w:cs="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无须提供证明材料，上传空白页即可，不对本项上传的材料作符合性审查。</w:t>
            </w:r>
            <w:r>
              <w:rPr>
                <w:rFonts w:hint="eastAsia" w:ascii="宋体" w:hAnsi="宋体" w:cs="宋体"/>
                <w:bCs/>
                <w:color w:val="000000" w:themeColor="text1"/>
                <w:sz w:val="24"/>
                <w:szCs w:val="24"/>
                <w14:textFill>
                  <w14:solidFill>
                    <w14:schemeClr w14:val="tx1"/>
                  </w14:solidFill>
                </w14:textFill>
              </w:rPr>
              <w:t>评标委员会按照招标文件要求进行评审。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439"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1010"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投标文件组成</w:t>
            </w:r>
          </w:p>
        </w:tc>
        <w:tc>
          <w:tcPr>
            <w:tcW w:w="1738"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符合招标文件第二章“14．投标文件的组成”要求</w:t>
            </w:r>
          </w:p>
        </w:tc>
        <w:tc>
          <w:tcPr>
            <w:tcW w:w="1811"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上传空白页即可，不对本项上传的材料作符合性审查。评标委员会</w:t>
            </w:r>
            <w:r>
              <w:rPr>
                <w:rFonts w:hint="eastAsia" w:ascii="宋体" w:hAnsi="宋体" w:cs="宋体"/>
                <w:bCs/>
                <w:color w:val="000000" w:themeColor="text1"/>
                <w:sz w:val="24"/>
                <w:szCs w:val="24"/>
                <w14:textFill>
                  <w14:solidFill>
                    <w14:schemeClr w14:val="tx1"/>
                  </w14:solidFill>
                </w14:textFill>
              </w:rPr>
              <w:t>按照招标文件要求进行评审。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439"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1010"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投标文件的格式、语言、计量单位、报价货币、知识产权、投标有效期等</w:t>
            </w:r>
          </w:p>
        </w:tc>
        <w:tc>
          <w:tcPr>
            <w:tcW w:w="1738"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符合招标文件要求</w:t>
            </w:r>
          </w:p>
        </w:tc>
        <w:tc>
          <w:tcPr>
            <w:tcW w:w="1811"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上传空白页即可，不对本项上传的材料作符合性审查。评标委员会根据招标文件要求进行评审。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39"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1010"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投标文件报价</w:t>
            </w:r>
          </w:p>
        </w:tc>
        <w:tc>
          <w:tcPr>
            <w:tcW w:w="1738"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kern w:val="0"/>
                <w:sz w:val="24"/>
                <w:szCs w:val="24"/>
                <w:lang w:bidi="en-US"/>
              </w:rPr>
            </w:pPr>
            <w:r>
              <w:rPr>
                <w:rFonts w:hint="eastAsia" w:ascii="宋体" w:hAnsi="宋体" w:cs="宋体"/>
                <w:kern w:val="0"/>
                <w:sz w:val="24"/>
                <w:szCs w:val="24"/>
                <w:lang w:bidi="en-US"/>
              </w:rPr>
              <w:t>不超过预算金额（或最高限价）且</w:t>
            </w:r>
            <w:r>
              <w:rPr>
                <w:rFonts w:hint="eastAsia" w:ascii="宋体" w:hAnsi="宋体" w:cs="宋体"/>
                <w:color w:val="000000"/>
                <w:kern w:val="0"/>
                <w:sz w:val="24"/>
                <w:szCs w:val="24"/>
              </w:rPr>
              <w:t>投标人</w:t>
            </w:r>
            <w:r>
              <w:rPr>
                <w:rFonts w:hint="eastAsia" w:ascii="宋体" w:hAnsi="宋体" w:cs="宋体"/>
                <w:sz w:val="24"/>
                <w:szCs w:val="24"/>
              </w:rPr>
              <w:t>报价不明显低于其他通过符合性审查投标人报价的</w:t>
            </w:r>
            <w:r>
              <w:rPr>
                <w:rFonts w:hint="eastAsia" w:ascii="宋体" w:hAnsi="宋体" w:cs="宋体"/>
                <w:kern w:val="0"/>
                <w:sz w:val="24"/>
                <w:szCs w:val="24"/>
                <w:lang w:bidi="en-US"/>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kern w:val="0"/>
                <w:sz w:val="24"/>
                <w:szCs w:val="24"/>
              </w:rPr>
              <w:t>投标人</w:t>
            </w:r>
            <w:r>
              <w:rPr>
                <w:rFonts w:hint="eastAsia" w:ascii="宋体" w:hAnsi="宋体" w:cs="宋体"/>
                <w:sz w:val="24"/>
                <w:szCs w:val="24"/>
              </w:rPr>
              <w:t>报价明显低于其他通过符合性审查投标人报价</w:t>
            </w:r>
            <w:r>
              <w:rPr>
                <w:rFonts w:hint="eastAsia" w:ascii="宋体" w:hAnsi="宋体" w:cs="宋体"/>
                <w:kern w:val="0"/>
                <w:sz w:val="24"/>
                <w:szCs w:val="24"/>
                <w:lang w:bidi="en-US"/>
              </w:rPr>
              <w:t>，投标人提供有效书面说明且能够证明其报价合理性的。</w:t>
            </w:r>
          </w:p>
        </w:tc>
        <w:tc>
          <w:tcPr>
            <w:tcW w:w="1811"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上传空白页即可，不对本项上传的材料作符合性审查。评标委员会根据招标文件要求进行评审。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439"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1010"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投标文件技术、商务及其他应答内容</w:t>
            </w:r>
          </w:p>
        </w:tc>
        <w:tc>
          <w:tcPr>
            <w:tcW w:w="1738"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符合招标文件第六章标★号的要求</w:t>
            </w:r>
          </w:p>
        </w:tc>
        <w:tc>
          <w:tcPr>
            <w:tcW w:w="1811"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投标人按照招标文件第三章格式2-4、2-5填写，评委会根据上传内容评审。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439"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1010"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投标履约时间、方式、数量和其他政府采购合同主要内容</w:t>
            </w:r>
          </w:p>
        </w:tc>
        <w:tc>
          <w:tcPr>
            <w:tcW w:w="1738"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符合招标文件要求</w:t>
            </w:r>
          </w:p>
        </w:tc>
        <w:tc>
          <w:tcPr>
            <w:tcW w:w="1811"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上传空白页即可，不对本项上传的材料作符合性审查。评标委员会根据招标文件要求进行评审。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439"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1010"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招标文件规定的其他实质性内容</w:t>
            </w:r>
          </w:p>
        </w:tc>
        <w:tc>
          <w:tcPr>
            <w:tcW w:w="1738"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bidi="en-US"/>
              </w:rPr>
              <w:t>符合招标文件要求</w:t>
            </w:r>
          </w:p>
        </w:tc>
        <w:tc>
          <w:tcPr>
            <w:tcW w:w="1811" w:type="pc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若不涉及上传空白页即可，若涉及按照要求提供证明材料，评标委员会根据上传内容进行评审。</w:t>
            </w:r>
          </w:p>
        </w:tc>
      </w:tr>
    </w:tbl>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3.2.2</w:t>
      </w:r>
      <w:r>
        <w:rPr>
          <w:rFonts w:cs="仿宋" w:asciiTheme="majorEastAsia" w:hAnsiTheme="majorEastAsia" w:eastAsiaTheme="majorEastAsia"/>
          <w:sz w:val="24"/>
          <w:szCs w:val="20"/>
        </w:rPr>
        <w:t>投标文件有下列情形的，本项目不作为实质性要求进行规定，即不作为符合性审查事项，不得作为无效投标处理：</w:t>
      </w:r>
    </w:p>
    <w:p>
      <w:pPr>
        <w:spacing w:line="360" w:lineRule="auto"/>
        <w:ind w:firstLine="480" w:firstLineChars="200"/>
        <w:rPr>
          <w:rFonts w:cs="仿宋" w:asciiTheme="majorEastAsia" w:hAnsiTheme="majorEastAsia" w:eastAsiaTheme="majorEastAsia"/>
          <w:sz w:val="24"/>
          <w:szCs w:val="20"/>
          <w:highlight w:val="none"/>
        </w:rPr>
      </w:pPr>
      <w:r>
        <w:rPr>
          <w:rFonts w:hint="eastAsia" w:cs="仿宋" w:asciiTheme="majorEastAsia" w:hAnsiTheme="majorEastAsia" w:eastAsiaTheme="majorEastAsia"/>
          <w:sz w:val="24"/>
          <w:szCs w:val="20"/>
          <w:highlight w:val="none"/>
        </w:rPr>
        <w:t>（一）存在个别地方</w:t>
      </w:r>
      <w:r>
        <w:rPr>
          <w:rFonts w:cs="仿宋" w:asciiTheme="majorEastAsia" w:hAnsiTheme="majorEastAsia" w:eastAsiaTheme="majorEastAsia"/>
          <w:sz w:val="24"/>
          <w:szCs w:val="20"/>
          <w:highlight w:val="none"/>
        </w:rPr>
        <w:t>没有</w:t>
      </w:r>
      <w:r>
        <w:rPr>
          <w:rFonts w:hint="eastAsia" w:cs="仿宋" w:asciiTheme="majorEastAsia" w:hAnsiTheme="majorEastAsia" w:eastAsiaTheme="majorEastAsia"/>
          <w:sz w:val="24"/>
          <w:szCs w:val="20"/>
          <w:highlight w:val="none"/>
        </w:rPr>
        <w:t>加盖单位电子印章，但加盖了骑缝章的（但是骑缝章模糊不清，印章名称无法辨认的除外）；</w:t>
      </w:r>
    </w:p>
    <w:p>
      <w:pPr>
        <w:spacing w:line="360" w:lineRule="auto"/>
        <w:ind w:firstLine="480" w:firstLineChars="200"/>
        <w:rPr>
          <w:rFonts w:cs="仿宋" w:asciiTheme="majorEastAsia" w:hAnsiTheme="majorEastAsia" w:eastAsiaTheme="majorEastAsia"/>
          <w:color w:val="000000"/>
          <w:sz w:val="24"/>
          <w:szCs w:val="20"/>
          <w:highlight w:val="yellow"/>
        </w:rPr>
      </w:pPr>
      <w:r>
        <w:rPr>
          <w:rFonts w:hint="eastAsia" w:cs="仿宋" w:asciiTheme="majorEastAsia" w:hAnsiTheme="majorEastAsia" w:eastAsiaTheme="majorEastAsia"/>
          <w:sz w:val="24"/>
          <w:szCs w:val="20"/>
          <w:highlight w:val="none"/>
        </w:rPr>
        <w:t>（二）其他不影响采购项目实质性要求的情形。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3.2.3除政府采购法律制度规定的情形外，本项目</w:t>
      </w:r>
      <w:r>
        <w:rPr>
          <w:rFonts w:hint="eastAsia" w:cs="仿宋" w:asciiTheme="majorEastAsia" w:hAnsiTheme="majorEastAsia" w:eastAsiaTheme="majorEastAsia"/>
          <w:color w:val="000000"/>
          <w:sz w:val="24"/>
          <w:szCs w:val="20"/>
        </w:rPr>
        <w:t>供应商或者其投标文件有下列情形之一的，作为无效投标处理：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（一）投标文件组成明显不符合招标文件的规定要求，影响评标委员会评判的；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（二）投标文件未按招标文件要求盖电子印章的</w:t>
      </w:r>
      <w:r>
        <w:rPr>
          <w:rFonts w:cs="仿宋" w:asciiTheme="majorEastAsia" w:hAnsiTheme="majorEastAsia" w:eastAsiaTheme="majorEastAsia"/>
          <w:color w:val="000000"/>
          <w:sz w:val="24"/>
          <w:szCs w:val="20"/>
        </w:rPr>
        <w:t>；</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（三）没有完全响应招标文件的其他实质性要求或属于招标文件中投标无效情形的。</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3.3比较与评价。按招标文件中规定的评标方法和标准，对未作无效投标处理的投标文件进行技术、服务、商务等方面评估，综合比较与评价。</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3.4复核。评分汇总结束后，评标委员会应当进行复核，特别要对拟推荐为中标候选供应商的、报价最低的、投标文件被认定为无效的进行重点复核。</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3.5推荐中标候选供应商。中标候选供应商应当排序。</w:t>
      </w:r>
      <w:r>
        <w:rPr>
          <w:rFonts w:hint="eastAsia" w:cs="仿宋" w:asciiTheme="majorEastAsia" w:hAnsiTheme="majorEastAsia" w:eastAsiaTheme="majorEastAsia"/>
          <w:color w:val="000000"/>
          <w:sz w:val="24"/>
          <w:szCs w:val="20"/>
        </w:rPr>
        <w:t>本项目采用综合评分法，评标结果按评审后得分由高到低顺序排列。得分相同的，按投标报价由低到高顺序排列；得分且投标报价相同的，不发达地区或少数民族地区的供应商排列顺序在非不发达地区或非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不发达地区或少数民族地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评标委员会可推荐的中标候选供应商数量不能满足招标文件规定的数量的，只有在获得采购人书面同意后，可以根据实际情况推荐中标候选供应商。未获得采购人的书面同意</w:t>
      </w:r>
      <w:r>
        <w:rPr>
          <w:rFonts w:cs="仿宋" w:asciiTheme="majorEastAsia" w:hAnsiTheme="majorEastAsia" w:eastAsiaTheme="majorEastAsia"/>
          <w:color w:val="000000"/>
          <w:sz w:val="24"/>
          <w:szCs w:val="20"/>
        </w:rPr>
        <w:t>,评标委员会不得在招标文件规定之外推荐中标候选供应商，否则，采购人可以不予认可。</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3.6出具评标报告。评标委员会推荐中标候选供应商后，应当向招标采购单位出具评标报告。评标报告应当包括下列内容：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（一）招标公告刊登的媒体名称、开标日期和地点；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（二）获取招标文件的投标人名单和评标委员会成员名单；</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（三）评标方法和标准；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（四）开标记录和评标情况及说明，包括无效投标人名单及原因；</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（五）评标结果和中标候选供应商排序表；</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（六）评标委员会授标建议；</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（七）报价最高的投标人为中标候选人的，评标委员会应当对其报价的合理性予以特别说明。</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3.8供应商应当书面澄清、说明或者更正。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bCs/>
          <w:color w:val="000000"/>
          <w:sz w:val="24"/>
          <w:szCs w:val="20"/>
        </w:rPr>
        <w:t>3.8.2</w:t>
      </w:r>
      <w:r>
        <w:rPr>
          <w:rFonts w:hint="eastAsia" w:cs="仿宋" w:asciiTheme="majorEastAsia" w:hAnsiTheme="majorEastAsia" w:eastAsiaTheme="majorEastAsia"/>
          <w:b/>
          <w:bCs/>
          <w:color w:val="000000"/>
          <w:sz w:val="24"/>
          <w:szCs w:val="20"/>
          <w:lang w:val="zh-CN"/>
        </w:rPr>
        <w:t>投标人提交的书面说明、相关证明材料（如涉及），应当加盖投标人（法定名称）电子印章，在评标委员会要求的时间内通过政府采购云平台进行递交，否则无效。</w:t>
      </w:r>
      <w:r>
        <w:rPr>
          <w:rFonts w:hint="eastAsia" w:cs="仿宋" w:asciiTheme="majorEastAsia" w:hAnsiTheme="majorEastAsia" w:eastAsiaTheme="majorEastAsia"/>
          <w:b/>
          <w:bCs/>
          <w:color w:val="000000"/>
          <w:sz w:val="24"/>
          <w:szCs w:val="20"/>
        </w:rPr>
        <w:t>澄清、说明或者更正不影响投标文件的效力，有效的澄清、说明或者更正材料，是投标文件的组成部分。</w:t>
      </w:r>
      <w:r>
        <w:rPr>
          <w:rFonts w:hint="eastAsia" w:cs="仿宋" w:asciiTheme="majorEastAsia" w:hAnsiTheme="majorEastAsia" w:eastAsiaTheme="majorEastAsia"/>
          <w:b/>
          <w:bCs/>
          <w:color w:val="000000"/>
          <w:sz w:val="24"/>
          <w:szCs w:val="20"/>
          <w:lang w:val="zh-CN"/>
        </w:rPr>
        <w:t>如因系统故障（</w:t>
      </w:r>
      <w:r>
        <w:rPr>
          <w:rFonts w:hint="eastAsia" w:cs="仿宋" w:asciiTheme="majorEastAsia" w:hAnsiTheme="majorEastAsia" w:eastAsiaTheme="majorEastAsia"/>
          <w:b/>
          <w:bCs/>
          <w:color w:val="000000"/>
          <w:sz w:val="24"/>
          <w:szCs w:val="20"/>
        </w:rPr>
        <w:t>包括组织场所停电、断网等）</w:t>
      </w:r>
      <w:r>
        <w:rPr>
          <w:rFonts w:hint="eastAsia" w:cs="仿宋" w:asciiTheme="majorEastAsia" w:hAnsiTheme="majorEastAsia" w:eastAsiaTheme="majorEastAsia"/>
          <w:b/>
          <w:bCs/>
          <w:color w:val="000000"/>
          <w:sz w:val="24"/>
          <w:szCs w:val="20"/>
          <w:lang w:val="zh-CN"/>
        </w:rPr>
        <w:t>导致系统无法使用的，由投标人按评标委员会的要求进行澄清或者说明。</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（一）按财政部规定应当在评标时不予承认的投标文件内容事项；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（二）投标文件中已经明确的内容事项；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3.8.4 </w:t>
      </w:r>
      <w:r>
        <w:rPr>
          <w:rFonts w:hint="eastAsia" w:cs="仿宋" w:asciiTheme="majorEastAsia" w:hAnsiTheme="majorEastAsia" w:eastAsiaTheme="majorEastAsia"/>
          <w:color w:val="000000"/>
          <w:sz w:val="24"/>
          <w:szCs w:val="20"/>
        </w:rPr>
        <w:t>本项目采购过程中，投标文件报价出现前后不一致的，按照下列规定修正：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（一）投标文件中开标一览表（报价表）内容与投标文件中相应内容不一致的，以开标一览表（报价表）为准；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（二）大写金额和小写金额不一致的，以大写金额为准；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（三）单价金额小数点或者百分比有明显错位的，以开标一览表的总价为准，并修改单价；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（四）总价金额与按单价汇总金额不一致的，以单价金额计算结果为准。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同时出现两种以上不一致的，按照前款规定的顺序修正。修正后的报价按照本章</w:t>
      </w:r>
      <w:r>
        <w:rPr>
          <w:rFonts w:cs="仿宋" w:asciiTheme="majorEastAsia" w:hAnsiTheme="majorEastAsia" w:eastAsiaTheme="majorEastAsia"/>
          <w:color w:val="000000"/>
          <w:sz w:val="24"/>
          <w:szCs w:val="20"/>
        </w:rPr>
        <w:t>3.8.1-3.8.3的规定经投标人确认后产生约束力，投标人不确认的，其投标无效。</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注：评标委员会当积极履行澄清、说明或者更正的职责，不得滥用权力。供应商的投标文件应当要求澄清、说明或者更正的，不得未经澄清、说明或者更正而直接作无效投标处理。</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3.10招标采购单位现场复核评标结果。</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（一）分值汇总计算错误的；</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（二）分项评分超出评分标准范围的；</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（三）客观评分不一致的；</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（四）经评标委员会认定评分畸高畸低的。</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3.10.2有下列情形之一的，不得修改评标结果或者重新评审：</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（一）招标采购单位现场复核时，复核工作人员数量不足的；</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（二）招标采购单位现场复核时，没有采购监督人员现场监督的；</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（三）招标采购单位现场复核内容超出规定范围的；</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（四）招标采购单位未提供书面建议的。</w:t>
      </w:r>
    </w:p>
    <w:p>
      <w:pPr>
        <w:pStyle w:val="43"/>
        <w:ind w:firstLine="480" w:firstLineChars="200"/>
        <w:jc w:val="both"/>
        <w:rPr>
          <w:rFonts w:ascii="宋体" w:hAnsi="宋体" w:eastAsia="宋体"/>
        </w:rPr>
      </w:pPr>
      <w:r>
        <w:rPr>
          <w:rFonts w:ascii="宋体" w:hAnsi="宋体" w:eastAsia="宋体" w:cs="宋体"/>
          <w:kern w:val="0"/>
          <w:sz w:val="24"/>
        </w:rPr>
        <w:t>3.10.3出现下列情形之一的，应当中止电子化采购活动，并保留相关证明材料备查：</w:t>
      </w:r>
    </w:p>
    <w:p>
      <w:pPr>
        <w:pStyle w:val="43"/>
        <w:ind w:firstLine="480" w:firstLineChars="200"/>
        <w:jc w:val="both"/>
        <w:rPr>
          <w:rFonts w:ascii="宋体" w:hAnsi="宋体" w:eastAsia="宋体"/>
        </w:rPr>
      </w:pPr>
      <w:r>
        <w:rPr>
          <w:rFonts w:hint="eastAsia" w:ascii="宋体" w:hAnsi="宋体" w:eastAsia="宋体" w:cs="宋体"/>
          <w:kern w:val="0"/>
          <w:sz w:val="24"/>
        </w:rPr>
        <w:t>（一）系统发生故障（包括感染病毒、应用或数据库出错）而无法正常使用的；</w:t>
      </w:r>
    </w:p>
    <w:p>
      <w:pPr>
        <w:pStyle w:val="43"/>
        <w:ind w:firstLine="480" w:firstLineChars="200"/>
        <w:jc w:val="both"/>
        <w:rPr>
          <w:rFonts w:ascii="宋体" w:hAnsi="宋体" w:eastAsia="宋体"/>
        </w:rPr>
      </w:pPr>
      <w:r>
        <w:rPr>
          <w:rFonts w:hint="eastAsia" w:ascii="宋体" w:hAnsi="宋体" w:eastAsia="宋体" w:cs="宋体"/>
          <w:kern w:val="0"/>
          <w:sz w:val="24"/>
        </w:rPr>
        <w:t>（二）因组织场所停电、断网等原因，导致采购活动无法继续通过交易系统实施的；</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eastAsia="宋体"/>
        </w:rPr>
      </w:pPr>
      <w:r>
        <w:rPr>
          <w:rFonts w:hint="eastAsia" w:ascii="宋体" w:hAnsi="宋体" w:eastAsia="宋体" w:cs="宋体"/>
          <w:kern w:val="0"/>
          <w:sz w:val="24"/>
        </w:rPr>
        <w:t>（三）其他无法保证电子化交易的公平、公正和安全的情况。</w:t>
      </w:r>
    </w:p>
    <w:p>
      <w:pPr>
        <w:pStyle w:val="4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eastAsia="宋体" w:cs="宋体"/>
          <w:color w:val="000000"/>
          <w:kern w:val="2"/>
          <w:szCs w:val="20"/>
        </w:rPr>
      </w:pPr>
      <w:r>
        <w:rPr>
          <w:rFonts w:hint="eastAsia" w:ascii="宋体" w:hAnsi="宋体" w:eastAsia="宋体" w:cs="宋体"/>
          <w:kern w:val="0"/>
          <w:sz w:val="24"/>
        </w:rPr>
        <w:t>出现前款规定的情形，不影响采购公平、公正的，待上述情形消除后继续组织采购活动；影响或者可能影响采购公平、公正的，应当依法废标或者终止采购活动。</w:t>
      </w:r>
    </w:p>
    <w:p>
      <w:pPr>
        <w:pStyle w:val="4"/>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4. </w:t>
      </w:r>
      <w:r>
        <w:rPr>
          <w:rFonts w:hint="eastAsia" w:cs="仿宋" w:asciiTheme="majorEastAsia" w:hAnsiTheme="majorEastAsia" w:eastAsiaTheme="majorEastAsia"/>
          <w:color w:val="000000"/>
          <w:szCs w:val="20"/>
        </w:rPr>
        <w:t>评标细则及标准</w:t>
      </w:r>
      <w:bookmarkEnd w:id="304"/>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4.1本项目采用综合评分法，评分因素详见综合评分明细表。</w:t>
      </w:r>
    </w:p>
    <w:p>
      <w:pPr>
        <w:pStyle w:val="43"/>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 xml:space="preserve">4.2 </w:t>
      </w:r>
      <w:r>
        <w:rPr>
          <w:rFonts w:hint="eastAsia" w:cs="仿宋" w:asciiTheme="majorEastAsia" w:hAnsiTheme="majorEastAsia" w:eastAsiaTheme="majorEastAsia"/>
          <w:color w:val="000000"/>
          <w:kern w:val="2"/>
          <w:szCs w:val="20"/>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2"/>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4.3综合评分明细表</w:t>
      </w:r>
    </w:p>
    <w:p>
      <w:pPr>
        <w:pStyle w:val="12"/>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4.3.1综合评分明细表的制定以科学合理、降低评委会自由裁量权为原则。</w:t>
      </w:r>
    </w:p>
    <w:p>
      <w:pPr>
        <w:widowControl/>
        <w:spacing w:line="360" w:lineRule="auto"/>
        <w:ind w:firstLine="480" w:firstLineChars="200"/>
        <w:jc w:val="left"/>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4.3.2 </w:t>
      </w:r>
      <w:r>
        <w:rPr>
          <w:rFonts w:hint="eastAsia" w:cs="仿宋" w:asciiTheme="majorEastAsia" w:hAnsiTheme="majorEastAsia" w:eastAsiaTheme="majorEastAsia"/>
          <w:color w:val="000000"/>
          <w:sz w:val="24"/>
          <w:szCs w:val="20"/>
        </w:rPr>
        <w:t>综合评分明细表按须知表中的相关要求进行价格调整，再参与价格分评审。</w:t>
      </w:r>
    </w:p>
    <w:p>
      <w:pPr>
        <w:pStyle w:val="12"/>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4.3.3综合评分明细表</w:t>
      </w:r>
    </w:p>
    <w:bookmarkEnd w:id="294"/>
    <w:bookmarkEnd w:id="295"/>
    <w:bookmarkEnd w:id="296"/>
    <w:bookmarkEnd w:id="297"/>
    <w:bookmarkEnd w:id="301"/>
    <w:bookmarkEnd w:id="302"/>
    <w:bookmarkEnd w:id="303"/>
    <w:tbl>
      <w:tblPr>
        <w:tblStyle w:val="33"/>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40"/>
        <w:gridCol w:w="750"/>
        <w:gridCol w:w="591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24"/>
                <w:szCs w:val="24"/>
              </w:rPr>
            </w:pPr>
            <w:bookmarkStart w:id="305" w:name="_Toc367972054"/>
            <w:bookmarkStart w:id="306" w:name="_Toc495165859"/>
            <w:bookmarkStart w:id="307" w:name="_Toc495913057"/>
            <w:r>
              <w:rPr>
                <w:rFonts w:hint="eastAsia" w:ascii="宋体" w:hAnsi="宋体" w:eastAsia="宋体" w:cs="宋体"/>
                <w:b/>
                <w:bCs/>
                <w:color w:val="000000"/>
                <w:kern w:val="0"/>
                <w:sz w:val="24"/>
                <w:szCs w:val="24"/>
              </w:rPr>
              <w:t>序号</w:t>
            </w: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w:t>
            </w:r>
            <w:r>
              <w:rPr>
                <w:rFonts w:hint="eastAsia" w:ascii="宋体" w:hAnsi="宋体" w:eastAsia="宋体" w:cs="宋体"/>
                <w:color w:val="000000"/>
                <w:kern w:val="0"/>
                <w:sz w:val="24"/>
                <w:szCs w:val="24"/>
                <w:lang w:val="en-US" w:eastAsia="zh-CN"/>
              </w:rPr>
              <w:t>分</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1.满足招标文件要求且投标总价最低的有效投标报价为评标基准价，其投标人的报价分为10分。其他投标人的报价分按以下公式计算：报价得分=(评标基准价／投标报价)×10。</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2.小微企业（残疾人福利性单位、监狱企业视同小微企业）价格扣除按照须知附表规定执行。</w:t>
            </w:r>
          </w:p>
        </w:tc>
        <w:tc>
          <w:tcPr>
            <w:tcW w:w="9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投标人业绩</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10分</w:t>
            </w:r>
          </w:p>
        </w:tc>
        <w:tc>
          <w:tcPr>
            <w:tcW w:w="5916" w:type="dxa"/>
            <w:shd w:val="clear" w:color="auto" w:fill="auto"/>
            <w:vAlign w:val="center"/>
          </w:tcPr>
          <w:p>
            <w:pPr>
              <w:widowControl/>
              <w:spacing w:line="500" w:lineRule="exact"/>
              <w:rPr>
                <w:rFonts w:ascii="宋体" w:hAnsi="宋体" w:cs="宋体"/>
                <w:color w:val="000000"/>
                <w:kern w:val="0"/>
                <w:sz w:val="24"/>
              </w:rPr>
            </w:pPr>
            <w:r>
              <w:rPr>
                <w:rFonts w:hint="eastAsia" w:ascii="宋体" w:hAnsi="宋体" w:cs="宋体"/>
                <w:color w:val="000000"/>
                <w:kern w:val="0"/>
                <w:sz w:val="24"/>
              </w:rPr>
              <w:t>2018年1月1日以来，投标人</w:t>
            </w:r>
            <w:r>
              <w:rPr>
                <w:rFonts w:hint="eastAsia" w:ascii="宋体" w:hAnsi="宋体" w:cs="宋体"/>
                <w:color w:val="000000"/>
                <w:kern w:val="0"/>
                <w:sz w:val="24"/>
                <w:lang w:val="en-US" w:eastAsia="zh-CN"/>
              </w:rPr>
              <w:t>具有</w:t>
            </w:r>
            <w:r>
              <w:rPr>
                <w:rFonts w:hint="eastAsia" w:ascii="宋体" w:hAnsi="宋体" w:cs="宋体"/>
                <w:color w:val="000000"/>
                <w:kern w:val="0"/>
                <w:sz w:val="24"/>
              </w:rPr>
              <w:t>类似信息化项目案例（类似案例是指软件或服务项目，且包含了数据资源目录梳理或信息资源中心或数据资源管理或数据融合服务或数据治理等类似建设内容），每个类似项目得1分，最多得10分。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szCs w:val="24"/>
              </w:rPr>
            </w:pPr>
            <w:r>
              <w:rPr>
                <w:rFonts w:hint="eastAsia" w:ascii="宋体" w:hAnsi="宋体" w:cs="宋体"/>
                <w:color w:val="000000"/>
                <w:kern w:val="0"/>
                <w:sz w:val="24"/>
              </w:rPr>
              <w:t>注：①提供</w:t>
            </w:r>
            <w:r>
              <w:rPr>
                <w:rFonts w:hint="eastAsia" w:ascii="宋体" w:hAnsi="宋体" w:cs="宋体"/>
                <w:color w:val="000000"/>
                <w:kern w:val="0"/>
                <w:sz w:val="24"/>
                <w:highlight w:val="none"/>
              </w:rPr>
              <w:t>中标</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成交</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通知书、政府采购合同关键页（至少包含合同首页、合同主要服务内容、合同签字页）、任意一次银行流水、任意一次税务发票、合同公告及备案系统截图</w:t>
            </w:r>
            <w:r>
              <w:rPr>
                <w:rFonts w:hint="eastAsia" w:ascii="宋体" w:hAnsi="宋体" w:cs="宋体"/>
                <w:color w:val="000000"/>
                <w:kern w:val="0"/>
                <w:sz w:val="24"/>
              </w:rPr>
              <w:t>复印件加盖投标人电子印章；②同一案例业绩不重复计分；③时间以合同生效时间为准。</w:t>
            </w:r>
          </w:p>
        </w:tc>
        <w:tc>
          <w:tcPr>
            <w:tcW w:w="937" w:type="dxa"/>
            <w:shd w:val="clear" w:color="auto" w:fill="auto"/>
            <w:vAlign w:val="center"/>
          </w:tcPr>
          <w:p>
            <w:pPr>
              <w:widowControl/>
              <w:spacing w:line="500" w:lineRule="exact"/>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2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投标人能力</w:t>
            </w:r>
          </w:p>
        </w:tc>
        <w:tc>
          <w:tcPr>
            <w:tcW w:w="7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分</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rPr>
              <w:t>投标人具备有效的信息技术服务管理体系认证证书、信息安全管理体系认证证书、质量管理体系认证证书、信息安全服务资质认证证书，每提供1个证书得</w:t>
            </w:r>
            <w:r>
              <w:rPr>
                <w:rFonts w:ascii="宋体" w:hAnsi="宋体" w:cs="宋体"/>
                <w:color w:val="000000"/>
                <w:kern w:val="0"/>
                <w:sz w:val="24"/>
              </w:rPr>
              <w:t>1</w:t>
            </w:r>
            <w:r>
              <w:rPr>
                <w:rFonts w:hint="eastAsia" w:ascii="宋体" w:hAnsi="宋体" w:cs="宋体"/>
                <w:color w:val="000000"/>
                <w:kern w:val="0"/>
                <w:sz w:val="24"/>
              </w:rPr>
              <w:t>分，最多得</w:t>
            </w:r>
            <w:r>
              <w:rPr>
                <w:rFonts w:hint="eastAsia" w:ascii="宋体" w:hAnsi="宋体" w:cs="宋体"/>
                <w:color w:val="000000"/>
                <w:kern w:val="0"/>
                <w:sz w:val="24"/>
                <w:lang w:val="en-US" w:eastAsia="zh-CN"/>
              </w:rPr>
              <w:t>4</w:t>
            </w:r>
            <w:r>
              <w:rPr>
                <w:rFonts w:hint="eastAsia" w:ascii="宋体" w:hAnsi="宋体" w:cs="宋体"/>
                <w:color w:val="000000"/>
                <w:kern w:val="0"/>
                <w:sz w:val="24"/>
              </w:rPr>
              <w:t>分；提供证书复印件加盖投标人电子印章。</w:t>
            </w:r>
          </w:p>
        </w:tc>
        <w:tc>
          <w:tcPr>
            <w:tcW w:w="93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7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2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项目团队人员</w:t>
            </w:r>
          </w:p>
        </w:tc>
        <w:tc>
          <w:tcPr>
            <w:tcW w:w="7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30</w:t>
            </w:r>
            <w:r>
              <w:rPr>
                <w:rFonts w:hint="eastAsia" w:ascii="宋体" w:hAnsi="宋体" w:eastAsia="宋体" w:cs="宋体"/>
                <w:color w:val="000000"/>
                <w:kern w:val="0"/>
                <w:sz w:val="24"/>
                <w:szCs w:val="24"/>
                <w:lang w:val="en-US" w:eastAsia="zh-CN"/>
              </w:rPr>
              <w:t>分</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1.项目经理（</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项目经理具有计算机技术与软件专业技术资格证书（信息系统项目管理师）</w:t>
            </w:r>
            <w:r>
              <w:rPr>
                <w:rFonts w:hint="eastAsia" w:ascii="宋体" w:hAnsi="宋体" w:eastAsia="宋体" w:cs="宋体"/>
                <w:b/>
                <w:bCs/>
                <w:color w:val="000000"/>
                <w:kern w:val="0"/>
                <w:sz w:val="24"/>
                <w:szCs w:val="24"/>
              </w:rPr>
              <w:t>或</w:t>
            </w:r>
            <w:r>
              <w:rPr>
                <w:rFonts w:hint="eastAsia" w:ascii="宋体" w:hAnsi="宋体" w:eastAsia="宋体" w:cs="宋体"/>
                <w:color w:val="000000"/>
                <w:kern w:val="0"/>
                <w:sz w:val="24"/>
                <w:szCs w:val="24"/>
              </w:rPr>
              <w:t>PMP项目管理资格认证证书的，得1分。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技术负责人（4分）：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技术负责人具有</w:t>
            </w:r>
            <w:r>
              <w:rPr>
                <w:rFonts w:hint="eastAsia" w:ascii="宋体" w:hAnsi="宋体" w:cs="宋体"/>
                <w:color w:val="000000"/>
                <w:kern w:val="0"/>
                <w:sz w:val="24"/>
              </w:rPr>
              <w:t>计算机技术与软件专业技术资格证书（信息系统项目管理师）</w:t>
            </w:r>
            <w:r>
              <w:rPr>
                <w:rFonts w:hint="eastAsia" w:ascii="宋体" w:hAnsi="宋体" w:eastAsia="宋体" w:cs="宋体"/>
                <w:color w:val="000000"/>
                <w:kern w:val="0"/>
                <w:sz w:val="24"/>
                <w:szCs w:val="24"/>
              </w:rPr>
              <w:t>、数据库管理工程师证书、大数据分析师（高级）和信息安全保障人员认证证书（CISAW）的，</w:t>
            </w:r>
            <w:r>
              <w:rPr>
                <w:rFonts w:hint="eastAsia" w:ascii="宋体" w:hAnsi="宋体" w:cs="宋体"/>
                <w:color w:val="000000"/>
                <w:kern w:val="0"/>
                <w:sz w:val="24"/>
              </w:rPr>
              <w:t>每提供一个证书，得1分，本项最多</w:t>
            </w:r>
            <w:r>
              <w:rPr>
                <w:rFonts w:hint="eastAsia" w:ascii="宋体" w:hAnsi="宋体" w:eastAsia="宋体" w:cs="宋体"/>
                <w:color w:val="000000"/>
                <w:kern w:val="0"/>
                <w:sz w:val="24"/>
                <w:szCs w:val="24"/>
              </w:rPr>
              <w:t>得4分。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lang w:eastAsia="zh-CN"/>
              </w:rPr>
            </w:pPr>
            <w:r>
              <w:rPr>
                <w:rFonts w:hint="eastAsia" w:ascii="宋体" w:hAnsi="宋体" w:cs="宋体"/>
                <w:color w:val="000000"/>
                <w:kern w:val="0"/>
                <w:sz w:val="24"/>
              </w:rPr>
              <w:t>3.架构组（5分）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架构负责人：具有计算机技术与软件专业技术资格证书（系统规划与管理师）、计算机技术与软件专业技术资格证书（信息系统项目管理师）、大数据平台管理师证书、注册信息安全专业人员（CISP）的，每提供一个证书，得</w:t>
            </w:r>
            <w:r>
              <w:rPr>
                <w:rFonts w:hint="eastAsia" w:ascii="宋体" w:hAnsi="宋体" w:cs="宋体"/>
                <w:color w:val="000000"/>
                <w:kern w:val="0"/>
                <w:sz w:val="24"/>
                <w:lang w:val="en-US" w:eastAsia="zh-CN"/>
              </w:rPr>
              <w:t>1</w:t>
            </w:r>
            <w:r>
              <w:rPr>
                <w:rFonts w:hint="eastAsia" w:ascii="宋体" w:hAnsi="宋体" w:cs="宋体"/>
                <w:color w:val="000000"/>
                <w:kern w:val="0"/>
                <w:sz w:val="24"/>
              </w:rPr>
              <w:t>分，本项最多得4分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宋体" w:hAnsi="宋体" w:cs="宋体"/>
                <w:color w:val="000000"/>
                <w:kern w:val="0"/>
                <w:sz w:val="24"/>
              </w:rPr>
              <w:t>架构组团队成员</w:t>
            </w:r>
            <w:r>
              <w:rPr>
                <w:rFonts w:hint="eastAsia" w:ascii="宋体" w:hAnsi="宋体" w:cs="宋体"/>
                <w:b/>
                <w:bCs/>
                <w:color w:val="000000"/>
                <w:kern w:val="0"/>
                <w:sz w:val="24"/>
                <w:lang w:eastAsia="zh-CN"/>
              </w:rPr>
              <w:t>（</w:t>
            </w:r>
            <w:r>
              <w:rPr>
                <w:rFonts w:hint="eastAsia" w:ascii="宋体" w:hAnsi="宋体" w:cs="宋体"/>
                <w:b/>
                <w:bCs/>
                <w:color w:val="000000"/>
                <w:kern w:val="0"/>
                <w:sz w:val="24"/>
              </w:rPr>
              <w:t>架构</w:t>
            </w:r>
            <w:r>
              <w:rPr>
                <w:rFonts w:hint="eastAsia" w:ascii="宋体" w:hAnsi="宋体" w:cs="宋体"/>
                <w:b/>
                <w:bCs/>
                <w:color w:val="000000"/>
                <w:kern w:val="0"/>
                <w:sz w:val="24"/>
                <w:lang w:val="en-US" w:eastAsia="zh-CN"/>
              </w:rPr>
              <w:t>负责人除外</w:t>
            </w:r>
            <w:r>
              <w:rPr>
                <w:rFonts w:hint="eastAsia" w:ascii="宋体" w:hAnsi="宋体" w:cs="宋体"/>
                <w:b/>
                <w:bCs/>
                <w:color w:val="000000"/>
                <w:kern w:val="0"/>
                <w:sz w:val="24"/>
                <w:lang w:eastAsia="zh-CN"/>
              </w:rPr>
              <w:t>）</w:t>
            </w:r>
            <w:r>
              <w:rPr>
                <w:rFonts w:hint="eastAsia" w:ascii="宋体" w:hAnsi="宋体" w:cs="宋体"/>
                <w:color w:val="000000"/>
                <w:kern w:val="0"/>
                <w:sz w:val="24"/>
              </w:rPr>
              <w:t>：</w:t>
            </w:r>
            <w:r>
              <w:rPr>
                <w:rFonts w:hint="eastAsia" w:ascii="宋体" w:hAnsi="宋体" w:cs="宋体"/>
                <w:color w:val="000000"/>
                <w:kern w:val="0"/>
                <w:sz w:val="24"/>
                <w:lang w:val="en-US" w:eastAsia="zh-CN"/>
              </w:rPr>
              <w:t>投标人需拟派2名及以上人员作为本项目的架构组团队成员，在此基础上，拟派的人员中，每有一人</w:t>
            </w:r>
            <w:r>
              <w:rPr>
                <w:rFonts w:hint="eastAsia" w:ascii="宋体" w:hAnsi="宋体" w:cs="宋体"/>
                <w:color w:val="000000"/>
                <w:kern w:val="0"/>
                <w:sz w:val="24"/>
              </w:rPr>
              <w:t>具有系统分析师</w:t>
            </w:r>
            <w:r>
              <w:rPr>
                <w:rFonts w:hint="eastAsia" w:ascii="宋体" w:hAnsi="宋体" w:cs="宋体"/>
                <w:color w:val="000000"/>
                <w:kern w:val="0"/>
                <w:sz w:val="24"/>
                <w:lang w:val="en-US" w:eastAsia="zh-CN"/>
              </w:rPr>
              <w:t>或</w:t>
            </w:r>
            <w:r>
              <w:rPr>
                <w:rFonts w:hint="eastAsia" w:ascii="宋体" w:hAnsi="宋体" w:cs="宋体"/>
                <w:color w:val="000000"/>
                <w:kern w:val="0"/>
                <w:sz w:val="24"/>
              </w:rPr>
              <w:t>计算机技术与软件专业技术资格证书（系统规划与管理师）</w:t>
            </w:r>
            <w:r>
              <w:rPr>
                <w:rFonts w:hint="eastAsia" w:ascii="宋体" w:hAnsi="宋体" w:cs="宋体"/>
                <w:color w:val="000000"/>
                <w:kern w:val="0"/>
                <w:sz w:val="24"/>
                <w:lang w:val="en-US" w:eastAsia="zh-CN"/>
              </w:rPr>
              <w:t>或</w:t>
            </w:r>
            <w:r>
              <w:rPr>
                <w:rFonts w:hint="eastAsia" w:ascii="宋体" w:hAnsi="宋体" w:cs="宋体"/>
                <w:color w:val="000000"/>
                <w:kern w:val="0"/>
                <w:sz w:val="24"/>
              </w:rPr>
              <w:t>大数据平台管理师证书得0.5分，同一人员不重复得分，本项最多得1分。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lang w:eastAsia="zh-CN"/>
              </w:rPr>
            </w:pPr>
            <w:r>
              <w:rPr>
                <w:rFonts w:ascii="宋体" w:hAnsi="宋体" w:cs="宋体"/>
                <w:color w:val="000000"/>
                <w:kern w:val="0"/>
                <w:sz w:val="24"/>
              </w:rPr>
              <w:t>4</w:t>
            </w:r>
            <w:r>
              <w:rPr>
                <w:rFonts w:hint="eastAsia" w:ascii="宋体" w:hAnsi="宋体" w:cs="宋体"/>
                <w:color w:val="000000"/>
                <w:kern w:val="0"/>
                <w:sz w:val="24"/>
              </w:rPr>
              <w:t>、数据分析组（4分）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数据分析组负责人：具有大数据分析师（高级）、数据库管理工程师的，每提供一个证书，得1分，本项最多得2分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rPr>
              <w:t>数据分析组团队成员</w:t>
            </w:r>
            <w:r>
              <w:rPr>
                <w:rFonts w:hint="eastAsia" w:ascii="宋体" w:hAnsi="宋体" w:cs="宋体"/>
                <w:b/>
                <w:bCs/>
                <w:color w:val="000000"/>
                <w:kern w:val="0"/>
                <w:sz w:val="24"/>
                <w:lang w:eastAsia="zh-CN"/>
              </w:rPr>
              <w:t>（</w:t>
            </w:r>
            <w:r>
              <w:rPr>
                <w:rFonts w:hint="eastAsia" w:ascii="宋体" w:hAnsi="宋体" w:cs="宋体"/>
                <w:b/>
                <w:bCs/>
                <w:color w:val="000000"/>
                <w:kern w:val="0"/>
                <w:sz w:val="24"/>
              </w:rPr>
              <w:t>数据分析组负责人</w:t>
            </w:r>
            <w:r>
              <w:rPr>
                <w:rFonts w:hint="eastAsia" w:ascii="宋体" w:hAnsi="宋体" w:cs="宋体"/>
                <w:b/>
                <w:bCs/>
                <w:color w:val="000000"/>
                <w:kern w:val="0"/>
                <w:sz w:val="24"/>
                <w:lang w:val="en-US" w:eastAsia="zh-CN"/>
              </w:rPr>
              <w:t>除外</w:t>
            </w:r>
            <w:r>
              <w:rPr>
                <w:rFonts w:hint="eastAsia" w:ascii="宋体" w:hAnsi="宋体" w:cs="宋体"/>
                <w:b/>
                <w:bCs/>
                <w:color w:val="000000"/>
                <w:kern w:val="0"/>
                <w:sz w:val="24"/>
                <w:lang w:eastAsia="zh-CN"/>
              </w:rPr>
              <w:t>）</w:t>
            </w:r>
            <w:r>
              <w:rPr>
                <w:rFonts w:hint="eastAsia" w:ascii="宋体" w:hAnsi="宋体" w:cs="宋体"/>
                <w:color w:val="000000"/>
                <w:kern w:val="0"/>
                <w:sz w:val="24"/>
              </w:rPr>
              <w:t>：</w:t>
            </w:r>
            <w:r>
              <w:rPr>
                <w:rFonts w:hint="eastAsia" w:ascii="宋体" w:hAnsi="宋体" w:cs="宋体"/>
                <w:color w:val="000000"/>
                <w:kern w:val="0"/>
                <w:sz w:val="24"/>
                <w:lang w:val="en-US" w:eastAsia="zh-CN"/>
              </w:rPr>
              <w:t>投标人需拟派4名及以上人员作为本项目的数据分析组团队成员，在此基础上，拟派的人员中，每有一人</w:t>
            </w:r>
            <w:r>
              <w:rPr>
                <w:rFonts w:hint="eastAsia" w:ascii="宋体" w:hAnsi="宋体" w:cs="宋体"/>
                <w:color w:val="000000"/>
                <w:kern w:val="0"/>
                <w:sz w:val="24"/>
              </w:rPr>
              <w:t>具有数据库管理工程师</w:t>
            </w:r>
            <w:r>
              <w:rPr>
                <w:rFonts w:hint="eastAsia" w:ascii="宋体" w:hAnsi="宋体" w:cs="宋体"/>
                <w:color w:val="000000"/>
                <w:kern w:val="0"/>
                <w:sz w:val="24"/>
                <w:lang w:val="en-US" w:eastAsia="zh-CN"/>
              </w:rPr>
              <w:t>或</w:t>
            </w:r>
            <w:r>
              <w:rPr>
                <w:rFonts w:hint="eastAsia" w:ascii="宋体" w:hAnsi="宋体" w:cs="宋体"/>
                <w:color w:val="000000"/>
                <w:kern w:val="0"/>
                <w:sz w:val="24"/>
              </w:rPr>
              <w:t>大数据分析与挖掘师证书</w:t>
            </w:r>
            <w:r>
              <w:rPr>
                <w:rFonts w:hint="eastAsia" w:ascii="宋体" w:hAnsi="宋体" w:cs="宋体"/>
                <w:color w:val="000000"/>
                <w:kern w:val="0"/>
                <w:sz w:val="24"/>
                <w:lang w:val="en-US" w:eastAsia="zh-CN"/>
              </w:rPr>
              <w:t>的</w:t>
            </w:r>
            <w:r>
              <w:rPr>
                <w:rFonts w:hint="eastAsia" w:ascii="宋体" w:hAnsi="宋体" w:cs="宋体"/>
                <w:color w:val="000000"/>
                <w:kern w:val="0"/>
                <w:sz w:val="24"/>
              </w:rPr>
              <w:t>得0.5分，同一人员不重复得分，本项最多得2分。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lang w:eastAsia="zh-CN"/>
              </w:rPr>
            </w:pPr>
            <w:r>
              <w:rPr>
                <w:rFonts w:ascii="宋体" w:hAnsi="宋体" w:cs="宋体"/>
                <w:color w:val="000000"/>
                <w:kern w:val="0"/>
                <w:sz w:val="24"/>
              </w:rPr>
              <w:t>5</w:t>
            </w:r>
            <w:r>
              <w:rPr>
                <w:rFonts w:hint="eastAsia" w:ascii="宋体" w:hAnsi="宋体" w:cs="宋体"/>
                <w:color w:val="000000"/>
                <w:kern w:val="0"/>
                <w:sz w:val="24"/>
              </w:rPr>
              <w:t>、开发组（8分）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开发</w:t>
            </w:r>
            <w:r>
              <w:rPr>
                <w:rFonts w:hint="eastAsia" w:ascii="宋体" w:hAnsi="宋体" w:cs="宋体"/>
                <w:color w:val="000000"/>
                <w:kern w:val="0"/>
                <w:sz w:val="24"/>
                <w:lang w:val="en-US" w:eastAsia="zh-CN"/>
              </w:rPr>
              <w:t>组</w:t>
            </w:r>
            <w:r>
              <w:rPr>
                <w:rFonts w:hint="eastAsia" w:ascii="宋体" w:hAnsi="宋体" w:cs="宋体"/>
                <w:color w:val="000000"/>
                <w:kern w:val="0"/>
                <w:sz w:val="24"/>
              </w:rPr>
              <w:t>负责人：具有计算机技术与软件专业技术资格证书信息系统项目管理师、信息安全保障人员认证证书（CISAW）、大数据分析师（高级）证书的，每提供一个证书，得1分，本项最多得3分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rPr>
              <w:t>开发</w:t>
            </w:r>
            <w:r>
              <w:rPr>
                <w:rFonts w:hint="eastAsia" w:ascii="宋体" w:hAnsi="宋体" w:cs="宋体"/>
                <w:color w:val="000000"/>
                <w:kern w:val="0"/>
                <w:sz w:val="24"/>
                <w:lang w:val="en-US" w:eastAsia="zh-CN"/>
              </w:rPr>
              <w:t>组</w:t>
            </w:r>
            <w:r>
              <w:rPr>
                <w:rFonts w:hint="eastAsia" w:ascii="宋体" w:hAnsi="宋体" w:cs="宋体"/>
                <w:color w:val="000000"/>
                <w:kern w:val="0"/>
                <w:sz w:val="24"/>
              </w:rPr>
              <w:t>团队成员</w:t>
            </w:r>
            <w:r>
              <w:rPr>
                <w:rFonts w:hint="eastAsia" w:ascii="宋体" w:hAnsi="宋体" w:cs="宋体"/>
                <w:b/>
                <w:bCs/>
                <w:color w:val="000000"/>
                <w:kern w:val="0"/>
                <w:sz w:val="24"/>
                <w:lang w:eastAsia="zh-CN"/>
              </w:rPr>
              <w:t>（</w:t>
            </w:r>
            <w:r>
              <w:rPr>
                <w:rFonts w:hint="eastAsia" w:ascii="宋体" w:hAnsi="宋体" w:cs="宋体"/>
                <w:b/>
                <w:bCs/>
                <w:color w:val="000000"/>
                <w:kern w:val="0"/>
                <w:sz w:val="24"/>
              </w:rPr>
              <w:t>开发</w:t>
            </w:r>
            <w:r>
              <w:rPr>
                <w:rFonts w:hint="eastAsia" w:ascii="宋体" w:hAnsi="宋体" w:cs="宋体"/>
                <w:b/>
                <w:bCs/>
                <w:color w:val="000000"/>
                <w:kern w:val="0"/>
                <w:sz w:val="24"/>
                <w:lang w:val="en-US" w:eastAsia="zh-CN"/>
              </w:rPr>
              <w:t>组</w:t>
            </w:r>
            <w:r>
              <w:rPr>
                <w:rFonts w:hint="eastAsia" w:ascii="宋体" w:hAnsi="宋体" w:cs="宋体"/>
                <w:b/>
                <w:bCs/>
                <w:color w:val="000000"/>
                <w:kern w:val="0"/>
                <w:sz w:val="24"/>
              </w:rPr>
              <w:t>负责人</w:t>
            </w:r>
            <w:r>
              <w:rPr>
                <w:rFonts w:hint="eastAsia" w:ascii="宋体" w:hAnsi="宋体" w:cs="宋体"/>
                <w:b/>
                <w:bCs/>
                <w:color w:val="000000"/>
                <w:kern w:val="0"/>
                <w:sz w:val="24"/>
                <w:lang w:val="en-US" w:eastAsia="zh-CN"/>
              </w:rPr>
              <w:t>除外</w:t>
            </w:r>
            <w:r>
              <w:rPr>
                <w:rFonts w:hint="eastAsia" w:ascii="宋体" w:hAnsi="宋体" w:cs="宋体"/>
                <w:b/>
                <w:bCs/>
                <w:color w:val="000000"/>
                <w:kern w:val="0"/>
                <w:sz w:val="24"/>
                <w:lang w:eastAsia="zh-CN"/>
              </w:rPr>
              <w:t>）</w:t>
            </w:r>
            <w:r>
              <w:rPr>
                <w:rFonts w:hint="eastAsia" w:ascii="宋体" w:hAnsi="宋体" w:cs="宋体"/>
                <w:color w:val="000000"/>
                <w:kern w:val="0"/>
                <w:sz w:val="24"/>
              </w:rPr>
              <w:t>：</w:t>
            </w:r>
            <w:r>
              <w:rPr>
                <w:rFonts w:hint="eastAsia" w:ascii="宋体" w:hAnsi="宋体" w:cs="宋体"/>
                <w:color w:val="000000"/>
                <w:kern w:val="0"/>
                <w:sz w:val="24"/>
                <w:lang w:val="en-US" w:eastAsia="zh-CN"/>
              </w:rPr>
              <w:t>投标人需拟派10名及以上人员作为本项目的开发组团队成员，在此基础上，拟派的人员中，每有一人</w:t>
            </w:r>
            <w:r>
              <w:rPr>
                <w:rFonts w:hint="eastAsia" w:ascii="宋体" w:hAnsi="宋体" w:cs="宋体"/>
                <w:color w:val="000000"/>
                <w:kern w:val="0"/>
                <w:sz w:val="24"/>
              </w:rPr>
              <w:t>具有高级平面设计师</w:t>
            </w:r>
            <w:r>
              <w:rPr>
                <w:rFonts w:hint="eastAsia" w:ascii="宋体" w:hAnsi="宋体" w:cs="宋体"/>
                <w:color w:val="000000"/>
                <w:kern w:val="0"/>
                <w:sz w:val="24"/>
                <w:lang w:val="en-US" w:eastAsia="zh-CN"/>
              </w:rPr>
              <w:t>或</w:t>
            </w:r>
            <w:r>
              <w:rPr>
                <w:rFonts w:hint="eastAsia" w:ascii="宋体" w:hAnsi="宋体" w:cs="宋体"/>
                <w:color w:val="000000"/>
                <w:kern w:val="0"/>
                <w:sz w:val="24"/>
              </w:rPr>
              <w:t>高级软件技术开发工程师</w:t>
            </w:r>
            <w:r>
              <w:rPr>
                <w:rFonts w:hint="eastAsia" w:ascii="宋体" w:hAnsi="宋体" w:cs="宋体"/>
                <w:color w:val="000000"/>
                <w:kern w:val="0"/>
                <w:sz w:val="24"/>
                <w:lang w:val="en-US" w:eastAsia="zh-CN"/>
              </w:rPr>
              <w:t>或</w:t>
            </w:r>
            <w:r>
              <w:rPr>
                <w:rFonts w:hint="eastAsia" w:ascii="宋体" w:hAnsi="宋体" w:cs="宋体"/>
                <w:color w:val="000000"/>
                <w:kern w:val="0"/>
                <w:sz w:val="24"/>
              </w:rPr>
              <w:t>系统分析师</w:t>
            </w:r>
            <w:r>
              <w:rPr>
                <w:rFonts w:hint="eastAsia" w:ascii="宋体" w:hAnsi="宋体" w:cs="宋体"/>
                <w:color w:val="000000"/>
                <w:kern w:val="0"/>
                <w:sz w:val="24"/>
                <w:lang w:val="en-US" w:eastAsia="zh-CN"/>
              </w:rPr>
              <w:t>或</w:t>
            </w:r>
            <w:r>
              <w:rPr>
                <w:rFonts w:hint="eastAsia" w:ascii="宋体" w:hAnsi="宋体" w:cs="宋体"/>
                <w:color w:val="000000"/>
                <w:kern w:val="0"/>
                <w:sz w:val="24"/>
              </w:rPr>
              <w:t>高级软件工程师</w:t>
            </w:r>
            <w:r>
              <w:rPr>
                <w:rFonts w:hint="eastAsia" w:ascii="宋体" w:hAnsi="宋体" w:cs="宋体"/>
                <w:color w:val="000000"/>
                <w:kern w:val="0"/>
                <w:sz w:val="24"/>
                <w:lang w:val="en-US" w:eastAsia="zh-CN"/>
              </w:rPr>
              <w:t>或</w:t>
            </w:r>
            <w:r>
              <w:rPr>
                <w:rFonts w:hint="eastAsia" w:ascii="宋体" w:hAnsi="宋体" w:cs="宋体"/>
                <w:color w:val="000000"/>
                <w:kern w:val="0"/>
                <w:sz w:val="24"/>
              </w:rPr>
              <w:t>大数据平台管理师</w:t>
            </w:r>
            <w:r>
              <w:rPr>
                <w:rFonts w:hint="eastAsia" w:ascii="宋体" w:hAnsi="宋体" w:cs="宋体"/>
                <w:color w:val="000000"/>
                <w:kern w:val="0"/>
                <w:sz w:val="24"/>
                <w:lang w:val="en-US" w:eastAsia="zh-CN"/>
              </w:rPr>
              <w:t>或</w:t>
            </w:r>
            <w:r>
              <w:rPr>
                <w:rFonts w:hint="eastAsia" w:ascii="宋体" w:hAnsi="宋体" w:cs="宋体"/>
                <w:color w:val="000000"/>
                <w:kern w:val="0"/>
                <w:sz w:val="24"/>
              </w:rPr>
              <w:t>大数据分析师（高级）证书</w:t>
            </w:r>
            <w:r>
              <w:rPr>
                <w:rFonts w:hint="eastAsia" w:ascii="宋体" w:hAnsi="宋体" w:cs="宋体"/>
                <w:color w:val="000000"/>
                <w:kern w:val="0"/>
                <w:sz w:val="24"/>
                <w:lang w:val="en-US" w:eastAsia="zh-CN"/>
              </w:rPr>
              <w:t>的</w:t>
            </w:r>
            <w:r>
              <w:rPr>
                <w:rFonts w:hint="eastAsia" w:ascii="宋体" w:hAnsi="宋体" w:cs="宋体"/>
                <w:color w:val="000000"/>
                <w:kern w:val="0"/>
                <w:sz w:val="24"/>
              </w:rPr>
              <w:t>得0.5分，同一人员不重复得分，本项最多得5分。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lang w:eastAsia="zh-CN"/>
              </w:rPr>
            </w:pPr>
            <w:r>
              <w:rPr>
                <w:rFonts w:ascii="宋体" w:hAnsi="宋体" w:cs="宋体"/>
                <w:color w:val="000000"/>
                <w:kern w:val="0"/>
                <w:sz w:val="24"/>
              </w:rPr>
              <w:t>6</w:t>
            </w:r>
            <w:r>
              <w:rPr>
                <w:rFonts w:hint="eastAsia" w:ascii="宋体" w:hAnsi="宋体" w:cs="宋体"/>
                <w:color w:val="000000"/>
                <w:kern w:val="0"/>
                <w:sz w:val="24"/>
              </w:rPr>
              <w:t>、交付保障服务组（5分）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交付保障服务</w:t>
            </w:r>
            <w:r>
              <w:rPr>
                <w:rFonts w:hint="eastAsia" w:ascii="宋体" w:hAnsi="宋体" w:cs="宋体"/>
                <w:color w:val="000000"/>
                <w:kern w:val="0"/>
                <w:sz w:val="24"/>
                <w:lang w:val="en-US" w:eastAsia="zh-CN"/>
              </w:rPr>
              <w:t>组</w:t>
            </w:r>
            <w:r>
              <w:rPr>
                <w:rFonts w:hint="eastAsia" w:ascii="宋体" w:hAnsi="宋体" w:cs="宋体"/>
                <w:color w:val="000000"/>
                <w:kern w:val="0"/>
                <w:sz w:val="24"/>
              </w:rPr>
              <w:t>负责人：具有IT服务项目经理、大数据分析师（高级）、信息安全管理（高级），每提供一个证书，得1分，本项最多得3分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rPr>
              <w:t>交付保障服务组成员</w:t>
            </w:r>
            <w:r>
              <w:rPr>
                <w:rFonts w:hint="eastAsia" w:ascii="宋体" w:hAnsi="宋体" w:cs="宋体"/>
                <w:b/>
                <w:bCs/>
                <w:color w:val="000000"/>
                <w:kern w:val="0"/>
                <w:sz w:val="24"/>
                <w:lang w:eastAsia="zh-CN"/>
              </w:rPr>
              <w:t>（</w:t>
            </w:r>
            <w:r>
              <w:rPr>
                <w:rFonts w:hint="eastAsia" w:ascii="宋体" w:hAnsi="宋体" w:cs="宋体"/>
                <w:b/>
                <w:bCs/>
                <w:color w:val="000000"/>
                <w:kern w:val="0"/>
                <w:sz w:val="24"/>
              </w:rPr>
              <w:t>交付保障服务</w:t>
            </w:r>
            <w:r>
              <w:rPr>
                <w:rFonts w:hint="eastAsia" w:ascii="宋体" w:hAnsi="宋体" w:cs="宋体"/>
                <w:b/>
                <w:bCs/>
                <w:color w:val="000000"/>
                <w:kern w:val="0"/>
                <w:sz w:val="24"/>
                <w:lang w:val="en-US" w:eastAsia="zh-CN"/>
              </w:rPr>
              <w:t>组</w:t>
            </w:r>
            <w:r>
              <w:rPr>
                <w:rFonts w:hint="eastAsia" w:ascii="宋体" w:hAnsi="宋体" w:cs="宋体"/>
                <w:b/>
                <w:bCs/>
                <w:color w:val="000000"/>
                <w:kern w:val="0"/>
                <w:sz w:val="24"/>
              </w:rPr>
              <w:t>负责人</w:t>
            </w:r>
            <w:r>
              <w:rPr>
                <w:rFonts w:hint="eastAsia" w:ascii="宋体" w:hAnsi="宋体" w:cs="宋体"/>
                <w:b/>
                <w:bCs/>
                <w:color w:val="000000"/>
                <w:kern w:val="0"/>
                <w:sz w:val="24"/>
                <w:lang w:val="en-US" w:eastAsia="zh-CN"/>
              </w:rPr>
              <w:t>除外</w:t>
            </w:r>
            <w:r>
              <w:rPr>
                <w:rFonts w:hint="eastAsia" w:ascii="宋体" w:hAnsi="宋体" w:cs="宋体"/>
                <w:b/>
                <w:bCs/>
                <w:color w:val="000000"/>
                <w:kern w:val="0"/>
                <w:sz w:val="24"/>
                <w:lang w:eastAsia="zh-CN"/>
              </w:rPr>
              <w:t>）</w:t>
            </w:r>
            <w:r>
              <w:rPr>
                <w:rFonts w:hint="eastAsia" w:ascii="宋体" w:hAnsi="宋体" w:cs="宋体"/>
                <w:color w:val="000000"/>
                <w:kern w:val="0"/>
                <w:sz w:val="24"/>
              </w:rPr>
              <w:t>：</w:t>
            </w:r>
            <w:r>
              <w:rPr>
                <w:rFonts w:hint="eastAsia" w:ascii="宋体" w:hAnsi="宋体" w:cs="宋体"/>
                <w:color w:val="000000"/>
                <w:kern w:val="0"/>
                <w:sz w:val="24"/>
                <w:lang w:val="en-US" w:eastAsia="zh-CN"/>
              </w:rPr>
              <w:t>投标人需拟派4名及以上人员作为本项目的</w:t>
            </w:r>
            <w:r>
              <w:rPr>
                <w:rFonts w:hint="eastAsia" w:ascii="宋体" w:hAnsi="宋体" w:cs="宋体"/>
                <w:color w:val="000000"/>
                <w:kern w:val="0"/>
                <w:sz w:val="24"/>
              </w:rPr>
              <w:t>交付保障服务组成员</w:t>
            </w:r>
            <w:r>
              <w:rPr>
                <w:rFonts w:hint="eastAsia" w:ascii="宋体" w:hAnsi="宋体" w:cs="宋体"/>
                <w:color w:val="000000"/>
                <w:kern w:val="0"/>
                <w:sz w:val="24"/>
                <w:lang w:val="en-US" w:eastAsia="zh-CN"/>
              </w:rPr>
              <w:t>，在此基础上，拟派的人员中，每有一人</w:t>
            </w:r>
            <w:r>
              <w:rPr>
                <w:rFonts w:hint="eastAsia" w:ascii="宋体" w:hAnsi="宋体" w:cs="宋体"/>
                <w:color w:val="000000"/>
                <w:kern w:val="0"/>
                <w:sz w:val="24"/>
              </w:rPr>
              <w:t>具有计算机技术与软件专业技术资格证书（信息系统项目管理师）或信息系统管理工程师或系统集成项目管理工程师或PMP项目管理资格认证证书</w:t>
            </w:r>
            <w:r>
              <w:rPr>
                <w:rFonts w:hint="eastAsia" w:ascii="宋体" w:hAnsi="宋体" w:cs="宋体"/>
                <w:color w:val="000000"/>
                <w:kern w:val="0"/>
                <w:sz w:val="24"/>
                <w:lang w:val="en-US" w:eastAsia="zh-CN"/>
              </w:rPr>
              <w:t>或</w:t>
            </w:r>
            <w:r>
              <w:rPr>
                <w:rFonts w:hint="eastAsia" w:ascii="宋体" w:hAnsi="宋体" w:cs="宋体"/>
                <w:color w:val="000000"/>
                <w:kern w:val="0"/>
                <w:sz w:val="24"/>
              </w:rPr>
              <w:t>IT服务项目经理（ITSS）证书的得0.5分，同一人员不重复得分，本项最多得2分。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lang w:eastAsia="zh-CN"/>
              </w:rPr>
            </w:pPr>
            <w:r>
              <w:rPr>
                <w:rFonts w:ascii="宋体" w:hAnsi="宋体" w:cs="宋体"/>
                <w:color w:val="000000"/>
                <w:kern w:val="0"/>
                <w:sz w:val="24"/>
              </w:rPr>
              <w:t>7</w:t>
            </w:r>
            <w:r>
              <w:rPr>
                <w:rFonts w:hint="eastAsia" w:ascii="宋体" w:hAnsi="宋体" w:cs="宋体"/>
                <w:color w:val="000000"/>
                <w:kern w:val="0"/>
                <w:sz w:val="24"/>
              </w:rPr>
              <w:t>、系统安全保障组（3分）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系统安全保障组负责人：具有信息安全保障人员认证证书（CISAW）、高级网络信息安全工程师的，每提供一个证书，得1分，本项最多得2分</w:t>
            </w:r>
            <w:r>
              <w:rPr>
                <w:rFonts w:hint="eastAsia" w:ascii="宋体" w:hAnsi="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rPr>
            </w:pPr>
            <w:r>
              <w:rPr>
                <w:rFonts w:hint="eastAsia" w:ascii="宋体" w:hAnsi="宋体" w:cs="宋体"/>
                <w:color w:val="000000"/>
                <w:kern w:val="0"/>
                <w:sz w:val="24"/>
              </w:rPr>
              <w:t>系统安全保障组成员</w:t>
            </w:r>
            <w:r>
              <w:rPr>
                <w:rFonts w:hint="eastAsia" w:ascii="宋体" w:hAnsi="宋体" w:cs="宋体"/>
                <w:color w:val="000000"/>
                <w:kern w:val="0"/>
                <w:sz w:val="24"/>
                <w:lang w:eastAsia="zh-CN"/>
              </w:rPr>
              <w:t>（</w:t>
            </w:r>
            <w:r>
              <w:rPr>
                <w:rFonts w:hint="eastAsia" w:ascii="宋体" w:hAnsi="宋体" w:cs="宋体"/>
                <w:color w:val="000000"/>
                <w:kern w:val="0"/>
                <w:sz w:val="24"/>
              </w:rPr>
              <w:t>系统安全保障组负责人</w:t>
            </w:r>
            <w:r>
              <w:rPr>
                <w:rFonts w:hint="eastAsia" w:ascii="宋体" w:hAnsi="宋体" w:cs="宋体"/>
                <w:color w:val="000000"/>
                <w:kern w:val="0"/>
                <w:sz w:val="24"/>
                <w:lang w:val="en-US" w:eastAsia="zh-CN"/>
              </w:rPr>
              <w:t>除外</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投标人需拟派2名及以上人员作为本项目的</w:t>
            </w:r>
            <w:r>
              <w:rPr>
                <w:rFonts w:hint="eastAsia" w:ascii="宋体" w:hAnsi="宋体" w:cs="宋体"/>
                <w:color w:val="000000"/>
                <w:kern w:val="0"/>
                <w:sz w:val="24"/>
              </w:rPr>
              <w:t>系统安全保障组成员</w:t>
            </w:r>
            <w:r>
              <w:rPr>
                <w:rFonts w:hint="eastAsia" w:ascii="宋体" w:hAnsi="宋体" w:cs="宋体"/>
                <w:color w:val="000000"/>
                <w:kern w:val="0"/>
                <w:sz w:val="24"/>
                <w:lang w:val="en-US" w:eastAsia="zh-CN"/>
              </w:rPr>
              <w:t>，在此基础上，拟派的人员中，每有一人</w:t>
            </w:r>
            <w:r>
              <w:rPr>
                <w:rFonts w:hint="eastAsia" w:ascii="宋体" w:hAnsi="宋体" w:cs="宋体"/>
                <w:color w:val="000000"/>
                <w:kern w:val="0"/>
                <w:sz w:val="24"/>
              </w:rPr>
              <w:t>具有信息安全保障人员认证证书（CISAW）</w:t>
            </w:r>
            <w:r>
              <w:rPr>
                <w:rFonts w:hint="eastAsia" w:ascii="宋体" w:hAnsi="宋体" w:cs="宋体"/>
                <w:color w:val="000000"/>
                <w:kern w:val="0"/>
                <w:sz w:val="24"/>
                <w:lang w:val="en-US" w:eastAsia="zh-CN"/>
              </w:rPr>
              <w:t>或</w:t>
            </w:r>
            <w:r>
              <w:rPr>
                <w:rFonts w:hint="eastAsia" w:ascii="宋体" w:hAnsi="宋体" w:cs="宋体"/>
                <w:color w:val="000000"/>
                <w:kern w:val="0"/>
                <w:sz w:val="24"/>
              </w:rPr>
              <w:t>高级网络信息安全工程师证书</w:t>
            </w:r>
            <w:r>
              <w:rPr>
                <w:rFonts w:hint="eastAsia" w:ascii="宋体" w:hAnsi="宋体" w:cs="宋体"/>
                <w:color w:val="000000"/>
                <w:kern w:val="0"/>
                <w:sz w:val="24"/>
                <w:lang w:val="en-US" w:eastAsia="zh-CN"/>
              </w:rPr>
              <w:t>的</w:t>
            </w:r>
            <w:r>
              <w:rPr>
                <w:rFonts w:hint="eastAsia" w:ascii="宋体" w:hAnsi="宋体" w:cs="宋体"/>
                <w:color w:val="000000"/>
                <w:kern w:val="0"/>
                <w:sz w:val="24"/>
              </w:rPr>
              <w:t>得0.5分，同一人员不重复得分，本项最多得1分。</w:t>
            </w:r>
          </w:p>
        </w:tc>
        <w:tc>
          <w:tcPr>
            <w:tcW w:w="93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jc w:val="center"/>
        </w:trPr>
        <w:tc>
          <w:tcPr>
            <w:tcW w:w="7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2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7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注：①投标人将拟投入本项目的团队人员按顺序填列</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并</w:t>
            </w:r>
            <w:r>
              <w:rPr>
                <w:rFonts w:hint="eastAsia" w:ascii="宋体" w:hAnsi="宋体" w:eastAsia="宋体" w:cs="宋体"/>
                <w:sz w:val="24"/>
                <w:szCs w:val="24"/>
              </w:rPr>
              <w:t>注明配备人员的职务（职务为“项目经理、技术负责人、架构负责人、架构组团队成员、数据分析组负责人、数据分析组团队成员、开发组负责人、开发组团队成员、交付保障服务组负责人、交付保障服务组成员、系统安全保障组负责人、系统安全保障组成员”其中一种），未注明人员不计分</w:t>
            </w:r>
            <w:r>
              <w:rPr>
                <w:rFonts w:hint="eastAsia" w:ascii="宋体" w:hAnsi="宋体" w:eastAsia="宋体" w:cs="宋体"/>
                <w:color w:val="000000"/>
                <w:kern w:val="0"/>
                <w:sz w:val="24"/>
                <w:szCs w:val="24"/>
                <w:lang w:eastAsia="zh-CN"/>
              </w:rPr>
              <w:t>；②提供人员相关证书、持证人员的身份证复印件加盖投标人电子印章；</w:t>
            </w:r>
            <w:r>
              <w:rPr>
                <w:rFonts w:hint="eastAsia" w:ascii="宋体" w:hAnsi="宋体" w:cs="宋体"/>
                <w:color w:val="000000"/>
                <w:kern w:val="0"/>
                <w:sz w:val="24"/>
                <w:szCs w:val="24"/>
                <w:lang w:val="en-US" w:eastAsia="zh-CN"/>
              </w:rPr>
              <w:t>③项目经理、技术负责人、架构组、数据分析组、开发组、交付保障服务组、系统安全保障组人员</w:t>
            </w:r>
            <w:r>
              <w:rPr>
                <w:rFonts w:hint="eastAsia" w:ascii="宋体" w:hAnsi="宋体" w:eastAsia="宋体" w:cs="宋体"/>
                <w:sz w:val="24"/>
                <w:szCs w:val="24"/>
              </w:rPr>
              <w:t>不得重复，否则重复人员不计分。</w:t>
            </w:r>
          </w:p>
        </w:tc>
        <w:tc>
          <w:tcPr>
            <w:tcW w:w="93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参数要求</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w:t>
            </w:r>
            <w:r>
              <w:rPr>
                <w:rFonts w:hint="eastAsia" w:ascii="宋体" w:hAnsi="宋体" w:eastAsia="宋体" w:cs="宋体"/>
                <w:color w:val="000000"/>
                <w:kern w:val="0"/>
                <w:sz w:val="24"/>
                <w:szCs w:val="24"/>
                <w:lang w:val="en-US" w:eastAsia="zh-CN"/>
              </w:rPr>
              <w:t>分</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1.完全符合招标文件（一）技术服务要求、（二）商务要求没有负偏离得</w:t>
            </w:r>
            <w:r>
              <w:rPr>
                <w:rFonts w:hint="eastAsia" w:ascii="宋体" w:hAnsi="宋体" w:cs="宋体"/>
                <w:kern w:val="0"/>
                <w:sz w:val="24"/>
                <w:szCs w:val="24"/>
                <w:lang w:val="en-US" w:eastAsia="zh-CN"/>
              </w:rPr>
              <w:t>14</w:t>
            </w:r>
            <w:r>
              <w:rPr>
                <w:rFonts w:hint="eastAsia" w:ascii="宋体" w:hAnsi="宋体" w:eastAsia="宋体" w:cs="宋体"/>
                <w:kern w:val="0"/>
                <w:sz w:val="24"/>
                <w:szCs w:val="24"/>
                <w:lang w:val="en-US" w:eastAsia="zh-CN"/>
              </w:rPr>
              <w:t>分；带“★”的条款为实质性参数，不允许负偏离，凡有一项不满足的作无效投标处理。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2.“▲”的条款为重要参数（共</w:t>
            </w:r>
            <w:r>
              <w:rPr>
                <w:rFonts w:hint="eastAsia" w:ascii="宋体" w:hAnsi="宋体" w:cs="宋体"/>
                <w:kern w:val="0"/>
                <w:sz w:val="24"/>
                <w:szCs w:val="24"/>
                <w:lang w:val="en-US" w:eastAsia="zh-CN"/>
              </w:rPr>
              <w:t>16</w:t>
            </w:r>
            <w:r>
              <w:rPr>
                <w:rFonts w:hint="eastAsia" w:ascii="宋体" w:hAnsi="宋体" w:eastAsia="宋体" w:cs="宋体"/>
                <w:kern w:val="0"/>
                <w:sz w:val="24"/>
                <w:szCs w:val="24"/>
                <w:lang w:val="en-US" w:eastAsia="zh-CN"/>
              </w:rPr>
              <w:t>项），</w:t>
            </w:r>
            <w:r>
              <w:rPr>
                <w:rFonts w:hint="eastAsia" w:ascii="宋体" w:hAnsi="宋体" w:eastAsia="宋体" w:cs="宋体"/>
                <w:color w:val="000000"/>
                <w:sz w:val="24"/>
                <w:szCs w:val="24"/>
                <w:highlight w:val="none"/>
              </w:rPr>
              <w:t>带“▲”项负偏离的，每</w:t>
            </w:r>
            <w:r>
              <w:rPr>
                <w:rFonts w:hint="eastAsia" w:ascii="宋体" w:hAnsi="宋体" w:cs="宋体"/>
                <w:color w:val="000000"/>
                <w:sz w:val="24"/>
                <w:szCs w:val="24"/>
                <w:highlight w:val="none"/>
                <w:lang w:val="en-US" w:eastAsia="zh-CN"/>
              </w:rPr>
              <w:t>有</w:t>
            </w:r>
            <w:r>
              <w:rPr>
                <w:rFonts w:hint="eastAsia" w:ascii="宋体" w:hAnsi="宋体" w:eastAsia="宋体" w:cs="宋体"/>
                <w:color w:val="000000"/>
                <w:sz w:val="24"/>
                <w:szCs w:val="24"/>
                <w:highlight w:val="none"/>
              </w:rPr>
              <w:t>一项扣</w:t>
            </w:r>
            <w:r>
              <w:rPr>
                <w:rFonts w:hint="eastAsia" w:ascii="宋体" w:hAnsi="宋体" w:cs="宋体"/>
                <w:color w:val="000000"/>
                <w:sz w:val="24"/>
                <w:szCs w:val="24"/>
                <w:highlight w:val="none"/>
                <w:lang w:val="en-US" w:eastAsia="zh-CN"/>
              </w:rPr>
              <w:t>0.5</w:t>
            </w:r>
            <w:r>
              <w:rPr>
                <w:rFonts w:hint="eastAsia" w:ascii="宋体" w:hAnsi="宋体" w:eastAsia="宋体" w:cs="宋体"/>
                <w:color w:val="000000"/>
                <w:sz w:val="24"/>
                <w:szCs w:val="24"/>
                <w:highlight w:val="none"/>
              </w:rPr>
              <w:t>分</w:t>
            </w:r>
            <w:r>
              <w:rPr>
                <w:rFonts w:hint="eastAsia" w:ascii="宋体" w:hAnsi="宋体" w:eastAsia="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3.“●”的条款为一般参数（共</w:t>
            </w:r>
            <w:r>
              <w:rPr>
                <w:rFonts w:hint="eastAsia" w:ascii="宋体" w:hAnsi="宋体" w:cs="宋体"/>
                <w:kern w:val="0"/>
                <w:sz w:val="24"/>
                <w:szCs w:val="24"/>
                <w:lang w:val="en-US" w:eastAsia="zh-CN"/>
              </w:rPr>
              <w:t>300</w:t>
            </w:r>
            <w:r>
              <w:rPr>
                <w:rFonts w:hint="eastAsia" w:ascii="宋体" w:hAnsi="宋体" w:eastAsia="宋体" w:cs="宋体"/>
                <w:kern w:val="0"/>
                <w:sz w:val="24"/>
                <w:szCs w:val="24"/>
                <w:lang w:val="en-US" w:eastAsia="zh-CN"/>
              </w:rPr>
              <w:t>项），</w:t>
            </w:r>
            <w:r>
              <w:rPr>
                <w:rFonts w:hint="eastAsia" w:ascii="宋体" w:hAnsi="宋体" w:eastAsia="宋体" w:cs="宋体"/>
                <w:color w:val="000000"/>
                <w:sz w:val="24"/>
                <w:szCs w:val="24"/>
                <w:highlight w:val="none"/>
              </w:rPr>
              <w:t>带“</w:t>
            </w:r>
            <w:r>
              <w:rPr>
                <w:rFonts w:hint="eastAsia" w:ascii="宋体" w:hAnsi="宋体" w:eastAsia="宋体" w:cs="宋体"/>
                <w:kern w:val="0"/>
                <w:sz w:val="24"/>
                <w:szCs w:val="24"/>
                <w:lang w:val="en-US" w:eastAsia="zh-CN"/>
              </w:rPr>
              <w:t>●</w:t>
            </w:r>
            <w:r>
              <w:rPr>
                <w:rFonts w:hint="eastAsia" w:ascii="宋体" w:hAnsi="宋体" w:eastAsia="宋体" w:cs="宋体"/>
                <w:color w:val="000000"/>
                <w:sz w:val="24"/>
                <w:szCs w:val="24"/>
                <w:highlight w:val="none"/>
              </w:rPr>
              <w:t>”项负偏离的，每</w:t>
            </w:r>
            <w:r>
              <w:rPr>
                <w:rFonts w:hint="eastAsia" w:ascii="宋体" w:hAnsi="宋体" w:cs="宋体"/>
                <w:color w:val="000000"/>
                <w:sz w:val="24"/>
                <w:szCs w:val="24"/>
                <w:highlight w:val="none"/>
                <w:lang w:val="en-US" w:eastAsia="zh-CN"/>
              </w:rPr>
              <w:t>有</w:t>
            </w:r>
            <w:r>
              <w:rPr>
                <w:rFonts w:hint="eastAsia" w:ascii="宋体" w:hAnsi="宋体" w:eastAsia="宋体" w:cs="宋体"/>
                <w:color w:val="000000"/>
                <w:sz w:val="24"/>
                <w:szCs w:val="24"/>
                <w:highlight w:val="none"/>
              </w:rPr>
              <w:t>一项扣</w:t>
            </w:r>
            <w:r>
              <w:rPr>
                <w:rFonts w:hint="eastAsia" w:ascii="宋体" w:hAnsi="宋体" w:cs="宋体"/>
                <w:color w:val="000000"/>
                <w:sz w:val="24"/>
                <w:szCs w:val="24"/>
                <w:highlight w:val="none"/>
                <w:lang w:val="en-US" w:eastAsia="zh-CN"/>
              </w:rPr>
              <w:t>0.02</w:t>
            </w:r>
            <w:r>
              <w:rPr>
                <w:rFonts w:hint="eastAsia" w:ascii="宋体" w:hAnsi="宋体" w:eastAsia="宋体" w:cs="宋体"/>
                <w:color w:val="000000"/>
                <w:sz w:val="24"/>
                <w:szCs w:val="24"/>
                <w:highlight w:val="none"/>
              </w:rPr>
              <w:t>分</w:t>
            </w:r>
            <w:r>
              <w:rPr>
                <w:rFonts w:hint="eastAsia" w:ascii="宋体" w:hAnsi="宋体" w:eastAsia="宋体" w:cs="宋体"/>
                <w:kern w:val="0"/>
                <w:sz w:val="24"/>
                <w:szCs w:val="24"/>
                <w:lang w:val="en-US" w:eastAsia="zh-CN"/>
              </w:rPr>
              <w:t>。</w:t>
            </w:r>
          </w:p>
        </w:tc>
        <w:tc>
          <w:tcPr>
            <w:tcW w:w="9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需求理解</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5分</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投标人提供的需求理解中包含</w:t>
            </w:r>
            <w:r>
              <w:rPr>
                <w:rFonts w:hint="eastAsia" w:ascii="宋体" w:hAnsi="宋体" w:eastAsia="宋体" w:cs="宋体"/>
                <w:kern w:val="0"/>
                <w:sz w:val="24"/>
                <w:szCs w:val="24"/>
                <w:lang w:val="en-US" w:eastAsia="zh-CN"/>
              </w:rPr>
              <w:t>有：</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1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①</w:t>
            </w:r>
            <w:r>
              <w:rPr>
                <w:rFonts w:ascii="宋体" w:hAnsi="宋体" w:cs="宋体"/>
                <w:kern w:val="0"/>
                <w:sz w:val="24"/>
              </w:rPr>
              <w:fldChar w:fldCharType="end"/>
            </w:r>
            <w:r>
              <w:rPr>
                <w:rFonts w:hint="eastAsia" w:ascii="宋体" w:hAnsi="宋体" w:cs="宋体"/>
                <w:kern w:val="0"/>
                <w:sz w:val="24"/>
              </w:rPr>
              <w:t>数据标准建设需求；</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2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功能需求；</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3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③</w:t>
            </w:r>
            <w:r>
              <w:rPr>
                <w:rFonts w:ascii="宋体" w:hAnsi="宋体" w:cs="宋体"/>
                <w:kern w:val="0"/>
                <w:sz w:val="24"/>
              </w:rPr>
              <w:fldChar w:fldCharType="end"/>
            </w:r>
            <w:r>
              <w:rPr>
                <w:rFonts w:hint="eastAsia" w:ascii="宋体" w:hAnsi="宋体" w:cs="宋体"/>
                <w:kern w:val="0"/>
                <w:sz w:val="24"/>
              </w:rPr>
              <w:t>性能要求；</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4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④</w:t>
            </w:r>
            <w:r>
              <w:rPr>
                <w:rFonts w:ascii="宋体" w:hAnsi="宋体" w:cs="宋体"/>
                <w:kern w:val="0"/>
                <w:sz w:val="24"/>
              </w:rPr>
              <w:fldChar w:fldCharType="end"/>
            </w:r>
            <w:r>
              <w:rPr>
                <w:rFonts w:hint="eastAsia" w:ascii="宋体" w:hAnsi="宋体" w:cs="宋体"/>
                <w:kern w:val="0"/>
                <w:sz w:val="24"/>
              </w:rPr>
              <w:t>安全要求；</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5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⑤</w:t>
            </w:r>
            <w:r>
              <w:rPr>
                <w:rFonts w:ascii="宋体" w:hAnsi="宋体" w:cs="宋体"/>
                <w:kern w:val="0"/>
                <w:sz w:val="24"/>
              </w:rPr>
              <w:fldChar w:fldCharType="end"/>
            </w:r>
            <w:r>
              <w:rPr>
                <w:rFonts w:hint="eastAsia" w:ascii="宋体" w:hAnsi="宋体" w:cs="宋体"/>
                <w:kern w:val="0"/>
                <w:sz w:val="24"/>
              </w:rPr>
              <w:t>实施要求</w:t>
            </w:r>
            <w:r>
              <w:rPr>
                <w:rFonts w:ascii="宋体" w:hAnsi="宋体" w:cs="宋体"/>
                <w:kern w:val="0"/>
                <w:sz w:val="24"/>
              </w:rPr>
              <w:t>5</w:t>
            </w:r>
            <w:r>
              <w:rPr>
                <w:rFonts w:hint="eastAsia" w:ascii="宋体" w:hAnsi="宋体" w:eastAsia="宋体" w:cs="宋体"/>
                <w:kern w:val="0"/>
                <w:sz w:val="24"/>
                <w:szCs w:val="24"/>
              </w:rPr>
              <w:t>个方面，以上</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个方面</w:t>
            </w:r>
            <w:r>
              <w:rPr>
                <w:rFonts w:hint="eastAsia" w:ascii="宋体" w:hAnsi="宋体" w:eastAsia="宋体" w:cs="宋体"/>
                <w:kern w:val="0"/>
                <w:sz w:val="24"/>
                <w:szCs w:val="24"/>
                <w:lang w:val="en-US" w:eastAsia="zh-CN"/>
              </w:rPr>
              <w:t>均</w:t>
            </w:r>
            <w:r>
              <w:rPr>
                <w:rFonts w:hint="eastAsia" w:ascii="宋体" w:hAnsi="宋体" w:eastAsia="宋体" w:cs="宋体"/>
                <w:kern w:val="0"/>
                <w:sz w:val="24"/>
                <w:szCs w:val="24"/>
              </w:rPr>
              <w:t>提供且每个方面均描述详细，符合本项目实际情况的得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分，每缺少一个方面或提供的方面与本项目无关的扣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分；每有一个方面存在缺陷的扣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分，扣完为止。</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存在以下一种情况视为存在</w:t>
            </w:r>
            <w:r>
              <w:rPr>
                <w:rFonts w:hint="eastAsia" w:ascii="宋体" w:hAnsi="宋体" w:eastAsia="宋体" w:cs="宋体"/>
                <w:snapToGrid w:val="0"/>
                <w:sz w:val="24"/>
                <w:szCs w:val="24"/>
              </w:rPr>
              <w:t>缺陷：内容与实际情况不匹配、不符合项目特点、不符合技术规范要求、内容简略</w:t>
            </w:r>
            <w:r>
              <w:rPr>
                <w:rFonts w:hint="eastAsia" w:ascii="宋体" w:hAnsi="宋体" w:eastAsia="宋体" w:cs="宋体"/>
                <w:snapToGrid w:val="0"/>
                <w:sz w:val="24"/>
                <w:szCs w:val="24"/>
                <w:lang w:eastAsia="zh-CN"/>
              </w:rPr>
              <w:t>。</w:t>
            </w:r>
          </w:p>
        </w:tc>
        <w:tc>
          <w:tcPr>
            <w:tcW w:w="9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12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设计方案</w:t>
            </w:r>
          </w:p>
        </w:tc>
        <w:tc>
          <w:tcPr>
            <w:tcW w:w="7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lang w:val="en-US" w:eastAsia="zh-CN"/>
              </w:rPr>
              <w:t>分</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1.投标人提供的系统总体设计包含</w:t>
            </w:r>
            <w:r>
              <w:rPr>
                <w:rFonts w:hint="eastAsia" w:ascii="宋体" w:hAnsi="宋体" w:eastAsia="宋体" w:cs="宋体"/>
                <w:kern w:val="0"/>
                <w:sz w:val="24"/>
                <w:szCs w:val="24"/>
                <w:lang w:val="en-US" w:eastAsia="zh-CN"/>
              </w:rPr>
              <w:t>有：</w:t>
            </w:r>
            <w:r>
              <w:rPr>
                <w:rFonts w:hint="eastAsia" w:ascii="宋体" w:hAnsi="宋体" w:eastAsia="宋体" w:cs="宋体"/>
                <w:kern w:val="0"/>
                <w:sz w:val="24"/>
                <w:szCs w:val="24"/>
              </w:rPr>
              <w:t>①总体架构；②技术架构；③数据架构3方面，以上</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个方面</w:t>
            </w:r>
            <w:r>
              <w:rPr>
                <w:rFonts w:hint="eastAsia" w:ascii="宋体" w:hAnsi="宋体" w:eastAsia="宋体" w:cs="宋体"/>
                <w:kern w:val="0"/>
                <w:sz w:val="24"/>
                <w:szCs w:val="24"/>
                <w:lang w:val="en-US" w:eastAsia="zh-CN"/>
              </w:rPr>
              <w:t>均</w:t>
            </w:r>
            <w:r>
              <w:rPr>
                <w:rFonts w:hint="eastAsia" w:ascii="宋体" w:hAnsi="宋体" w:eastAsia="宋体" w:cs="宋体"/>
                <w:kern w:val="0"/>
                <w:sz w:val="24"/>
                <w:szCs w:val="24"/>
              </w:rPr>
              <w:t>提供且每个方面均描述详细，符合本项目实际情况、有利于项目实施的得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分，每缺少一个方面或提供的方面与本项目无关的扣</w:t>
            </w:r>
            <w:r>
              <w:rPr>
                <w:rFonts w:hint="eastAsia" w:ascii="宋体" w:hAnsi="宋体" w:cs="宋体"/>
                <w:kern w:val="0"/>
                <w:sz w:val="24"/>
                <w:szCs w:val="24"/>
                <w:lang w:val="en-US" w:eastAsia="zh-CN"/>
              </w:rPr>
              <w:t>1</w:t>
            </w:r>
            <w:r>
              <w:rPr>
                <w:rFonts w:hint="eastAsia" w:ascii="宋体" w:hAnsi="宋体" w:eastAsia="宋体" w:cs="宋体"/>
                <w:kern w:val="0"/>
                <w:sz w:val="24"/>
                <w:szCs w:val="24"/>
              </w:rPr>
              <w:t>分；每有一个方面存在缺陷的扣</w:t>
            </w:r>
            <w:r>
              <w:rPr>
                <w:rFonts w:hint="eastAsia" w:ascii="宋体" w:hAnsi="宋体" w:cs="宋体"/>
                <w:kern w:val="0"/>
                <w:sz w:val="24"/>
                <w:szCs w:val="24"/>
                <w:lang w:val="en-US" w:eastAsia="zh-CN"/>
              </w:rPr>
              <w:t>0.5</w:t>
            </w:r>
            <w:r>
              <w:rPr>
                <w:rFonts w:hint="eastAsia" w:ascii="宋体" w:hAnsi="宋体" w:eastAsia="宋体" w:cs="宋体"/>
                <w:kern w:val="0"/>
                <w:sz w:val="24"/>
                <w:szCs w:val="24"/>
              </w:rPr>
              <w:t>分，扣完为止。</w:t>
            </w:r>
          </w:p>
        </w:tc>
        <w:tc>
          <w:tcPr>
            <w:tcW w:w="93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2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7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2.投标人提供的详细设计包含</w:t>
            </w:r>
            <w:r>
              <w:rPr>
                <w:rFonts w:hint="eastAsia" w:ascii="宋体" w:hAnsi="宋体" w:eastAsia="宋体" w:cs="宋体"/>
                <w:kern w:val="0"/>
                <w:sz w:val="24"/>
                <w:szCs w:val="24"/>
                <w:lang w:val="en-US" w:eastAsia="zh-CN"/>
              </w:rPr>
              <w:t>有：</w:t>
            </w:r>
            <w:r>
              <w:rPr>
                <w:rFonts w:hint="eastAsia" w:ascii="宋体" w:hAnsi="宋体" w:eastAsia="宋体" w:cs="宋体"/>
                <w:kern w:val="0"/>
                <w:sz w:val="24"/>
                <w:szCs w:val="24"/>
              </w:rPr>
              <w:t>①采集；②治理；③共享交换；④应用；⑤可视化展示5方面，以上</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个方面</w:t>
            </w:r>
            <w:r>
              <w:rPr>
                <w:rFonts w:hint="eastAsia" w:ascii="宋体" w:hAnsi="宋体" w:eastAsia="宋体" w:cs="宋体"/>
                <w:kern w:val="0"/>
                <w:sz w:val="24"/>
                <w:szCs w:val="24"/>
                <w:lang w:val="en-US" w:eastAsia="zh-CN"/>
              </w:rPr>
              <w:t>均</w:t>
            </w:r>
            <w:r>
              <w:rPr>
                <w:rFonts w:hint="eastAsia" w:ascii="宋体" w:hAnsi="宋体" w:eastAsia="宋体" w:cs="宋体"/>
                <w:kern w:val="0"/>
                <w:sz w:val="24"/>
                <w:szCs w:val="24"/>
              </w:rPr>
              <w:t>提供且每个方面均描述详细，符合本项目实际情况、有利于项目实施的得</w:t>
            </w:r>
            <w:r>
              <w:rPr>
                <w:rFonts w:hint="eastAsia" w:ascii="宋体" w:hAnsi="宋体" w:cs="宋体"/>
                <w:kern w:val="0"/>
                <w:sz w:val="24"/>
                <w:szCs w:val="24"/>
                <w:lang w:val="en-US" w:eastAsia="zh-CN"/>
              </w:rPr>
              <w:t>5</w:t>
            </w:r>
            <w:r>
              <w:rPr>
                <w:rFonts w:hint="eastAsia" w:ascii="宋体" w:hAnsi="宋体" w:eastAsia="宋体" w:cs="宋体"/>
                <w:kern w:val="0"/>
                <w:sz w:val="24"/>
                <w:szCs w:val="24"/>
              </w:rPr>
              <w:t>分，每缺少一个方面或提供的方面与本项目无关的扣</w:t>
            </w:r>
            <w:r>
              <w:rPr>
                <w:rFonts w:hint="eastAsia" w:ascii="宋体" w:hAnsi="宋体" w:cs="宋体"/>
                <w:kern w:val="0"/>
                <w:sz w:val="24"/>
                <w:szCs w:val="24"/>
                <w:lang w:val="en-US" w:eastAsia="zh-CN"/>
              </w:rPr>
              <w:t>1</w:t>
            </w:r>
            <w:r>
              <w:rPr>
                <w:rFonts w:hint="eastAsia" w:ascii="宋体" w:hAnsi="宋体" w:eastAsia="宋体" w:cs="宋体"/>
                <w:kern w:val="0"/>
                <w:sz w:val="24"/>
                <w:szCs w:val="24"/>
              </w:rPr>
              <w:t>分；每有一个方面存在缺陷的扣</w:t>
            </w:r>
            <w:r>
              <w:rPr>
                <w:rFonts w:hint="eastAsia" w:ascii="宋体" w:hAnsi="宋体" w:cs="宋体"/>
                <w:kern w:val="0"/>
                <w:sz w:val="24"/>
                <w:szCs w:val="24"/>
                <w:lang w:val="en-US" w:eastAsia="zh-CN"/>
              </w:rPr>
              <w:t>0.5</w:t>
            </w:r>
            <w:r>
              <w:rPr>
                <w:rFonts w:hint="eastAsia" w:ascii="宋体" w:hAnsi="宋体" w:eastAsia="宋体" w:cs="宋体"/>
                <w:kern w:val="0"/>
                <w:sz w:val="24"/>
                <w:szCs w:val="24"/>
              </w:rPr>
              <w:t>分，扣完为止。</w:t>
            </w:r>
          </w:p>
        </w:tc>
        <w:tc>
          <w:tcPr>
            <w:tcW w:w="93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p>
        </w:tc>
        <w:tc>
          <w:tcPr>
            <w:tcW w:w="12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p>
        </w:tc>
        <w:tc>
          <w:tcPr>
            <w:tcW w:w="7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rPr>
            </w:pP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3.投标人提供的系统性能、安全设计包含</w:t>
            </w:r>
            <w:r>
              <w:rPr>
                <w:rFonts w:hint="eastAsia" w:ascii="宋体" w:hAnsi="宋体" w:eastAsia="宋体" w:cs="宋体"/>
                <w:kern w:val="0"/>
                <w:sz w:val="24"/>
                <w:szCs w:val="24"/>
                <w:lang w:val="en-US" w:eastAsia="zh-CN"/>
              </w:rPr>
              <w:t>有：</w:t>
            </w:r>
            <w:r>
              <w:rPr>
                <w:rFonts w:hint="eastAsia" w:ascii="宋体" w:hAnsi="宋体" w:eastAsia="宋体" w:cs="宋体"/>
                <w:kern w:val="0"/>
                <w:sz w:val="24"/>
                <w:szCs w:val="24"/>
              </w:rPr>
              <w:t>①系统性能设计（数据存储、负载均衡、监控预警）；②安全设计（网络安全、系统安全、数据存储安全和安全运维）2方面，以上</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个方面</w:t>
            </w:r>
            <w:r>
              <w:rPr>
                <w:rFonts w:hint="eastAsia" w:ascii="宋体" w:hAnsi="宋体" w:eastAsia="宋体" w:cs="宋体"/>
                <w:kern w:val="0"/>
                <w:sz w:val="24"/>
                <w:szCs w:val="24"/>
                <w:lang w:val="en-US" w:eastAsia="zh-CN"/>
              </w:rPr>
              <w:t>均</w:t>
            </w:r>
            <w:r>
              <w:rPr>
                <w:rFonts w:hint="eastAsia" w:ascii="宋体" w:hAnsi="宋体" w:eastAsia="宋体" w:cs="宋体"/>
                <w:kern w:val="0"/>
                <w:sz w:val="24"/>
                <w:szCs w:val="24"/>
              </w:rPr>
              <w:t>提供且每个方面均描述详细，符合本项目实际情况、有利于项目实施的得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分，每缺少一个方面或提供的方面与本项目无关的扣</w:t>
            </w:r>
            <w:r>
              <w:rPr>
                <w:rFonts w:hint="eastAsia" w:ascii="宋体" w:hAnsi="宋体" w:cs="宋体"/>
                <w:kern w:val="0"/>
                <w:sz w:val="24"/>
                <w:szCs w:val="24"/>
                <w:lang w:val="en-US" w:eastAsia="zh-CN"/>
              </w:rPr>
              <w:t>1</w:t>
            </w:r>
            <w:r>
              <w:rPr>
                <w:rFonts w:hint="eastAsia" w:ascii="宋体" w:hAnsi="宋体" w:eastAsia="宋体" w:cs="宋体"/>
                <w:kern w:val="0"/>
                <w:sz w:val="24"/>
                <w:szCs w:val="24"/>
              </w:rPr>
              <w:t>分；每有一个方面存在缺陷的扣</w:t>
            </w:r>
            <w:r>
              <w:rPr>
                <w:rFonts w:hint="eastAsia" w:ascii="宋体" w:hAnsi="宋体" w:cs="宋体"/>
                <w:kern w:val="0"/>
                <w:sz w:val="24"/>
                <w:szCs w:val="24"/>
                <w:lang w:val="en-US" w:eastAsia="zh-CN"/>
              </w:rPr>
              <w:t>0.5</w:t>
            </w:r>
            <w:r>
              <w:rPr>
                <w:rFonts w:hint="eastAsia" w:ascii="宋体" w:hAnsi="宋体" w:eastAsia="宋体" w:cs="宋体"/>
                <w:kern w:val="0"/>
                <w:sz w:val="24"/>
                <w:szCs w:val="24"/>
              </w:rPr>
              <w:t>分，扣完为止。</w:t>
            </w:r>
          </w:p>
        </w:tc>
        <w:tc>
          <w:tcPr>
            <w:tcW w:w="93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p>
        </w:tc>
        <w:tc>
          <w:tcPr>
            <w:tcW w:w="12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p>
        </w:tc>
        <w:tc>
          <w:tcPr>
            <w:tcW w:w="7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rPr>
            </w:pP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存在以下一种情况视为存在</w:t>
            </w:r>
            <w:r>
              <w:rPr>
                <w:rFonts w:hint="eastAsia" w:ascii="宋体" w:hAnsi="宋体" w:eastAsia="宋体" w:cs="宋体"/>
                <w:kern w:val="0"/>
                <w:sz w:val="24"/>
                <w:szCs w:val="24"/>
              </w:rPr>
              <w:t>缺陷：设计内容与实际情况不匹配、不符合项目特点、不符合技术规范要求、内容简略。</w:t>
            </w:r>
          </w:p>
        </w:tc>
        <w:tc>
          <w:tcPr>
            <w:tcW w:w="93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实施方案</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6分</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snapToGrid w:val="0"/>
                <w:sz w:val="24"/>
                <w:szCs w:val="24"/>
              </w:rPr>
              <w:t>投标人提供的实施方案包含</w:t>
            </w:r>
            <w:r>
              <w:rPr>
                <w:rFonts w:hint="eastAsia" w:ascii="宋体" w:hAnsi="宋体" w:eastAsia="宋体" w:cs="宋体"/>
                <w:snapToGrid w:val="0"/>
                <w:sz w:val="24"/>
                <w:szCs w:val="24"/>
                <w:lang w:val="en-US" w:eastAsia="zh-CN"/>
              </w:rPr>
              <w:t>有：</w:t>
            </w:r>
            <w:r>
              <w:rPr>
                <w:rFonts w:hint="eastAsia" w:ascii="宋体" w:hAnsi="宋体" w:eastAsia="宋体" w:cs="宋体"/>
                <w:snapToGrid w:val="0"/>
                <w:sz w:val="24"/>
                <w:szCs w:val="24"/>
              </w:rPr>
              <w:t>①实施组织结构；②需求调研方案；③测试方案；④部署上线方案；⑤验收方案；⑥项目实施进度计划6方面，</w:t>
            </w:r>
            <w:r>
              <w:rPr>
                <w:rFonts w:hint="eastAsia" w:ascii="宋体" w:hAnsi="宋体" w:eastAsia="宋体" w:cs="宋体"/>
                <w:kern w:val="0"/>
                <w:sz w:val="24"/>
                <w:szCs w:val="24"/>
              </w:rPr>
              <w:t>以上</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个方面</w:t>
            </w:r>
            <w:r>
              <w:rPr>
                <w:rFonts w:hint="eastAsia" w:ascii="宋体" w:hAnsi="宋体" w:eastAsia="宋体" w:cs="宋体"/>
                <w:kern w:val="0"/>
                <w:sz w:val="24"/>
                <w:szCs w:val="24"/>
                <w:lang w:val="en-US" w:eastAsia="zh-CN"/>
              </w:rPr>
              <w:t>均</w:t>
            </w:r>
            <w:r>
              <w:rPr>
                <w:rFonts w:hint="eastAsia" w:ascii="宋体" w:hAnsi="宋体" w:eastAsia="宋体" w:cs="宋体"/>
                <w:kern w:val="0"/>
                <w:sz w:val="24"/>
                <w:szCs w:val="24"/>
              </w:rPr>
              <w:t>提供且每个方面均描述详细，符合本项目实际情况、有利于项目实施的得</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分，每缺少一个方面或提供的方面与本项目无关的扣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分；每有一个方面存在缺陷的扣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分，扣完为止。</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存在以下一种情况视为存在</w:t>
            </w:r>
            <w:r>
              <w:rPr>
                <w:rFonts w:hint="eastAsia" w:ascii="宋体" w:hAnsi="宋体" w:eastAsia="宋体" w:cs="宋体"/>
                <w:snapToGrid w:val="0"/>
                <w:sz w:val="24"/>
                <w:szCs w:val="24"/>
              </w:rPr>
              <w:t>缺陷：内容与实际情况不匹配、不符合项目特点、不符合技术规范要求、内容简略</w:t>
            </w:r>
            <w:r>
              <w:rPr>
                <w:rFonts w:hint="eastAsia" w:ascii="宋体" w:hAnsi="宋体" w:eastAsia="宋体" w:cs="宋体"/>
                <w:snapToGrid w:val="0"/>
                <w:sz w:val="24"/>
                <w:szCs w:val="24"/>
                <w:lang w:eastAsia="zh-CN"/>
              </w:rPr>
              <w:t>。</w:t>
            </w:r>
          </w:p>
        </w:tc>
        <w:tc>
          <w:tcPr>
            <w:tcW w:w="9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售后服务方案及培训</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lang w:val="en-US" w:eastAsia="zh-CN"/>
              </w:rPr>
              <w:t>分</w:t>
            </w:r>
          </w:p>
        </w:tc>
        <w:tc>
          <w:tcPr>
            <w:tcW w:w="5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投标人提供的售后服务方案及培训包含</w:t>
            </w:r>
            <w:r>
              <w:rPr>
                <w:rFonts w:hint="eastAsia" w:ascii="宋体" w:hAnsi="宋体" w:eastAsia="宋体" w:cs="宋体"/>
                <w:kern w:val="0"/>
                <w:sz w:val="24"/>
                <w:szCs w:val="24"/>
                <w:lang w:val="en-US" w:eastAsia="zh-CN"/>
              </w:rPr>
              <w:t>有：</w:t>
            </w:r>
            <w:r>
              <w:rPr>
                <w:rFonts w:hint="eastAsia" w:ascii="宋体" w:hAnsi="宋体" w:eastAsia="宋体" w:cs="宋体"/>
                <w:kern w:val="0"/>
                <w:sz w:val="24"/>
                <w:szCs w:val="24"/>
              </w:rPr>
              <w:t>①人员配置；②故障处理响应时间；③解决故障承诺的时间；④人员培训计划及培训内容；⑤质量保证期限；⑥质量保证的范围6方面，以上</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个方面</w:t>
            </w:r>
            <w:r>
              <w:rPr>
                <w:rFonts w:hint="eastAsia" w:ascii="宋体" w:hAnsi="宋体" w:eastAsia="宋体" w:cs="宋体"/>
                <w:kern w:val="0"/>
                <w:sz w:val="24"/>
                <w:szCs w:val="24"/>
                <w:lang w:val="en-US" w:eastAsia="zh-CN"/>
              </w:rPr>
              <w:t>均</w:t>
            </w:r>
            <w:r>
              <w:rPr>
                <w:rFonts w:hint="eastAsia" w:ascii="宋体" w:hAnsi="宋体" w:eastAsia="宋体" w:cs="宋体"/>
                <w:kern w:val="0"/>
                <w:sz w:val="24"/>
                <w:szCs w:val="24"/>
              </w:rPr>
              <w:t>提供且每个方面均描述详细，符合本项目实际情况、有利于项目实施的得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分，每缺少一个方面或提供的方面与本项目无关的扣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分；每有一个方面存在缺陷的扣</w:t>
            </w:r>
            <w:r>
              <w:rPr>
                <w:rFonts w:hint="eastAsia" w:ascii="宋体" w:hAnsi="宋体" w:eastAsia="宋体" w:cs="宋体"/>
                <w:kern w:val="0"/>
                <w:sz w:val="24"/>
                <w:szCs w:val="24"/>
                <w:lang w:val="en-US" w:eastAsia="zh-CN"/>
              </w:rPr>
              <w:t>0.25</w:t>
            </w:r>
            <w:r>
              <w:rPr>
                <w:rFonts w:hint="eastAsia" w:ascii="宋体" w:hAnsi="宋体" w:eastAsia="宋体" w:cs="宋体"/>
                <w:kern w:val="0"/>
                <w:sz w:val="24"/>
                <w:szCs w:val="24"/>
              </w:rPr>
              <w:t>分，扣完为止。</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存在以下一种情况视为存在缺陷：内容与实际情况不匹配、不符合项目特点、不符合技术规范要求、内容简略。</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2.投标人</w:t>
            </w:r>
            <w:r>
              <w:rPr>
                <w:rFonts w:ascii="宋体" w:hAnsi="宋体"/>
                <w:sz w:val="24"/>
              </w:rPr>
              <w:t>质保期</w:t>
            </w:r>
            <w:r>
              <w:rPr>
                <w:rFonts w:hint="eastAsia" w:ascii="宋体" w:hAnsi="宋体"/>
                <w:sz w:val="24"/>
                <w:lang w:val="en-US" w:eastAsia="zh-CN"/>
              </w:rPr>
              <w:t>在满足招标文件“第六章 招标项目技术、商务及其他要求 （二）商务要求 6.售后服务要求” 1年的基础上，</w:t>
            </w:r>
            <w:r>
              <w:rPr>
                <w:rFonts w:hint="eastAsia" w:ascii="宋体" w:hAnsi="宋体" w:cs="宋体"/>
                <w:kern w:val="0"/>
                <w:sz w:val="24"/>
                <w:szCs w:val="24"/>
                <w:lang w:val="en-US" w:eastAsia="zh-CN"/>
              </w:rPr>
              <w:t>每增加一年得2.5分,最多得5分。提供增加</w:t>
            </w:r>
            <w:r>
              <w:rPr>
                <w:rFonts w:ascii="宋体" w:hAnsi="宋体"/>
                <w:sz w:val="24"/>
              </w:rPr>
              <w:t>质保期</w:t>
            </w:r>
            <w:r>
              <w:rPr>
                <w:rFonts w:hint="eastAsia" w:ascii="宋体" w:hAnsi="宋体"/>
                <w:sz w:val="24"/>
                <w:lang w:val="en-US" w:eastAsia="zh-CN"/>
              </w:rPr>
              <w:t>时间承诺函</w:t>
            </w:r>
            <w:r>
              <w:rPr>
                <w:rFonts w:hint="eastAsia" w:ascii="宋体" w:hAnsi="宋体" w:eastAsia="宋体" w:cs="宋体"/>
                <w:color w:val="000000"/>
                <w:kern w:val="0"/>
                <w:sz w:val="24"/>
                <w:szCs w:val="24"/>
              </w:rPr>
              <w:t>加盖投标人电子印章</w:t>
            </w:r>
            <w:r>
              <w:rPr>
                <w:rFonts w:hint="eastAsia" w:ascii="宋体" w:hAnsi="宋体"/>
                <w:sz w:val="24"/>
                <w:lang w:val="en-US" w:eastAsia="zh-CN"/>
              </w:rPr>
              <w:t>，承诺函格式自拟。</w:t>
            </w:r>
          </w:p>
        </w:tc>
        <w:tc>
          <w:tcPr>
            <w:tcW w:w="9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1240"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ind w:left="0" w:leftChars="0" w:firstLine="28"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节能、环境标志、无线局域网产品</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tc>
        <w:tc>
          <w:tcPr>
            <w:tcW w:w="5916"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所响应的产品中每有一项属于节能产品政府采购品目清单中优先采购范围的得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分；每有一项属于环境标志产品政府采购品目清单中优先采购范围的得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分；每有一项为无线局域网产品政府采购清单中的产品的得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分。本项共</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1、可重复计分；</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2、本项目采购的产品中属于节能产品或环境标志产品政府采购品目清单中强制采购范围的，不属于本项评分范围。</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3、投标人所响应的产品属于节能产品或环境标志产品政府采购品目清单中优先采购范围的，</w:t>
            </w:r>
            <w:r>
              <w:rPr>
                <w:rFonts w:hint="eastAsia" w:ascii="宋体" w:hAnsi="宋体" w:cs="仿宋"/>
                <w:sz w:val="24"/>
              </w:rPr>
              <w:t>提供国家确定的认证机构出具的、处于有效期之内的节能产品、环境标志产品认证证书复印件加盖</w:t>
            </w:r>
            <w:r>
              <w:rPr>
                <w:rFonts w:hint="eastAsia" w:ascii="宋体" w:hAnsi="宋体" w:cs="仿宋"/>
                <w:sz w:val="24"/>
                <w:lang w:val="en-US" w:eastAsia="zh-CN"/>
              </w:rPr>
              <w:t>投标单位电子印章</w:t>
            </w:r>
            <w:r>
              <w:rPr>
                <w:rFonts w:hint="eastAsia" w:ascii="宋体" w:hAnsi="宋体" w:eastAsia="宋体" w:cs="宋体"/>
                <w:color w:val="000000"/>
                <w:sz w:val="24"/>
                <w:szCs w:val="24"/>
              </w:rPr>
              <w:t>，否则不予给分。</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4、供应商所投产品属于优先采购范围内的无线局域网产品的，需提供《中国政府采购网》公布的无线局域网产品政府采购清单封面及对应页且在有效期内并加盖供应商单位</w:t>
            </w:r>
            <w:r>
              <w:rPr>
                <w:rFonts w:hint="eastAsia" w:ascii="宋体" w:hAnsi="宋体" w:eastAsia="宋体" w:cs="宋体"/>
                <w:color w:val="000000"/>
                <w:sz w:val="24"/>
                <w:szCs w:val="24"/>
                <w:lang w:val="en-US" w:eastAsia="zh-CN"/>
              </w:rPr>
              <w:t>电子印章</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sz w:val="24"/>
                <w:szCs w:val="24"/>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37" w:type="dxa"/>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rPr>
              <w:t>共同评分因素</w:t>
            </w:r>
          </w:p>
        </w:tc>
      </w:tr>
    </w:tbl>
    <w:p>
      <w:pPr>
        <w:spacing w:before="240" w:line="360" w:lineRule="auto"/>
        <w:ind w:firstLine="315" w:firstLineChars="150"/>
        <w:rPr>
          <w:rFonts w:hint="eastAsia" w:cs="仿宋" w:asciiTheme="majorEastAsia" w:hAnsiTheme="majorEastAsia" w:eastAsiaTheme="majorEastAsia"/>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注：评分的取值按四舍五入法，保留小数点后两位。评审得分＝(A1＋A2＋……＋An)/NA＋(B1＋B2＋……＋Bn)/ NB＋(C1＋C2＋……＋Cn)/ NC＋(D1＋D2＋……＋Dn)/ND</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分别为评审委员会每个成员的打分(共同评分类)，ND为评审委员会人数。</w:t>
      </w:r>
    </w:p>
    <w:p>
      <w:pPr>
        <w:pStyle w:val="11"/>
        <w:spacing w:line="360" w:lineRule="auto"/>
        <w:ind w:firstLine="420" w:firstLineChars="175"/>
        <w:rPr>
          <w:rFonts w:cs="仿宋" w:asciiTheme="majorEastAsia" w:hAnsiTheme="majorEastAsia" w:eastAsiaTheme="majorEastAsia"/>
          <w:color w:val="000000"/>
          <w:sz w:val="24"/>
          <w:szCs w:val="20"/>
        </w:rPr>
      </w:pPr>
      <w:bookmarkStart w:id="308" w:name="_Toc217446059"/>
    </w:p>
    <w:p>
      <w:pPr>
        <w:pStyle w:val="11"/>
        <w:spacing w:line="360" w:lineRule="auto"/>
        <w:ind w:firstLine="420" w:firstLineChars="175"/>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4.3.4 </w:t>
      </w:r>
      <w:r>
        <w:rPr>
          <w:rFonts w:hint="eastAsia" w:cs="仿宋" w:asciiTheme="majorEastAsia" w:hAnsiTheme="majorEastAsia" w:eastAsiaTheme="majorEastAsia"/>
          <w:color w:val="000000"/>
          <w:sz w:val="24"/>
          <w:szCs w:val="20"/>
        </w:rPr>
        <w:t>本次综合评分法由评标委员会各成员独立对通过符合性检查的投标人的投标文件按本章</w:t>
      </w:r>
      <w:r>
        <w:rPr>
          <w:rFonts w:cs="仿宋" w:asciiTheme="majorEastAsia" w:hAnsiTheme="majorEastAsia" w:eastAsiaTheme="majorEastAsia"/>
          <w:color w:val="000000"/>
          <w:sz w:val="24"/>
          <w:szCs w:val="20"/>
        </w:rPr>
        <w:t>4.3.3</w:t>
      </w:r>
      <w:r>
        <w:rPr>
          <w:rFonts w:hint="eastAsia" w:cs="仿宋" w:asciiTheme="majorEastAsia" w:hAnsiTheme="majorEastAsia" w:eastAsiaTheme="majorEastAsia"/>
          <w:color w:val="000000"/>
          <w:sz w:val="24"/>
        </w:rPr>
        <w:t>综合评分明细表</w:t>
      </w:r>
      <w:r>
        <w:rPr>
          <w:rFonts w:hint="eastAsia" w:cs="仿宋" w:asciiTheme="majorEastAsia" w:hAnsiTheme="majorEastAsia" w:eastAsiaTheme="majorEastAsia"/>
          <w:color w:val="000000"/>
          <w:sz w:val="24"/>
          <w:szCs w:val="20"/>
        </w:rPr>
        <w:t>的要求进行评审和打分。</w:t>
      </w:r>
    </w:p>
    <w:bookmarkEnd w:id="308"/>
    <w:p>
      <w:pPr>
        <w:pStyle w:val="4"/>
        <w:spacing w:line="360" w:lineRule="auto"/>
        <w:ind w:firstLine="472" w:firstLineChars="196"/>
        <w:rPr>
          <w:rFonts w:cs="仿宋" w:asciiTheme="majorEastAsia" w:hAnsiTheme="majorEastAsia" w:eastAsiaTheme="majorEastAsia"/>
          <w:color w:val="000000"/>
          <w:szCs w:val="20"/>
        </w:rPr>
      </w:pPr>
      <w:bookmarkStart w:id="309" w:name="_Toc217446060"/>
      <w:r>
        <w:rPr>
          <w:rFonts w:cs="仿宋" w:asciiTheme="majorEastAsia" w:hAnsiTheme="majorEastAsia" w:eastAsiaTheme="majorEastAsia"/>
          <w:color w:val="000000"/>
          <w:szCs w:val="20"/>
        </w:rPr>
        <w:t xml:space="preserve">5、 </w:t>
      </w:r>
      <w:r>
        <w:rPr>
          <w:rFonts w:hint="eastAsia" w:cs="仿宋" w:asciiTheme="majorEastAsia" w:hAnsiTheme="majorEastAsia" w:eastAsiaTheme="majorEastAsia"/>
          <w:color w:val="000000"/>
          <w:szCs w:val="20"/>
        </w:rPr>
        <w:t>废标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5.1本次政府采购活动中，出现下列情形之一的，予以废标：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1）符合专业条件的供应商或者对招标文件作实质响应的供应商不足三家的；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2）出现影响采购公正的违法、违规行为的；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3）投标人的报价均超过了采购预算，采购人不能支付的；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4）因重大变故，采购任务取消的。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废标后，采购代理机构应在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上公告，并公告废标的情形。投标人需要知晓导致废标情形的具体原因和理由的，可以通过书面形式询问招标采购单位。</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5.2对于评标过程中废标的采购项目，评标委员会应当对招标文件是否存在倾向性和歧视性、是否存在不合理条款进行论证，并出具书面论证意见。</w:t>
      </w:r>
    </w:p>
    <w:p>
      <w:pPr>
        <w:pStyle w:val="4"/>
        <w:spacing w:line="360" w:lineRule="auto"/>
        <w:ind w:firstLine="472" w:firstLineChars="196"/>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6、定标</w:t>
      </w:r>
      <w:bookmarkEnd w:id="309"/>
      <w:bookmarkStart w:id="310" w:name="_Toc217446061"/>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6.1. </w:t>
      </w:r>
      <w:r>
        <w:rPr>
          <w:rFonts w:hint="eastAsia" w:cs="仿宋" w:asciiTheme="majorEastAsia" w:hAnsiTheme="majorEastAsia" w:eastAsiaTheme="majorEastAsia"/>
          <w:color w:val="000000"/>
          <w:sz w:val="24"/>
          <w:szCs w:val="20"/>
        </w:rPr>
        <w:t>定标原则</w:t>
      </w:r>
      <w:bookmarkEnd w:id="310"/>
      <w:r>
        <w:rPr>
          <w:rFonts w:hint="eastAsia" w:cs="仿宋" w:asciiTheme="majorEastAsia" w:hAnsiTheme="majorEastAsia" w:eastAsiaTheme="majorEastAsia"/>
          <w:color w:val="000000"/>
          <w:sz w:val="24"/>
          <w:szCs w:val="20"/>
        </w:rPr>
        <w:t>：本项目根据评标委员会推荐的中标候选供应商名单，按顺序确定中标供应商。</w:t>
      </w:r>
    </w:p>
    <w:p>
      <w:pPr>
        <w:spacing w:line="360" w:lineRule="auto"/>
        <w:ind w:firstLine="480" w:firstLineChars="200"/>
        <w:rPr>
          <w:rFonts w:cs="仿宋" w:asciiTheme="majorEastAsia" w:hAnsiTheme="majorEastAsia" w:eastAsiaTheme="majorEastAsia"/>
          <w:color w:val="000000"/>
          <w:sz w:val="24"/>
          <w:szCs w:val="20"/>
        </w:rPr>
      </w:pPr>
      <w:bookmarkStart w:id="311" w:name="_Toc217446062"/>
      <w:r>
        <w:rPr>
          <w:rFonts w:cs="仿宋" w:asciiTheme="majorEastAsia" w:hAnsiTheme="majorEastAsia" w:eastAsiaTheme="majorEastAsia"/>
          <w:color w:val="000000"/>
          <w:sz w:val="24"/>
          <w:szCs w:val="20"/>
        </w:rPr>
        <w:t xml:space="preserve">6.2. </w:t>
      </w:r>
      <w:r>
        <w:rPr>
          <w:rFonts w:hint="eastAsia" w:cs="仿宋" w:asciiTheme="majorEastAsia" w:hAnsiTheme="majorEastAsia" w:eastAsiaTheme="majorEastAsia"/>
          <w:color w:val="000000"/>
          <w:sz w:val="24"/>
          <w:szCs w:val="20"/>
        </w:rPr>
        <w:t>定标程序</w:t>
      </w:r>
      <w:bookmarkEnd w:id="311"/>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6.2.1 </w:t>
      </w:r>
      <w:r>
        <w:rPr>
          <w:rFonts w:hint="eastAsia" w:cs="仿宋" w:asciiTheme="majorEastAsia" w:hAnsiTheme="majorEastAsia" w:eastAsiaTheme="majorEastAsia"/>
          <w:color w:val="000000"/>
          <w:sz w:val="24"/>
          <w:szCs w:val="20"/>
        </w:rPr>
        <w:t>评标委员会将评标情况写出书面报告，推荐中标候选供应商。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6.2.2 </w:t>
      </w:r>
      <w:r>
        <w:rPr>
          <w:rFonts w:hint="eastAsia" w:cs="仿宋" w:asciiTheme="majorEastAsia" w:hAnsiTheme="majorEastAsia" w:eastAsiaTheme="majorEastAsia"/>
          <w:color w:val="000000"/>
          <w:sz w:val="24"/>
          <w:szCs w:val="20"/>
        </w:rPr>
        <w:t>采购代理机构在评标结束后</w:t>
      </w:r>
      <w:r>
        <w:rPr>
          <w:rFonts w:cs="仿宋" w:asciiTheme="majorEastAsia" w:hAnsiTheme="majorEastAsia" w:eastAsiaTheme="majorEastAsia"/>
          <w:color w:val="000000"/>
          <w:sz w:val="24"/>
          <w:szCs w:val="20"/>
        </w:rPr>
        <w:t>2个工作日内将评标报告送采购人。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6.2.3 </w:t>
      </w:r>
      <w:r>
        <w:rPr>
          <w:rFonts w:hint="eastAsia" w:cs="仿宋" w:asciiTheme="majorEastAsia" w:hAnsiTheme="majorEastAsia" w:eastAsiaTheme="majorEastAsia"/>
          <w:color w:val="000000"/>
          <w:sz w:val="24"/>
          <w:szCs w:val="20"/>
        </w:rPr>
        <w:t>采购人在收到评标报告后</w:t>
      </w:r>
      <w:r>
        <w:rPr>
          <w:rFonts w:cs="仿宋" w:asciiTheme="majorEastAsia" w:hAnsiTheme="majorEastAsia" w:eastAsiaTheme="majorEastAsia"/>
          <w:color w:val="000000"/>
          <w:sz w:val="24"/>
          <w:szCs w:val="20"/>
        </w:rPr>
        <w:t>5个工作日内，按照评标报告中推荐的中标候选供应商顺序确定中标供应商。中标候选供应商并列的，由采购人自主采取公平、择优的方式选择中标供应商。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6.2.4 </w:t>
      </w:r>
      <w:r>
        <w:rPr>
          <w:rFonts w:hint="eastAsia" w:cs="仿宋" w:asciiTheme="majorEastAsia" w:hAnsiTheme="majorEastAsia" w:eastAsiaTheme="majorEastAsia"/>
          <w:color w:val="000000"/>
          <w:sz w:val="24"/>
          <w:szCs w:val="20"/>
        </w:rPr>
        <w:t>根据采购人确定的中标供应商，采购代理机构在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上发布中标公告，同时向中标供应商发出中标通知书。</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6.2.5 </w:t>
      </w:r>
      <w:r>
        <w:rPr>
          <w:rFonts w:hint="eastAsia" w:cs="仿宋" w:asciiTheme="majorEastAsia" w:hAnsiTheme="majorEastAsia" w:eastAsiaTheme="majorEastAsia"/>
          <w:color w:val="000000"/>
          <w:sz w:val="24"/>
          <w:szCs w:val="20"/>
        </w:rPr>
        <w:t>招标采购单位不退回投标人投标文件和其他投标资料。</w:t>
      </w:r>
    </w:p>
    <w:p>
      <w:pPr>
        <w:pStyle w:val="4"/>
        <w:spacing w:line="360" w:lineRule="auto"/>
        <w:ind w:firstLine="482" w:firstLineChars="200"/>
        <w:rPr>
          <w:rFonts w:cs="仿宋" w:asciiTheme="majorEastAsia" w:hAnsiTheme="majorEastAsia" w:eastAsiaTheme="majorEastAsia"/>
          <w:color w:val="000000"/>
          <w:szCs w:val="20"/>
        </w:rPr>
      </w:pPr>
      <w:bookmarkStart w:id="312" w:name="_Toc217446105"/>
      <w:bookmarkStart w:id="313" w:name="_Toc183582297"/>
      <w:bookmarkStart w:id="314" w:name="_Toc208849022"/>
      <w:bookmarkStart w:id="315" w:name="_Toc183682432"/>
      <w:r>
        <w:rPr>
          <w:rFonts w:cs="仿宋" w:asciiTheme="majorEastAsia" w:hAnsiTheme="majorEastAsia" w:eastAsiaTheme="majorEastAsia"/>
          <w:color w:val="000000"/>
          <w:szCs w:val="20"/>
        </w:rPr>
        <w:t xml:space="preserve">7. </w:t>
      </w:r>
      <w:bookmarkEnd w:id="312"/>
      <w:bookmarkEnd w:id="313"/>
      <w:bookmarkEnd w:id="314"/>
      <w:bookmarkEnd w:id="315"/>
      <w:r>
        <w:rPr>
          <w:rFonts w:hint="eastAsia" w:cs="仿宋" w:asciiTheme="majorEastAsia" w:hAnsiTheme="majorEastAsia" w:eastAsiaTheme="majorEastAsia"/>
          <w:color w:val="000000"/>
          <w:szCs w:val="20"/>
        </w:rPr>
        <w:t>评标专家在政府采购活动中承担以下义务：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（一）遵守评审工作纪律；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（二）按照客观、公正、审慎的原则，根据采购文件规定的评审程序、评审方法和评审标准进行独立评审；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（三）不得泄露评审文件、评审情况和在评审过程中获悉的商业秘密；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（六）配合答复处理供应商的询问、质疑和投诉等事项；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（七）法律、法规和规章规定的其他义务。</w:t>
      </w:r>
    </w:p>
    <w:p>
      <w:pPr>
        <w:pStyle w:val="4"/>
        <w:spacing w:line="360" w:lineRule="auto"/>
        <w:ind w:firstLine="482" w:firstLineChars="200"/>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8.评标专家在政府采购活动中应当遵守以下工作纪律：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（一）遵行《政府采购法》第十二条和《政府采购法实施条例》第九条及财政部关于回避的规定。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（二）评标前，应当将通讯工具或者相关电子设备交由招标采购单位统一保管。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（三）评标过程中，不得与外界联系，因发生不可预见情况，确实需要与外界联系的，应当在监督人员监督之下办理。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（五）在评标过程中和评标结束后，不得记录、复制或带走任何评标资料，除因规定的义务外，不得向外界透露评标内容。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（六）服从评标现场招标采购单位的现场秩序管理，接受评标现场监督人员的合法监督。</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color w:val="000000"/>
          <w:sz w:val="24"/>
          <w:szCs w:val="20"/>
        </w:rPr>
        <w:t>（七）遵守有关廉洁自律规定，不得私下接触供应商，不得收受供应商及有关业务单位和个人的财物或好处，不得接受采购组织单位的请托。</w:t>
      </w:r>
      <w:r>
        <w:rPr>
          <w:rFonts w:cs="仿宋" w:asciiTheme="majorEastAsia" w:hAnsiTheme="majorEastAsia" w:eastAsiaTheme="majorEastAsia"/>
          <w:bCs/>
          <w:color w:val="000000"/>
          <w:sz w:val="24"/>
          <w:szCs w:val="20"/>
        </w:rPr>
        <w:br w:type="page"/>
      </w:r>
    </w:p>
    <w:bookmarkEnd w:id="305"/>
    <w:bookmarkEnd w:id="306"/>
    <w:bookmarkEnd w:id="307"/>
    <w:p>
      <w:pPr>
        <w:spacing w:before="240" w:after="100" w:afterAutospacing="1" w:line="360" w:lineRule="auto"/>
        <w:jc w:val="center"/>
        <w:rPr>
          <w:rFonts w:ascii="黑体" w:hAnsi="黑体" w:eastAsia="黑体" w:cs="仿宋"/>
          <w:b/>
          <w:sz w:val="32"/>
          <w:szCs w:val="32"/>
        </w:rPr>
      </w:pPr>
      <w:r>
        <w:rPr>
          <w:rFonts w:hint="eastAsia" w:ascii="黑体" w:hAnsi="黑体" w:eastAsia="黑体" w:cs="仿宋"/>
          <w:b/>
          <w:sz w:val="32"/>
          <w:szCs w:val="32"/>
        </w:rPr>
        <w:t>第八章  政府采购合同</w:t>
      </w:r>
    </w:p>
    <w:p>
      <w:pPr>
        <w:pStyle w:val="79"/>
        <w:keepNext w:val="0"/>
        <w:keepLines w:val="0"/>
        <w:pageBreakBefore w:val="0"/>
        <w:widowControl w:val="0"/>
        <w:kinsoku/>
        <w:wordWrap w:val="0"/>
        <w:overflowPunct/>
        <w:topLinePunct/>
        <w:autoSpaceDE/>
        <w:autoSpaceDN/>
        <w:bidi w:val="0"/>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根据《中华人民共和国民法典》、《中华人民共和国政府采购法》、《中华人民共和国政府采购法实施条例》、《政府采购货物和服务招标投标管理办法》(财政部令第87号)及</w:t>
      </w:r>
      <w:r>
        <w:rPr>
          <w:rFonts w:hint="eastAsia" w:ascii="宋体" w:hAnsi="宋体" w:eastAsia="宋体" w:cs="宋体"/>
          <w:sz w:val="24"/>
          <w:szCs w:val="24"/>
          <w:u w:val="single"/>
        </w:rPr>
        <w:t xml:space="preserve">                   </w:t>
      </w:r>
      <w:r>
        <w:rPr>
          <w:rFonts w:hint="eastAsia" w:ascii="宋体" w:hAnsi="宋体" w:eastAsia="宋体" w:cs="宋体"/>
          <w:sz w:val="24"/>
          <w:szCs w:val="24"/>
        </w:rPr>
        <w:t>软件开发采购项目(项目编号：(采购项目的编号))的招标文件、乙方的投标文件及中标通知书，成都市住房和城乡建设信息中心（以下简称“甲方”）、</w:t>
      </w:r>
      <w:r>
        <w:rPr>
          <w:rFonts w:hint="eastAsia" w:ascii="宋体" w:hAnsi="宋体" w:eastAsia="宋体" w:cs="宋体"/>
          <w:sz w:val="24"/>
          <w:szCs w:val="24"/>
          <w:u w:val="single"/>
        </w:rPr>
        <w:t xml:space="preserve">                   </w:t>
      </w:r>
      <w:r>
        <w:rPr>
          <w:rFonts w:hint="eastAsia" w:ascii="宋体" w:hAnsi="宋体" w:eastAsia="宋体" w:cs="宋体"/>
          <w:sz w:val="24"/>
          <w:szCs w:val="24"/>
        </w:rPr>
        <w:t>公司（以下简称“乙方”）双方同意签订本合同并共同遵守合同条款。</w:t>
      </w:r>
      <w:r>
        <w:rPr>
          <w:rFonts w:hint="eastAsia" w:ascii="宋体" w:hAnsi="宋体" w:eastAsia="宋体" w:cs="宋体"/>
          <w:sz w:val="24"/>
          <w:szCs w:val="24"/>
          <w:u w:val="single"/>
        </w:rPr>
        <w:t>详细技术说明及其他有关合同项目的特定信息由合同附件予以说明，合同附件及本项目的采购文件、投标文件、中标通知书等均为本合同不可分割的部分。</w:t>
      </w:r>
    </w:p>
    <w:p>
      <w:pPr>
        <w:pStyle w:val="79"/>
        <w:keepNext w:val="0"/>
        <w:keepLines w:val="0"/>
        <w:pageBreakBefore w:val="0"/>
        <w:widowControl w:val="0"/>
        <w:kinsoku/>
        <w:wordWrap w:val="0"/>
        <w:overflowPunct/>
        <w:topLinePunct/>
        <w:autoSpaceDE/>
        <w:autoSpaceDN/>
        <w:bidi w:val="0"/>
        <w:spacing w:line="500" w:lineRule="exact"/>
        <w:ind w:firstLine="482"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一、合同标的：</w:t>
      </w:r>
    </w:p>
    <w:p>
      <w:pPr>
        <w:pStyle w:val="79"/>
        <w:keepNext w:val="0"/>
        <w:keepLines w:val="0"/>
        <w:pageBreakBefore w:val="0"/>
        <w:widowControl w:val="0"/>
        <w:kinsoku/>
        <w:wordWrap w:val="0"/>
        <w:overflowPunct/>
        <w:topLinePunct/>
        <w:autoSpaceDE/>
        <w:autoSpaceDN/>
        <w:bidi w:val="0"/>
        <w:spacing w:line="500" w:lineRule="exact"/>
        <w:ind w:firstLine="482" w:firstLineChars="200"/>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二、质量标准：</w:t>
      </w:r>
    </w:p>
    <w:p>
      <w:pPr>
        <w:pStyle w:val="79"/>
        <w:keepNext w:val="0"/>
        <w:keepLines w:val="0"/>
        <w:pageBreakBefore w:val="0"/>
        <w:widowControl w:val="0"/>
        <w:kinsoku/>
        <w:wordWrap w:val="0"/>
        <w:overflowPunct/>
        <w:topLinePunct/>
        <w:autoSpaceDE/>
        <w:autoSpaceDN/>
        <w:bidi w:val="0"/>
        <w:spacing w:line="500" w:lineRule="exact"/>
        <w:ind w:firstLine="482"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三、数量（规模）：</w:t>
      </w:r>
    </w:p>
    <w:p>
      <w:pPr>
        <w:pStyle w:val="79"/>
        <w:keepNext w:val="0"/>
        <w:keepLines w:val="0"/>
        <w:pageBreakBefore w:val="0"/>
        <w:widowControl w:val="0"/>
        <w:kinsoku/>
        <w:wordWrap w:val="0"/>
        <w:overflowPunct/>
        <w:topLinePunct/>
        <w:autoSpaceDE/>
        <w:autoSpaceDN/>
        <w:bidi w:val="0"/>
        <w:spacing w:line="500" w:lineRule="exact"/>
        <w:ind w:firstLine="482"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四、合同履行时间：合同签订后360个自然日内完成项目建设，达到项目初验的条件。</w:t>
      </w:r>
    </w:p>
    <w:p>
      <w:pPr>
        <w:pStyle w:val="79"/>
        <w:keepNext w:val="0"/>
        <w:keepLines w:val="0"/>
        <w:pageBreakBefore w:val="0"/>
        <w:widowControl w:val="0"/>
        <w:kinsoku/>
        <w:wordWrap w:val="0"/>
        <w:overflowPunct/>
        <w:topLinePunct/>
        <w:autoSpaceDE/>
        <w:autoSpaceDN/>
        <w:bidi w:val="0"/>
        <w:spacing w:line="500" w:lineRule="exact"/>
        <w:ind w:firstLine="482"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五、交付地点和方式：</w:t>
      </w:r>
    </w:p>
    <w:p>
      <w:pPr>
        <w:pStyle w:val="79"/>
        <w:keepNext w:val="0"/>
        <w:keepLines w:val="0"/>
        <w:pageBreakBefore w:val="0"/>
        <w:widowControl w:val="0"/>
        <w:kinsoku/>
        <w:wordWrap w:val="0"/>
        <w:overflowPunct/>
        <w:topLinePunct/>
        <w:autoSpaceDE/>
        <w:autoSpaceDN/>
        <w:bidi w:val="0"/>
        <w:spacing w:line="500" w:lineRule="exact"/>
        <w:ind w:firstLine="482"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六、</w:t>
      </w:r>
      <w:r>
        <w:rPr>
          <w:rFonts w:hint="eastAsia" w:ascii="宋体" w:hAnsi="宋体" w:eastAsia="宋体" w:cs="宋体"/>
          <w:b/>
          <w:bCs/>
          <w:sz w:val="24"/>
          <w:szCs w:val="24"/>
          <w:u w:val="none"/>
        </w:rPr>
        <w:t>包装方式</w:t>
      </w:r>
      <w:r>
        <w:rPr>
          <w:rFonts w:hint="eastAsia" w:ascii="宋体" w:hAnsi="宋体" w:eastAsia="宋体" w:cs="宋体"/>
          <w:b/>
          <w:bCs/>
          <w:sz w:val="24"/>
          <w:szCs w:val="24"/>
          <w:u w:val="none"/>
          <w:lang w:eastAsia="zh-CN"/>
        </w:rPr>
        <w:t>：</w:t>
      </w:r>
    </w:p>
    <w:p>
      <w:pPr>
        <w:pStyle w:val="79"/>
        <w:spacing w:line="500" w:lineRule="exact"/>
        <w:ind w:firstLine="420"/>
        <w:rPr>
          <w:rFonts w:hint="eastAsia" w:ascii="宋体" w:hAnsi="宋体" w:eastAsia="宋体" w:cs="宋体"/>
          <w:sz w:val="24"/>
          <w:szCs w:val="24"/>
        </w:rPr>
      </w:pPr>
      <w:r>
        <w:rPr>
          <w:rFonts w:hint="eastAsia" w:ascii="宋体" w:hAnsi="宋体" w:eastAsia="宋体" w:cs="宋体"/>
          <w:b/>
          <w:bCs/>
          <w:sz w:val="24"/>
          <w:szCs w:val="24"/>
          <w:u w:val="none"/>
          <w:lang w:val="en-US" w:eastAsia="zh-CN"/>
        </w:rPr>
        <w:t>七：</w:t>
      </w:r>
      <w:bookmarkStart w:id="316" w:name="_Toc11538"/>
      <w:bookmarkStart w:id="317" w:name="_Toc22768"/>
      <w:bookmarkStart w:id="318" w:name="_Toc18185"/>
      <w:bookmarkStart w:id="319" w:name="_Toc283019214"/>
      <w:bookmarkStart w:id="320" w:name="_Toc247334841"/>
      <w:bookmarkStart w:id="321" w:name="_Toc232492928"/>
      <w:bookmarkStart w:id="322" w:name="_Toc239568418"/>
      <w:bookmarkStart w:id="323" w:name="_Toc225244852"/>
      <w:bookmarkStart w:id="324" w:name="_Toc212019594"/>
      <w:bookmarkStart w:id="325" w:name="_Toc211911348"/>
      <w:bookmarkStart w:id="326" w:name="_Toc251768862"/>
      <w:bookmarkStart w:id="327" w:name="_Toc225670751"/>
      <w:bookmarkStart w:id="328" w:name="_Toc282696226"/>
      <w:bookmarkStart w:id="329" w:name="_Toc286993786"/>
      <w:bookmarkStart w:id="330" w:name="_Toc237145406"/>
      <w:bookmarkStart w:id="331" w:name="_Toc211854449"/>
      <w:bookmarkStart w:id="332" w:name="_Toc241833903"/>
      <w:bookmarkStart w:id="333" w:name="_Toc238984975"/>
      <w:bookmarkStart w:id="334" w:name="_Toc185395249"/>
      <w:bookmarkStart w:id="335" w:name="_Toc239233914"/>
      <w:bookmarkStart w:id="336" w:name="_Toc225654644"/>
      <w:r>
        <w:rPr>
          <w:rFonts w:hint="eastAsia" w:ascii="宋体" w:hAnsi="宋体" w:eastAsia="宋体" w:cs="宋体"/>
          <w:b/>
          <w:bCs/>
          <w:sz w:val="24"/>
          <w:szCs w:val="24"/>
        </w:rPr>
        <w:t>合同价款或者报酬、付款进度安排、资金支付方式</w:t>
      </w:r>
      <w:bookmarkEnd w:id="316"/>
      <w:bookmarkEnd w:id="317"/>
      <w:bookmarkEnd w:id="318"/>
    </w:p>
    <w:p>
      <w:pPr>
        <w:pStyle w:val="81"/>
        <w:keepNext w:val="0"/>
        <w:keepLines w:val="0"/>
        <w:pageBreakBefore w:val="0"/>
        <w:widowControl w:val="0"/>
        <w:numPr>
          <w:ilvl w:val="1"/>
          <w:numId w:val="15"/>
        </w:numPr>
        <w:kinsoku/>
        <w:wordWrap w:val="0"/>
        <w:overflowPunct/>
        <w:topLine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本项目合同价款为</w:t>
      </w:r>
      <w:r>
        <w:rPr>
          <w:rFonts w:hint="eastAsia" w:ascii="宋体" w:hAnsi="宋体" w:eastAsia="宋体" w:cs="宋体"/>
          <w:sz w:val="24"/>
          <w:szCs w:val="24"/>
          <w:u w:val="single"/>
        </w:rPr>
        <w:t xml:space="preserve">¥   </w:t>
      </w:r>
      <w:r>
        <w:rPr>
          <w:rFonts w:hint="eastAsia" w:ascii="宋体" w:hAnsi="宋体" w:eastAsia="宋体" w:cs="宋体"/>
          <w:sz w:val="24"/>
          <w:szCs w:val="24"/>
        </w:rPr>
        <w:t>元（含税），（人民币大写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元整）。</w:t>
      </w:r>
    </w:p>
    <w:p>
      <w:pPr>
        <w:pStyle w:val="81"/>
        <w:keepNext w:val="0"/>
        <w:keepLines w:val="0"/>
        <w:pageBreakBefore w:val="0"/>
        <w:widowControl w:val="0"/>
        <w:numPr>
          <w:ilvl w:val="1"/>
          <w:numId w:val="0"/>
        </w:numPr>
        <w:kinsoku/>
        <w:wordWrap w:val="0"/>
        <w:overflowPunct/>
        <w:topLine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合同价款以人民币计算，甲方以银行转账方式付至乙方指定的以下账户。</w:t>
      </w:r>
    </w:p>
    <w:p>
      <w:pPr>
        <w:pStyle w:val="81"/>
        <w:keepNext w:val="0"/>
        <w:keepLines w:val="0"/>
        <w:pageBreakBefore w:val="0"/>
        <w:widowControl w:val="0"/>
        <w:numPr>
          <w:ilvl w:val="1"/>
          <w:numId w:val="0"/>
        </w:numPr>
        <w:kinsoku/>
        <w:wordWrap w:val="0"/>
        <w:overflowPunct/>
        <w:topLine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账户名称： </w:t>
      </w:r>
      <w:r>
        <w:rPr>
          <w:rFonts w:hint="eastAsia" w:ascii="宋体" w:hAnsi="宋体" w:eastAsia="宋体" w:cs="宋体"/>
          <w:sz w:val="24"/>
          <w:szCs w:val="24"/>
          <w:u w:val="single"/>
        </w:rPr>
        <w:t xml:space="preserve">    </w:t>
      </w:r>
    </w:p>
    <w:p>
      <w:pPr>
        <w:pStyle w:val="81"/>
        <w:keepNext w:val="0"/>
        <w:keepLines w:val="0"/>
        <w:pageBreakBefore w:val="0"/>
        <w:widowControl w:val="0"/>
        <w:numPr>
          <w:ilvl w:val="1"/>
          <w:numId w:val="0"/>
        </w:numPr>
        <w:kinsoku/>
        <w:wordWrap w:val="0"/>
        <w:overflowPunct/>
        <w:topLine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u w:val="single"/>
        </w:rPr>
        <w:t xml:space="preserve">    </w:t>
      </w:r>
    </w:p>
    <w:p>
      <w:pPr>
        <w:pStyle w:val="81"/>
        <w:keepNext w:val="0"/>
        <w:keepLines w:val="0"/>
        <w:pageBreakBefore w:val="0"/>
        <w:widowControl w:val="0"/>
        <w:numPr>
          <w:ilvl w:val="1"/>
          <w:numId w:val="0"/>
        </w:numPr>
        <w:kinsoku/>
        <w:wordWrap w:val="0"/>
        <w:overflowPunct/>
        <w:topLine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银行账号： </w:t>
      </w:r>
      <w:r>
        <w:rPr>
          <w:rFonts w:hint="eastAsia" w:ascii="宋体" w:hAnsi="宋体" w:eastAsia="宋体" w:cs="宋体"/>
          <w:sz w:val="24"/>
          <w:szCs w:val="24"/>
          <w:u w:val="single"/>
        </w:rPr>
        <w:t xml:space="preserve">    </w:t>
      </w:r>
    </w:p>
    <w:p>
      <w:pPr>
        <w:pStyle w:val="81"/>
        <w:keepNext w:val="0"/>
        <w:keepLines w:val="0"/>
        <w:pageBreakBefore w:val="0"/>
        <w:widowControl w:val="0"/>
        <w:numPr>
          <w:ilvl w:val="1"/>
          <w:numId w:val="0"/>
        </w:numPr>
        <w:kinsoku/>
        <w:wordWrap w:val="0"/>
        <w:overflowPunct/>
        <w:topLine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乙方的账户名称、开户银行、银行账号，如有变更必须以书面方式通知甲方并加盖财务专用章。</w:t>
      </w:r>
    </w:p>
    <w:p>
      <w:pPr>
        <w:pStyle w:val="81"/>
        <w:keepNext w:val="0"/>
        <w:keepLines w:val="0"/>
        <w:pageBreakBefore w:val="0"/>
        <w:widowControl w:val="0"/>
        <w:numPr>
          <w:ilvl w:val="1"/>
          <w:numId w:val="15"/>
        </w:numPr>
        <w:kinsoku/>
        <w:wordWrap w:val="0"/>
        <w:overflowPunct/>
        <w:topLine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支付方式</w:t>
      </w:r>
    </w:p>
    <w:p>
      <w:pPr>
        <w:pStyle w:val="81"/>
        <w:keepNext w:val="0"/>
        <w:keepLines w:val="0"/>
        <w:pageBreakBefore w:val="0"/>
        <w:widowControl w:val="0"/>
        <w:numPr>
          <w:ilvl w:val="1"/>
          <w:numId w:val="0"/>
        </w:numPr>
        <w:kinsoku/>
        <w:overflow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合同签订生效后5个工作日内，向</w:t>
      </w:r>
      <w:r>
        <w:rPr>
          <w:rFonts w:hint="eastAsia" w:cs="宋体"/>
          <w:sz w:val="24"/>
          <w:szCs w:val="24"/>
          <w:lang w:val="en-US" w:eastAsia="zh-CN"/>
        </w:rPr>
        <w:t>乙方</w:t>
      </w:r>
      <w:r>
        <w:rPr>
          <w:rFonts w:hint="eastAsia" w:ascii="宋体" w:hAnsi="宋体" w:eastAsia="宋体" w:cs="宋体"/>
          <w:sz w:val="24"/>
          <w:szCs w:val="24"/>
          <w:lang w:val="en-US" w:eastAsia="zh-CN"/>
        </w:rPr>
        <w:t>支付合同总金额的40%的合同款；项目通过初验上线试运行后，7个工作日内</w:t>
      </w:r>
      <w:r>
        <w:rPr>
          <w:rFonts w:hint="eastAsia" w:cs="宋体"/>
          <w:sz w:val="24"/>
          <w:szCs w:val="24"/>
          <w:lang w:val="en-US" w:eastAsia="zh-CN"/>
        </w:rPr>
        <w:t>甲方</w:t>
      </w:r>
      <w:r>
        <w:rPr>
          <w:rFonts w:hint="eastAsia" w:ascii="宋体" w:hAnsi="宋体" w:eastAsia="宋体" w:cs="宋体"/>
          <w:sz w:val="24"/>
          <w:szCs w:val="24"/>
          <w:lang w:val="en-US" w:eastAsia="zh-CN"/>
        </w:rPr>
        <w:t>向</w:t>
      </w:r>
      <w:r>
        <w:rPr>
          <w:rFonts w:hint="eastAsia" w:cs="宋体"/>
          <w:sz w:val="24"/>
          <w:szCs w:val="24"/>
          <w:lang w:val="en-US" w:eastAsia="zh-CN"/>
        </w:rPr>
        <w:t>乙方</w:t>
      </w:r>
      <w:r>
        <w:rPr>
          <w:rFonts w:hint="eastAsia" w:ascii="宋体" w:hAnsi="宋体" w:eastAsia="宋体" w:cs="宋体"/>
          <w:sz w:val="24"/>
          <w:szCs w:val="24"/>
          <w:lang w:val="en-US" w:eastAsia="zh-CN"/>
        </w:rPr>
        <w:t>支付合同总金额的40%的合同款；项目无故障试运行三个月后对系统进行终验评审，项目通过评审并签署终验报告后7个工作日内</w:t>
      </w:r>
      <w:r>
        <w:rPr>
          <w:rFonts w:hint="eastAsia" w:cs="宋体"/>
          <w:sz w:val="24"/>
          <w:szCs w:val="24"/>
          <w:lang w:val="en-US" w:eastAsia="zh-CN"/>
        </w:rPr>
        <w:t>甲方</w:t>
      </w:r>
      <w:r>
        <w:rPr>
          <w:rFonts w:hint="eastAsia" w:ascii="宋体" w:hAnsi="宋体" w:eastAsia="宋体" w:cs="宋体"/>
          <w:sz w:val="24"/>
          <w:szCs w:val="24"/>
          <w:lang w:val="en-US" w:eastAsia="zh-CN"/>
        </w:rPr>
        <w:t>向</w:t>
      </w:r>
      <w:r>
        <w:rPr>
          <w:rFonts w:hint="eastAsia" w:cs="宋体"/>
          <w:sz w:val="24"/>
          <w:szCs w:val="24"/>
          <w:lang w:val="en-US" w:eastAsia="zh-CN"/>
        </w:rPr>
        <w:t>乙方</w:t>
      </w:r>
      <w:r>
        <w:rPr>
          <w:rFonts w:hint="eastAsia" w:ascii="宋体" w:hAnsi="宋体" w:eastAsia="宋体" w:cs="宋体"/>
          <w:sz w:val="24"/>
          <w:szCs w:val="24"/>
          <w:lang w:val="en-US" w:eastAsia="zh-CN"/>
        </w:rPr>
        <w:t>支付合同总金额的20%的合同款。</w:t>
      </w:r>
    </w:p>
    <w:p>
      <w:pPr>
        <w:pStyle w:val="81"/>
        <w:keepNext w:val="0"/>
        <w:keepLines w:val="0"/>
        <w:pageBreakBefore w:val="0"/>
        <w:widowControl w:val="0"/>
        <w:numPr>
          <w:ilvl w:val="1"/>
          <w:numId w:val="0"/>
        </w:numPr>
        <w:kinsoku/>
        <w:overflow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甲方付款前，乙方应按甲方要求提供真实有效足额的发票或收据，否则甲方有权拒绝付款并不承担任何责任。</w:t>
      </w:r>
    </w:p>
    <w:p>
      <w:pPr>
        <w:pStyle w:val="81"/>
        <w:keepNext w:val="0"/>
        <w:keepLines w:val="0"/>
        <w:pageBreakBefore w:val="0"/>
        <w:widowControl w:val="0"/>
        <w:numPr>
          <w:ilvl w:val="1"/>
          <w:numId w:val="0"/>
        </w:numPr>
        <w:kinsoku/>
        <w:overflow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如逾期或超过增值税发票有效认证期限、导致甲方损失的，乙方需承担相应的违约赔偿责任。</w:t>
      </w:r>
    </w:p>
    <w:p>
      <w:pPr>
        <w:pStyle w:val="81"/>
        <w:keepNext w:val="0"/>
        <w:keepLines w:val="0"/>
        <w:pageBreakBefore w:val="0"/>
        <w:widowControl w:val="0"/>
        <w:numPr>
          <w:ilvl w:val="1"/>
          <w:numId w:val="0"/>
        </w:numPr>
        <w:kinsoku/>
        <w:overflow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履约保证金收取及退还</w:t>
      </w:r>
    </w:p>
    <w:p>
      <w:pPr>
        <w:keepNext w:val="0"/>
        <w:keepLines w:val="0"/>
        <w:pageBreakBefore w:val="0"/>
        <w:widowControl w:val="0"/>
        <w:kinsoku/>
        <w:overflowPunct/>
        <w:autoSpaceDE/>
        <w:autoSpaceDN/>
        <w:bidi w:val="0"/>
        <w:spacing w:line="500" w:lineRule="exact"/>
        <w:ind w:firstLine="480" w:firstLineChars="200"/>
        <w:textAlignment w:val="auto"/>
        <w:rPr>
          <w:rFonts w:hint="eastAsia" w:ascii="宋体" w:hAnsi="宋体" w:eastAsia="宋体" w:cs="宋体"/>
          <w:sz w:val="24"/>
          <w:szCs w:val="24"/>
        </w:rPr>
      </w:pPr>
      <w:bookmarkStart w:id="337" w:name="_Toc14986"/>
      <w:bookmarkStart w:id="338" w:name="_Toc20931"/>
      <w:bookmarkStart w:id="339" w:name="_Toc10548"/>
      <w:r>
        <w:rPr>
          <w:rFonts w:hint="eastAsia" w:ascii="宋体" w:hAnsi="宋体" w:eastAsia="宋体" w:cs="宋体"/>
          <w:sz w:val="24"/>
          <w:szCs w:val="24"/>
        </w:rPr>
        <w:t>1.本项目履约保证金金额为合同总金额的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%，即¥ </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 元整)。</w:t>
      </w:r>
    </w:p>
    <w:p>
      <w:pPr>
        <w:keepNext w:val="0"/>
        <w:keepLines w:val="0"/>
        <w:pageBreakBefore w:val="0"/>
        <w:widowControl w:val="0"/>
        <w:kinsoku/>
        <w:overflow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2.乙方应在合同签订前，应当以支票、汇票、本票或者金融机构、担保机构出具的保函等非现金形式向甲方提交规定金额的履约保证金。</w:t>
      </w:r>
    </w:p>
    <w:p>
      <w:pPr>
        <w:keepNext w:val="0"/>
        <w:keepLines w:val="0"/>
        <w:pageBreakBefore w:val="0"/>
        <w:widowControl w:val="0"/>
        <w:kinsoku/>
        <w:overflow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3.项目通过评审并签署终验报告后5个工作日内，</w:t>
      </w:r>
      <w:r>
        <w:rPr>
          <w:rFonts w:hint="eastAsia" w:ascii="宋体" w:hAnsi="宋体" w:cs="宋体"/>
          <w:sz w:val="24"/>
          <w:szCs w:val="24"/>
          <w:lang w:val="en-US" w:eastAsia="zh-CN"/>
        </w:rPr>
        <w:t>甲方</w:t>
      </w:r>
      <w:r>
        <w:rPr>
          <w:rFonts w:hint="eastAsia" w:ascii="宋体" w:hAnsi="宋体" w:eastAsia="宋体" w:cs="宋体"/>
          <w:sz w:val="24"/>
          <w:szCs w:val="24"/>
        </w:rPr>
        <w:t>向</w:t>
      </w:r>
      <w:r>
        <w:rPr>
          <w:rFonts w:hint="eastAsia" w:ascii="宋体" w:hAnsi="宋体" w:cs="宋体"/>
          <w:sz w:val="24"/>
          <w:szCs w:val="24"/>
          <w:lang w:val="en-US" w:eastAsia="zh-CN"/>
        </w:rPr>
        <w:t>乙方</w:t>
      </w:r>
      <w:r>
        <w:rPr>
          <w:rFonts w:hint="eastAsia" w:ascii="宋体" w:hAnsi="宋体" w:eastAsia="宋体" w:cs="宋体"/>
          <w:sz w:val="24"/>
          <w:szCs w:val="24"/>
        </w:rPr>
        <w:t>无息退还履约保证金的50%；从项目通过评审并签署终验报告之日起算，项目满质保期（运维期）后，</w:t>
      </w:r>
      <w:r>
        <w:rPr>
          <w:rFonts w:hint="eastAsia" w:ascii="宋体" w:hAnsi="宋体" w:cs="宋体"/>
          <w:sz w:val="24"/>
          <w:szCs w:val="24"/>
          <w:lang w:val="en-US" w:eastAsia="zh-CN"/>
        </w:rPr>
        <w:t>甲方</w:t>
      </w:r>
      <w:r>
        <w:rPr>
          <w:rFonts w:hint="eastAsia" w:ascii="宋体" w:hAnsi="宋体" w:eastAsia="宋体" w:cs="宋体"/>
          <w:sz w:val="24"/>
          <w:szCs w:val="24"/>
        </w:rPr>
        <w:t>向</w:t>
      </w:r>
      <w:r>
        <w:rPr>
          <w:rFonts w:hint="eastAsia" w:ascii="宋体" w:hAnsi="宋体" w:cs="宋体"/>
          <w:sz w:val="24"/>
          <w:szCs w:val="24"/>
          <w:lang w:val="en-US" w:eastAsia="zh-CN"/>
        </w:rPr>
        <w:t>乙方</w:t>
      </w:r>
      <w:r>
        <w:rPr>
          <w:rFonts w:hint="eastAsia" w:ascii="宋体" w:hAnsi="宋体" w:eastAsia="宋体" w:cs="宋体"/>
          <w:sz w:val="24"/>
          <w:szCs w:val="24"/>
        </w:rPr>
        <w:t>无息退还履约保证金的另外50%。</w:t>
      </w:r>
    </w:p>
    <w:p>
      <w:pPr>
        <w:keepNext w:val="0"/>
        <w:keepLines w:val="0"/>
        <w:pageBreakBefore w:val="0"/>
        <w:widowControl w:val="0"/>
        <w:kinsoku/>
        <w:overflowPunct/>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履约保证金不予退还情形：</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 1 \* GB3 \* MERGEFORMAT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①</w:t>
      </w:r>
      <w:r>
        <w:rPr>
          <w:rFonts w:hint="eastAsia" w:ascii="宋体" w:hAnsi="宋体" w:eastAsia="宋体" w:cs="宋体"/>
          <w:sz w:val="24"/>
          <w:szCs w:val="24"/>
          <w:lang w:val="zh-CN"/>
        </w:rPr>
        <w:fldChar w:fldCharType="end"/>
      </w:r>
      <w:r>
        <w:rPr>
          <w:rFonts w:hint="eastAsia" w:ascii="宋体" w:hAnsi="宋体" w:eastAsia="宋体" w:cs="宋体"/>
          <w:sz w:val="24"/>
          <w:szCs w:val="24"/>
        </w:rPr>
        <w:t>乙方</w:t>
      </w:r>
      <w:r>
        <w:rPr>
          <w:rFonts w:hint="eastAsia" w:ascii="宋体" w:hAnsi="宋体" w:eastAsia="宋体" w:cs="宋体"/>
          <w:sz w:val="24"/>
          <w:szCs w:val="24"/>
          <w:lang w:val="zh-CN"/>
        </w:rPr>
        <w:t>不履行与</w:t>
      </w:r>
      <w:r>
        <w:rPr>
          <w:rFonts w:hint="eastAsia" w:ascii="宋体" w:hAnsi="宋体" w:eastAsia="宋体" w:cs="宋体"/>
          <w:sz w:val="24"/>
          <w:szCs w:val="24"/>
        </w:rPr>
        <w:t>甲方</w:t>
      </w:r>
      <w:r>
        <w:rPr>
          <w:rFonts w:hint="eastAsia" w:ascii="宋体" w:hAnsi="宋体" w:eastAsia="宋体" w:cs="宋体"/>
          <w:sz w:val="24"/>
          <w:szCs w:val="24"/>
          <w:lang w:val="zh-CN"/>
        </w:rPr>
        <w:t>订立的合同的，履约保证金不予退还，给</w:t>
      </w:r>
      <w:r>
        <w:rPr>
          <w:rFonts w:hint="eastAsia" w:ascii="宋体" w:hAnsi="宋体" w:eastAsia="宋体" w:cs="宋体"/>
          <w:sz w:val="24"/>
          <w:szCs w:val="24"/>
        </w:rPr>
        <w:t>甲方</w:t>
      </w:r>
      <w:r>
        <w:rPr>
          <w:rFonts w:hint="eastAsia" w:ascii="宋体" w:hAnsi="宋体" w:eastAsia="宋体" w:cs="宋体"/>
          <w:sz w:val="24"/>
          <w:szCs w:val="24"/>
          <w:lang w:val="zh-CN"/>
        </w:rPr>
        <w:t>造成的损失超过履约保证金数额的，还应当对超过部分予以赔偿。</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 2 \* GB3 \* MERGEFORMAT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②</w:t>
      </w:r>
      <w:r>
        <w:rPr>
          <w:rFonts w:hint="eastAsia" w:ascii="宋体" w:hAnsi="宋体" w:eastAsia="宋体" w:cs="宋体"/>
          <w:sz w:val="24"/>
          <w:szCs w:val="24"/>
          <w:lang w:val="zh-CN"/>
        </w:rPr>
        <w:fldChar w:fldCharType="end"/>
      </w:r>
      <w:r>
        <w:rPr>
          <w:rFonts w:hint="eastAsia" w:ascii="宋体" w:hAnsi="宋体" w:eastAsia="宋体" w:cs="宋体"/>
          <w:sz w:val="24"/>
          <w:szCs w:val="24"/>
        </w:rPr>
        <w:t>项目</w:t>
      </w:r>
      <w:r>
        <w:rPr>
          <w:rFonts w:hint="eastAsia" w:ascii="宋体" w:hAnsi="宋体" w:eastAsia="宋体" w:cs="宋体"/>
          <w:sz w:val="24"/>
          <w:szCs w:val="24"/>
          <w:lang w:val="zh-CN"/>
        </w:rPr>
        <w:t>验收结果不合格的，履约保证金将不予退还</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其他违反国家相关法律法规的情形。</w:t>
      </w:r>
    </w:p>
    <w:p>
      <w:pPr>
        <w:pStyle w:val="81"/>
        <w:keepNext w:val="0"/>
        <w:keepLines w:val="0"/>
        <w:pageBreakBefore w:val="0"/>
        <w:widowControl w:val="0"/>
        <w:numPr>
          <w:ilvl w:val="0"/>
          <w:numId w:val="0"/>
        </w:numPr>
        <w:tabs>
          <w:tab w:val="left" w:pos="312"/>
        </w:tabs>
        <w:kinsoku/>
        <w:overflowPunct/>
        <w:autoSpaceDE/>
        <w:autoSpaceDN/>
        <w:bidi w:val="0"/>
        <w:adjustRightInd w:val="0"/>
        <w:snapToGrid w:val="0"/>
        <w:spacing w:line="500" w:lineRule="exact"/>
        <w:ind w:firstLine="480" w:firstLineChars="200"/>
        <w:textAlignment w:val="auto"/>
        <w:rPr>
          <w:rFonts w:hint="eastAsia" w:ascii="宋体" w:hAnsi="宋体" w:eastAsia="宋体" w:cs="宋体"/>
        </w:rPr>
      </w:pPr>
      <w:r>
        <w:rPr>
          <w:rFonts w:hint="eastAsia" w:ascii="宋体" w:hAnsi="宋体" w:eastAsia="宋体" w:cs="宋体"/>
          <w:sz w:val="24"/>
          <w:szCs w:val="24"/>
        </w:rPr>
        <w:t>以上项目价款支付以及履约保证金清退时，乙方需提供正确的银行账户信息、以及经甲方审批合格的项目付款申请书、履约保证金清退报告等相关资料。</w:t>
      </w:r>
    </w:p>
    <w:p>
      <w:pPr>
        <w:pStyle w:val="81"/>
        <w:keepNext w:val="0"/>
        <w:keepLines w:val="0"/>
        <w:pageBreakBefore w:val="0"/>
        <w:widowControl w:val="0"/>
        <w:numPr>
          <w:ilvl w:val="0"/>
          <w:numId w:val="0"/>
        </w:numPr>
        <w:tabs>
          <w:tab w:val="left" w:pos="312"/>
        </w:tabs>
        <w:kinsoku/>
        <w:overflowPunct/>
        <w:autoSpaceDE/>
        <w:autoSpaceDN/>
        <w:bidi w:val="0"/>
        <w:adjustRightInd w:val="0"/>
        <w:snapToGrid w:val="0"/>
        <w:spacing w:line="500" w:lineRule="exact"/>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八、验收:</w:t>
      </w:r>
    </w:p>
    <w:p>
      <w:pPr>
        <w:keepNext w:val="0"/>
        <w:keepLines w:val="0"/>
        <w:pageBreakBefore w:val="0"/>
        <w:widowControl w:val="0"/>
        <w:kinsoku/>
        <w:overflowPunct/>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根据《财政部关于进一步加强政府采购需求和履约验收管理的指导意见》（财库【2016】205号）有关规定及采购人与中标人签订的合同组织验收。</w:t>
      </w:r>
    </w:p>
    <w:p>
      <w:pPr>
        <w:keepNext w:val="0"/>
        <w:keepLines w:val="0"/>
        <w:pageBreakBefore w:val="0"/>
        <w:widowControl w:val="0"/>
        <w:kinsoku/>
        <w:overflowPunct/>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系统开发完成一个月后进行系统初验，初验通过后进入系统整体试运行期。</w:t>
      </w:r>
    </w:p>
    <w:p>
      <w:pPr>
        <w:keepNext w:val="0"/>
        <w:keepLines w:val="0"/>
        <w:pageBreakBefore w:val="0"/>
        <w:widowControl w:val="0"/>
        <w:kinsoku/>
        <w:overflowPunct/>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系统经过两个月正常试运行期，所有功能、性能指标经过第三方测评机构测评通过并达到技术规范要求时，进行系统的最终验收。</w:t>
      </w:r>
    </w:p>
    <w:p>
      <w:pPr>
        <w:keepNext w:val="0"/>
        <w:keepLines w:val="0"/>
        <w:pageBreakBefore w:val="0"/>
        <w:widowControl w:val="0"/>
        <w:kinsoku/>
        <w:overflowPunct/>
        <w:autoSpaceDE/>
        <w:autoSpaceDN/>
        <w:bidi w:val="0"/>
        <w:adjustRightInd w:val="0"/>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系统终验由中标人向采购人提出申请。中标人项目经理根据相关规范或与采购人商定的内容、步骤制定项目验收方案，并至少提前10日提交给采购人，双方对验收方案进行确认。</w:t>
      </w:r>
    </w:p>
    <w:p>
      <w:pPr>
        <w:pStyle w:val="81"/>
        <w:keepNext w:val="0"/>
        <w:keepLines w:val="0"/>
        <w:pageBreakBefore w:val="0"/>
        <w:widowControl w:val="0"/>
        <w:numPr>
          <w:ilvl w:val="0"/>
          <w:numId w:val="0"/>
        </w:numPr>
        <w:tabs>
          <w:tab w:val="left" w:pos="312"/>
        </w:tabs>
        <w:kinsoku/>
        <w:overflowPunct/>
        <w:autoSpaceDE/>
        <w:autoSpaceDN/>
        <w:bidi w:val="0"/>
        <w:adjustRightInd w:val="0"/>
        <w:snapToGrid w:val="0"/>
        <w:spacing w:line="50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sz w:val="24"/>
        </w:rPr>
        <w:t>采购人委托第三方组织专家进行项目终验。终验包括对所有交付品的检查、功能与性能等验收。</w:t>
      </w:r>
    </w:p>
    <w:p>
      <w:pPr>
        <w:pStyle w:val="81"/>
        <w:keepNext w:val="0"/>
        <w:keepLines w:val="0"/>
        <w:pageBreakBefore w:val="0"/>
        <w:widowControl w:val="0"/>
        <w:numPr>
          <w:ilvl w:val="0"/>
          <w:numId w:val="0"/>
        </w:numPr>
        <w:tabs>
          <w:tab w:val="left" w:pos="312"/>
        </w:tabs>
        <w:kinsoku/>
        <w:overflowPunct/>
        <w:autoSpaceDE/>
        <w:autoSpaceDN/>
        <w:bidi w:val="0"/>
        <w:adjustRightInd w:val="0"/>
        <w:snapToGrid w:val="0"/>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lang w:val="en-US" w:eastAsia="zh-CN"/>
        </w:rPr>
        <w:t>九、</w:t>
      </w:r>
      <w:r>
        <w:rPr>
          <w:rFonts w:hint="eastAsia" w:ascii="宋体" w:hAnsi="宋体" w:eastAsia="宋体" w:cs="宋体"/>
          <w:b/>
          <w:bCs/>
          <w:sz w:val="24"/>
          <w:szCs w:val="24"/>
        </w:rPr>
        <w:t>交付标准和方法</w:t>
      </w:r>
    </w:p>
    <w:p>
      <w:pPr>
        <w:pStyle w:val="81"/>
        <w:keepNext w:val="0"/>
        <w:keepLines w:val="0"/>
        <w:pageBreakBefore w:val="0"/>
        <w:widowControl w:val="0"/>
        <w:numPr>
          <w:ilvl w:val="0"/>
          <w:numId w:val="0"/>
        </w:numPr>
        <w:tabs>
          <w:tab w:val="left" w:pos="312"/>
        </w:tabs>
        <w:kinsoku/>
        <w:overflowPunct/>
        <w:autoSpaceDE/>
        <w:autoSpaceDN/>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p>
    <w:p>
      <w:pPr>
        <w:pStyle w:val="81"/>
        <w:keepNext w:val="0"/>
        <w:keepLines w:val="0"/>
        <w:pageBreakBefore w:val="0"/>
        <w:widowControl w:val="0"/>
        <w:numPr>
          <w:ilvl w:val="0"/>
          <w:numId w:val="0"/>
        </w:numPr>
        <w:tabs>
          <w:tab w:val="left" w:pos="312"/>
        </w:tabs>
        <w:kinsoku/>
        <w:overflowPunct/>
        <w:autoSpaceDE/>
        <w:autoSpaceDN/>
        <w:bidi w:val="0"/>
        <w:adjustRightInd w:val="0"/>
        <w:snapToGrid w:val="0"/>
        <w:spacing w:line="500" w:lineRule="exact"/>
        <w:ind w:firstLine="48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十、质量保修范围和保修期</w:t>
      </w:r>
    </w:p>
    <w:p>
      <w:pPr>
        <w:pStyle w:val="81"/>
        <w:keepNext w:val="0"/>
        <w:keepLines w:val="0"/>
        <w:pageBreakBefore w:val="0"/>
        <w:widowControl w:val="0"/>
        <w:numPr>
          <w:ilvl w:val="0"/>
          <w:numId w:val="0"/>
        </w:numPr>
        <w:tabs>
          <w:tab w:val="left" w:pos="312"/>
        </w:tabs>
        <w:kinsoku/>
        <w:overflowPunct/>
        <w:autoSpaceDE/>
        <w:autoSpaceDN/>
        <w:bidi w:val="0"/>
        <w:adjustRightInd w:val="0"/>
        <w:snapToGrid w:val="0"/>
        <w:spacing w:line="500" w:lineRule="exact"/>
        <w:ind w:firstLine="480" w:firstLineChars="200"/>
        <w:textAlignment w:val="auto"/>
        <w:rPr>
          <w:rFonts w:hint="eastAsia" w:ascii="宋体" w:hAnsi="宋体" w:eastAsia="宋体" w:cs="宋体"/>
          <w:lang w:val="en-US" w:eastAsia="zh-CN"/>
        </w:rPr>
      </w:pPr>
    </w:p>
    <w:p>
      <w:pPr>
        <w:pStyle w:val="80"/>
        <w:keepNext w:val="0"/>
        <w:keepLines w:val="0"/>
        <w:pageBreakBefore w:val="0"/>
        <w:numPr>
          <w:ilvl w:val="-1"/>
          <w:numId w:val="0"/>
        </w:numPr>
        <w:kinsoku/>
        <w:autoSpaceDE/>
        <w:bidi w:val="0"/>
        <w:spacing w:line="500" w:lineRule="exact"/>
        <w:ind w:left="0"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val="0"/>
          <w:sz w:val="24"/>
          <w:szCs w:val="24"/>
          <w:lang w:val="en-US" w:eastAsia="zh-CN"/>
        </w:rPr>
        <w:t>十一、</w:t>
      </w:r>
      <w:r>
        <w:rPr>
          <w:rFonts w:hint="eastAsia" w:ascii="宋体" w:hAnsi="宋体" w:eastAsia="宋体" w:cs="宋体"/>
          <w:b/>
          <w:bCs w:val="0"/>
          <w:sz w:val="24"/>
          <w:szCs w:val="24"/>
        </w:rPr>
        <w:t>知识产权</w:t>
      </w:r>
      <w:bookmarkEnd w:id="337"/>
      <w:bookmarkEnd w:id="338"/>
      <w:bookmarkEnd w:id="339"/>
    </w:p>
    <w:p>
      <w:pPr>
        <w:pStyle w:val="81"/>
        <w:keepNext w:val="0"/>
        <w:keepLines w:val="0"/>
        <w:pageBreakBefore w:val="0"/>
        <w:numPr>
          <w:ilvl w:val="1"/>
          <w:numId w:val="0"/>
        </w:numPr>
        <w:kinsoku/>
        <w:autoSpaceDE/>
        <w:bidi w:val="0"/>
        <w:spacing w:line="500" w:lineRule="exact"/>
        <w:ind w:left="0" w:right="0" w:rightChars="0" w:firstLine="480" w:firstLineChars="200"/>
        <w:textAlignment w:val="auto"/>
        <w:rPr>
          <w:rFonts w:hint="eastAsia" w:ascii="宋体" w:hAnsi="宋体" w:eastAsia="宋体" w:cs="宋体"/>
          <w:sz w:val="24"/>
          <w:szCs w:val="24"/>
        </w:rPr>
      </w:pPr>
      <w:bookmarkStart w:id="340" w:name="_Toc25950"/>
      <w:bookmarkStart w:id="341" w:name="_Toc12480"/>
      <w:bookmarkStart w:id="342" w:name="_Toc5664"/>
      <w:r>
        <w:rPr>
          <w:rFonts w:hint="eastAsia" w:ascii="宋体" w:hAnsi="宋体" w:eastAsia="宋体" w:cs="宋体"/>
          <w:sz w:val="24"/>
          <w:szCs w:val="24"/>
        </w:rPr>
        <w:t>1.乙方应保证所提供的服务或其任何一部分均不会侵犯任何第三方的专利权、商标权或著作权。</w:t>
      </w:r>
      <w:r>
        <w:rPr>
          <w:rFonts w:hint="eastAsia" w:ascii="宋体" w:hAnsi="宋体" w:eastAsia="宋体" w:cs="宋体"/>
          <w:sz w:val="24"/>
          <w:szCs w:val="24"/>
          <w:lang w:val="zh-CN"/>
        </w:rPr>
        <w:t>如果任何第三方提出侵权指控，乙方必须负责与第三方交涉和承担可能发生的一切法律责任，并承担甲方因此而遭受的一切损失和费用。</w:t>
      </w:r>
    </w:p>
    <w:p>
      <w:pPr>
        <w:keepNext w:val="0"/>
        <w:keepLines w:val="0"/>
        <w:pageBreakBefore w:val="0"/>
        <w:numPr>
          <w:ilvl w:val="1"/>
          <w:numId w:val="0"/>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次开发服务所交付的技术成果的所有权、专利申请权、使用权、转让权及其它有关的权利均归甲方所有。乙方应确保该等技术成果不侵犯任何第三人的合法利益。乙方非经甲方书面同意，不得以任何方式向第三方披露、转让，除本项目需要外，不得以任何方式进行商业性利用。</w:t>
      </w:r>
    </w:p>
    <w:p>
      <w:pPr>
        <w:pStyle w:val="81"/>
        <w:keepNext w:val="0"/>
        <w:keepLines w:val="0"/>
        <w:pageBreakBefore w:val="0"/>
        <w:numPr>
          <w:ilvl w:val="1"/>
          <w:numId w:val="0"/>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3.乙方在服务过程中开发或使用的新技术、新工艺、新方法、新发明、新发现等技术成果，其发明创造的专利申请权、专利权、著作权、技术秘密成果使用权、转让权及利益属</w:t>
      </w:r>
      <w:r>
        <w:rPr>
          <w:rFonts w:hint="eastAsia" w:ascii="宋体" w:hAnsi="宋体" w:eastAsia="宋体" w:cs="宋体"/>
          <w:sz w:val="24"/>
          <w:szCs w:val="24"/>
          <w:u w:val="single"/>
        </w:rPr>
        <w:t xml:space="preserve">   甲方   </w:t>
      </w:r>
      <w:r>
        <w:rPr>
          <w:rFonts w:hint="eastAsia" w:ascii="宋体" w:hAnsi="宋体" w:eastAsia="宋体" w:cs="宋体"/>
          <w:sz w:val="24"/>
          <w:szCs w:val="24"/>
        </w:rPr>
        <w:t>所有。</w:t>
      </w:r>
    </w:p>
    <w:p>
      <w:pPr>
        <w:keepNext w:val="0"/>
        <w:keepLines w:val="0"/>
        <w:pageBreakBefore w:val="0"/>
        <w:widowControl/>
        <w:pBdr>
          <w:top w:val="none" w:color="000000" w:sz="0" w:space="0"/>
          <w:left w:val="none" w:color="000000" w:sz="0" w:space="0"/>
          <w:bottom w:val="none" w:color="000000" w:sz="0" w:space="0"/>
          <w:right w:val="none" w:color="000000" w:sz="0" w:space="0"/>
        </w:pBdr>
        <w:kinsoku/>
        <w:autoSpaceDE/>
        <w:autoSpaceDN w:val="0"/>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4.乙方保证本项目进行过程中所使用的软件（程序、数据）、硬件产品、开发工具、测试工具等均为正版。</w:t>
      </w:r>
    </w:p>
    <w:p>
      <w:pPr>
        <w:keepNext w:val="0"/>
        <w:keepLines w:val="0"/>
        <w:pageBreakBefore w:val="0"/>
        <w:widowControl/>
        <w:pBdr>
          <w:top w:val="none" w:color="000000" w:sz="0" w:space="0"/>
          <w:left w:val="none" w:color="000000" w:sz="0" w:space="0"/>
          <w:bottom w:val="none" w:color="000000" w:sz="0" w:space="0"/>
          <w:right w:val="none" w:color="000000" w:sz="0" w:space="0"/>
        </w:pBdr>
        <w:kinsoku/>
        <w:autoSpaceDE/>
        <w:autoSpaceDN w:val="0"/>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5.乙方拥有以上产品的合法版权和著作权，或者为以上产品的合法授权代理商。乙方须向甲方提供相关证明材料；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autoSpaceDE/>
        <w:autoSpaceDN w:val="0"/>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如乙方开发过程中使用了第三方技术（如某些控件、中间件），涉及第三方知识产权问题，乙方须有第三方许可（开源的除外），且提供授权。</w:t>
      </w:r>
    </w:p>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7.如乙方在项目进行过程中使用非授权软件，乙方将承担由此引起的所有责任，包括但不限于法律责任、经济责任和赔偿责任。</w:t>
      </w:r>
    </w:p>
    <w:bookmarkEnd w:id="340"/>
    <w:bookmarkEnd w:id="341"/>
    <w:bookmarkEnd w:id="342"/>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bookmarkStart w:id="343" w:name="_Toc32429"/>
      <w:bookmarkStart w:id="344" w:name="_Toc8015"/>
      <w:bookmarkStart w:id="345" w:name="_Toc10067"/>
      <w:r>
        <w:rPr>
          <w:rFonts w:hint="eastAsia" w:ascii="宋体" w:hAnsi="宋体" w:eastAsia="宋体" w:cs="宋体"/>
          <w:sz w:val="24"/>
          <w:szCs w:val="24"/>
        </w:rPr>
        <w:t>因此给甲方造成的损失承担赔偿责任。</w:t>
      </w:r>
    </w:p>
    <w:p>
      <w:pPr>
        <w:pStyle w:val="80"/>
        <w:keepNext w:val="0"/>
        <w:keepLines w:val="0"/>
        <w:pageBreakBefore w:val="0"/>
        <w:numPr>
          <w:ilvl w:val="1"/>
          <w:numId w:val="0"/>
        </w:numPr>
        <w:kinsoku/>
        <w:autoSpaceDE/>
        <w:bidi w:val="0"/>
        <w:spacing w:line="500" w:lineRule="exact"/>
        <w:ind w:left="0" w:leftChars="0" w:right="0" w:righ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十二、</w:t>
      </w:r>
      <w:r>
        <w:rPr>
          <w:rFonts w:hint="eastAsia" w:ascii="宋体" w:hAnsi="宋体" w:eastAsia="宋体" w:cs="宋体"/>
          <w:sz w:val="24"/>
          <w:szCs w:val="24"/>
        </w:rPr>
        <w:t>甲方的权利和义务</w:t>
      </w:r>
      <w:bookmarkEnd w:id="343"/>
      <w:bookmarkEnd w:id="344"/>
      <w:bookmarkEnd w:id="345"/>
    </w:p>
    <w:p>
      <w:pPr>
        <w:pStyle w:val="80"/>
        <w:keepNext w:val="0"/>
        <w:keepLines w:val="0"/>
        <w:pageBreakBefore w:val="0"/>
        <w:numPr>
          <w:ilvl w:val="1"/>
          <w:numId w:val="0"/>
        </w:numPr>
        <w:kinsoku/>
        <w:autoSpaceDE/>
        <w:bidi w:val="0"/>
        <w:spacing w:line="500" w:lineRule="exact"/>
        <w:ind w:left="0" w:leftChars="0" w:right="0" w:rightChars="0" w:firstLine="482" w:firstLineChars="200"/>
        <w:textAlignment w:val="auto"/>
        <w:rPr>
          <w:rFonts w:hint="eastAsia" w:ascii="宋体" w:hAnsi="宋体" w:eastAsia="宋体" w:cs="宋体"/>
          <w:sz w:val="24"/>
          <w:szCs w:val="24"/>
        </w:rPr>
      </w:pPr>
      <w:bookmarkStart w:id="346" w:name="_Toc8944"/>
      <w:bookmarkStart w:id="347" w:name="_Toc32072"/>
      <w:bookmarkStart w:id="348" w:name="_Toc21854"/>
      <w:r>
        <w:rPr>
          <w:rFonts w:hint="eastAsia" w:ascii="宋体" w:hAnsi="宋体" w:eastAsia="宋体" w:cs="宋体"/>
          <w:sz w:val="24"/>
          <w:szCs w:val="24"/>
          <w:lang w:val="en-US" w:eastAsia="zh-CN"/>
        </w:rPr>
        <w:t>十三、</w:t>
      </w:r>
      <w:r>
        <w:rPr>
          <w:rFonts w:hint="eastAsia" w:ascii="宋体" w:hAnsi="宋体" w:eastAsia="宋体" w:cs="宋体"/>
          <w:sz w:val="24"/>
          <w:szCs w:val="24"/>
        </w:rPr>
        <w:t>乙方的权利和义务</w:t>
      </w:r>
      <w:bookmarkEnd w:id="346"/>
      <w:bookmarkEnd w:id="347"/>
      <w:bookmarkEnd w:id="348"/>
    </w:p>
    <w:p>
      <w:pPr>
        <w:pStyle w:val="80"/>
        <w:keepNext w:val="0"/>
        <w:keepLines w:val="0"/>
        <w:pageBreakBefore w:val="0"/>
        <w:numPr>
          <w:ilvl w:val="1"/>
          <w:numId w:val="0"/>
        </w:numPr>
        <w:kinsoku/>
        <w:autoSpaceDE/>
        <w:bidi w:val="0"/>
        <w:spacing w:line="500" w:lineRule="exact"/>
        <w:ind w:left="0" w:leftChars="0" w:right="0" w:rightChars="0" w:firstLine="482" w:firstLineChars="200"/>
        <w:textAlignment w:val="auto"/>
        <w:rPr>
          <w:rFonts w:hint="eastAsia" w:ascii="宋体" w:hAnsi="宋体" w:eastAsia="宋体" w:cs="宋体"/>
          <w:sz w:val="24"/>
          <w:szCs w:val="24"/>
        </w:rPr>
      </w:pPr>
      <w:bookmarkStart w:id="349" w:name="_Toc30050"/>
      <w:bookmarkStart w:id="350" w:name="_Toc9698"/>
      <w:bookmarkStart w:id="351" w:name="_Toc3360"/>
      <w:r>
        <w:rPr>
          <w:rFonts w:hint="eastAsia" w:ascii="宋体" w:hAnsi="宋体" w:eastAsia="宋体" w:cs="宋体"/>
          <w:sz w:val="24"/>
          <w:szCs w:val="24"/>
          <w:lang w:val="en-US" w:eastAsia="zh-CN"/>
        </w:rPr>
        <w:t>十四、</w:t>
      </w:r>
      <w:r>
        <w:rPr>
          <w:rFonts w:hint="eastAsia" w:ascii="宋体" w:hAnsi="宋体" w:eastAsia="宋体" w:cs="宋体"/>
          <w:sz w:val="24"/>
          <w:szCs w:val="24"/>
        </w:rPr>
        <w:t>违约责任</w:t>
      </w:r>
      <w:bookmarkEnd w:id="349"/>
      <w:bookmarkEnd w:id="350"/>
      <w:bookmarkEnd w:id="351"/>
    </w:p>
    <w:p>
      <w:pPr>
        <w:pStyle w:val="81"/>
        <w:keepNext w:val="0"/>
        <w:keepLines w:val="0"/>
        <w:pageBreakBefore w:val="0"/>
        <w:numPr>
          <w:ilvl w:val="1"/>
          <w:numId w:val="16"/>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乙方的违约责任</w:t>
      </w:r>
    </w:p>
    <w:p>
      <w:pPr>
        <w:keepNext w:val="0"/>
        <w:keepLines w:val="0"/>
        <w:pageBreakBefore w:val="0"/>
        <w:kinsoku/>
        <w:topLinePunct/>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1.如因乙方原因终止合同，乙方应于3日内退还甲方支付乙方的全部合同款，并向甲方支付合同总金额10%的违约金。</w:t>
      </w:r>
    </w:p>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如因乙方原因，</w:t>
      </w:r>
      <w:r>
        <w:rPr>
          <w:rFonts w:hint="eastAsia" w:ascii="宋体" w:hAnsi="宋体" w:eastAsia="宋体" w:cs="宋体"/>
          <w:kern w:val="0"/>
          <w:sz w:val="24"/>
          <w:szCs w:val="24"/>
        </w:rPr>
        <w:t>逾期交付项目从成果的，每逾期1日按合同总金额0.02%向甲方支付违约金。逾期达30个自然日，甲方有权终止合同执行，并要求乙方退还已支付的合同款项，并按合同</w:t>
      </w:r>
      <w:r>
        <w:rPr>
          <w:rFonts w:hint="eastAsia" w:ascii="宋体" w:hAnsi="宋体" w:eastAsia="宋体" w:cs="宋体"/>
          <w:sz w:val="24"/>
          <w:szCs w:val="24"/>
        </w:rPr>
        <w:t>总金额10%向甲方支付违约金</w:t>
      </w:r>
      <w:r>
        <w:rPr>
          <w:rFonts w:hint="eastAsia" w:ascii="宋体" w:hAnsi="宋体" w:eastAsia="宋体" w:cs="宋体"/>
          <w:kern w:val="0"/>
          <w:sz w:val="24"/>
          <w:szCs w:val="24"/>
        </w:rPr>
        <w:t>。</w:t>
      </w:r>
    </w:p>
    <w:p>
      <w:pPr>
        <w:keepNext w:val="0"/>
        <w:keepLines w:val="0"/>
        <w:pageBreakBefore w:val="0"/>
        <w:kinsoku/>
        <w:topLinePunct/>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因乙方原因，不能按合同规定时间完成项目节点任务的，乙方应承担延误责任。每延迟一天向甲方支付合同总金额0.02%的违约金，最多至合同总金额的10%。如延迟超过30个自然日，甲方有权终止合同执行，要求乙方退还已支付的合同款项</w:t>
      </w:r>
      <w:r>
        <w:rPr>
          <w:rFonts w:hint="eastAsia" w:ascii="宋体" w:hAnsi="宋体" w:eastAsia="宋体" w:cs="宋体"/>
          <w:kern w:val="0"/>
          <w:sz w:val="24"/>
          <w:szCs w:val="24"/>
        </w:rPr>
        <w:t>，并按合同</w:t>
      </w:r>
      <w:r>
        <w:rPr>
          <w:rFonts w:hint="eastAsia" w:ascii="宋体" w:hAnsi="宋体" w:eastAsia="宋体" w:cs="宋体"/>
          <w:sz w:val="24"/>
          <w:szCs w:val="24"/>
        </w:rPr>
        <w:t>总金额10%向甲方支付违约金</w:t>
      </w:r>
      <w:r>
        <w:rPr>
          <w:rFonts w:hint="eastAsia" w:ascii="宋体" w:hAnsi="宋体" w:eastAsia="宋体" w:cs="宋体"/>
          <w:kern w:val="0"/>
          <w:sz w:val="24"/>
          <w:szCs w:val="24"/>
        </w:rPr>
        <w:t>。</w:t>
      </w:r>
      <w:r>
        <w:rPr>
          <w:rFonts w:hint="eastAsia" w:ascii="宋体" w:hAnsi="宋体" w:eastAsia="宋体" w:cs="宋体"/>
          <w:sz w:val="24"/>
          <w:szCs w:val="24"/>
        </w:rPr>
        <w:t>。</w:t>
      </w:r>
    </w:p>
    <w:p>
      <w:pPr>
        <w:keepNext w:val="0"/>
        <w:keepLines w:val="0"/>
        <w:pageBreakBefore w:val="0"/>
        <w:kinsoku/>
        <w:topLinePunct/>
        <w:autoSpaceDE/>
        <w:bidi w:val="0"/>
        <w:spacing w:line="500" w:lineRule="exact"/>
        <w:ind w:left="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4. 如因乙方原因，不能按照《成都市住建局数据中心建设项目》中的要求进行工作、并按照规定的时间和内容交付项目成果的，经甲方提醒三次无效，甲方可</w:t>
      </w:r>
      <w:r>
        <w:rPr>
          <w:rFonts w:hint="eastAsia" w:ascii="宋体" w:hAnsi="宋体" w:eastAsia="宋体" w:cs="宋体"/>
          <w:kern w:val="0"/>
          <w:sz w:val="24"/>
          <w:szCs w:val="24"/>
        </w:rPr>
        <w:t>立即</w:t>
      </w:r>
      <w:r>
        <w:rPr>
          <w:rFonts w:hint="eastAsia" w:ascii="宋体" w:hAnsi="宋体" w:eastAsia="宋体" w:cs="宋体"/>
          <w:sz w:val="24"/>
          <w:szCs w:val="24"/>
        </w:rPr>
        <w:t>终止合同执行，</w:t>
      </w:r>
      <w:r>
        <w:rPr>
          <w:rFonts w:hint="eastAsia" w:ascii="宋体" w:hAnsi="宋体" w:eastAsia="宋体" w:cs="宋体"/>
          <w:kern w:val="0"/>
          <w:sz w:val="24"/>
          <w:szCs w:val="24"/>
        </w:rPr>
        <w:t>自甲方发出终止通知送达乙方之日生效，</w:t>
      </w:r>
      <w:r>
        <w:rPr>
          <w:rFonts w:hint="eastAsia" w:ascii="宋体" w:hAnsi="宋体" w:eastAsia="宋体" w:cs="宋体"/>
          <w:sz w:val="24"/>
          <w:szCs w:val="24"/>
        </w:rPr>
        <w:t>乙方</w:t>
      </w:r>
      <w:r>
        <w:rPr>
          <w:rFonts w:hint="eastAsia" w:ascii="宋体" w:hAnsi="宋体" w:eastAsia="宋体" w:cs="宋体"/>
          <w:kern w:val="0"/>
          <w:sz w:val="24"/>
          <w:szCs w:val="24"/>
        </w:rPr>
        <w:t>应于终止通知送达之日起3日内全额</w:t>
      </w:r>
      <w:r>
        <w:rPr>
          <w:rFonts w:hint="eastAsia" w:ascii="宋体" w:hAnsi="宋体" w:eastAsia="宋体" w:cs="宋体"/>
          <w:sz w:val="24"/>
          <w:szCs w:val="24"/>
        </w:rPr>
        <w:t>退还未提供服务期间已收取的合同款项（按本合同约定的总价款和开发服务天数进行折算）</w:t>
      </w:r>
      <w:r>
        <w:rPr>
          <w:rFonts w:hint="eastAsia" w:ascii="宋体" w:hAnsi="宋体" w:eastAsia="宋体" w:cs="宋体"/>
          <w:kern w:val="0"/>
          <w:sz w:val="24"/>
          <w:szCs w:val="24"/>
        </w:rPr>
        <w:t>，并按合同</w:t>
      </w:r>
      <w:r>
        <w:rPr>
          <w:rFonts w:hint="eastAsia" w:ascii="宋体" w:hAnsi="宋体" w:eastAsia="宋体" w:cs="宋体"/>
          <w:sz w:val="24"/>
          <w:szCs w:val="24"/>
        </w:rPr>
        <w:t>总金额10%向甲方支付违约金</w:t>
      </w:r>
      <w:r>
        <w:rPr>
          <w:rFonts w:hint="eastAsia" w:ascii="宋体" w:hAnsi="宋体" w:eastAsia="宋体" w:cs="宋体"/>
          <w:kern w:val="0"/>
          <w:sz w:val="24"/>
          <w:szCs w:val="24"/>
        </w:rPr>
        <w:t>。</w:t>
      </w:r>
    </w:p>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5.乙方违反本合同规定将本合同项目部分或全部转让给第三人的，乙方应按合同总价款50%支付违约金，甲方有权解除合同，有权要求乙方在7日内退还甲方已交付的全部款项并赔偿甲方因此而遭受的损失。</w:t>
      </w:r>
    </w:p>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6.乙方违反本合同规定未提供免费培训义务，乙方应按合同规定继续履行免费培训义务。如果乙方提供的免费培训服务与合同约定不符或没有满足甲方需要，甲方有权另请他人完成培训任务，所需费用由乙方承担。</w:t>
      </w:r>
    </w:p>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因乙方的原因导致甲方提供的技术资料、数据文件或其他物品的丢失、损坏、污染，甲方有权要求乙方赔偿。</w:t>
      </w:r>
    </w:p>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在本合同履行中，因作为研究开发标的的技术已经由他人公开（包括以专利权方式公开），乙方应在30日内通知甲方解除合同。逾期未通知并致使甲方产生损失的，甲方有权要求予以赔偿，甲方已支付的款项应如数退回。</w:t>
      </w:r>
    </w:p>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9.在本合同履行中，因出现现有技术水平和条件下难以克服的技术困难，导致研究开发失败或部分失败，并造成一方或双方损失的，由乙方承担相应损失赔偿责任。</w:t>
      </w:r>
    </w:p>
    <w:p>
      <w:pPr>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pacing w:val="21"/>
          <w:sz w:val="24"/>
          <w:szCs w:val="24"/>
        </w:rPr>
      </w:pPr>
      <w:r>
        <w:rPr>
          <w:rFonts w:hint="eastAsia" w:ascii="宋体" w:hAnsi="宋体" w:eastAsia="宋体" w:cs="宋体"/>
          <w:sz w:val="24"/>
          <w:szCs w:val="24"/>
        </w:rPr>
        <w:t xml:space="preserve">    10.一方发现技术风险存在并有可能致使研究开发失败或部分失败的情形时，应当在5日内通知另一方并采取适当措施减少损失。逾期未通知并未采取适当措施而致使损失扩大的，应当就扩大的损失承担赔偿责任。</w:t>
      </w:r>
    </w:p>
    <w:p>
      <w:pPr>
        <w:pStyle w:val="81"/>
        <w:keepNext w:val="0"/>
        <w:keepLines w:val="0"/>
        <w:pageBreakBefore w:val="0"/>
        <w:numPr>
          <w:ilvl w:val="1"/>
          <w:numId w:val="0"/>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11.在本合同履行过程中，因乙方自身经营风险导致研究开发失败或部分失败的，甲方有权单方面解除合同，造成甲方损失的，由乙方承担相应损失赔偿责任。</w:t>
      </w:r>
    </w:p>
    <w:p>
      <w:pPr>
        <w:pStyle w:val="81"/>
        <w:keepNext w:val="0"/>
        <w:keepLines w:val="0"/>
        <w:pageBreakBefore w:val="0"/>
        <w:numPr>
          <w:ilvl w:val="1"/>
          <w:numId w:val="16"/>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甲方的违约责任</w:t>
      </w:r>
    </w:p>
    <w:p>
      <w:pPr>
        <w:keepNext w:val="0"/>
        <w:keepLines w:val="0"/>
        <w:pageBreakBefore w:val="0"/>
        <w:kinsoku/>
        <w:topLinePunct/>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如甲方无故逾期支付服务费用或退还履约保证金的，则甲方承担相应的责任。甲方每迟延支付一天，向乙方支付逾期支付部分金额的0.02%的违约金，最多至逾期支付部分金额的10%。</w:t>
      </w:r>
    </w:p>
    <w:p>
      <w:pPr>
        <w:keepNext w:val="0"/>
        <w:keepLines w:val="0"/>
        <w:pageBreakBefore w:val="0"/>
        <w:kinsoku/>
        <w:topLinePunct/>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2.如因甲方原因导致乙方不能按合同规定时间提供设备，或由于甲方原因不能在乙方书面提出的时间内提供设备安装调试条件和环境，导致乙方不能按规定日期完成整个工程时，由甲方承担相应的责任。</w:t>
      </w:r>
    </w:p>
    <w:p>
      <w:pPr>
        <w:keepNext w:val="0"/>
        <w:keepLines w:val="0"/>
        <w:pageBreakBefore w:val="0"/>
        <w:kinsoku/>
        <w:topLinePunct/>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如由于甲方原因终止合同，由甲方承担相应的责任，并向乙方支付合同总额的10%的违约金。</w:t>
      </w:r>
    </w:p>
    <w:p>
      <w:pPr>
        <w:keepNext w:val="0"/>
        <w:keepLines w:val="0"/>
        <w:pageBreakBefore w:val="0"/>
        <w:kinsoku/>
        <w:topLinePunct/>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本合同项下所有的违约、赔偿都是相互独立的，可以累加的。如果在甲方发出索赔通知后14天内，乙方未作答复，上述索赔应视为已被乙方接受，如乙方未能在甲方发出索赔通知后14天内或甲方同意的延长期限内，按照双方同意的上述规定的任何一种方法解决索赔事宜，甲方将从应付合同款扣回索赔金额。</w:t>
      </w:r>
    </w:p>
    <w:p>
      <w:pPr>
        <w:pStyle w:val="80"/>
        <w:keepNext w:val="0"/>
        <w:keepLines w:val="0"/>
        <w:pageBreakBefore w:val="0"/>
        <w:numPr>
          <w:ilvl w:val="1"/>
          <w:numId w:val="0"/>
        </w:numPr>
        <w:kinsoku/>
        <w:autoSpaceDE/>
        <w:bidi w:val="0"/>
        <w:spacing w:line="500" w:lineRule="exact"/>
        <w:ind w:left="0" w:leftChars="0" w:right="0" w:rightChars="0" w:firstLine="482" w:firstLineChars="200"/>
        <w:textAlignment w:val="auto"/>
        <w:rPr>
          <w:rFonts w:hint="eastAsia" w:ascii="宋体" w:hAnsi="宋体" w:eastAsia="宋体" w:cs="宋体"/>
          <w:sz w:val="24"/>
          <w:szCs w:val="24"/>
        </w:rPr>
      </w:pPr>
      <w:bookmarkStart w:id="352" w:name="_Toc5305"/>
      <w:bookmarkStart w:id="353" w:name="_Toc23886"/>
      <w:bookmarkStart w:id="354" w:name="_Toc7961"/>
      <w:r>
        <w:rPr>
          <w:rFonts w:hint="eastAsia" w:ascii="宋体" w:hAnsi="宋体" w:eastAsia="宋体" w:cs="宋体"/>
          <w:sz w:val="24"/>
          <w:szCs w:val="24"/>
          <w:lang w:val="en-US" w:eastAsia="zh-CN"/>
        </w:rPr>
        <w:t>十五、</w:t>
      </w:r>
      <w:r>
        <w:rPr>
          <w:rFonts w:hint="eastAsia" w:ascii="宋体" w:hAnsi="宋体" w:eastAsia="宋体" w:cs="宋体"/>
          <w:sz w:val="24"/>
          <w:szCs w:val="24"/>
        </w:rPr>
        <w:t>不可抗力事件处理</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52"/>
      <w:bookmarkEnd w:id="353"/>
      <w:bookmarkEnd w:id="354"/>
      <w:bookmarkStart w:id="355" w:name="_Toc11291"/>
      <w:bookmarkStart w:id="356" w:name="_Toc17811"/>
      <w:bookmarkStart w:id="357" w:name="_Toc15776"/>
    </w:p>
    <w:p>
      <w:pPr>
        <w:pStyle w:val="81"/>
        <w:keepNext w:val="0"/>
        <w:keepLines w:val="0"/>
        <w:pageBreakBefore w:val="0"/>
        <w:numPr>
          <w:ilvl w:val="1"/>
          <w:numId w:val="17"/>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火灾、水灾、地震、战争等不可抗力原因而不能履行合同或延迟履行合同的，一方或双方可在受不可抗力影响的范围内免于承担该不可抗力所导致的违约责任，但该方当事人应在不可抗力事件发生之日起48小时内，将该不可抗力事件及其对履约之影响以电话、信函、电报或传真等形式通知另一方当事人。遭受不可抗力之一方或双方当事人须采取一切可能的措施减少或消除前述不可抗力对合同履行的影响，并在该不可抗力事件消除后10日内以挂号信件等有效送达方式向对方当事人提供该不可抗力及其对履约产生实质性影响的证明。</w:t>
      </w:r>
    </w:p>
    <w:p>
      <w:pPr>
        <w:pStyle w:val="81"/>
        <w:keepNext w:val="0"/>
        <w:keepLines w:val="0"/>
        <w:pageBreakBefore w:val="0"/>
        <w:numPr>
          <w:ilvl w:val="1"/>
          <w:numId w:val="17"/>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双方确定，因发生不可抗力，致使本合同的履行成为不必要或不可能的，一方应当及时通知另一方解除或变更合同。如果一方未及时通知对方或未采取必要措施，责任方须对扩大的损失承担赔偿责任。</w:t>
      </w:r>
    </w:p>
    <w:p>
      <w:pPr>
        <w:pStyle w:val="80"/>
        <w:keepNext w:val="0"/>
        <w:keepLines w:val="0"/>
        <w:pageBreakBefore w:val="0"/>
        <w:numPr>
          <w:ilvl w:val="1"/>
          <w:numId w:val="0"/>
        </w:numPr>
        <w:kinsoku/>
        <w:autoSpaceDE/>
        <w:bidi w:val="0"/>
        <w:spacing w:line="500" w:lineRule="exact"/>
        <w:ind w:left="0" w:leftChars="0" w:right="0" w:righ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十六、</w:t>
      </w:r>
      <w:r>
        <w:rPr>
          <w:rFonts w:hint="eastAsia" w:ascii="宋体" w:hAnsi="宋体" w:eastAsia="宋体" w:cs="宋体"/>
          <w:sz w:val="24"/>
          <w:szCs w:val="24"/>
        </w:rPr>
        <w:t>解决争议</w:t>
      </w:r>
      <w:bookmarkEnd w:id="355"/>
      <w:bookmarkEnd w:id="356"/>
      <w:bookmarkEnd w:id="357"/>
    </w:p>
    <w:p>
      <w:pPr>
        <w:pStyle w:val="81"/>
        <w:keepNext w:val="0"/>
        <w:keepLines w:val="0"/>
        <w:pageBreakBefore w:val="0"/>
        <w:numPr>
          <w:ilvl w:val="1"/>
          <w:numId w:val="18"/>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任何由于本合同引起的或与其有关的纠纷或争议,合同各方应本着互信互谅的原则通过友好协商解决。</w:t>
      </w:r>
    </w:p>
    <w:p>
      <w:pPr>
        <w:pStyle w:val="81"/>
        <w:keepNext w:val="0"/>
        <w:keepLines w:val="0"/>
        <w:pageBreakBefore w:val="0"/>
        <w:numPr>
          <w:ilvl w:val="1"/>
          <w:numId w:val="18"/>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因服务的质量问题发生争议，由甲方或其指定的第三方机构进行质量鉴定。服务符合标准的，鉴定费由甲方承担；服务不符合质量标准的，鉴定费由乙方承担。</w:t>
      </w:r>
    </w:p>
    <w:p>
      <w:pPr>
        <w:pStyle w:val="81"/>
        <w:keepNext w:val="0"/>
        <w:keepLines w:val="0"/>
        <w:pageBreakBefore w:val="0"/>
        <w:numPr>
          <w:ilvl w:val="1"/>
          <w:numId w:val="18"/>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合同履行期间,若双方发生争议，可协商或由有关部门调解解决，协商或调解不成的，按照下列方式解决(任选一项，且只能选择一项，在选定的一项前的方框内打“√”)：</w:t>
      </w:r>
    </w:p>
    <w:p>
      <w:pPr>
        <w:pStyle w:val="78"/>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向仲裁委员会申请仲裁；☑向甲方所在地人民法院起诉。</w:t>
      </w:r>
    </w:p>
    <w:p>
      <w:pPr>
        <w:pStyle w:val="81"/>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在诉讼期间，除正在进行诉讼部分外，合同其他部分继续执行。 </w:t>
      </w:r>
    </w:p>
    <w:p>
      <w:pPr>
        <w:pStyle w:val="81"/>
        <w:keepNext w:val="0"/>
        <w:keepLines w:val="0"/>
        <w:pageBreakBefore w:val="0"/>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败诉方应承担胜诉方因诉讼产生的律师费、诉讼费、公告费、交通费、执行费、保全费等一切费用。 </w:t>
      </w:r>
    </w:p>
    <w:p>
      <w:pPr>
        <w:pStyle w:val="80"/>
        <w:keepNext w:val="0"/>
        <w:keepLines w:val="0"/>
        <w:pageBreakBefore w:val="0"/>
        <w:numPr>
          <w:ilvl w:val="1"/>
          <w:numId w:val="0"/>
        </w:numPr>
        <w:kinsoku/>
        <w:autoSpaceDE/>
        <w:bidi w:val="0"/>
        <w:spacing w:line="500" w:lineRule="exact"/>
        <w:ind w:left="0" w:leftChars="0" w:right="0" w:rightChars="0" w:firstLine="482" w:firstLineChars="200"/>
        <w:textAlignment w:val="auto"/>
        <w:rPr>
          <w:rFonts w:hint="eastAsia" w:ascii="宋体" w:hAnsi="宋体" w:eastAsia="宋体" w:cs="宋体"/>
          <w:sz w:val="24"/>
          <w:szCs w:val="24"/>
        </w:rPr>
      </w:pPr>
      <w:bookmarkStart w:id="358" w:name="_Toc232492934"/>
      <w:bookmarkStart w:id="359" w:name="_Toc225654650"/>
      <w:bookmarkStart w:id="360" w:name="_Toc251768868"/>
      <w:bookmarkStart w:id="361" w:name="_Toc225244858"/>
      <w:bookmarkStart w:id="362" w:name="_Toc241833909"/>
      <w:bookmarkStart w:id="363" w:name="_Toc283019219"/>
      <w:bookmarkStart w:id="364" w:name="_Toc211911354"/>
      <w:bookmarkStart w:id="365" w:name="_Toc286993793"/>
      <w:bookmarkStart w:id="366" w:name="_Toc239233920"/>
      <w:bookmarkStart w:id="367" w:name="_Toc238984981"/>
      <w:bookmarkStart w:id="368" w:name="_Toc225670757"/>
      <w:bookmarkStart w:id="369" w:name="_Toc185395255"/>
      <w:bookmarkStart w:id="370" w:name="_Toc212019600"/>
      <w:bookmarkStart w:id="371" w:name="_Toc247334847"/>
      <w:bookmarkStart w:id="372" w:name="_Toc239568424"/>
      <w:bookmarkStart w:id="373" w:name="_Toc282696231"/>
      <w:bookmarkStart w:id="374" w:name="_Toc237145412"/>
      <w:bookmarkStart w:id="375" w:name="_Toc211854455"/>
      <w:bookmarkStart w:id="376" w:name="_Toc3418"/>
      <w:bookmarkStart w:id="377" w:name="_Toc14980"/>
      <w:bookmarkStart w:id="378" w:name="_Toc12371"/>
      <w:r>
        <w:rPr>
          <w:rFonts w:hint="eastAsia" w:ascii="宋体" w:hAnsi="宋体" w:eastAsia="宋体" w:cs="宋体"/>
          <w:sz w:val="24"/>
          <w:szCs w:val="24"/>
          <w:lang w:val="en-US" w:eastAsia="zh-CN"/>
        </w:rPr>
        <w:t>十七、</w:t>
      </w:r>
      <w:r>
        <w:rPr>
          <w:rFonts w:hint="eastAsia" w:ascii="宋体" w:hAnsi="宋体" w:eastAsia="宋体" w:cs="宋体"/>
          <w:sz w:val="24"/>
          <w:szCs w:val="24"/>
        </w:rPr>
        <w:t>合同</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ascii="宋体" w:hAnsi="宋体" w:eastAsia="宋体" w:cs="宋体"/>
          <w:sz w:val="24"/>
          <w:szCs w:val="24"/>
        </w:rPr>
        <w:t>生效及其他</w:t>
      </w:r>
      <w:bookmarkEnd w:id="376"/>
      <w:bookmarkEnd w:id="377"/>
      <w:bookmarkEnd w:id="378"/>
    </w:p>
    <w:p>
      <w:pPr>
        <w:pStyle w:val="81"/>
        <w:keepNext w:val="0"/>
        <w:keepLines w:val="0"/>
        <w:pageBreakBefore w:val="0"/>
        <w:numPr>
          <w:ilvl w:val="1"/>
          <w:numId w:val="19"/>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合同经双方法定代表人或授权委托代理人签字并加盖单位公章后生效。</w:t>
      </w:r>
    </w:p>
    <w:p>
      <w:pPr>
        <w:pStyle w:val="81"/>
        <w:keepNext w:val="0"/>
        <w:keepLines w:val="0"/>
        <w:pageBreakBefore w:val="0"/>
        <w:numPr>
          <w:ilvl w:val="1"/>
          <w:numId w:val="19"/>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合同执行中涉及采购资金和采购内容修改或补充的，须经政府采购监管部门审批，并签书面补充协议报政府采购监督管理部门备案，方可作为主合同不可分割的一部分。</w:t>
      </w:r>
    </w:p>
    <w:p>
      <w:pPr>
        <w:pStyle w:val="81"/>
        <w:keepNext w:val="0"/>
        <w:keepLines w:val="0"/>
        <w:pageBreakBefore w:val="0"/>
        <w:numPr>
          <w:ilvl w:val="1"/>
          <w:numId w:val="19"/>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份，自双方签章之日起生效。甲方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w:t>
      </w:r>
    </w:p>
    <w:p>
      <w:pPr>
        <w:pStyle w:val="81"/>
        <w:keepNext w:val="0"/>
        <w:keepLines w:val="0"/>
        <w:pageBreakBefore w:val="0"/>
        <w:numPr>
          <w:ilvl w:val="1"/>
          <w:numId w:val="19"/>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保密条款可另行签订，并与本合同具有同等法律效力。</w:t>
      </w:r>
    </w:p>
    <w:p>
      <w:pPr>
        <w:pStyle w:val="80"/>
        <w:keepNext w:val="0"/>
        <w:keepLines w:val="0"/>
        <w:pageBreakBefore w:val="0"/>
        <w:numPr>
          <w:ilvl w:val="1"/>
          <w:numId w:val="0"/>
        </w:numPr>
        <w:kinsoku/>
        <w:autoSpaceDE/>
        <w:bidi w:val="0"/>
        <w:spacing w:line="500" w:lineRule="exact"/>
        <w:ind w:left="0" w:leftChars="0" w:right="0" w:righ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十八、</w:t>
      </w:r>
      <w:r>
        <w:rPr>
          <w:rFonts w:hint="eastAsia" w:ascii="宋体" w:hAnsi="宋体" w:eastAsia="宋体" w:cs="宋体"/>
          <w:sz w:val="24"/>
          <w:szCs w:val="24"/>
        </w:rPr>
        <w:t>通知与送达</w:t>
      </w:r>
    </w:p>
    <w:p>
      <w:pPr>
        <w:keepNext w:val="0"/>
        <w:keepLines w:val="0"/>
        <w:pageBreakBefore w:val="0"/>
        <w:widowControl/>
        <w:tabs>
          <w:tab w:val="left" w:pos="1200"/>
        </w:tabs>
        <w:kinsoku/>
        <w:overflowPunct w:val="0"/>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1.本合同项下的通知、要求、本合同所涉之债务催收、诉讼（仲裁）的法律文书或其他通信可交付或发送至本合同首部所约定的地址或本合同中约定的联系方式。</w:t>
      </w:r>
    </w:p>
    <w:p>
      <w:pPr>
        <w:keepNext w:val="0"/>
        <w:keepLines w:val="0"/>
        <w:pageBreakBefore w:val="0"/>
        <w:widowControl/>
        <w:tabs>
          <w:tab w:val="left" w:pos="1200"/>
        </w:tabs>
        <w:kinsoku/>
        <w:overflowPunct w:val="0"/>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就本合同项下一方给予另一方的任何通知、要求、债务催收函或其他通信，其中电子邮件进入收件方电子邮件系统即视为已送达接收方；邮政信函于投寄之日起第五个工作日即视为已送达接收方(邮政信函于投寄之日起同时以电话及短信方式告知丙方电子邮件收件当事人)；如派人专程送达，则接收方签收日视为送达，接收方拒收的，送达人可采取拍照、录像方式记录送达过程，并将文书留置，亦视为送达。</w:t>
      </w:r>
    </w:p>
    <w:p>
      <w:pPr>
        <w:keepNext w:val="0"/>
        <w:keepLines w:val="0"/>
        <w:pageBreakBefore w:val="0"/>
        <w:widowControl/>
        <w:tabs>
          <w:tab w:val="left" w:pos="1200"/>
        </w:tabs>
        <w:kinsoku/>
        <w:overflowPunct w:val="0"/>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司法机关或仲裁机构亦可按本款约定的地址、联系方式向一方发送相关（法律）文书，无人签收或接收方拒收的，则（法律）文书退回之日视为送达之日；如直接送达时接收方拒收的，送达人可采取拍照、录像方式记录送达过程，并将（法律）文书留置，亦视为送达。一方提供错误联系方式或未及时告知变更后联系方式的，导致（法律）文书未能送达或退回的，则（法律）文书退回之日视为送达之日。</w:t>
      </w:r>
    </w:p>
    <w:p>
      <w:pPr>
        <w:pStyle w:val="81"/>
        <w:keepNext w:val="0"/>
        <w:keepLines w:val="0"/>
        <w:pageBreakBefore w:val="0"/>
        <w:numPr>
          <w:ilvl w:val="1"/>
          <w:numId w:val="0"/>
        </w:numPr>
        <w:kinsoku/>
        <w:autoSpaceDE/>
        <w:bidi w:val="0"/>
        <w:spacing w:line="50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果一方提供的上述联系方式发生变更的，应在变更后三日内书面通知其他方；在本合同项下债务进入诉讼或仲裁阶段后，则须以书面方式告知审理机关。否则按原联系方式发出的通知或其他文书，即使变更方没有收到，仍视为送达。</w:t>
      </w:r>
    </w:p>
    <w:p>
      <w:pPr>
        <w:pStyle w:val="81"/>
        <w:keepNext w:val="0"/>
        <w:keepLines w:val="0"/>
        <w:pageBreakBefore w:val="0"/>
        <w:numPr>
          <w:ilvl w:val="255"/>
          <w:numId w:val="0"/>
        </w:numPr>
        <w:kinsoku/>
        <w:autoSpaceDE/>
        <w:bidi w:val="0"/>
        <w:spacing w:line="500" w:lineRule="exact"/>
        <w:ind w:left="0" w:right="0" w:rightChars="0" w:firstLine="482" w:firstLineChars="200"/>
        <w:textAlignment w:val="auto"/>
      </w:pPr>
      <w:r>
        <w:rPr>
          <w:rFonts w:hint="eastAsia" w:ascii="宋体" w:hAnsi="宋体" w:eastAsia="宋体" w:cs="宋体"/>
          <w:b/>
          <w:bCs/>
          <w:sz w:val="24"/>
          <w:szCs w:val="24"/>
        </w:rPr>
        <w:t>各方确认，在签署本协议时，各方已就全部条款进行了详细地说明和讨论，已经认真审阅、充分知悉，各方对本合同的全部条款均无异议，并对各方有关权利与义务责任限制或免除条款的法律含义有准确无误的理解，签署本合同是各方的真实意思表示。</w:t>
      </w:r>
    </w:p>
    <w:p>
      <w:pPr>
        <w:pStyle w:val="81"/>
        <w:numPr>
          <w:ilvl w:val="1"/>
          <w:numId w:val="0"/>
        </w:numPr>
        <w:spacing w:line="360" w:lineRule="auto"/>
        <w:ind w:left="840" w:leftChars="200"/>
        <w:jc w:val="center"/>
        <w:rPr>
          <w:b/>
          <w:bCs/>
        </w:rPr>
      </w:pPr>
    </w:p>
    <w:p>
      <w:pPr>
        <w:pStyle w:val="81"/>
        <w:numPr>
          <w:ilvl w:val="1"/>
          <w:numId w:val="0"/>
        </w:numPr>
        <w:spacing w:line="360" w:lineRule="auto"/>
        <w:ind w:left="840" w:leftChars="200"/>
        <w:jc w:val="center"/>
        <w:rPr>
          <w:b/>
          <w:bCs/>
        </w:rPr>
      </w:pPr>
      <w:r>
        <w:rPr>
          <w:rFonts w:hint="eastAsia"/>
          <w:b/>
          <w:bCs/>
        </w:rPr>
        <w:t>(以下无正文)</w:t>
      </w:r>
    </w:p>
    <w:p>
      <w:pPr>
        <w:pStyle w:val="81"/>
        <w:numPr>
          <w:ilvl w:val="1"/>
          <w:numId w:val="0"/>
        </w:numPr>
        <w:spacing w:line="360" w:lineRule="auto"/>
        <w:ind w:left="840" w:leftChars="200"/>
        <w:jc w:val="center"/>
        <w:rPr>
          <w:b/>
          <w:bCs/>
        </w:rPr>
      </w:pPr>
      <w:r>
        <w:rPr>
          <w:rFonts w:hint="eastAsia"/>
          <w:b/>
          <w:bCs/>
        </w:rPr>
        <w:t>（本页为</w:t>
      </w:r>
      <w:r>
        <w:rPr>
          <w:rFonts w:hint="eastAsia"/>
          <w:b/>
          <w:bCs/>
          <w:u w:val="single"/>
        </w:rPr>
        <w:t xml:space="preserve">                </w:t>
      </w:r>
      <w:r>
        <w:rPr>
          <w:b/>
          <w:bCs/>
        </w:rPr>
        <w:t>软件开发采购项目</w:t>
      </w:r>
      <w:r>
        <w:rPr>
          <w:rFonts w:hint="eastAsia"/>
          <w:b/>
          <w:bCs/>
        </w:rPr>
        <w:t>之合同签署页）</w:t>
      </w:r>
    </w:p>
    <w:p>
      <w:pPr>
        <w:pStyle w:val="81"/>
        <w:numPr>
          <w:ilvl w:val="1"/>
          <w:numId w:val="0"/>
        </w:numPr>
        <w:spacing w:line="360" w:lineRule="auto"/>
        <w:ind w:left="840" w:leftChars="200"/>
        <w:jc w:val="center"/>
        <w:rPr>
          <w:b/>
          <w:bCs/>
        </w:rPr>
      </w:pPr>
    </w:p>
    <w:tbl>
      <w:tblPr>
        <w:tblStyle w:val="33"/>
        <w:tblW w:w="9962" w:type="dxa"/>
        <w:jc w:val="center"/>
        <w:tblLayout w:type="fixed"/>
        <w:tblCellMar>
          <w:top w:w="0" w:type="dxa"/>
          <w:left w:w="108" w:type="dxa"/>
          <w:bottom w:w="0" w:type="dxa"/>
          <w:right w:w="108" w:type="dxa"/>
        </w:tblCellMar>
      </w:tblPr>
      <w:tblGrid>
        <w:gridCol w:w="4981"/>
        <w:gridCol w:w="4981"/>
      </w:tblGrid>
      <w:tr>
        <w:tblPrEx>
          <w:tblCellMar>
            <w:top w:w="0" w:type="dxa"/>
            <w:left w:w="108" w:type="dxa"/>
            <w:bottom w:w="0" w:type="dxa"/>
            <w:right w:w="108" w:type="dxa"/>
          </w:tblCellMar>
        </w:tblPrEx>
        <w:trPr>
          <w:trHeight w:val="718" w:hRule="atLeast"/>
          <w:jc w:val="center"/>
        </w:trPr>
        <w:tc>
          <w:tcPr>
            <w:tcW w:w="4981" w:type="dxa"/>
            <w:shd w:val="clear" w:color="auto" w:fill="auto"/>
            <w:vAlign w:val="center"/>
          </w:tcPr>
          <w:p>
            <w:pPr>
              <w:pStyle w:val="79"/>
              <w:ind w:firstLine="420"/>
            </w:pPr>
            <w:r>
              <w:rPr>
                <w:rFonts w:hint="eastAsia"/>
              </w:rPr>
              <w:t>甲方：   (盖章)</w:t>
            </w:r>
          </w:p>
        </w:tc>
        <w:tc>
          <w:tcPr>
            <w:tcW w:w="4981" w:type="dxa"/>
            <w:shd w:val="clear" w:color="auto" w:fill="auto"/>
            <w:vAlign w:val="center"/>
          </w:tcPr>
          <w:p>
            <w:pPr>
              <w:pStyle w:val="79"/>
              <w:ind w:firstLine="420"/>
            </w:pPr>
            <w:r>
              <w:rPr>
                <w:rFonts w:hint="eastAsia"/>
              </w:rPr>
              <w:t>乙方： 公司(盖章)</w:t>
            </w:r>
          </w:p>
        </w:tc>
      </w:tr>
      <w:tr>
        <w:tblPrEx>
          <w:tblCellMar>
            <w:top w:w="0" w:type="dxa"/>
            <w:left w:w="108" w:type="dxa"/>
            <w:bottom w:w="0" w:type="dxa"/>
            <w:right w:w="108" w:type="dxa"/>
          </w:tblCellMar>
        </w:tblPrEx>
        <w:trPr>
          <w:trHeight w:val="718" w:hRule="atLeast"/>
          <w:jc w:val="center"/>
        </w:trPr>
        <w:tc>
          <w:tcPr>
            <w:tcW w:w="4981" w:type="dxa"/>
            <w:shd w:val="clear" w:color="auto" w:fill="auto"/>
            <w:vAlign w:val="center"/>
          </w:tcPr>
          <w:p>
            <w:pPr>
              <w:pStyle w:val="79"/>
              <w:ind w:firstLine="420"/>
            </w:pPr>
            <w:r>
              <w:rPr>
                <w:rFonts w:hint="eastAsia"/>
              </w:rPr>
              <w:t>法定代表人(授权代表)：</w:t>
            </w:r>
          </w:p>
        </w:tc>
        <w:tc>
          <w:tcPr>
            <w:tcW w:w="4981" w:type="dxa"/>
            <w:shd w:val="clear" w:color="auto" w:fill="auto"/>
            <w:vAlign w:val="center"/>
          </w:tcPr>
          <w:p>
            <w:pPr>
              <w:pStyle w:val="79"/>
              <w:ind w:firstLine="420"/>
            </w:pPr>
            <w:r>
              <w:rPr>
                <w:rFonts w:hint="eastAsia"/>
              </w:rPr>
              <w:t>法定代表人(授权代表)：</w:t>
            </w:r>
          </w:p>
        </w:tc>
      </w:tr>
      <w:tr>
        <w:tblPrEx>
          <w:tblCellMar>
            <w:top w:w="0" w:type="dxa"/>
            <w:left w:w="108" w:type="dxa"/>
            <w:bottom w:w="0" w:type="dxa"/>
            <w:right w:w="108" w:type="dxa"/>
          </w:tblCellMar>
        </w:tblPrEx>
        <w:trPr>
          <w:trHeight w:val="718" w:hRule="atLeast"/>
          <w:jc w:val="center"/>
        </w:trPr>
        <w:tc>
          <w:tcPr>
            <w:tcW w:w="4981" w:type="dxa"/>
            <w:shd w:val="clear" w:color="auto" w:fill="auto"/>
            <w:vAlign w:val="center"/>
          </w:tcPr>
          <w:p>
            <w:pPr>
              <w:pStyle w:val="79"/>
              <w:ind w:firstLine="420"/>
            </w:pPr>
            <w:r>
              <w:rPr>
                <w:rFonts w:hint="eastAsia"/>
              </w:rPr>
              <w:t>地址(住所)：</w:t>
            </w:r>
            <w:r>
              <w:t xml:space="preserve"> </w:t>
            </w:r>
          </w:p>
        </w:tc>
        <w:tc>
          <w:tcPr>
            <w:tcW w:w="4981" w:type="dxa"/>
            <w:shd w:val="clear" w:color="auto" w:fill="auto"/>
            <w:vAlign w:val="center"/>
          </w:tcPr>
          <w:p>
            <w:pPr>
              <w:pStyle w:val="79"/>
              <w:ind w:firstLine="420"/>
            </w:pPr>
            <w:r>
              <w:rPr>
                <w:rFonts w:hint="eastAsia"/>
              </w:rPr>
              <w:t xml:space="preserve">地址(住所)： </w:t>
            </w:r>
          </w:p>
        </w:tc>
      </w:tr>
      <w:tr>
        <w:tblPrEx>
          <w:tblCellMar>
            <w:top w:w="0" w:type="dxa"/>
            <w:left w:w="108" w:type="dxa"/>
            <w:bottom w:w="0" w:type="dxa"/>
            <w:right w:w="108" w:type="dxa"/>
          </w:tblCellMar>
        </w:tblPrEx>
        <w:trPr>
          <w:trHeight w:val="718" w:hRule="atLeast"/>
          <w:jc w:val="center"/>
        </w:trPr>
        <w:tc>
          <w:tcPr>
            <w:tcW w:w="4981" w:type="dxa"/>
            <w:shd w:val="clear" w:color="auto" w:fill="auto"/>
            <w:vAlign w:val="center"/>
          </w:tcPr>
          <w:p>
            <w:pPr>
              <w:pStyle w:val="79"/>
              <w:ind w:firstLine="420"/>
            </w:pPr>
            <w:r>
              <w:rPr>
                <w:rFonts w:hint="eastAsia"/>
              </w:rPr>
              <w:t>开户银行：</w:t>
            </w:r>
          </w:p>
        </w:tc>
        <w:tc>
          <w:tcPr>
            <w:tcW w:w="4981" w:type="dxa"/>
            <w:shd w:val="clear" w:color="auto" w:fill="auto"/>
            <w:vAlign w:val="center"/>
          </w:tcPr>
          <w:p>
            <w:pPr>
              <w:pStyle w:val="79"/>
              <w:ind w:firstLine="420"/>
            </w:pPr>
            <w:r>
              <w:rPr>
                <w:rFonts w:hint="eastAsia"/>
              </w:rPr>
              <w:t xml:space="preserve">开户银行： </w:t>
            </w:r>
          </w:p>
        </w:tc>
      </w:tr>
      <w:tr>
        <w:tblPrEx>
          <w:tblCellMar>
            <w:top w:w="0" w:type="dxa"/>
            <w:left w:w="108" w:type="dxa"/>
            <w:bottom w:w="0" w:type="dxa"/>
            <w:right w:w="108" w:type="dxa"/>
          </w:tblCellMar>
        </w:tblPrEx>
        <w:trPr>
          <w:trHeight w:val="718" w:hRule="atLeast"/>
          <w:jc w:val="center"/>
        </w:trPr>
        <w:tc>
          <w:tcPr>
            <w:tcW w:w="4981" w:type="dxa"/>
            <w:shd w:val="clear" w:color="auto" w:fill="auto"/>
            <w:vAlign w:val="center"/>
          </w:tcPr>
          <w:p>
            <w:pPr>
              <w:pStyle w:val="79"/>
              <w:ind w:firstLine="420"/>
            </w:pPr>
            <w:r>
              <w:rPr>
                <w:rFonts w:hint="eastAsia"/>
              </w:rPr>
              <w:t>账号：</w:t>
            </w:r>
          </w:p>
        </w:tc>
        <w:tc>
          <w:tcPr>
            <w:tcW w:w="4981" w:type="dxa"/>
            <w:shd w:val="clear" w:color="auto" w:fill="auto"/>
            <w:vAlign w:val="center"/>
          </w:tcPr>
          <w:p>
            <w:pPr>
              <w:pStyle w:val="79"/>
              <w:ind w:firstLine="420"/>
            </w:pPr>
            <w:r>
              <w:rPr>
                <w:rFonts w:hint="eastAsia"/>
              </w:rPr>
              <w:t xml:space="preserve">账号： </w:t>
            </w:r>
          </w:p>
        </w:tc>
      </w:tr>
      <w:tr>
        <w:tblPrEx>
          <w:tblCellMar>
            <w:top w:w="0" w:type="dxa"/>
            <w:left w:w="108" w:type="dxa"/>
            <w:bottom w:w="0" w:type="dxa"/>
            <w:right w:w="108" w:type="dxa"/>
          </w:tblCellMar>
        </w:tblPrEx>
        <w:trPr>
          <w:trHeight w:val="718" w:hRule="atLeast"/>
          <w:jc w:val="center"/>
        </w:trPr>
        <w:tc>
          <w:tcPr>
            <w:tcW w:w="4981" w:type="dxa"/>
            <w:shd w:val="clear" w:color="auto" w:fill="auto"/>
            <w:vAlign w:val="center"/>
          </w:tcPr>
          <w:p>
            <w:pPr>
              <w:pStyle w:val="79"/>
              <w:ind w:firstLine="420"/>
            </w:pPr>
            <w:r>
              <w:rPr>
                <w:rFonts w:hint="eastAsia"/>
              </w:rPr>
              <w:t xml:space="preserve">电话： </w:t>
            </w:r>
          </w:p>
        </w:tc>
        <w:tc>
          <w:tcPr>
            <w:tcW w:w="4981" w:type="dxa"/>
            <w:shd w:val="clear" w:color="auto" w:fill="auto"/>
            <w:vAlign w:val="center"/>
          </w:tcPr>
          <w:p>
            <w:pPr>
              <w:pStyle w:val="79"/>
              <w:ind w:firstLine="420"/>
            </w:pPr>
            <w:r>
              <w:rPr>
                <w:rFonts w:hint="eastAsia"/>
              </w:rPr>
              <w:t xml:space="preserve">电话：  </w:t>
            </w:r>
          </w:p>
        </w:tc>
      </w:tr>
      <w:tr>
        <w:tblPrEx>
          <w:tblCellMar>
            <w:top w:w="0" w:type="dxa"/>
            <w:left w:w="108" w:type="dxa"/>
            <w:bottom w:w="0" w:type="dxa"/>
            <w:right w:w="108" w:type="dxa"/>
          </w:tblCellMar>
        </w:tblPrEx>
        <w:trPr>
          <w:trHeight w:val="724" w:hRule="atLeast"/>
          <w:jc w:val="center"/>
        </w:trPr>
        <w:tc>
          <w:tcPr>
            <w:tcW w:w="4981" w:type="dxa"/>
            <w:shd w:val="clear" w:color="auto" w:fill="auto"/>
            <w:vAlign w:val="center"/>
          </w:tcPr>
          <w:p>
            <w:pPr>
              <w:pStyle w:val="79"/>
              <w:ind w:firstLine="420"/>
            </w:pPr>
            <w:r>
              <w:rPr>
                <w:rFonts w:hint="eastAsia"/>
              </w:rPr>
              <w:t>传真：</w:t>
            </w:r>
          </w:p>
        </w:tc>
        <w:tc>
          <w:tcPr>
            <w:tcW w:w="4981" w:type="dxa"/>
            <w:shd w:val="clear" w:color="auto" w:fill="auto"/>
            <w:vAlign w:val="center"/>
          </w:tcPr>
          <w:p>
            <w:pPr>
              <w:pStyle w:val="79"/>
              <w:ind w:firstLine="420"/>
            </w:pPr>
            <w:r>
              <w:rPr>
                <w:rFonts w:hint="eastAsia"/>
              </w:rPr>
              <w:t xml:space="preserve">传真： </w:t>
            </w:r>
          </w:p>
        </w:tc>
      </w:tr>
      <w:tr>
        <w:tblPrEx>
          <w:tblCellMar>
            <w:top w:w="0" w:type="dxa"/>
            <w:left w:w="108" w:type="dxa"/>
            <w:bottom w:w="0" w:type="dxa"/>
            <w:right w:w="108" w:type="dxa"/>
          </w:tblCellMar>
        </w:tblPrEx>
        <w:trPr>
          <w:trHeight w:val="724" w:hRule="atLeast"/>
          <w:jc w:val="center"/>
        </w:trPr>
        <w:tc>
          <w:tcPr>
            <w:tcW w:w="4981" w:type="dxa"/>
            <w:shd w:val="clear" w:color="auto" w:fill="auto"/>
            <w:vAlign w:val="center"/>
          </w:tcPr>
          <w:p>
            <w:pPr>
              <w:pStyle w:val="79"/>
              <w:ind w:firstLine="420"/>
            </w:pPr>
            <w:r>
              <w:rPr>
                <w:rFonts w:hint="eastAsia"/>
              </w:rPr>
              <w:t>签约日期：  年  月  日</w:t>
            </w:r>
          </w:p>
        </w:tc>
        <w:tc>
          <w:tcPr>
            <w:tcW w:w="4981" w:type="dxa"/>
            <w:shd w:val="clear" w:color="auto" w:fill="auto"/>
            <w:vAlign w:val="center"/>
          </w:tcPr>
          <w:p>
            <w:pPr>
              <w:pStyle w:val="79"/>
              <w:ind w:firstLine="420"/>
            </w:pPr>
            <w:r>
              <w:rPr>
                <w:rFonts w:hint="eastAsia"/>
              </w:rPr>
              <w:t>签约日期：  年  月  日</w:t>
            </w:r>
          </w:p>
        </w:tc>
      </w:tr>
    </w:tbl>
    <w:p/>
    <w:p>
      <w:pPr>
        <w:spacing w:line="360" w:lineRule="auto"/>
        <w:rPr>
          <w:rFonts w:cs="仿宋" w:asciiTheme="majorEastAsia" w:hAnsiTheme="majorEastAsia" w:eastAsiaTheme="majorEastAsia"/>
          <w:sz w:val="24"/>
        </w:rPr>
      </w:pPr>
    </w:p>
    <w:sectPr>
      <w:pgSz w:w="11906" w:h="16838"/>
      <w:pgMar w:top="1843" w:right="1701"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092096"/>
    </w:sdtPr>
    <w:sdtContent>
      <w:p>
        <w:pPr>
          <w:pStyle w:val="19"/>
          <w:jc w:val="center"/>
        </w:pPr>
        <w:r>
          <w:fldChar w:fldCharType="begin"/>
        </w:r>
        <w:r>
          <w:instrText xml:space="preserve">PAGE   \* MERGEFORMAT</w:instrText>
        </w:r>
        <w:r>
          <w:fldChar w:fldCharType="separate"/>
        </w:r>
        <w:r>
          <w:rPr>
            <w:lang w:val="zh-CN"/>
          </w:rPr>
          <w:t>79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1"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3"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zh-CN"/>
      </w:rPr>
      <w:t>[在此处键入]</w:t>
    </w:r>
  </w:p>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0" t="0" r="12065" b="9525"/>
          <wp:docPr id="9" name="图片 9"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10"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80"/>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9686ABF"/>
    <w:multiLevelType w:val="singleLevel"/>
    <w:tmpl w:val="B9686ABF"/>
    <w:lvl w:ilvl="0" w:tentative="0">
      <w:start w:val="1"/>
      <w:numFmt w:val="decimal"/>
      <w:lvlText w:val="%1."/>
      <w:lvlJc w:val="left"/>
      <w:pPr>
        <w:tabs>
          <w:tab w:val="left" w:pos="312"/>
        </w:tabs>
      </w:pPr>
    </w:lvl>
  </w:abstractNum>
  <w:abstractNum w:abstractNumId="2">
    <w:nsid w:val="BE785574"/>
    <w:multiLevelType w:val="singleLevel"/>
    <w:tmpl w:val="BE785574"/>
    <w:lvl w:ilvl="0" w:tentative="0">
      <w:start w:val="1"/>
      <w:numFmt w:val="decimal"/>
      <w:suff w:val="nothing"/>
      <w:lvlText w:val="（%1）"/>
      <w:lvlJc w:val="left"/>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81"/>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E2B7927E"/>
    <w:multiLevelType w:val="multilevel"/>
    <w:tmpl w:val="E2B7927E"/>
    <w:lvl w:ilvl="0" w:tentative="0">
      <w:start w:val="1"/>
      <w:numFmt w:val="decimal"/>
      <w:lvlText w:val="%1."/>
      <w:lvlJc w:val="left"/>
      <w:pPr>
        <w:ind w:left="992" w:hanging="422"/>
      </w:p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5">
    <w:nsid w:val="062E39B7"/>
    <w:multiLevelType w:val="multilevel"/>
    <w:tmpl w:val="062E39B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A3686D"/>
    <w:multiLevelType w:val="multilevel"/>
    <w:tmpl w:val="09A3686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304B48"/>
    <w:multiLevelType w:val="multilevel"/>
    <w:tmpl w:val="1E304B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A57702"/>
    <w:multiLevelType w:val="multilevel"/>
    <w:tmpl w:val="2CA577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13AFF5"/>
    <w:multiLevelType w:val="singleLevel"/>
    <w:tmpl w:val="3813AFF5"/>
    <w:lvl w:ilvl="0" w:tentative="0">
      <w:start w:val="1"/>
      <w:numFmt w:val="chineseCounting"/>
      <w:suff w:val="nothing"/>
      <w:lvlText w:val="%1、"/>
      <w:lvlJc w:val="left"/>
      <w:rPr>
        <w:rFonts w:hint="eastAsia"/>
      </w:rPr>
    </w:lvl>
  </w:abstractNum>
  <w:abstractNum w:abstractNumId="10">
    <w:nsid w:val="3ADE03C9"/>
    <w:multiLevelType w:val="multilevel"/>
    <w:tmpl w:val="3ADE03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3804B2"/>
    <w:multiLevelType w:val="multilevel"/>
    <w:tmpl w:val="3F3804B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743E01"/>
    <w:multiLevelType w:val="multilevel"/>
    <w:tmpl w:val="54743E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7D0AD6"/>
    <w:multiLevelType w:val="multilevel"/>
    <w:tmpl w:val="5B7D0A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9"/>
  </w:num>
  <w:num w:numId="6">
    <w:abstractNumId w:val="1"/>
  </w:num>
  <w:num w:numId="7">
    <w:abstractNumId w:val="11"/>
  </w:num>
  <w:num w:numId="8">
    <w:abstractNumId w:val="8"/>
  </w:num>
  <w:num w:numId="9">
    <w:abstractNumId w:val="6"/>
  </w:num>
  <w:num w:numId="10">
    <w:abstractNumId w:val="10"/>
  </w:num>
  <w:num w:numId="11">
    <w:abstractNumId w:val="5"/>
  </w:num>
  <w:num w:numId="12">
    <w:abstractNumId w:val="7"/>
  </w:num>
  <w:num w:numId="13">
    <w:abstractNumId w:val="13"/>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16"/>
    <w:rsid w:val="00000498"/>
    <w:rsid w:val="000007FA"/>
    <w:rsid w:val="00000E6F"/>
    <w:rsid w:val="00004301"/>
    <w:rsid w:val="00004C39"/>
    <w:rsid w:val="00006985"/>
    <w:rsid w:val="00010DEB"/>
    <w:rsid w:val="00011A6D"/>
    <w:rsid w:val="00013A35"/>
    <w:rsid w:val="00016BB9"/>
    <w:rsid w:val="00016C67"/>
    <w:rsid w:val="00017547"/>
    <w:rsid w:val="00022EFF"/>
    <w:rsid w:val="00023D70"/>
    <w:rsid w:val="00023EA0"/>
    <w:rsid w:val="0002421C"/>
    <w:rsid w:val="00024FA8"/>
    <w:rsid w:val="00026519"/>
    <w:rsid w:val="00031689"/>
    <w:rsid w:val="000322BC"/>
    <w:rsid w:val="00035D60"/>
    <w:rsid w:val="000365B5"/>
    <w:rsid w:val="000366BB"/>
    <w:rsid w:val="00036D27"/>
    <w:rsid w:val="00036FFE"/>
    <w:rsid w:val="0003727E"/>
    <w:rsid w:val="00037880"/>
    <w:rsid w:val="00040728"/>
    <w:rsid w:val="0004187D"/>
    <w:rsid w:val="00041A47"/>
    <w:rsid w:val="00042600"/>
    <w:rsid w:val="00042E2C"/>
    <w:rsid w:val="000438BD"/>
    <w:rsid w:val="000447B0"/>
    <w:rsid w:val="00044DF9"/>
    <w:rsid w:val="00046425"/>
    <w:rsid w:val="00047750"/>
    <w:rsid w:val="000501AE"/>
    <w:rsid w:val="0005128C"/>
    <w:rsid w:val="00052465"/>
    <w:rsid w:val="00052C86"/>
    <w:rsid w:val="00053A46"/>
    <w:rsid w:val="00053C01"/>
    <w:rsid w:val="00054156"/>
    <w:rsid w:val="0005686B"/>
    <w:rsid w:val="00056D41"/>
    <w:rsid w:val="00056FE2"/>
    <w:rsid w:val="00061378"/>
    <w:rsid w:val="00062761"/>
    <w:rsid w:val="00063550"/>
    <w:rsid w:val="00063A91"/>
    <w:rsid w:val="00063B13"/>
    <w:rsid w:val="00063D1B"/>
    <w:rsid w:val="000641E3"/>
    <w:rsid w:val="00064A4A"/>
    <w:rsid w:val="0006572D"/>
    <w:rsid w:val="00066437"/>
    <w:rsid w:val="00070160"/>
    <w:rsid w:val="00070CC8"/>
    <w:rsid w:val="00070CEB"/>
    <w:rsid w:val="000711B2"/>
    <w:rsid w:val="0007261F"/>
    <w:rsid w:val="00074997"/>
    <w:rsid w:val="000775A6"/>
    <w:rsid w:val="000775E0"/>
    <w:rsid w:val="00080439"/>
    <w:rsid w:val="00080979"/>
    <w:rsid w:val="00082B20"/>
    <w:rsid w:val="00082F53"/>
    <w:rsid w:val="0008321D"/>
    <w:rsid w:val="00083E26"/>
    <w:rsid w:val="00085D83"/>
    <w:rsid w:val="000861C1"/>
    <w:rsid w:val="00087861"/>
    <w:rsid w:val="000909A8"/>
    <w:rsid w:val="00090FEA"/>
    <w:rsid w:val="000923EF"/>
    <w:rsid w:val="0009306F"/>
    <w:rsid w:val="0009348A"/>
    <w:rsid w:val="000939B9"/>
    <w:rsid w:val="0009429B"/>
    <w:rsid w:val="00094512"/>
    <w:rsid w:val="000955A5"/>
    <w:rsid w:val="000962CE"/>
    <w:rsid w:val="00097CC4"/>
    <w:rsid w:val="00097D1E"/>
    <w:rsid w:val="000A0F6C"/>
    <w:rsid w:val="000A144F"/>
    <w:rsid w:val="000A33DC"/>
    <w:rsid w:val="000A3F63"/>
    <w:rsid w:val="000A67D5"/>
    <w:rsid w:val="000B13E6"/>
    <w:rsid w:val="000B1522"/>
    <w:rsid w:val="000B1717"/>
    <w:rsid w:val="000B197E"/>
    <w:rsid w:val="000B23A7"/>
    <w:rsid w:val="000B505F"/>
    <w:rsid w:val="000B5C49"/>
    <w:rsid w:val="000B6922"/>
    <w:rsid w:val="000B713C"/>
    <w:rsid w:val="000B7CA8"/>
    <w:rsid w:val="000C311C"/>
    <w:rsid w:val="000C3BB3"/>
    <w:rsid w:val="000C4226"/>
    <w:rsid w:val="000C5FC3"/>
    <w:rsid w:val="000C656D"/>
    <w:rsid w:val="000C76EF"/>
    <w:rsid w:val="000D179B"/>
    <w:rsid w:val="000D1B4A"/>
    <w:rsid w:val="000D2B83"/>
    <w:rsid w:val="000D416C"/>
    <w:rsid w:val="000D41A9"/>
    <w:rsid w:val="000D5D25"/>
    <w:rsid w:val="000D72EA"/>
    <w:rsid w:val="000D782E"/>
    <w:rsid w:val="000D7ADD"/>
    <w:rsid w:val="000D7B82"/>
    <w:rsid w:val="000E080D"/>
    <w:rsid w:val="000E4729"/>
    <w:rsid w:val="000E56EA"/>
    <w:rsid w:val="000E65E1"/>
    <w:rsid w:val="000E67B6"/>
    <w:rsid w:val="000E693D"/>
    <w:rsid w:val="000E767D"/>
    <w:rsid w:val="000F01EE"/>
    <w:rsid w:val="000F0BED"/>
    <w:rsid w:val="000F24C2"/>
    <w:rsid w:val="000F3F88"/>
    <w:rsid w:val="000F4CA6"/>
    <w:rsid w:val="000F4DAB"/>
    <w:rsid w:val="000F4E71"/>
    <w:rsid w:val="000F4F13"/>
    <w:rsid w:val="000F5795"/>
    <w:rsid w:val="000F57E8"/>
    <w:rsid w:val="000F60CD"/>
    <w:rsid w:val="000F6B1C"/>
    <w:rsid w:val="00103BCE"/>
    <w:rsid w:val="00103CEA"/>
    <w:rsid w:val="0010521B"/>
    <w:rsid w:val="001057C3"/>
    <w:rsid w:val="001065F9"/>
    <w:rsid w:val="00106928"/>
    <w:rsid w:val="00107817"/>
    <w:rsid w:val="001107B2"/>
    <w:rsid w:val="001122A4"/>
    <w:rsid w:val="00112384"/>
    <w:rsid w:val="00112476"/>
    <w:rsid w:val="001156CC"/>
    <w:rsid w:val="0011571C"/>
    <w:rsid w:val="00115AB1"/>
    <w:rsid w:val="00116EF0"/>
    <w:rsid w:val="00120921"/>
    <w:rsid w:val="00121F8E"/>
    <w:rsid w:val="001223A3"/>
    <w:rsid w:val="0012293F"/>
    <w:rsid w:val="00122CFF"/>
    <w:rsid w:val="0012494C"/>
    <w:rsid w:val="00124E83"/>
    <w:rsid w:val="0012569A"/>
    <w:rsid w:val="00132B57"/>
    <w:rsid w:val="001331EC"/>
    <w:rsid w:val="00135499"/>
    <w:rsid w:val="001400DF"/>
    <w:rsid w:val="00140B64"/>
    <w:rsid w:val="00142AB5"/>
    <w:rsid w:val="00142C8B"/>
    <w:rsid w:val="00143E69"/>
    <w:rsid w:val="00144D25"/>
    <w:rsid w:val="00146970"/>
    <w:rsid w:val="00146FE5"/>
    <w:rsid w:val="0014725C"/>
    <w:rsid w:val="00147442"/>
    <w:rsid w:val="00147E40"/>
    <w:rsid w:val="00150B73"/>
    <w:rsid w:val="00150BEF"/>
    <w:rsid w:val="0015159E"/>
    <w:rsid w:val="0015354A"/>
    <w:rsid w:val="00154CDF"/>
    <w:rsid w:val="001558E5"/>
    <w:rsid w:val="00155D7E"/>
    <w:rsid w:val="00157C10"/>
    <w:rsid w:val="00160ECE"/>
    <w:rsid w:val="0016170A"/>
    <w:rsid w:val="00161FD2"/>
    <w:rsid w:val="001643A0"/>
    <w:rsid w:val="001654AB"/>
    <w:rsid w:val="001655E9"/>
    <w:rsid w:val="00165F98"/>
    <w:rsid w:val="00166BC6"/>
    <w:rsid w:val="001678D1"/>
    <w:rsid w:val="00170E44"/>
    <w:rsid w:val="00172896"/>
    <w:rsid w:val="00172E74"/>
    <w:rsid w:val="00173441"/>
    <w:rsid w:val="00173EE8"/>
    <w:rsid w:val="00173FEF"/>
    <w:rsid w:val="0017406D"/>
    <w:rsid w:val="00174967"/>
    <w:rsid w:val="00174DB0"/>
    <w:rsid w:val="00175924"/>
    <w:rsid w:val="001805C2"/>
    <w:rsid w:val="001815FC"/>
    <w:rsid w:val="00181BF7"/>
    <w:rsid w:val="0018210F"/>
    <w:rsid w:val="001822E8"/>
    <w:rsid w:val="00182C53"/>
    <w:rsid w:val="001837F4"/>
    <w:rsid w:val="001839DD"/>
    <w:rsid w:val="001846AE"/>
    <w:rsid w:val="0018556A"/>
    <w:rsid w:val="00185CBB"/>
    <w:rsid w:val="001873F0"/>
    <w:rsid w:val="00187D46"/>
    <w:rsid w:val="00192B9B"/>
    <w:rsid w:val="00192C2A"/>
    <w:rsid w:val="001934AF"/>
    <w:rsid w:val="001A00FE"/>
    <w:rsid w:val="001A0168"/>
    <w:rsid w:val="001A02F2"/>
    <w:rsid w:val="001A04C9"/>
    <w:rsid w:val="001A150D"/>
    <w:rsid w:val="001A2768"/>
    <w:rsid w:val="001A301B"/>
    <w:rsid w:val="001A3AAC"/>
    <w:rsid w:val="001A4009"/>
    <w:rsid w:val="001A40CB"/>
    <w:rsid w:val="001A466F"/>
    <w:rsid w:val="001A5A71"/>
    <w:rsid w:val="001A7D15"/>
    <w:rsid w:val="001B0E07"/>
    <w:rsid w:val="001B1245"/>
    <w:rsid w:val="001B3C21"/>
    <w:rsid w:val="001B40E3"/>
    <w:rsid w:val="001B4130"/>
    <w:rsid w:val="001B43ED"/>
    <w:rsid w:val="001B5705"/>
    <w:rsid w:val="001C031F"/>
    <w:rsid w:val="001C0720"/>
    <w:rsid w:val="001C0844"/>
    <w:rsid w:val="001C1235"/>
    <w:rsid w:val="001C1991"/>
    <w:rsid w:val="001C3BAF"/>
    <w:rsid w:val="001C4869"/>
    <w:rsid w:val="001C59CA"/>
    <w:rsid w:val="001C61A8"/>
    <w:rsid w:val="001C65DA"/>
    <w:rsid w:val="001C7882"/>
    <w:rsid w:val="001C7B06"/>
    <w:rsid w:val="001D0332"/>
    <w:rsid w:val="001D0E03"/>
    <w:rsid w:val="001D1F38"/>
    <w:rsid w:val="001D3FF4"/>
    <w:rsid w:val="001D40D3"/>
    <w:rsid w:val="001D4842"/>
    <w:rsid w:val="001D4D08"/>
    <w:rsid w:val="001D7953"/>
    <w:rsid w:val="001E05BE"/>
    <w:rsid w:val="001E12AE"/>
    <w:rsid w:val="001E2A12"/>
    <w:rsid w:val="001E4F66"/>
    <w:rsid w:val="001E5B8B"/>
    <w:rsid w:val="001E5D33"/>
    <w:rsid w:val="001E6B5C"/>
    <w:rsid w:val="001E7F60"/>
    <w:rsid w:val="001F10D7"/>
    <w:rsid w:val="001F203A"/>
    <w:rsid w:val="001F2566"/>
    <w:rsid w:val="001F2663"/>
    <w:rsid w:val="001F37BF"/>
    <w:rsid w:val="001F6831"/>
    <w:rsid w:val="001F7553"/>
    <w:rsid w:val="00200339"/>
    <w:rsid w:val="00200729"/>
    <w:rsid w:val="00200796"/>
    <w:rsid w:val="002009C8"/>
    <w:rsid w:val="00203A0F"/>
    <w:rsid w:val="00204269"/>
    <w:rsid w:val="00204DA8"/>
    <w:rsid w:val="00204E1E"/>
    <w:rsid w:val="00205092"/>
    <w:rsid w:val="002059A4"/>
    <w:rsid w:val="002069D2"/>
    <w:rsid w:val="002071CB"/>
    <w:rsid w:val="0021065A"/>
    <w:rsid w:val="00211B1C"/>
    <w:rsid w:val="0021490F"/>
    <w:rsid w:val="00214E01"/>
    <w:rsid w:val="00214F82"/>
    <w:rsid w:val="0021556F"/>
    <w:rsid w:val="00215827"/>
    <w:rsid w:val="00215A41"/>
    <w:rsid w:val="00215A9E"/>
    <w:rsid w:val="00215DE9"/>
    <w:rsid w:val="00216789"/>
    <w:rsid w:val="002175C3"/>
    <w:rsid w:val="00221E48"/>
    <w:rsid w:val="00222AF0"/>
    <w:rsid w:val="00222D07"/>
    <w:rsid w:val="002257AE"/>
    <w:rsid w:val="002262DC"/>
    <w:rsid w:val="00227128"/>
    <w:rsid w:val="00230D39"/>
    <w:rsid w:val="00231143"/>
    <w:rsid w:val="00232D3C"/>
    <w:rsid w:val="00232EE5"/>
    <w:rsid w:val="002345AA"/>
    <w:rsid w:val="00235926"/>
    <w:rsid w:val="00237A87"/>
    <w:rsid w:val="0024052C"/>
    <w:rsid w:val="00240719"/>
    <w:rsid w:val="00240ADA"/>
    <w:rsid w:val="00240C43"/>
    <w:rsid w:val="00243454"/>
    <w:rsid w:val="00244E42"/>
    <w:rsid w:val="00245F6B"/>
    <w:rsid w:val="002463BF"/>
    <w:rsid w:val="00246ABE"/>
    <w:rsid w:val="002515FD"/>
    <w:rsid w:val="00251630"/>
    <w:rsid w:val="00251C30"/>
    <w:rsid w:val="00252991"/>
    <w:rsid w:val="00252E4D"/>
    <w:rsid w:val="002535E7"/>
    <w:rsid w:val="0025476D"/>
    <w:rsid w:val="0025568C"/>
    <w:rsid w:val="00256ACD"/>
    <w:rsid w:val="00257364"/>
    <w:rsid w:val="00257F73"/>
    <w:rsid w:val="002620B8"/>
    <w:rsid w:val="0026317F"/>
    <w:rsid w:val="00263226"/>
    <w:rsid w:val="002635C8"/>
    <w:rsid w:val="00264D4D"/>
    <w:rsid w:val="002659A6"/>
    <w:rsid w:val="002664A8"/>
    <w:rsid w:val="0027138C"/>
    <w:rsid w:val="0027218A"/>
    <w:rsid w:val="00274803"/>
    <w:rsid w:val="00275179"/>
    <w:rsid w:val="00275410"/>
    <w:rsid w:val="0027599A"/>
    <w:rsid w:val="002768ED"/>
    <w:rsid w:val="00277071"/>
    <w:rsid w:val="002770CB"/>
    <w:rsid w:val="002819F9"/>
    <w:rsid w:val="00283F7E"/>
    <w:rsid w:val="002872B1"/>
    <w:rsid w:val="0029012E"/>
    <w:rsid w:val="00291C8D"/>
    <w:rsid w:val="00292BA9"/>
    <w:rsid w:val="0029402D"/>
    <w:rsid w:val="00297043"/>
    <w:rsid w:val="00297429"/>
    <w:rsid w:val="002A0749"/>
    <w:rsid w:val="002A1562"/>
    <w:rsid w:val="002A166A"/>
    <w:rsid w:val="002A3841"/>
    <w:rsid w:val="002A398E"/>
    <w:rsid w:val="002A461F"/>
    <w:rsid w:val="002A4AE6"/>
    <w:rsid w:val="002A5DA0"/>
    <w:rsid w:val="002A66F3"/>
    <w:rsid w:val="002A699C"/>
    <w:rsid w:val="002B158E"/>
    <w:rsid w:val="002B23BA"/>
    <w:rsid w:val="002B245E"/>
    <w:rsid w:val="002B2716"/>
    <w:rsid w:val="002B3726"/>
    <w:rsid w:val="002B3839"/>
    <w:rsid w:val="002B4474"/>
    <w:rsid w:val="002B4B59"/>
    <w:rsid w:val="002B558C"/>
    <w:rsid w:val="002B5B8D"/>
    <w:rsid w:val="002B6ACE"/>
    <w:rsid w:val="002B74F4"/>
    <w:rsid w:val="002B7B8E"/>
    <w:rsid w:val="002C064D"/>
    <w:rsid w:val="002C0FDB"/>
    <w:rsid w:val="002C11D1"/>
    <w:rsid w:val="002C126E"/>
    <w:rsid w:val="002C2922"/>
    <w:rsid w:val="002C3378"/>
    <w:rsid w:val="002C49AC"/>
    <w:rsid w:val="002C4F87"/>
    <w:rsid w:val="002C68CC"/>
    <w:rsid w:val="002C6B31"/>
    <w:rsid w:val="002C75E6"/>
    <w:rsid w:val="002D0186"/>
    <w:rsid w:val="002D049A"/>
    <w:rsid w:val="002D0B53"/>
    <w:rsid w:val="002D234D"/>
    <w:rsid w:val="002D251A"/>
    <w:rsid w:val="002D2B43"/>
    <w:rsid w:val="002D2CD8"/>
    <w:rsid w:val="002D34CF"/>
    <w:rsid w:val="002D3A33"/>
    <w:rsid w:val="002D3E61"/>
    <w:rsid w:val="002D71C8"/>
    <w:rsid w:val="002E05E4"/>
    <w:rsid w:val="002E14C7"/>
    <w:rsid w:val="002E3D71"/>
    <w:rsid w:val="002E57D1"/>
    <w:rsid w:val="002E6234"/>
    <w:rsid w:val="002E68E5"/>
    <w:rsid w:val="002E6BF1"/>
    <w:rsid w:val="002E799E"/>
    <w:rsid w:val="002F0A47"/>
    <w:rsid w:val="002F1811"/>
    <w:rsid w:val="002F2DA2"/>
    <w:rsid w:val="002F36B9"/>
    <w:rsid w:val="002F45ED"/>
    <w:rsid w:val="002F4734"/>
    <w:rsid w:val="002F4777"/>
    <w:rsid w:val="002F5B72"/>
    <w:rsid w:val="002F6F24"/>
    <w:rsid w:val="003010F5"/>
    <w:rsid w:val="00301103"/>
    <w:rsid w:val="00302CE6"/>
    <w:rsid w:val="00303D1B"/>
    <w:rsid w:val="00303D9E"/>
    <w:rsid w:val="00305B1E"/>
    <w:rsid w:val="00306A0D"/>
    <w:rsid w:val="0030734A"/>
    <w:rsid w:val="00310E69"/>
    <w:rsid w:val="00311FB0"/>
    <w:rsid w:val="00312741"/>
    <w:rsid w:val="00312D86"/>
    <w:rsid w:val="00312E5D"/>
    <w:rsid w:val="00313CC7"/>
    <w:rsid w:val="00314AB2"/>
    <w:rsid w:val="003160BC"/>
    <w:rsid w:val="0031724C"/>
    <w:rsid w:val="003212D7"/>
    <w:rsid w:val="00321D55"/>
    <w:rsid w:val="00323EC9"/>
    <w:rsid w:val="00324400"/>
    <w:rsid w:val="00330EA2"/>
    <w:rsid w:val="00332717"/>
    <w:rsid w:val="00332CE6"/>
    <w:rsid w:val="00333B51"/>
    <w:rsid w:val="00334113"/>
    <w:rsid w:val="00334EA9"/>
    <w:rsid w:val="00340134"/>
    <w:rsid w:val="00342495"/>
    <w:rsid w:val="0034352D"/>
    <w:rsid w:val="003442A9"/>
    <w:rsid w:val="0034555E"/>
    <w:rsid w:val="0034583B"/>
    <w:rsid w:val="003459F6"/>
    <w:rsid w:val="00345ECD"/>
    <w:rsid w:val="00345FF8"/>
    <w:rsid w:val="0034631C"/>
    <w:rsid w:val="0034633F"/>
    <w:rsid w:val="00347503"/>
    <w:rsid w:val="00347EEF"/>
    <w:rsid w:val="00350E57"/>
    <w:rsid w:val="003523DB"/>
    <w:rsid w:val="00353091"/>
    <w:rsid w:val="00354A9F"/>
    <w:rsid w:val="003567DB"/>
    <w:rsid w:val="00357AFF"/>
    <w:rsid w:val="00357D0F"/>
    <w:rsid w:val="0036135E"/>
    <w:rsid w:val="00362781"/>
    <w:rsid w:val="00362D88"/>
    <w:rsid w:val="00363C86"/>
    <w:rsid w:val="00364133"/>
    <w:rsid w:val="00364E38"/>
    <w:rsid w:val="00365030"/>
    <w:rsid w:val="00365946"/>
    <w:rsid w:val="00367956"/>
    <w:rsid w:val="00374445"/>
    <w:rsid w:val="003755A6"/>
    <w:rsid w:val="0037648D"/>
    <w:rsid w:val="00376A11"/>
    <w:rsid w:val="003779F6"/>
    <w:rsid w:val="00377B66"/>
    <w:rsid w:val="00380DA4"/>
    <w:rsid w:val="003818D9"/>
    <w:rsid w:val="00381CF4"/>
    <w:rsid w:val="003825AD"/>
    <w:rsid w:val="00382F43"/>
    <w:rsid w:val="003847DE"/>
    <w:rsid w:val="00384B26"/>
    <w:rsid w:val="00385746"/>
    <w:rsid w:val="003860AC"/>
    <w:rsid w:val="00386A57"/>
    <w:rsid w:val="00386ADE"/>
    <w:rsid w:val="00386F1F"/>
    <w:rsid w:val="0038746C"/>
    <w:rsid w:val="003877B0"/>
    <w:rsid w:val="00390A73"/>
    <w:rsid w:val="00390FA4"/>
    <w:rsid w:val="00391C42"/>
    <w:rsid w:val="00391F97"/>
    <w:rsid w:val="003925CD"/>
    <w:rsid w:val="00392955"/>
    <w:rsid w:val="00393585"/>
    <w:rsid w:val="00395785"/>
    <w:rsid w:val="00396A71"/>
    <w:rsid w:val="003978FE"/>
    <w:rsid w:val="003A093D"/>
    <w:rsid w:val="003A0D93"/>
    <w:rsid w:val="003A0DE7"/>
    <w:rsid w:val="003A4A53"/>
    <w:rsid w:val="003A7052"/>
    <w:rsid w:val="003A7584"/>
    <w:rsid w:val="003A7CC7"/>
    <w:rsid w:val="003B32F9"/>
    <w:rsid w:val="003B42AA"/>
    <w:rsid w:val="003B4329"/>
    <w:rsid w:val="003B4AF3"/>
    <w:rsid w:val="003B4FE4"/>
    <w:rsid w:val="003B6471"/>
    <w:rsid w:val="003B678A"/>
    <w:rsid w:val="003B6AD9"/>
    <w:rsid w:val="003B6D94"/>
    <w:rsid w:val="003B7E82"/>
    <w:rsid w:val="003B7EE7"/>
    <w:rsid w:val="003C001E"/>
    <w:rsid w:val="003C02A3"/>
    <w:rsid w:val="003C1DCE"/>
    <w:rsid w:val="003C2933"/>
    <w:rsid w:val="003C2F4F"/>
    <w:rsid w:val="003C3CE3"/>
    <w:rsid w:val="003C3EBA"/>
    <w:rsid w:val="003C5182"/>
    <w:rsid w:val="003C6504"/>
    <w:rsid w:val="003C7C01"/>
    <w:rsid w:val="003D003A"/>
    <w:rsid w:val="003D0DEA"/>
    <w:rsid w:val="003D204E"/>
    <w:rsid w:val="003D46DE"/>
    <w:rsid w:val="003D5F5E"/>
    <w:rsid w:val="003D67C0"/>
    <w:rsid w:val="003D7FE6"/>
    <w:rsid w:val="003E0626"/>
    <w:rsid w:val="003E1972"/>
    <w:rsid w:val="003E20D5"/>
    <w:rsid w:val="003E2F84"/>
    <w:rsid w:val="003E4281"/>
    <w:rsid w:val="003E4B2A"/>
    <w:rsid w:val="003E5BF2"/>
    <w:rsid w:val="003E6218"/>
    <w:rsid w:val="003E77B3"/>
    <w:rsid w:val="003F0704"/>
    <w:rsid w:val="003F2A1C"/>
    <w:rsid w:val="003F2E1A"/>
    <w:rsid w:val="003F4893"/>
    <w:rsid w:val="003F4C34"/>
    <w:rsid w:val="003F753E"/>
    <w:rsid w:val="003F7610"/>
    <w:rsid w:val="003F7C1D"/>
    <w:rsid w:val="00401BB9"/>
    <w:rsid w:val="004021D5"/>
    <w:rsid w:val="00402972"/>
    <w:rsid w:val="00403193"/>
    <w:rsid w:val="00403CFA"/>
    <w:rsid w:val="00404A6A"/>
    <w:rsid w:val="00404EC0"/>
    <w:rsid w:val="00410804"/>
    <w:rsid w:val="0041119D"/>
    <w:rsid w:val="004121DE"/>
    <w:rsid w:val="00412F0A"/>
    <w:rsid w:val="004133C8"/>
    <w:rsid w:val="004137DD"/>
    <w:rsid w:val="00414B4D"/>
    <w:rsid w:val="00414CCD"/>
    <w:rsid w:val="004150C7"/>
    <w:rsid w:val="0041561C"/>
    <w:rsid w:val="004158AD"/>
    <w:rsid w:val="00415B1C"/>
    <w:rsid w:val="004160E0"/>
    <w:rsid w:val="0041619A"/>
    <w:rsid w:val="004168B6"/>
    <w:rsid w:val="004169A6"/>
    <w:rsid w:val="0041753C"/>
    <w:rsid w:val="004204AE"/>
    <w:rsid w:val="00421B5A"/>
    <w:rsid w:val="004226BF"/>
    <w:rsid w:val="0042276E"/>
    <w:rsid w:val="00425081"/>
    <w:rsid w:val="004267B6"/>
    <w:rsid w:val="00427329"/>
    <w:rsid w:val="0042758D"/>
    <w:rsid w:val="00430E97"/>
    <w:rsid w:val="0043178A"/>
    <w:rsid w:val="004320D6"/>
    <w:rsid w:val="00432621"/>
    <w:rsid w:val="0043294D"/>
    <w:rsid w:val="00432FF9"/>
    <w:rsid w:val="00433C0E"/>
    <w:rsid w:val="00433F91"/>
    <w:rsid w:val="00433FF5"/>
    <w:rsid w:val="00434C13"/>
    <w:rsid w:val="00435928"/>
    <w:rsid w:val="004361FD"/>
    <w:rsid w:val="00436FF8"/>
    <w:rsid w:val="004414A2"/>
    <w:rsid w:val="0044178C"/>
    <w:rsid w:val="00442546"/>
    <w:rsid w:val="004428D4"/>
    <w:rsid w:val="00443534"/>
    <w:rsid w:val="00445400"/>
    <w:rsid w:val="0044696E"/>
    <w:rsid w:val="00446FC3"/>
    <w:rsid w:val="004502CA"/>
    <w:rsid w:val="00450DE7"/>
    <w:rsid w:val="00451341"/>
    <w:rsid w:val="00453195"/>
    <w:rsid w:val="00455AA5"/>
    <w:rsid w:val="004560C2"/>
    <w:rsid w:val="0045775F"/>
    <w:rsid w:val="00457772"/>
    <w:rsid w:val="00457ACB"/>
    <w:rsid w:val="00460028"/>
    <w:rsid w:val="00460AD0"/>
    <w:rsid w:val="00460E6E"/>
    <w:rsid w:val="00461144"/>
    <w:rsid w:val="00462899"/>
    <w:rsid w:val="0046459B"/>
    <w:rsid w:val="00470661"/>
    <w:rsid w:val="0047089B"/>
    <w:rsid w:val="00471CE8"/>
    <w:rsid w:val="00472C2E"/>
    <w:rsid w:val="00475BB0"/>
    <w:rsid w:val="00476286"/>
    <w:rsid w:val="00476925"/>
    <w:rsid w:val="00476B09"/>
    <w:rsid w:val="00477F48"/>
    <w:rsid w:val="00481453"/>
    <w:rsid w:val="0048168E"/>
    <w:rsid w:val="004859B3"/>
    <w:rsid w:val="00486051"/>
    <w:rsid w:val="004861D7"/>
    <w:rsid w:val="00486508"/>
    <w:rsid w:val="004869F9"/>
    <w:rsid w:val="00487086"/>
    <w:rsid w:val="004877BB"/>
    <w:rsid w:val="004908F4"/>
    <w:rsid w:val="00491084"/>
    <w:rsid w:val="00491569"/>
    <w:rsid w:val="00492072"/>
    <w:rsid w:val="00492559"/>
    <w:rsid w:val="00493892"/>
    <w:rsid w:val="00493B26"/>
    <w:rsid w:val="0049455A"/>
    <w:rsid w:val="00495009"/>
    <w:rsid w:val="00495A8B"/>
    <w:rsid w:val="00495ADF"/>
    <w:rsid w:val="00495B8E"/>
    <w:rsid w:val="00497ACE"/>
    <w:rsid w:val="004A05DC"/>
    <w:rsid w:val="004A05FE"/>
    <w:rsid w:val="004A0DA7"/>
    <w:rsid w:val="004A13AB"/>
    <w:rsid w:val="004A2182"/>
    <w:rsid w:val="004A2318"/>
    <w:rsid w:val="004A30FA"/>
    <w:rsid w:val="004A5627"/>
    <w:rsid w:val="004A5646"/>
    <w:rsid w:val="004A599E"/>
    <w:rsid w:val="004A5EFB"/>
    <w:rsid w:val="004B0B0F"/>
    <w:rsid w:val="004B0CB2"/>
    <w:rsid w:val="004B1646"/>
    <w:rsid w:val="004B19E5"/>
    <w:rsid w:val="004B1D42"/>
    <w:rsid w:val="004B21A3"/>
    <w:rsid w:val="004B3072"/>
    <w:rsid w:val="004B3750"/>
    <w:rsid w:val="004B3F67"/>
    <w:rsid w:val="004B4261"/>
    <w:rsid w:val="004B4279"/>
    <w:rsid w:val="004B4A80"/>
    <w:rsid w:val="004B5500"/>
    <w:rsid w:val="004B5501"/>
    <w:rsid w:val="004B593F"/>
    <w:rsid w:val="004B669E"/>
    <w:rsid w:val="004B6807"/>
    <w:rsid w:val="004C0E95"/>
    <w:rsid w:val="004C1D8D"/>
    <w:rsid w:val="004C2CFD"/>
    <w:rsid w:val="004C4422"/>
    <w:rsid w:val="004C5BFB"/>
    <w:rsid w:val="004C5C8A"/>
    <w:rsid w:val="004C5FE6"/>
    <w:rsid w:val="004D1276"/>
    <w:rsid w:val="004D1998"/>
    <w:rsid w:val="004D5DB8"/>
    <w:rsid w:val="004D742D"/>
    <w:rsid w:val="004D756A"/>
    <w:rsid w:val="004E01AD"/>
    <w:rsid w:val="004E0318"/>
    <w:rsid w:val="004E1FAD"/>
    <w:rsid w:val="004E2299"/>
    <w:rsid w:val="004E4281"/>
    <w:rsid w:val="004E4515"/>
    <w:rsid w:val="004E5171"/>
    <w:rsid w:val="004E531C"/>
    <w:rsid w:val="004E58E4"/>
    <w:rsid w:val="004E756E"/>
    <w:rsid w:val="004F05E2"/>
    <w:rsid w:val="004F0B07"/>
    <w:rsid w:val="004F10A2"/>
    <w:rsid w:val="004F1691"/>
    <w:rsid w:val="004F3B2D"/>
    <w:rsid w:val="004F44E4"/>
    <w:rsid w:val="004F49A9"/>
    <w:rsid w:val="004F5505"/>
    <w:rsid w:val="004F629C"/>
    <w:rsid w:val="004F70A1"/>
    <w:rsid w:val="0050050C"/>
    <w:rsid w:val="00500F8C"/>
    <w:rsid w:val="00500FA7"/>
    <w:rsid w:val="00501F5C"/>
    <w:rsid w:val="00502242"/>
    <w:rsid w:val="00502977"/>
    <w:rsid w:val="005048CC"/>
    <w:rsid w:val="00504CDB"/>
    <w:rsid w:val="00506033"/>
    <w:rsid w:val="00506C37"/>
    <w:rsid w:val="00506CB3"/>
    <w:rsid w:val="00506CB6"/>
    <w:rsid w:val="005070C2"/>
    <w:rsid w:val="005078C9"/>
    <w:rsid w:val="00507C4F"/>
    <w:rsid w:val="00510EC5"/>
    <w:rsid w:val="00511092"/>
    <w:rsid w:val="0051153C"/>
    <w:rsid w:val="005118E7"/>
    <w:rsid w:val="005118F1"/>
    <w:rsid w:val="00512298"/>
    <w:rsid w:val="00512464"/>
    <w:rsid w:val="0051303D"/>
    <w:rsid w:val="00513590"/>
    <w:rsid w:val="005151C6"/>
    <w:rsid w:val="005158FB"/>
    <w:rsid w:val="005178F2"/>
    <w:rsid w:val="00520409"/>
    <w:rsid w:val="005227EB"/>
    <w:rsid w:val="00522FCC"/>
    <w:rsid w:val="0052472E"/>
    <w:rsid w:val="00532FDB"/>
    <w:rsid w:val="00533FD4"/>
    <w:rsid w:val="005349FD"/>
    <w:rsid w:val="0053531B"/>
    <w:rsid w:val="0053535B"/>
    <w:rsid w:val="00537E36"/>
    <w:rsid w:val="00537EA0"/>
    <w:rsid w:val="0054318F"/>
    <w:rsid w:val="00543F53"/>
    <w:rsid w:val="00544DB7"/>
    <w:rsid w:val="005458FA"/>
    <w:rsid w:val="00545993"/>
    <w:rsid w:val="005467D9"/>
    <w:rsid w:val="0054762E"/>
    <w:rsid w:val="00547A45"/>
    <w:rsid w:val="005509FE"/>
    <w:rsid w:val="00552281"/>
    <w:rsid w:val="00553991"/>
    <w:rsid w:val="005539D7"/>
    <w:rsid w:val="00553A6A"/>
    <w:rsid w:val="005542D4"/>
    <w:rsid w:val="00554716"/>
    <w:rsid w:val="00555586"/>
    <w:rsid w:val="00555682"/>
    <w:rsid w:val="00556E8C"/>
    <w:rsid w:val="00557163"/>
    <w:rsid w:val="00557ECC"/>
    <w:rsid w:val="00557F30"/>
    <w:rsid w:val="00563792"/>
    <w:rsid w:val="0056620D"/>
    <w:rsid w:val="00570DC1"/>
    <w:rsid w:val="00571036"/>
    <w:rsid w:val="00571510"/>
    <w:rsid w:val="00571735"/>
    <w:rsid w:val="00571DA0"/>
    <w:rsid w:val="00573524"/>
    <w:rsid w:val="00573E12"/>
    <w:rsid w:val="00575864"/>
    <w:rsid w:val="00576696"/>
    <w:rsid w:val="005773A0"/>
    <w:rsid w:val="0057787E"/>
    <w:rsid w:val="00577A37"/>
    <w:rsid w:val="00577D41"/>
    <w:rsid w:val="005809F0"/>
    <w:rsid w:val="00581618"/>
    <w:rsid w:val="00583819"/>
    <w:rsid w:val="00583B61"/>
    <w:rsid w:val="005840E5"/>
    <w:rsid w:val="005854E8"/>
    <w:rsid w:val="0058574C"/>
    <w:rsid w:val="0058626D"/>
    <w:rsid w:val="005904D7"/>
    <w:rsid w:val="005934E8"/>
    <w:rsid w:val="00594243"/>
    <w:rsid w:val="00594C2D"/>
    <w:rsid w:val="00595DD7"/>
    <w:rsid w:val="005969BF"/>
    <w:rsid w:val="00597828"/>
    <w:rsid w:val="00597F03"/>
    <w:rsid w:val="005A1223"/>
    <w:rsid w:val="005A127F"/>
    <w:rsid w:val="005A174C"/>
    <w:rsid w:val="005A4232"/>
    <w:rsid w:val="005A51A2"/>
    <w:rsid w:val="005A5DE0"/>
    <w:rsid w:val="005A788E"/>
    <w:rsid w:val="005B077A"/>
    <w:rsid w:val="005B0856"/>
    <w:rsid w:val="005B1712"/>
    <w:rsid w:val="005B467A"/>
    <w:rsid w:val="005B582A"/>
    <w:rsid w:val="005C0B75"/>
    <w:rsid w:val="005C1515"/>
    <w:rsid w:val="005C2147"/>
    <w:rsid w:val="005C7B68"/>
    <w:rsid w:val="005D0086"/>
    <w:rsid w:val="005D0A51"/>
    <w:rsid w:val="005D155A"/>
    <w:rsid w:val="005D25B8"/>
    <w:rsid w:val="005D3F5F"/>
    <w:rsid w:val="005D4BCA"/>
    <w:rsid w:val="005D5A01"/>
    <w:rsid w:val="005D71F7"/>
    <w:rsid w:val="005D726D"/>
    <w:rsid w:val="005E0517"/>
    <w:rsid w:val="005E0CBD"/>
    <w:rsid w:val="005E1120"/>
    <w:rsid w:val="005E1257"/>
    <w:rsid w:val="005E34D9"/>
    <w:rsid w:val="005E3D1E"/>
    <w:rsid w:val="005E5059"/>
    <w:rsid w:val="005E57E4"/>
    <w:rsid w:val="005E7723"/>
    <w:rsid w:val="005F17C4"/>
    <w:rsid w:val="005F2189"/>
    <w:rsid w:val="005F285B"/>
    <w:rsid w:val="005F2C1B"/>
    <w:rsid w:val="005F4C20"/>
    <w:rsid w:val="005F6514"/>
    <w:rsid w:val="005F7AA8"/>
    <w:rsid w:val="0060087C"/>
    <w:rsid w:val="00603B0B"/>
    <w:rsid w:val="006044C6"/>
    <w:rsid w:val="006048F0"/>
    <w:rsid w:val="00604B97"/>
    <w:rsid w:val="00605D6D"/>
    <w:rsid w:val="0060600E"/>
    <w:rsid w:val="006061F1"/>
    <w:rsid w:val="0060749E"/>
    <w:rsid w:val="0060757C"/>
    <w:rsid w:val="00607FFE"/>
    <w:rsid w:val="00610BD3"/>
    <w:rsid w:val="00612477"/>
    <w:rsid w:val="0061307A"/>
    <w:rsid w:val="00613531"/>
    <w:rsid w:val="006137E4"/>
    <w:rsid w:val="00613DF9"/>
    <w:rsid w:val="00615985"/>
    <w:rsid w:val="00615D36"/>
    <w:rsid w:val="006169E5"/>
    <w:rsid w:val="006171D0"/>
    <w:rsid w:val="00617488"/>
    <w:rsid w:val="0061775A"/>
    <w:rsid w:val="00617BA3"/>
    <w:rsid w:val="00620495"/>
    <w:rsid w:val="00621769"/>
    <w:rsid w:val="00622813"/>
    <w:rsid w:val="006240EE"/>
    <w:rsid w:val="006265DF"/>
    <w:rsid w:val="0062661B"/>
    <w:rsid w:val="00626637"/>
    <w:rsid w:val="00626E33"/>
    <w:rsid w:val="00627875"/>
    <w:rsid w:val="00630CDF"/>
    <w:rsid w:val="006310DC"/>
    <w:rsid w:val="0063143F"/>
    <w:rsid w:val="006352A7"/>
    <w:rsid w:val="00636245"/>
    <w:rsid w:val="00637FB5"/>
    <w:rsid w:val="0064087F"/>
    <w:rsid w:val="006424F0"/>
    <w:rsid w:val="00642AF6"/>
    <w:rsid w:val="00643F94"/>
    <w:rsid w:val="00644515"/>
    <w:rsid w:val="00645C88"/>
    <w:rsid w:val="00645D95"/>
    <w:rsid w:val="00645FC3"/>
    <w:rsid w:val="006464E0"/>
    <w:rsid w:val="006469D6"/>
    <w:rsid w:val="00646F78"/>
    <w:rsid w:val="00650C37"/>
    <w:rsid w:val="0065133A"/>
    <w:rsid w:val="0065253C"/>
    <w:rsid w:val="006536F1"/>
    <w:rsid w:val="00653D39"/>
    <w:rsid w:val="00653EC9"/>
    <w:rsid w:val="00653ED4"/>
    <w:rsid w:val="00654C06"/>
    <w:rsid w:val="00655277"/>
    <w:rsid w:val="006562DD"/>
    <w:rsid w:val="006565B5"/>
    <w:rsid w:val="00662BE1"/>
    <w:rsid w:val="006635AE"/>
    <w:rsid w:val="00663686"/>
    <w:rsid w:val="006659B1"/>
    <w:rsid w:val="0066738F"/>
    <w:rsid w:val="006712E8"/>
    <w:rsid w:val="00671CFA"/>
    <w:rsid w:val="00671CFD"/>
    <w:rsid w:val="006727CA"/>
    <w:rsid w:val="0067354E"/>
    <w:rsid w:val="00673CE1"/>
    <w:rsid w:val="006740B2"/>
    <w:rsid w:val="0067543C"/>
    <w:rsid w:val="006757D4"/>
    <w:rsid w:val="0067704D"/>
    <w:rsid w:val="00677443"/>
    <w:rsid w:val="00677634"/>
    <w:rsid w:val="006810F1"/>
    <w:rsid w:val="00681D30"/>
    <w:rsid w:val="00681ED1"/>
    <w:rsid w:val="00682CB9"/>
    <w:rsid w:val="006831DD"/>
    <w:rsid w:val="00685964"/>
    <w:rsid w:val="00687DA3"/>
    <w:rsid w:val="00690A62"/>
    <w:rsid w:val="0069120C"/>
    <w:rsid w:val="006914B1"/>
    <w:rsid w:val="00691B1D"/>
    <w:rsid w:val="006929CD"/>
    <w:rsid w:val="00692CAF"/>
    <w:rsid w:val="00694C42"/>
    <w:rsid w:val="006950E3"/>
    <w:rsid w:val="00695E07"/>
    <w:rsid w:val="00695EC0"/>
    <w:rsid w:val="0069648E"/>
    <w:rsid w:val="00696AAB"/>
    <w:rsid w:val="00697878"/>
    <w:rsid w:val="006A086A"/>
    <w:rsid w:val="006A1EB0"/>
    <w:rsid w:val="006A275F"/>
    <w:rsid w:val="006A2A9E"/>
    <w:rsid w:val="006A38D7"/>
    <w:rsid w:val="006A461D"/>
    <w:rsid w:val="006A5AE9"/>
    <w:rsid w:val="006A5B52"/>
    <w:rsid w:val="006A5D96"/>
    <w:rsid w:val="006A7BA9"/>
    <w:rsid w:val="006B19D4"/>
    <w:rsid w:val="006B1A51"/>
    <w:rsid w:val="006B249D"/>
    <w:rsid w:val="006B2768"/>
    <w:rsid w:val="006B35F5"/>
    <w:rsid w:val="006B4494"/>
    <w:rsid w:val="006B49D8"/>
    <w:rsid w:val="006B5B19"/>
    <w:rsid w:val="006B60F3"/>
    <w:rsid w:val="006B6E37"/>
    <w:rsid w:val="006B75CF"/>
    <w:rsid w:val="006B797B"/>
    <w:rsid w:val="006C1759"/>
    <w:rsid w:val="006C2157"/>
    <w:rsid w:val="006C2B46"/>
    <w:rsid w:val="006C5FBD"/>
    <w:rsid w:val="006C600B"/>
    <w:rsid w:val="006C6BB0"/>
    <w:rsid w:val="006C73E5"/>
    <w:rsid w:val="006D0F12"/>
    <w:rsid w:val="006D12CC"/>
    <w:rsid w:val="006D26D6"/>
    <w:rsid w:val="006D29D1"/>
    <w:rsid w:val="006D7262"/>
    <w:rsid w:val="006D7678"/>
    <w:rsid w:val="006D7BC9"/>
    <w:rsid w:val="006E0792"/>
    <w:rsid w:val="006E1425"/>
    <w:rsid w:val="006E3154"/>
    <w:rsid w:val="006E3D61"/>
    <w:rsid w:val="006E5B4B"/>
    <w:rsid w:val="006E6894"/>
    <w:rsid w:val="006E7090"/>
    <w:rsid w:val="006E7504"/>
    <w:rsid w:val="006F0A81"/>
    <w:rsid w:val="006F0EAE"/>
    <w:rsid w:val="006F2433"/>
    <w:rsid w:val="006F29F3"/>
    <w:rsid w:val="006F3005"/>
    <w:rsid w:val="006F3224"/>
    <w:rsid w:val="006F4B7A"/>
    <w:rsid w:val="00700103"/>
    <w:rsid w:val="00700CF6"/>
    <w:rsid w:val="00701798"/>
    <w:rsid w:val="00701E45"/>
    <w:rsid w:val="00702894"/>
    <w:rsid w:val="00703761"/>
    <w:rsid w:val="0070396A"/>
    <w:rsid w:val="00703DC2"/>
    <w:rsid w:val="00706EF5"/>
    <w:rsid w:val="00713458"/>
    <w:rsid w:val="007137F8"/>
    <w:rsid w:val="00715229"/>
    <w:rsid w:val="007153D1"/>
    <w:rsid w:val="00715947"/>
    <w:rsid w:val="007167BA"/>
    <w:rsid w:val="00716F0A"/>
    <w:rsid w:val="00717511"/>
    <w:rsid w:val="0072099E"/>
    <w:rsid w:val="00720DC3"/>
    <w:rsid w:val="007221CB"/>
    <w:rsid w:val="00722B7E"/>
    <w:rsid w:val="007235A7"/>
    <w:rsid w:val="00723A7F"/>
    <w:rsid w:val="00724D96"/>
    <w:rsid w:val="0072535C"/>
    <w:rsid w:val="00725735"/>
    <w:rsid w:val="007274EB"/>
    <w:rsid w:val="00727E60"/>
    <w:rsid w:val="0073011C"/>
    <w:rsid w:val="00730520"/>
    <w:rsid w:val="00733418"/>
    <w:rsid w:val="007352EC"/>
    <w:rsid w:val="0073577E"/>
    <w:rsid w:val="00735A2F"/>
    <w:rsid w:val="00736E6A"/>
    <w:rsid w:val="0073724A"/>
    <w:rsid w:val="00740871"/>
    <w:rsid w:val="0074240A"/>
    <w:rsid w:val="0074290F"/>
    <w:rsid w:val="00742E2D"/>
    <w:rsid w:val="00744226"/>
    <w:rsid w:val="007442B4"/>
    <w:rsid w:val="007462A6"/>
    <w:rsid w:val="00746403"/>
    <w:rsid w:val="00747F4A"/>
    <w:rsid w:val="00750817"/>
    <w:rsid w:val="00752B5B"/>
    <w:rsid w:val="00753633"/>
    <w:rsid w:val="00753D59"/>
    <w:rsid w:val="007546E1"/>
    <w:rsid w:val="007547F9"/>
    <w:rsid w:val="00756489"/>
    <w:rsid w:val="0075665E"/>
    <w:rsid w:val="00757037"/>
    <w:rsid w:val="00757F61"/>
    <w:rsid w:val="00760A11"/>
    <w:rsid w:val="00761BED"/>
    <w:rsid w:val="00762617"/>
    <w:rsid w:val="00763804"/>
    <w:rsid w:val="007647C2"/>
    <w:rsid w:val="00764A31"/>
    <w:rsid w:val="00765D3B"/>
    <w:rsid w:val="007674C5"/>
    <w:rsid w:val="00771B91"/>
    <w:rsid w:val="00772757"/>
    <w:rsid w:val="00772FFB"/>
    <w:rsid w:val="00773544"/>
    <w:rsid w:val="007735E2"/>
    <w:rsid w:val="00774546"/>
    <w:rsid w:val="00774C38"/>
    <w:rsid w:val="00775DC5"/>
    <w:rsid w:val="00777407"/>
    <w:rsid w:val="00777A5E"/>
    <w:rsid w:val="0078021A"/>
    <w:rsid w:val="007806F8"/>
    <w:rsid w:val="007806FB"/>
    <w:rsid w:val="00781AC0"/>
    <w:rsid w:val="00782359"/>
    <w:rsid w:val="00782B97"/>
    <w:rsid w:val="00785318"/>
    <w:rsid w:val="00785969"/>
    <w:rsid w:val="00785F92"/>
    <w:rsid w:val="007873F1"/>
    <w:rsid w:val="00790820"/>
    <w:rsid w:val="00792F61"/>
    <w:rsid w:val="00793B4A"/>
    <w:rsid w:val="00796132"/>
    <w:rsid w:val="00797DE2"/>
    <w:rsid w:val="007A083F"/>
    <w:rsid w:val="007A0BAA"/>
    <w:rsid w:val="007A123C"/>
    <w:rsid w:val="007A1868"/>
    <w:rsid w:val="007A1FCF"/>
    <w:rsid w:val="007B0F10"/>
    <w:rsid w:val="007B175E"/>
    <w:rsid w:val="007B49DD"/>
    <w:rsid w:val="007B54F9"/>
    <w:rsid w:val="007B553C"/>
    <w:rsid w:val="007B638D"/>
    <w:rsid w:val="007B747E"/>
    <w:rsid w:val="007B7C4A"/>
    <w:rsid w:val="007B7F2D"/>
    <w:rsid w:val="007C0EDF"/>
    <w:rsid w:val="007C1160"/>
    <w:rsid w:val="007C249F"/>
    <w:rsid w:val="007C48D8"/>
    <w:rsid w:val="007C4DB8"/>
    <w:rsid w:val="007C532E"/>
    <w:rsid w:val="007C5D84"/>
    <w:rsid w:val="007D0AFB"/>
    <w:rsid w:val="007D0B8F"/>
    <w:rsid w:val="007D18AF"/>
    <w:rsid w:val="007D3152"/>
    <w:rsid w:val="007D4617"/>
    <w:rsid w:val="007D46EF"/>
    <w:rsid w:val="007D4986"/>
    <w:rsid w:val="007D4A01"/>
    <w:rsid w:val="007D55B5"/>
    <w:rsid w:val="007D7A70"/>
    <w:rsid w:val="007E02F5"/>
    <w:rsid w:val="007E18F9"/>
    <w:rsid w:val="007E2EB5"/>
    <w:rsid w:val="007E3016"/>
    <w:rsid w:val="007E52F8"/>
    <w:rsid w:val="007E5337"/>
    <w:rsid w:val="007E5452"/>
    <w:rsid w:val="007E5E84"/>
    <w:rsid w:val="007E7014"/>
    <w:rsid w:val="007E7C03"/>
    <w:rsid w:val="007F1061"/>
    <w:rsid w:val="007F1776"/>
    <w:rsid w:val="007F1A65"/>
    <w:rsid w:val="007F26BB"/>
    <w:rsid w:val="007F49EF"/>
    <w:rsid w:val="007F4D00"/>
    <w:rsid w:val="00800044"/>
    <w:rsid w:val="00800C72"/>
    <w:rsid w:val="00801B56"/>
    <w:rsid w:val="00801F3E"/>
    <w:rsid w:val="008032B6"/>
    <w:rsid w:val="00803564"/>
    <w:rsid w:val="0080369D"/>
    <w:rsid w:val="008042BC"/>
    <w:rsid w:val="00805258"/>
    <w:rsid w:val="00806024"/>
    <w:rsid w:val="008060D7"/>
    <w:rsid w:val="0080618A"/>
    <w:rsid w:val="008065FE"/>
    <w:rsid w:val="00806E35"/>
    <w:rsid w:val="008107E9"/>
    <w:rsid w:val="0081086D"/>
    <w:rsid w:val="008108DE"/>
    <w:rsid w:val="00811A85"/>
    <w:rsid w:val="00813B33"/>
    <w:rsid w:val="00814B77"/>
    <w:rsid w:val="00815AC9"/>
    <w:rsid w:val="00815EF0"/>
    <w:rsid w:val="00816FFC"/>
    <w:rsid w:val="008206C1"/>
    <w:rsid w:val="0082105C"/>
    <w:rsid w:val="00821F58"/>
    <w:rsid w:val="0082228B"/>
    <w:rsid w:val="00823DDD"/>
    <w:rsid w:val="00824AE6"/>
    <w:rsid w:val="00825D66"/>
    <w:rsid w:val="008266F8"/>
    <w:rsid w:val="00826F1C"/>
    <w:rsid w:val="008271E6"/>
    <w:rsid w:val="00827BB8"/>
    <w:rsid w:val="00827FFD"/>
    <w:rsid w:val="0083017E"/>
    <w:rsid w:val="008304E3"/>
    <w:rsid w:val="008305AE"/>
    <w:rsid w:val="00830DEC"/>
    <w:rsid w:val="00830E71"/>
    <w:rsid w:val="0083121F"/>
    <w:rsid w:val="008312D1"/>
    <w:rsid w:val="00831E45"/>
    <w:rsid w:val="00832111"/>
    <w:rsid w:val="008327BB"/>
    <w:rsid w:val="0083400C"/>
    <w:rsid w:val="0083440D"/>
    <w:rsid w:val="00834AAE"/>
    <w:rsid w:val="008366D7"/>
    <w:rsid w:val="00836BC6"/>
    <w:rsid w:val="00837984"/>
    <w:rsid w:val="00840209"/>
    <w:rsid w:val="00841171"/>
    <w:rsid w:val="00841F5C"/>
    <w:rsid w:val="00841FBC"/>
    <w:rsid w:val="0084202F"/>
    <w:rsid w:val="008422A1"/>
    <w:rsid w:val="008424A9"/>
    <w:rsid w:val="00842CAF"/>
    <w:rsid w:val="00843105"/>
    <w:rsid w:val="00843164"/>
    <w:rsid w:val="008439DB"/>
    <w:rsid w:val="00846B63"/>
    <w:rsid w:val="00846F61"/>
    <w:rsid w:val="00847F50"/>
    <w:rsid w:val="0085065C"/>
    <w:rsid w:val="008510F0"/>
    <w:rsid w:val="0085193D"/>
    <w:rsid w:val="008520C2"/>
    <w:rsid w:val="00852EB8"/>
    <w:rsid w:val="00853892"/>
    <w:rsid w:val="00854BCA"/>
    <w:rsid w:val="008552D2"/>
    <w:rsid w:val="008574DD"/>
    <w:rsid w:val="00860D66"/>
    <w:rsid w:val="00860F36"/>
    <w:rsid w:val="00861EAF"/>
    <w:rsid w:val="00862CDF"/>
    <w:rsid w:val="00863CAA"/>
    <w:rsid w:val="00864A1F"/>
    <w:rsid w:val="00864A69"/>
    <w:rsid w:val="00866278"/>
    <w:rsid w:val="008664B1"/>
    <w:rsid w:val="00867C6D"/>
    <w:rsid w:val="00871D4A"/>
    <w:rsid w:val="00872B68"/>
    <w:rsid w:val="00874B90"/>
    <w:rsid w:val="008750E6"/>
    <w:rsid w:val="00875E99"/>
    <w:rsid w:val="00875FE0"/>
    <w:rsid w:val="0087681D"/>
    <w:rsid w:val="008779C1"/>
    <w:rsid w:val="0088146F"/>
    <w:rsid w:val="0088193C"/>
    <w:rsid w:val="008820F7"/>
    <w:rsid w:val="00882B4D"/>
    <w:rsid w:val="00883F92"/>
    <w:rsid w:val="0088535E"/>
    <w:rsid w:val="008853E6"/>
    <w:rsid w:val="00886AE8"/>
    <w:rsid w:val="008918A0"/>
    <w:rsid w:val="0089195C"/>
    <w:rsid w:val="00891AB3"/>
    <w:rsid w:val="008926C5"/>
    <w:rsid w:val="00893368"/>
    <w:rsid w:val="008935E2"/>
    <w:rsid w:val="008952B5"/>
    <w:rsid w:val="00897068"/>
    <w:rsid w:val="008A0184"/>
    <w:rsid w:val="008A042D"/>
    <w:rsid w:val="008A1685"/>
    <w:rsid w:val="008A1EC6"/>
    <w:rsid w:val="008A3018"/>
    <w:rsid w:val="008A310B"/>
    <w:rsid w:val="008A3284"/>
    <w:rsid w:val="008A366A"/>
    <w:rsid w:val="008A3D30"/>
    <w:rsid w:val="008A4B4F"/>
    <w:rsid w:val="008A7D15"/>
    <w:rsid w:val="008B15CF"/>
    <w:rsid w:val="008B1AD5"/>
    <w:rsid w:val="008B1F41"/>
    <w:rsid w:val="008B224E"/>
    <w:rsid w:val="008B441A"/>
    <w:rsid w:val="008B466B"/>
    <w:rsid w:val="008B5702"/>
    <w:rsid w:val="008B58B8"/>
    <w:rsid w:val="008B5BEF"/>
    <w:rsid w:val="008B6AAE"/>
    <w:rsid w:val="008B78CD"/>
    <w:rsid w:val="008C017E"/>
    <w:rsid w:val="008C0688"/>
    <w:rsid w:val="008C1542"/>
    <w:rsid w:val="008C258C"/>
    <w:rsid w:val="008C48B7"/>
    <w:rsid w:val="008C5309"/>
    <w:rsid w:val="008C65F5"/>
    <w:rsid w:val="008C6D08"/>
    <w:rsid w:val="008C7360"/>
    <w:rsid w:val="008C7984"/>
    <w:rsid w:val="008D0889"/>
    <w:rsid w:val="008D101F"/>
    <w:rsid w:val="008D1C86"/>
    <w:rsid w:val="008D293D"/>
    <w:rsid w:val="008D413D"/>
    <w:rsid w:val="008D42DC"/>
    <w:rsid w:val="008D56B0"/>
    <w:rsid w:val="008D5A72"/>
    <w:rsid w:val="008D5C85"/>
    <w:rsid w:val="008D5E55"/>
    <w:rsid w:val="008D6F21"/>
    <w:rsid w:val="008D78CB"/>
    <w:rsid w:val="008E24D5"/>
    <w:rsid w:val="008E270D"/>
    <w:rsid w:val="008E28FC"/>
    <w:rsid w:val="008E2D13"/>
    <w:rsid w:val="008E3835"/>
    <w:rsid w:val="008E5AFC"/>
    <w:rsid w:val="008E5D85"/>
    <w:rsid w:val="008E6EBB"/>
    <w:rsid w:val="008E7806"/>
    <w:rsid w:val="008E7E61"/>
    <w:rsid w:val="008F0A53"/>
    <w:rsid w:val="008F1077"/>
    <w:rsid w:val="008F4AB5"/>
    <w:rsid w:val="008F4B22"/>
    <w:rsid w:val="008F4C28"/>
    <w:rsid w:val="008F641C"/>
    <w:rsid w:val="008F6FE9"/>
    <w:rsid w:val="008F7B24"/>
    <w:rsid w:val="008F7F0C"/>
    <w:rsid w:val="00902108"/>
    <w:rsid w:val="0090236B"/>
    <w:rsid w:val="0090263B"/>
    <w:rsid w:val="0090423F"/>
    <w:rsid w:val="0090446F"/>
    <w:rsid w:val="0090588F"/>
    <w:rsid w:val="00905994"/>
    <w:rsid w:val="00905AB6"/>
    <w:rsid w:val="00905E61"/>
    <w:rsid w:val="00911218"/>
    <w:rsid w:val="00911A8F"/>
    <w:rsid w:val="009120EA"/>
    <w:rsid w:val="009134DA"/>
    <w:rsid w:val="00913BE1"/>
    <w:rsid w:val="009141D7"/>
    <w:rsid w:val="009143D6"/>
    <w:rsid w:val="0091440F"/>
    <w:rsid w:val="00914810"/>
    <w:rsid w:val="0091506B"/>
    <w:rsid w:val="009159FC"/>
    <w:rsid w:val="009168E8"/>
    <w:rsid w:val="00916DBA"/>
    <w:rsid w:val="009173DC"/>
    <w:rsid w:val="00917CCB"/>
    <w:rsid w:val="00922491"/>
    <w:rsid w:val="00922EF0"/>
    <w:rsid w:val="00923D76"/>
    <w:rsid w:val="00924419"/>
    <w:rsid w:val="00924578"/>
    <w:rsid w:val="009246B2"/>
    <w:rsid w:val="009265C9"/>
    <w:rsid w:val="00926CD7"/>
    <w:rsid w:val="00926DDD"/>
    <w:rsid w:val="00931158"/>
    <w:rsid w:val="00932C67"/>
    <w:rsid w:val="00932EB8"/>
    <w:rsid w:val="0093469D"/>
    <w:rsid w:val="009346EC"/>
    <w:rsid w:val="009347DC"/>
    <w:rsid w:val="00934FE1"/>
    <w:rsid w:val="0093515D"/>
    <w:rsid w:val="009369E3"/>
    <w:rsid w:val="0093745F"/>
    <w:rsid w:val="00937CC0"/>
    <w:rsid w:val="00937FD2"/>
    <w:rsid w:val="00937FEF"/>
    <w:rsid w:val="0094096E"/>
    <w:rsid w:val="00940EFA"/>
    <w:rsid w:val="00941243"/>
    <w:rsid w:val="0094195D"/>
    <w:rsid w:val="00941D13"/>
    <w:rsid w:val="00941DE7"/>
    <w:rsid w:val="00944472"/>
    <w:rsid w:val="0094680C"/>
    <w:rsid w:val="009473A7"/>
    <w:rsid w:val="00947488"/>
    <w:rsid w:val="0095009F"/>
    <w:rsid w:val="0095075E"/>
    <w:rsid w:val="009529C4"/>
    <w:rsid w:val="009536AD"/>
    <w:rsid w:val="0095403F"/>
    <w:rsid w:val="00955489"/>
    <w:rsid w:val="0095551F"/>
    <w:rsid w:val="00955870"/>
    <w:rsid w:val="00955C0A"/>
    <w:rsid w:val="009605E4"/>
    <w:rsid w:val="009611B6"/>
    <w:rsid w:val="0096163D"/>
    <w:rsid w:val="00965C61"/>
    <w:rsid w:val="009662D4"/>
    <w:rsid w:val="009666FC"/>
    <w:rsid w:val="00966CFF"/>
    <w:rsid w:val="009672C3"/>
    <w:rsid w:val="009704EE"/>
    <w:rsid w:val="009707ED"/>
    <w:rsid w:val="0097103E"/>
    <w:rsid w:val="00971292"/>
    <w:rsid w:val="00972B35"/>
    <w:rsid w:val="009731F5"/>
    <w:rsid w:val="00974F65"/>
    <w:rsid w:val="00976100"/>
    <w:rsid w:val="009761A6"/>
    <w:rsid w:val="00976FB6"/>
    <w:rsid w:val="00977EAD"/>
    <w:rsid w:val="0098046F"/>
    <w:rsid w:val="0098109C"/>
    <w:rsid w:val="00981B5F"/>
    <w:rsid w:val="009826A7"/>
    <w:rsid w:val="00982C26"/>
    <w:rsid w:val="009833F6"/>
    <w:rsid w:val="00984CB5"/>
    <w:rsid w:val="00984EBD"/>
    <w:rsid w:val="00985CFC"/>
    <w:rsid w:val="00986FF2"/>
    <w:rsid w:val="009876B2"/>
    <w:rsid w:val="009879D8"/>
    <w:rsid w:val="0099163D"/>
    <w:rsid w:val="009917B8"/>
    <w:rsid w:val="00991860"/>
    <w:rsid w:val="00992E02"/>
    <w:rsid w:val="00993454"/>
    <w:rsid w:val="00994F2F"/>
    <w:rsid w:val="00995C85"/>
    <w:rsid w:val="0099652B"/>
    <w:rsid w:val="009A0E3E"/>
    <w:rsid w:val="009A36FC"/>
    <w:rsid w:val="009A4AE0"/>
    <w:rsid w:val="009A5E22"/>
    <w:rsid w:val="009A6AA5"/>
    <w:rsid w:val="009A6B2C"/>
    <w:rsid w:val="009A7C6A"/>
    <w:rsid w:val="009B0020"/>
    <w:rsid w:val="009B044D"/>
    <w:rsid w:val="009B125B"/>
    <w:rsid w:val="009B2044"/>
    <w:rsid w:val="009B28F0"/>
    <w:rsid w:val="009B3C2A"/>
    <w:rsid w:val="009B4E57"/>
    <w:rsid w:val="009B4FA2"/>
    <w:rsid w:val="009B5D19"/>
    <w:rsid w:val="009B6373"/>
    <w:rsid w:val="009B6E19"/>
    <w:rsid w:val="009B7130"/>
    <w:rsid w:val="009B72A9"/>
    <w:rsid w:val="009B7FCC"/>
    <w:rsid w:val="009C061D"/>
    <w:rsid w:val="009C0852"/>
    <w:rsid w:val="009C0C17"/>
    <w:rsid w:val="009C0DBE"/>
    <w:rsid w:val="009C0EFA"/>
    <w:rsid w:val="009C10DD"/>
    <w:rsid w:val="009C15AB"/>
    <w:rsid w:val="009C2380"/>
    <w:rsid w:val="009C2E98"/>
    <w:rsid w:val="009C4503"/>
    <w:rsid w:val="009C4E86"/>
    <w:rsid w:val="009C502D"/>
    <w:rsid w:val="009C5348"/>
    <w:rsid w:val="009C6190"/>
    <w:rsid w:val="009C62E9"/>
    <w:rsid w:val="009C76DE"/>
    <w:rsid w:val="009C7CE9"/>
    <w:rsid w:val="009D09E1"/>
    <w:rsid w:val="009D14B5"/>
    <w:rsid w:val="009D1755"/>
    <w:rsid w:val="009D1A6F"/>
    <w:rsid w:val="009D2D56"/>
    <w:rsid w:val="009D31EC"/>
    <w:rsid w:val="009D3B86"/>
    <w:rsid w:val="009D40C4"/>
    <w:rsid w:val="009D41E5"/>
    <w:rsid w:val="009D455D"/>
    <w:rsid w:val="009D4922"/>
    <w:rsid w:val="009D4950"/>
    <w:rsid w:val="009D7632"/>
    <w:rsid w:val="009D7AE8"/>
    <w:rsid w:val="009D7F4F"/>
    <w:rsid w:val="009E060B"/>
    <w:rsid w:val="009E181A"/>
    <w:rsid w:val="009E2FF6"/>
    <w:rsid w:val="009E4A5F"/>
    <w:rsid w:val="009E528B"/>
    <w:rsid w:val="009E5528"/>
    <w:rsid w:val="009E63FE"/>
    <w:rsid w:val="009E7DE0"/>
    <w:rsid w:val="009F1672"/>
    <w:rsid w:val="009F2061"/>
    <w:rsid w:val="009F2567"/>
    <w:rsid w:val="009F36EA"/>
    <w:rsid w:val="009F46D2"/>
    <w:rsid w:val="009F5993"/>
    <w:rsid w:val="00A00A3E"/>
    <w:rsid w:val="00A00A5C"/>
    <w:rsid w:val="00A00A74"/>
    <w:rsid w:val="00A00C09"/>
    <w:rsid w:val="00A00E2E"/>
    <w:rsid w:val="00A012EB"/>
    <w:rsid w:val="00A02B7C"/>
    <w:rsid w:val="00A02EBB"/>
    <w:rsid w:val="00A0324C"/>
    <w:rsid w:val="00A03341"/>
    <w:rsid w:val="00A03E7B"/>
    <w:rsid w:val="00A041E2"/>
    <w:rsid w:val="00A063B8"/>
    <w:rsid w:val="00A06FF8"/>
    <w:rsid w:val="00A073A9"/>
    <w:rsid w:val="00A11908"/>
    <w:rsid w:val="00A12147"/>
    <w:rsid w:val="00A1280B"/>
    <w:rsid w:val="00A12C44"/>
    <w:rsid w:val="00A143ED"/>
    <w:rsid w:val="00A15403"/>
    <w:rsid w:val="00A15A83"/>
    <w:rsid w:val="00A170CA"/>
    <w:rsid w:val="00A1720A"/>
    <w:rsid w:val="00A172F9"/>
    <w:rsid w:val="00A176A0"/>
    <w:rsid w:val="00A2169E"/>
    <w:rsid w:val="00A223F7"/>
    <w:rsid w:val="00A225D2"/>
    <w:rsid w:val="00A22722"/>
    <w:rsid w:val="00A22853"/>
    <w:rsid w:val="00A253D8"/>
    <w:rsid w:val="00A255C7"/>
    <w:rsid w:val="00A25610"/>
    <w:rsid w:val="00A25A0D"/>
    <w:rsid w:val="00A3006C"/>
    <w:rsid w:val="00A313A2"/>
    <w:rsid w:val="00A32357"/>
    <w:rsid w:val="00A3302F"/>
    <w:rsid w:val="00A341DE"/>
    <w:rsid w:val="00A35BA9"/>
    <w:rsid w:val="00A35E08"/>
    <w:rsid w:val="00A36568"/>
    <w:rsid w:val="00A3668D"/>
    <w:rsid w:val="00A3690A"/>
    <w:rsid w:val="00A417CE"/>
    <w:rsid w:val="00A4210A"/>
    <w:rsid w:val="00A43ACC"/>
    <w:rsid w:val="00A43F06"/>
    <w:rsid w:val="00A45D60"/>
    <w:rsid w:val="00A4675F"/>
    <w:rsid w:val="00A46CEE"/>
    <w:rsid w:val="00A47037"/>
    <w:rsid w:val="00A47D94"/>
    <w:rsid w:val="00A50431"/>
    <w:rsid w:val="00A5105D"/>
    <w:rsid w:val="00A523CC"/>
    <w:rsid w:val="00A52F28"/>
    <w:rsid w:val="00A532A3"/>
    <w:rsid w:val="00A53F1E"/>
    <w:rsid w:val="00A557CE"/>
    <w:rsid w:val="00A56157"/>
    <w:rsid w:val="00A5687A"/>
    <w:rsid w:val="00A57CC4"/>
    <w:rsid w:val="00A601BA"/>
    <w:rsid w:val="00A60EAD"/>
    <w:rsid w:val="00A61053"/>
    <w:rsid w:val="00A6110F"/>
    <w:rsid w:val="00A614D1"/>
    <w:rsid w:val="00A615A6"/>
    <w:rsid w:val="00A61943"/>
    <w:rsid w:val="00A62062"/>
    <w:rsid w:val="00A62D7F"/>
    <w:rsid w:val="00A63438"/>
    <w:rsid w:val="00A64155"/>
    <w:rsid w:val="00A650DC"/>
    <w:rsid w:val="00A6642E"/>
    <w:rsid w:val="00A666A6"/>
    <w:rsid w:val="00A67BB5"/>
    <w:rsid w:val="00A70242"/>
    <w:rsid w:val="00A706C6"/>
    <w:rsid w:val="00A70EB5"/>
    <w:rsid w:val="00A71B8E"/>
    <w:rsid w:val="00A72171"/>
    <w:rsid w:val="00A72B02"/>
    <w:rsid w:val="00A72E0B"/>
    <w:rsid w:val="00A74445"/>
    <w:rsid w:val="00A74614"/>
    <w:rsid w:val="00A74E69"/>
    <w:rsid w:val="00A81801"/>
    <w:rsid w:val="00A8257E"/>
    <w:rsid w:val="00A82D77"/>
    <w:rsid w:val="00A84233"/>
    <w:rsid w:val="00A844E0"/>
    <w:rsid w:val="00A84829"/>
    <w:rsid w:val="00A848E2"/>
    <w:rsid w:val="00A85ABC"/>
    <w:rsid w:val="00A86B66"/>
    <w:rsid w:val="00A87495"/>
    <w:rsid w:val="00A87620"/>
    <w:rsid w:val="00A87EEE"/>
    <w:rsid w:val="00A90205"/>
    <w:rsid w:val="00A90460"/>
    <w:rsid w:val="00A90CF3"/>
    <w:rsid w:val="00A9150A"/>
    <w:rsid w:val="00A915D8"/>
    <w:rsid w:val="00A91C9B"/>
    <w:rsid w:val="00A92174"/>
    <w:rsid w:val="00A925A4"/>
    <w:rsid w:val="00A92BD4"/>
    <w:rsid w:val="00A9348D"/>
    <w:rsid w:val="00A93893"/>
    <w:rsid w:val="00A94F58"/>
    <w:rsid w:val="00A95787"/>
    <w:rsid w:val="00A95A78"/>
    <w:rsid w:val="00A96397"/>
    <w:rsid w:val="00AA0251"/>
    <w:rsid w:val="00AA03C0"/>
    <w:rsid w:val="00AA0429"/>
    <w:rsid w:val="00AA1347"/>
    <w:rsid w:val="00AA1EA4"/>
    <w:rsid w:val="00AA5E2B"/>
    <w:rsid w:val="00AA6F3E"/>
    <w:rsid w:val="00AA709E"/>
    <w:rsid w:val="00AA7571"/>
    <w:rsid w:val="00AA768C"/>
    <w:rsid w:val="00AB0777"/>
    <w:rsid w:val="00AB1FF5"/>
    <w:rsid w:val="00AB22D1"/>
    <w:rsid w:val="00AB2B3F"/>
    <w:rsid w:val="00AB3BDE"/>
    <w:rsid w:val="00AB5417"/>
    <w:rsid w:val="00AB59FE"/>
    <w:rsid w:val="00AB62A7"/>
    <w:rsid w:val="00AC1248"/>
    <w:rsid w:val="00AC29AD"/>
    <w:rsid w:val="00AC3045"/>
    <w:rsid w:val="00AC4B27"/>
    <w:rsid w:val="00AC4FF8"/>
    <w:rsid w:val="00AC5902"/>
    <w:rsid w:val="00AC5A45"/>
    <w:rsid w:val="00AC601F"/>
    <w:rsid w:val="00AC6708"/>
    <w:rsid w:val="00AC73DF"/>
    <w:rsid w:val="00AD052F"/>
    <w:rsid w:val="00AD612D"/>
    <w:rsid w:val="00AD675E"/>
    <w:rsid w:val="00AD7A57"/>
    <w:rsid w:val="00AE176D"/>
    <w:rsid w:val="00AE3F7B"/>
    <w:rsid w:val="00AE3FC2"/>
    <w:rsid w:val="00AE4A14"/>
    <w:rsid w:val="00AE53D5"/>
    <w:rsid w:val="00AE542C"/>
    <w:rsid w:val="00AE6BF5"/>
    <w:rsid w:val="00AF07F2"/>
    <w:rsid w:val="00AF139C"/>
    <w:rsid w:val="00AF27E9"/>
    <w:rsid w:val="00AF377A"/>
    <w:rsid w:val="00AF3C8D"/>
    <w:rsid w:val="00AF46B9"/>
    <w:rsid w:val="00AF513F"/>
    <w:rsid w:val="00AF579A"/>
    <w:rsid w:val="00AF655F"/>
    <w:rsid w:val="00AF6C0C"/>
    <w:rsid w:val="00AF6F92"/>
    <w:rsid w:val="00B00FE7"/>
    <w:rsid w:val="00B010AD"/>
    <w:rsid w:val="00B01624"/>
    <w:rsid w:val="00B03E45"/>
    <w:rsid w:val="00B03EEF"/>
    <w:rsid w:val="00B04C30"/>
    <w:rsid w:val="00B05763"/>
    <w:rsid w:val="00B05A8C"/>
    <w:rsid w:val="00B05B50"/>
    <w:rsid w:val="00B06643"/>
    <w:rsid w:val="00B07708"/>
    <w:rsid w:val="00B07E39"/>
    <w:rsid w:val="00B145D7"/>
    <w:rsid w:val="00B16320"/>
    <w:rsid w:val="00B1652C"/>
    <w:rsid w:val="00B17666"/>
    <w:rsid w:val="00B20189"/>
    <w:rsid w:val="00B20191"/>
    <w:rsid w:val="00B21E84"/>
    <w:rsid w:val="00B21F8E"/>
    <w:rsid w:val="00B22454"/>
    <w:rsid w:val="00B22925"/>
    <w:rsid w:val="00B23796"/>
    <w:rsid w:val="00B2429F"/>
    <w:rsid w:val="00B25946"/>
    <w:rsid w:val="00B2643E"/>
    <w:rsid w:val="00B26713"/>
    <w:rsid w:val="00B27B36"/>
    <w:rsid w:val="00B306DF"/>
    <w:rsid w:val="00B33A00"/>
    <w:rsid w:val="00B350AF"/>
    <w:rsid w:val="00B35395"/>
    <w:rsid w:val="00B35ADD"/>
    <w:rsid w:val="00B36AB3"/>
    <w:rsid w:val="00B377A7"/>
    <w:rsid w:val="00B40318"/>
    <w:rsid w:val="00B40C28"/>
    <w:rsid w:val="00B410F6"/>
    <w:rsid w:val="00B4158E"/>
    <w:rsid w:val="00B415B9"/>
    <w:rsid w:val="00B41692"/>
    <w:rsid w:val="00B41F9C"/>
    <w:rsid w:val="00B41FC3"/>
    <w:rsid w:val="00B43EF1"/>
    <w:rsid w:val="00B44F8C"/>
    <w:rsid w:val="00B4565D"/>
    <w:rsid w:val="00B46540"/>
    <w:rsid w:val="00B4708D"/>
    <w:rsid w:val="00B474A3"/>
    <w:rsid w:val="00B478B3"/>
    <w:rsid w:val="00B47C7B"/>
    <w:rsid w:val="00B51A03"/>
    <w:rsid w:val="00B51AB8"/>
    <w:rsid w:val="00B51B21"/>
    <w:rsid w:val="00B54D70"/>
    <w:rsid w:val="00B5681E"/>
    <w:rsid w:val="00B6017F"/>
    <w:rsid w:val="00B6066E"/>
    <w:rsid w:val="00B60E6E"/>
    <w:rsid w:val="00B61B0B"/>
    <w:rsid w:val="00B64FD1"/>
    <w:rsid w:val="00B66849"/>
    <w:rsid w:val="00B66ED5"/>
    <w:rsid w:val="00B7065E"/>
    <w:rsid w:val="00B70A5A"/>
    <w:rsid w:val="00B70E5D"/>
    <w:rsid w:val="00B71155"/>
    <w:rsid w:val="00B71E0D"/>
    <w:rsid w:val="00B72F38"/>
    <w:rsid w:val="00B73F9F"/>
    <w:rsid w:val="00B741E5"/>
    <w:rsid w:val="00B748EC"/>
    <w:rsid w:val="00B75BB7"/>
    <w:rsid w:val="00B76FC0"/>
    <w:rsid w:val="00B81760"/>
    <w:rsid w:val="00B82627"/>
    <w:rsid w:val="00B83411"/>
    <w:rsid w:val="00B834B7"/>
    <w:rsid w:val="00B83C52"/>
    <w:rsid w:val="00B8448F"/>
    <w:rsid w:val="00B868FB"/>
    <w:rsid w:val="00B8728D"/>
    <w:rsid w:val="00B876EC"/>
    <w:rsid w:val="00B87C41"/>
    <w:rsid w:val="00B91256"/>
    <w:rsid w:val="00B9217F"/>
    <w:rsid w:val="00B9226B"/>
    <w:rsid w:val="00B92C62"/>
    <w:rsid w:val="00B92EE6"/>
    <w:rsid w:val="00B94064"/>
    <w:rsid w:val="00B95B5A"/>
    <w:rsid w:val="00B9663E"/>
    <w:rsid w:val="00B97CC5"/>
    <w:rsid w:val="00BA02DD"/>
    <w:rsid w:val="00BA188B"/>
    <w:rsid w:val="00BA1F11"/>
    <w:rsid w:val="00BA3963"/>
    <w:rsid w:val="00BA47C7"/>
    <w:rsid w:val="00BA501F"/>
    <w:rsid w:val="00BA6BEC"/>
    <w:rsid w:val="00BA7805"/>
    <w:rsid w:val="00BA792F"/>
    <w:rsid w:val="00BB2ED6"/>
    <w:rsid w:val="00BB504C"/>
    <w:rsid w:val="00BB6380"/>
    <w:rsid w:val="00BB6A36"/>
    <w:rsid w:val="00BC06CD"/>
    <w:rsid w:val="00BC1786"/>
    <w:rsid w:val="00BC2190"/>
    <w:rsid w:val="00BC2449"/>
    <w:rsid w:val="00BC2804"/>
    <w:rsid w:val="00BC2B24"/>
    <w:rsid w:val="00BC43E6"/>
    <w:rsid w:val="00BC6E4A"/>
    <w:rsid w:val="00BC79AB"/>
    <w:rsid w:val="00BD3AFE"/>
    <w:rsid w:val="00BD3F8A"/>
    <w:rsid w:val="00BD56D9"/>
    <w:rsid w:val="00BE028E"/>
    <w:rsid w:val="00BE0B77"/>
    <w:rsid w:val="00BE11C2"/>
    <w:rsid w:val="00BE23BE"/>
    <w:rsid w:val="00BE30DD"/>
    <w:rsid w:val="00BE3157"/>
    <w:rsid w:val="00BE340C"/>
    <w:rsid w:val="00BE3E99"/>
    <w:rsid w:val="00BE4EDF"/>
    <w:rsid w:val="00BE6804"/>
    <w:rsid w:val="00BF167E"/>
    <w:rsid w:val="00BF2295"/>
    <w:rsid w:val="00BF2775"/>
    <w:rsid w:val="00BF3D0D"/>
    <w:rsid w:val="00BF438B"/>
    <w:rsid w:val="00BF4ED7"/>
    <w:rsid w:val="00BF52A0"/>
    <w:rsid w:val="00BF6DB0"/>
    <w:rsid w:val="00BF763C"/>
    <w:rsid w:val="00C014AD"/>
    <w:rsid w:val="00C02C7E"/>
    <w:rsid w:val="00C03A32"/>
    <w:rsid w:val="00C03C22"/>
    <w:rsid w:val="00C04119"/>
    <w:rsid w:val="00C058E2"/>
    <w:rsid w:val="00C06FE6"/>
    <w:rsid w:val="00C07145"/>
    <w:rsid w:val="00C07E29"/>
    <w:rsid w:val="00C10983"/>
    <w:rsid w:val="00C1128D"/>
    <w:rsid w:val="00C11854"/>
    <w:rsid w:val="00C11E7C"/>
    <w:rsid w:val="00C128A4"/>
    <w:rsid w:val="00C12DD5"/>
    <w:rsid w:val="00C12FD8"/>
    <w:rsid w:val="00C1308C"/>
    <w:rsid w:val="00C14404"/>
    <w:rsid w:val="00C15ACF"/>
    <w:rsid w:val="00C15CF8"/>
    <w:rsid w:val="00C160AC"/>
    <w:rsid w:val="00C16B98"/>
    <w:rsid w:val="00C1736D"/>
    <w:rsid w:val="00C17640"/>
    <w:rsid w:val="00C201F5"/>
    <w:rsid w:val="00C20840"/>
    <w:rsid w:val="00C2213B"/>
    <w:rsid w:val="00C231A5"/>
    <w:rsid w:val="00C244CD"/>
    <w:rsid w:val="00C250D4"/>
    <w:rsid w:val="00C25BFD"/>
    <w:rsid w:val="00C25F65"/>
    <w:rsid w:val="00C30760"/>
    <w:rsid w:val="00C3129F"/>
    <w:rsid w:val="00C31A4F"/>
    <w:rsid w:val="00C32B97"/>
    <w:rsid w:val="00C33BF9"/>
    <w:rsid w:val="00C358D2"/>
    <w:rsid w:val="00C35F89"/>
    <w:rsid w:val="00C36076"/>
    <w:rsid w:val="00C40C44"/>
    <w:rsid w:val="00C40D79"/>
    <w:rsid w:val="00C40FF3"/>
    <w:rsid w:val="00C42BED"/>
    <w:rsid w:val="00C432DC"/>
    <w:rsid w:val="00C43C35"/>
    <w:rsid w:val="00C44165"/>
    <w:rsid w:val="00C44914"/>
    <w:rsid w:val="00C45080"/>
    <w:rsid w:val="00C4520D"/>
    <w:rsid w:val="00C45836"/>
    <w:rsid w:val="00C46404"/>
    <w:rsid w:val="00C4670E"/>
    <w:rsid w:val="00C47AEE"/>
    <w:rsid w:val="00C505E1"/>
    <w:rsid w:val="00C508A4"/>
    <w:rsid w:val="00C54D6F"/>
    <w:rsid w:val="00C55076"/>
    <w:rsid w:val="00C5524E"/>
    <w:rsid w:val="00C571CD"/>
    <w:rsid w:val="00C571FE"/>
    <w:rsid w:val="00C576B5"/>
    <w:rsid w:val="00C60B8D"/>
    <w:rsid w:val="00C61BDD"/>
    <w:rsid w:val="00C6404F"/>
    <w:rsid w:val="00C64F5C"/>
    <w:rsid w:val="00C66D06"/>
    <w:rsid w:val="00C67508"/>
    <w:rsid w:val="00C675A5"/>
    <w:rsid w:val="00C70510"/>
    <w:rsid w:val="00C735D1"/>
    <w:rsid w:val="00C73700"/>
    <w:rsid w:val="00C73737"/>
    <w:rsid w:val="00C73D6A"/>
    <w:rsid w:val="00C753CE"/>
    <w:rsid w:val="00C75815"/>
    <w:rsid w:val="00C759F1"/>
    <w:rsid w:val="00C7613D"/>
    <w:rsid w:val="00C7740C"/>
    <w:rsid w:val="00C7740D"/>
    <w:rsid w:val="00C77A6A"/>
    <w:rsid w:val="00C8021C"/>
    <w:rsid w:val="00C8044E"/>
    <w:rsid w:val="00C80B20"/>
    <w:rsid w:val="00C82958"/>
    <w:rsid w:val="00C8350A"/>
    <w:rsid w:val="00C83F40"/>
    <w:rsid w:val="00C86349"/>
    <w:rsid w:val="00C8729B"/>
    <w:rsid w:val="00C90280"/>
    <w:rsid w:val="00C908C0"/>
    <w:rsid w:val="00C9120F"/>
    <w:rsid w:val="00C913C8"/>
    <w:rsid w:val="00C92330"/>
    <w:rsid w:val="00C93B59"/>
    <w:rsid w:val="00C93E43"/>
    <w:rsid w:val="00C9463B"/>
    <w:rsid w:val="00C9634E"/>
    <w:rsid w:val="00C96F27"/>
    <w:rsid w:val="00C97118"/>
    <w:rsid w:val="00C97F51"/>
    <w:rsid w:val="00CA13A3"/>
    <w:rsid w:val="00CA148E"/>
    <w:rsid w:val="00CA179A"/>
    <w:rsid w:val="00CA1C08"/>
    <w:rsid w:val="00CA25E5"/>
    <w:rsid w:val="00CA3CB0"/>
    <w:rsid w:val="00CA4BB7"/>
    <w:rsid w:val="00CA59D5"/>
    <w:rsid w:val="00CA6448"/>
    <w:rsid w:val="00CA658C"/>
    <w:rsid w:val="00CB044B"/>
    <w:rsid w:val="00CB1B88"/>
    <w:rsid w:val="00CB20CD"/>
    <w:rsid w:val="00CB3383"/>
    <w:rsid w:val="00CB4680"/>
    <w:rsid w:val="00CB5B04"/>
    <w:rsid w:val="00CB65BD"/>
    <w:rsid w:val="00CB6BF3"/>
    <w:rsid w:val="00CC05EB"/>
    <w:rsid w:val="00CC1F7E"/>
    <w:rsid w:val="00CC20CB"/>
    <w:rsid w:val="00CC2A82"/>
    <w:rsid w:val="00CC3293"/>
    <w:rsid w:val="00CC46E9"/>
    <w:rsid w:val="00CC4947"/>
    <w:rsid w:val="00CC4CD8"/>
    <w:rsid w:val="00CC4E23"/>
    <w:rsid w:val="00CC5F2F"/>
    <w:rsid w:val="00CC6CCC"/>
    <w:rsid w:val="00CD0D85"/>
    <w:rsid w:val="00CD0E25"/>
    <w:rsid w:val="00CD1275"/>
    <w:rsid w:val="00CD1CE3"/>
    <w:rsid w:val="00CD2E96"/>
    <w:rsid w:val="00CD4B23"/>
    <w:rsid w:val="00CD4B79"/>
    <w:rsid w:val="00CD5378"/>
    <w:rsid w:val="00CD6EF4"/>
    <w:rsid w:val="00CD714D"/>
    <w:rsid w:val="00CD7AE1"/>
    <w:rsid w:val="00CE0C4B"/>
    <w:rsid w:val="00CE1034"/>
    <w:rsid w:val="00CE196C"/>
    <w:rsid w:val="00CE3DBD"/>
    <w:rsid w:val="00CE7351"/>
    <w:rsid w:val="00CE74ED"/>
    <w:rsid w:val="00CE7799"/>
    <w:rsid w:val="00CE7FFD"/>
    <w:rsid w:val="00CF116E"/>
    <w:rsid w:val="00CF24B4"/>
    <w:rsid w:val="00CF541A"/>
    <w:rsid w:val="00CF64FC"/>
    <w:rsid w:val="00CF6C5F"/>
    <w:rsid w:val="00CF75A6"/>
    <w:rsid w:val="00D000AF"/>
    <w:rsid w:val="00D03150"/>
    <w:rsid w:val="00D040D9"/>
    <w:rsid w:val="00D051C8"/>
    <w:rsid w:val="00D07475"/>
    <w:rsid w:val="00D108B5"/>
    <w:rsid w:val="00D109C7"/>
    <w:rsid w:val="00D10D85"/>
    <w:rsid w:val="00D11383"/>
    <w:rsid w:val="00D126D5"/>
    <w:rsid w:val="00D12951"/>
    <w:rsid w:val="00D14698"/>
    <w:rsid w:val="00D15CE9"/>
    <w:rsid w:val="00D16745"/>
    <w:rsid w:val="00D16948"/>
    <w:rsid w:val="00D16E6D"/>
    <w:rsid w:val="00D1794F"/>
    <w:rsid w:val="00D17B3D"/>
    <w:rsid w:val="00D20F00"/>
    <w:rsid w:val="00D20F52"/>
    <w:rsid w:val="00D221BD"/>
    <w:rsid w:val="00D22A86"/>
    <w:rsid w:val="00D23047"/>
    <w:rsid w:val="00D2323D"/>
    <w:rsid w:val="00D2386C"/>
    <w:rsid w:val="00D2470F"/>
    <w:rsid w:val="00D24EA4"/>
    <w:rsid w:val="00D265E4"/>
    <w:rsid w:val="00D30885"/>
    <w:rsid w:val="00D3355D"/>
    <w:rsid w:val="00D33FDE"/>
    <w:rsid w:val="00D353D3"/>
    <w:rsid w:val="00D35448"/>
    <w:rsid w:val="00D35AA4"/>
    <w:rsid w:val="00D35E0B"/>
    <w:rsid w:val="00D361A9"/>
    <w:rsid w:val="00D3795A"/>
    <w:rsid w:val="00D422EF"/>
    <w:rsid w:val="00D432E4"/>
    <w:rsid w:val="00D433C4"/>
    <w:rsid w:val="00D43651"/>
    <w:rsid w:val="00D43711"/>
    <w:rsid w:val="00D437FA"/>
    <w:rsid w:val="00D445F3"/>
    <w:rsid w:val="00D44DFC"/>
    <w:rsid w:val="00D450F6"/>
    <w:rsid w:val="00D46CE0"/>
    <w:rsid w:val="00D479FF"/>
    <w:rsid w:val="00D47DAB"/>
    <w:rsid w:val="00D50ADB"/>
    <w:rsid w:val="00D50E08"/>
    <w:rsid w:val="00D51071"/>
    <w:rsid w:val="00D515A0"/>
    <w:rsid w:val="00D5202A"/>
    <w:rsid w:val="00D52953"/>
    <w:rsid w:val="00D53DD7"/>
    <w:rsid w:val="00D54628"/>
    <w:rsid w:val="00D54FB5"/>
    <w:rsid w:val="00D56390"/>
    <w:rsid w:val="00D57807"/>
    <w:rsid w:val="00D579F9"/>
    <w:rsid w:val="00D57E85"/>
    <w:rsid w:val="00D60CE0"/>
    <w:rsid w:val="00D63832"/>
    <w:rsid w:val="00D657A9"/>
    <w:rsid w:val="00D65D89"/>
    <w:rsid w:val="00D664C2"/>
    <w:rsid w:val="00D672C9"/>
    <w:rsid w:val="00D67583"/>
    <w:rsid w:val="00D67641"/>
    <w:rsid w:val="00D67EF3"/>
    <w:rsid w:val="00D72584"/>
    <w:rsid w:val="00D73D4D"/>
    <w:rsid w:val="00D7434A"/>
    <w:rsid w:val="00D749A7"/>
    <w:rsid w:val="00D74BBC"/>
    <w:rsid w:val="00D7652E"/>
    <w:rsid w:val="00D77796"/>
    <w:rsid w:val="00D7781D"/>
    <w:rsid w:val="00D80AB4"/>
    <w:rsid w:val="00D85601"/>
    <w:rsid w:val="00D8664E"/>
    <w:rsid w:val="00D86B22"/>
    <w:rsid w:val="00D86D28"/>
    <w:rsid w:val="00D873A5"/>
    <w:rsid w:val="00D87A0D"/>
    <w:rsid w:val="00D94568"/>
    <w:rsid w:val="00D950E5"/>
    <w:rsid w:val="00D95CAC"/>
    <w:rsid w:val="00D95E84"/>
    <w:rsid w:val="00D96547"/>
    <w:rsid w:val="00DA0F58"/>
    <w:rsid w:val="00DA1F5F"/>
    <w:rsid w:val="00DA26E2"/>
    <w:rsid w:val="00DA3E8C"/>
    <w:rsid w:val="00DA4AFE"/>
    <w:rsid w:val="00DA4EB8"/>
    <w:rsid w:val="00DA5AC0"/>
    <w:rsid w:val="00DA5E1E"/>
    <w:rsid w:val="00DA64A2"/>
    <w:rsid w:val="00DA7AB4"/>
    <w:rsid w:val="00DB0425"/>
    <w:rsid w:val="00DB113F"/>
    <w:rsid w:val="00DB27E0"/>
    <w:rsid w:val="00DB3A3F"/>
    <w:rsid w:val="00DB4AF9"/>
    <w:rsid w:val="00DB50E2"/>
    <w:rsid w:val="00DB68F9"/>
    <w:rsid w:val="00DB75F8"/>
    <w:rsid w:val="00DB771E"/>
    <w:rsid w:val="00DB78F0"/>
    <w:rsid w:val="00DC067F"/>
    <w:rsid w:val="00DC20AB"/>
    <w:rsid w:val="00DC28AF"/>
    <w:rsid w:val="00DC2D13"/>
    <w:rsid w:val="00DC33B0"/>
    <w:rsid w:val="00DC3580"/>
    <w:rsid w:val="00DC39B7"/>
    <w:rsid w:val="00DC695B"/>
    <w:rsid w:val="00DC731E"/>
    <w:rsid w:val="00DC73EB"/>
    <w:rsid w:val="00DC7403"/>
    <w:rsid w:val="00DC7797"/>
    <w:rsid w:val="00DC7822"/>
    <w:rsid w:val="00DD14CB"/>
    <w:rsid w:val="00DD1590"/>
    <w:rsid w:val="00DD3782"/>
    <w:rsid w:val="00DD3D24"/>
    <w:rsid w:val="00DD4527"/>
    <w:rsid w:val="00DD4844"/>
    <w:rsid w:val="00DD4A88"/>
    <w:rsid w:val="00DD76B6"/>
    <w:rsid w:val="00DD7C18"/>
    <w:rsid w:val="00DE068A"/>
    <w:rsid w:val="00DE0B29"/>
    <w:rsid w:val="00DE2046"/>
    <w:rsid w:val="00DE23E5"/>
    <w:rsid w:val="00DE2415"/>
    <w:rsid w:val="00DE3B36"/>
    <w:rsid w:val="00DE3F03"/>
    <w:rsid w:val="00DE5D75"/>
    <w:rsid w:val="00DE5E1E"/>
    <w:rsid w:val="00DE6522"/>
    <w:rsid w:val="00DE7B5F"/>
    <w:rsid w:val="00DF0A69"/>
    <w:rsid w:val="00DF2AC8"/>
    <w:rsid w:val="00DF2AE8"/>
    <w:rsid w:val="00DF2EAB"/>
    <w:rsid w:val="00DF3D10"/>
    <w:rsid w:val="00DF40DB"/>
    <w:rsid w:val="00DF4308"/>
    <w:rsid w:val="00DF4B33"/>
    <w:rsid w:val="00DF5458"/>
    <w:rsid w:val="00DF5572"/>
    <w:rsid w:val="00DF6357"/>
    <w:rsid w:val="00DF6FD8"/>
    <w:rsid w:val="00DF71A6"/>
    <w:rsid w:val="00DF7245"/>
    <w:rsid w:val="00DF7A7F"/>
    <w:rsid w:val="00E014FE"/>
    <w:rsid w:val="00E0191A"/>
    <w:rsid w:val="00E024AA"/>
    <w:rsid w:val="00E02E82"/>
    <w:rsid w:val="00E03412"/>
    <w:rsid w:val="00E03A6E"/>
    <w:rsid w:val="00E03C83"/>
    <w:rsid w:val="00E048A8"/>
    <w:rsid w:val="00E05EAA"/>
    <w:rsid w:val="00E10184"/>
    <w:rsid w:val="00E1038D"/>
    <w:rsid w:val="00E11FD7"/>
    <w:rsid w:val="00E11FE5"/>
    <w:rsid w:val="00E12B9C"/>
    <w:rsid w:val="00E15D7C"/>
    <w:rsid w:val="00E16ED7"/>
    <w:rsid w:val="00E20D2D"/>
    <w:rsid w:val="00E2147B"/>
    <w:rsid w:val="00E219B2"/>
    <w:rsid w:val="00E21AFB"/>
    <w:rsid w:val="00E221A0"/>
    <w:rsid w:val="00E24325"/>
    <w:rsid w:val="00E24A2C"/>
    <w:rsid w:val="00E24ED9"/>
    <w:rsid w:val="00E25E26"/>
    <w:rsid w:val="00E30045"/>
    <w:rsid w:val="00E30DDE"/>
    <w:rsid w:val="00E325BD"/>
    <w:rsid w:val="00E35388"/>
    <w:rsid w:val="00E35443"/>
    <w:rsid w:val="00E36DBA"/>
    <w:rsid w:val="00E36FB7"/>
    <w:rsid w:val="00E37042"/>
    <w:rsid w:val="00E371A7"/>
    <w:rsid w:val="00E415DD"/>
    <w:rsid w:val="00E42AC0"/>
    <w:rsid w:val="00E4479A"/>
    <w:rsid w:val="00E44DA8"/>
    <w:rsid w:val="00E46884"/>
    <w:rsid w:val="00E4691E"/>
    <w:rsid w:val="00E46DD6"/>
    <w:rsid w:val="00E47FF4"/>
    <w:rsid w:val="00E50C3C"/>
    <w:rsid w:val="00E524E2"/>
    <w:rsid w:val="00E5288A"/>
    <w:rsid w:val="00E53176"/>
    <w:rsid w:val="00E53BB2"/>
    <w:rsid w:val="00E54E9F"/>
    <w:rsid w:val="00E56A45"/>
    <w:rsid w:val="00E57E2B"/>
    <w:rsid w:val="00E62880"/>
    <w:rsid w:val="00E6332E"/>
    <w:rsid w:val="00E63607"/>
    <w:rsid w:val="00E63736"/>
    <w:rsid w:val="00E63979"/>
    <w:rsid w:val="00E6403E"/>
    <w:rsid w:val="00E64A32"/>
    <w:rsid w:val="00E65A12"/>
    <w:rsid w:val="00E65E00"/>
    <w:rsid w:val="00E7225F"/>
    <w:rsid w:val="00E72922"/>
    <w:rsid w:val="00E749D2"/>
    <w:rsid w:val="00E76203"/>
    <w:rsid w:val="00E76D04"/>
    <w:rsid w:val="00E76DF4"/>
    <w:rsid w:val="00E80871"/>
    <w:rsid w:val="00E80928"/>
    <w:rsid w:val="00E84425"/>
    <w:rsid w:val="00E849B8"/>
    <w:rsid w:val="00E84A31"/>
    <w:rsid w:val="00E8669F"/>
    <w:rsid w:val="00E86A0B"/>
    <w:rsid w:val="00E876C8"/>
    <w:rsid w:val="00E8774E"/>
    <w:rsid w:val="00E87F8C"/>
    <w:rsid w:val="00E90092"/>
    <w:rsid w:val="00E902AB"/>
    <w:rsid w:val="00E9061D"/>
    <w:rsid w:val="00E90F95"/>
    <w:rsid w:val="00E9101E"/>
    <w:rsid w:val="00E951EA"/>
    <w:rsid w:val="00E95C56"/>
    <w:rsid w:val="00E9669F"/>
    <w:rsid w:val="00E97E8A"/>
    <w:rsid w:val="00EA1418"/>
    <w:rsid w:val="00EA3339"/>
    <w:rsid w:val="00EA37D1"/>
    <w:rsid w:val="00EA3C67"/>
    <w:rsid w:val="00EA513B"/>
    <w:rsid w:val="00EA513D"/>
    <w:rsid w:val="00EA71EF"/>
    <w:rsid w:val="00EB2A1E"/>
    <w:rsid w:val="00EB309B"/>
    <w:rsid w:val="00EB3A1A"/>
    <w:rsid w:val="00EB48C2"/>
    <w:rsid w:val="00EB539A"/>
    <w:rsid w:val="00EB547A"/>
    <w:rsid w:val="00EB62B5"/>
    <w:rsid w:val="00EB6E43"/>
    <w:rsid w:val="00EB73E0"/>
    <w:rsid w:val="00EC004F"/>
    <w:rsid w:val="00EC21AA"/>
    <w:rsid w:val="00EC2CDB"/>
    <w:rsid w:val="00EC41A4"/>
    <w:rsid w:val="00EC461A"/>
    <w:rsid w:val="00EC4C8F"/>
    <w:rsid w:val="00EC566D"/>
    <w:rsid w:val="00EC5B66"/>
    <w:rsid w:val="00EC5C5B"/>
    <w:rsid w:val="00EC5F4A"/>
    <w:rsid w:val="00EC680E"/>
    <w:rsid w:val="00EC7E31"/>
    <w:rsid w:val="00ED0927"/>
    <w:rsid w:val="00ED1242"/>
    <w:rsid w:val="00ED1B9A"/>
    <w:rsid w:val="00ED1FBF"/>
    <w:rsid w:val="00ED2338"/>
    <w:rsid w:val="00ED3983"/>
    <w:rsid w:val="00ED4486"/>
    <w:rsid w:val="00ED46EA"/>
    <w:rsid w:val="00ED4E8A"/>
    <w:rsid w:val="00ED5468"/>
    <w:rsid w:val="00ED6089"/>
    <w:rsid w:val="00ED79CB"/>
    <w:rsid w:val="00ED7DCA"/>
    <w:rsid w:val="00ED7F17"/>
    <w:rsid w:val="00EE0000"/>
    <w:rsid w:val="00EE0625"/>
    <w:rsid w:val="00EE0B6F"/>
    <w:rsid w:val="00EE0FA8"/>
    <w:rsid w:val="00EE1543"/>
    <w:rsid w:val="00EE1E68"/>
    <w:rsid w:val="00EE27E8"/>
    <w:rsid w:val="00EE2945"/>
    <w:rsid w:val="00EE3B18"/>
    <w:rsid w:val="00EE3BCE"/>
    <w:rsid w:val="00EE53C9"/>
    <w:rsid w:val="00EE6F12"/>
    <w:rsid w:val="00EE752B"/>
    <w:rsid w:val="00EE76D3"/>
    <w:rsid w:val="00EE7823"/>
    <w:rsid w:val="00EE7C58"/>
    <w:rsid w:val="00EF09CD"/>
    <w:rsid w:val="00EF2024"/>
    <w:rsid w:val="00EF32FE"/>
    <w:rsid w:val="00EF3939"/>
    <w:rsid w:val="00EF393E"/>
    <w:rsid w:val="00EF39CF"/>
    <w:rsid w:val="00EF3CB8"/>
    <w:rsid w:val="00EF48F6"/>
    <w:rsid w:val="00EF4F7D"/>
    <w:rsid w:val="00EF5632"/>
    <w:rsid w:val="00EF6A74"/>
    <w:rsid w:val="00EF726E"/>
    <w:rsid w:val="00EF78F7"/>
    <w:rsid w:val="00F0268A"/>
    <w:rsid w:val="00F027C2"/>
    <w:rsid w:val="00F03304"/>
    <w:rsid w:val="00F042AB"/>
    <w:rsid w:val="00F05A16"/>
    <w:rsid w:val="00F07FC0"/>
    <w:rsid w:val="00F107FC"/>
    <w:rsid w:val="00F1162D"/>
    <w:rsid w:val="00F11C5C"/>
    <w:rsid w:val="00F120E7"/>
    <w:rsid w:val="00F12369"/>
    <w:rsid w:val="00F12B25"/>
    <w:rsid w:val="00F12C70"/>
    <w:rsid w:val="00F13D74"/>
    <w:rsid w:val="00F146E5"/>
    <w:rsid w:val="00F152D2"/>
    <w:rsid w:val="00F15A3A"/>
    <w:rsid w:val="00F163ED"/>
    <w:rsid w:val="00F178EB"/>
    <w:rsid w:val="00F21E6B"/>
    <w:rsid w:val="00F224A7"/>
    <w:rsid w:val="00F22CA2"/>
    <w:rsid w:val="00F23218"/>
    <w:rsid w:val="00F23FF6"/>
    <w:rsid w:val="00F27080"/>
    <w:rsid w:val="00F30640"/>
    <w:rsid w:val="00F31489"/>
    <w:rsid w:val="00F314F2"/>
    <w:rsid w:val="00F32B7C"/>
    <w:rsid w:val="00F340A3"/>
    <w:rsid w:val="00F34707"/>
    <w:rsid w:val="00F35DC8"/>
    <w:rsid w:val="00F35F62"/>
    <w:rsid w:val="00F36FB4"/>
    <w:rsid w:val="00F37FFB"/>
    <w:rsid w:val="00F403BE"/>
    <w:rsid w:val="00F410F8"/>
    <w:rsid w:val="00F415BA"/>
    <w:rsid w:val="00F41AF5"/>
    <w:rsid w:val="00F41B94"/>
    <w:rsid w:val="00F430F5"/>
    <w:rsid w:val="00F43C56"/>
    <w:rsid w:val="00F44065"/>
    <w:rsid w:val="00F44EB4"/>
    <w:rsid w:val="00F452AF"/>
    <w:rsid w:val="00F46980"/>
    <w:rsid w:val="00F4718C"/>
    <w:rsid w:val="00F518BC"/>
    <w:rsid w:val="00F5293F"/>
    <w:rsid w:val="00F53066"/>
    <w:rsid w:val="00F53D79"/>
    <w:rsid w:val="00F54C07"/>
    <w:rsid w:val="00F563B8"/>
    <w:rsid w:val="00F579F9"/>
    <w:rsid w:val="00F606EE"/>
    <w:rsid w:val="00F607A6"/>
    <w:rsid w:val="00F60C07"/>
    <w:rsid w:val="00F61677"/>
    <w:rsid w:val="00F62088"/>
    <w:rsid w:val="00F6614D"/>
    <w:rsid w:val="00F661F1"/>
    <w:rsid w:val="00F6674C"/>
    <w:rsid w:val="00F66C9E"/>
    <w:rsid w:val="00F670A2"/>
    <w:rsid w:val="00F677F4"/>
    <w:rsid w:val="00F6794A"/>
    <w:rsid w:val="00F67ECC"/>
    <w:rsid w:val="00F7099F"/>
    <w:rsid w:val="00F70E0F"/>
    <w:rsid w:val="00F710AA"/>
    <w:rsid w:val="00F71142"/>
    <w:rsid w:val="00F74080"/>
    <w:rsid w:val="00F74F42"/>
    <w:rsid w:val="00F758C6"/>
    <w:rsid w:val="00F76447"/>
    <w:rsid w:val="00F8194E"/>
    <w:rsid w:val="00F86439"/>
    <w:rsid w:val="00F86AAB"/>
    <w:rsid w:val="00F871CE"/>
    <w:rsid w:val="00F87B0C"/>
    <w:rsid w:val="00F91921"/>
    <w:rsid w:val="00F91BE8"/>
    <w:rsid w:val="00F92C16"/>
    <w:rsid w:val="00F9431D"/>
    <w:rsid w:val="00F9601E"/>
    <w:rsid w:val="00F962A6"/>
    <w:rsid w:val="00F9630C"/>
    <w:rsid w:val="00F9686F"/>
    <w:rsid w:val="00F96A2E"/>
    <w:rsid w:val="00F97199"/>
    <w:rsid w:val="00F971C7"/>
    <w:rsid w:val="00F977F5"/>
    <w:rsid w:val="00FA19D3"/>
    <w:rsid w:val="00FA1C5A"/>
    <w:rsid w:val="00FA236C"/>
    <w:rsid w:val="00FA34A0"/>
    <w:rsid w:val="00FA4539"/>
    <w:rsid w:val="00FA6684"/>
    <w:rsid w:val="00FA710A"/>
    <w:rsid w:val="00FA7B5E"/>
    <w:rsid w:val="00FB13E9"/>
    <w:rsid w:val="00FB33CC"/>
    <w:rsid w:val="00FB426F"/>
    <w:rsid w:val="00FB4513"/>
    <w:rsid w:val="00FB4C91"/>
    <w:rsid w:val="00FB5634"/>
    <w:rsid w:val="00FB76AF"/>
    <w:rsid w:val="00FC00C7"/>
    <w:rsid w:val="00FC2525"/>
    <w:rsid w:val="00FC3F0A"/>
    <w:rsid w:val="00FC3F3E"/>
    <w:rsid w:val="00FC44C4"/>
    <w:rsid w:val="00FC4BB6"/>
    <w:rsid w:val="00FC62A7"/>
    <w:rsid w:val="00FD0059"/>
    <w:rsid w:val="00FD2215"/>
    <w:rsid w:val="00FD2721"/>
    <w:rsid w:val="00FD3206"/>
    <w:rsid w:val="00FD3301"/>
    <w:rsid w:val="00FD54C8"/>
    <w:rsid w:val="00FD5D8A"/>
    <w:rsid w:val="00FD6CB7"/>
    <w:rsid w:val="00FE1907"/>
    <w:rsid w:val="00FE1BC9"/>
    <w:rsid w:val="00FE31E7"/>
    <w:rsid w:val="00FE3766"/>
    <w:rsid w:val="00FE4D1C"/>
    <w:rsid w:val="00FE4F8F"/>
    <w:rsid w:val="00FE5D01"/>
    <w:rsid w:val="00FE68F2"/>
    <w:rsid w:val="00FE7BC7"/>
    <w:rsid w:val="00FF1A7B"/>
    <w:rsid w:val="00FF26FA"/>
    <w:rsid w:val="00FF2749"/>
    <w:rsid w:val="00FF28FE"/>
    <w:rsid w:val="00FF2B8B"/>
    <w:rsid w:val="00FF30D0"/>
    <w:rsid w:val="00FF3822"/>
    <w:rsid w:val="00FF40F9"/>
    <w:rsid w:val="00FF53B3"/>
    <w:rsid w:val="00FF57E0"/>
    <w:rsid w:val="00FF7580"/>
    <w:rsid w:val="00FF7B46"/>
    <w:rsid w:val="01142107"/>
    <w:rsid w:val="01146871"/>
    <w:rsid w:val="013071E9"/>
    <w:rsid w:val="01311FC1"/>
    <w:rsid w:val="014E4B2B"/>
    <w:rsid w:val="014F75B8"/>
    <w:rsid w:val="01530015"/>
    <w:rsid w:val="0154193E"/>
    <w:rsid w:val="015A79FE"/>
    <w:rsid w:val="015E5E33"/>
    <w:rsid w:val="017577CF"/>
    <w:rsid w:val="0177500F"/>
    <w:rsid w:val="01840014"/>
    <w:rsid w:val="019D28EF"/>
    <w:rsid w:val="01A45F83"/>
    <w:rsid w:val="01CC5F35"/>
    <w:rsid w:val="01CF2ABD"/>
    <w:rsid w:val="01D57A27"/>
    <w:rsid w:val="01E20B6B"/>
    <w:rsid w:val="01ED4B09"/>
    <w:rsid w:val="01EE24C5"/>
    <w:rsid w:val="01F30CDE"/>
    <w:rsid w:val="01FA038E"/>
    <w:rsid w:val="01FA19D4"/>
    <w:rsid w:val="02181D39"/>
    <w:rsid w:val="02373C3B"/>
    <w:rsid w:val="024250B6"/>
    <w:rsid w:val="024C4522"/>
    <w:rsid w:val="024F2A4B"/>
    <w:rsid w:val="02513F08"/>
    <w:rsid w:val="025D7B12"/>
    <w:rsid w:val="0264710E"/>
    <w:rsid w:val="026D453F"/>
    <w:rsid w:val="0284529B"/>
    <w:rsid w:val="029972DE"/>
    <w:rsid w:val="029B084C"/>
    <w:rsid w:val="02BA1476"/>
    <w:rsid w:val="02E368EF"/>
    <w:rsid w:val="02E72045"/>
    <w:rsid w:val="030D0AFE"/>
    <w:rsid w:val="03170577"/>
    <w:rsid w:val="03193B87"/>
    <w:rsid w:val="033000AF"/>
    <w:rsid w:val="03391E85"/>
    <w:rsid w:val="03426CFB"/>
    <w:rsid w:val="034D3D23"/>
    <w:rsid w:val="035D752D"/>
    <w:rsid w:val="037F1887"/>
    <w:rsid w:val="038614D6"/>
    <w:rsid w:val="0397332C"/>
    <w:rsid w:val="039D1D62"/>
    <w:rsid w:val="03A0653D"/>
    <w:rsid w:val="03A845E0"/>
    <w:rsid w:val="03BB6EF5"/>
    <w:rsid w:val="03C84282"/>
    <w:rsid w:val="03CD6BD8"/>
    <w:rsid w:val="03D725D2"/>
    <w:rsid w:val="03F4314A"/>
    <w:rsid w:val="03FE19D0"/>
    <w:rsid w:val="04094732"/>
    <w:rsid w:val="040E43B1"/>
    <w:rsid w:val="04190EC7"/>
    <w:rsid w:val="041B0048"/>
    <w:rsid w:val="041B116E"/>
    <w:rsid w:val="04201B61"/>
    <w:rsid w:val="04325368"/>
    <w:rsid w:val="043462DE"/>
    <w:rsid w:val="04350423"/>
    <w:rsid w:val="04422EB6"/>
    <w:rsid w:val="046B3B4D"/>
    <w:rsid w:val="04907995"/>
    <w:rsid w:val="0494417F"/>
    <w:rsid w:val="04A92B70"/>
    <w:rsid w:val="04A96200"/>
    <w:rsid w:val="04AE6F10"/>
    <w:rsid w:val="04E068F2"/>
    <w:rsid w:val="04EB5D97"/>
    <w:rsid w:val="04F87591"/>
    <w:rsid w:val="050A0607"/>
    <w:rsid w:val="056761A1"/>
    <w:rsid w:val="05837A2B"/>
    <w:rsid w:val="059B79ED"/>
    <w:rsid w:val="05B115D8"/>
    <w:rsid w:val="05D0784A"/>
    <w:rsid w:val="05E33893"/>
    <w:rsid w:val="05E371EB"/>
    <w:rsid w:val="05FC1F12"/>
    <w:rsid w:val="062027FF"/>
    <w:rsid w:val="0629162E"/>
    <w:rsid w:val="06413F5B"/>
    <w:rsid w:val="0650792B"/>
    <w:rsid w:val="066712A6"/>
    <w:rsid w:val="06A41FE0"/>
    <w:rsid w:val="06B7762E"/>
    <w:rsid w:val="06DB25BB"/>
    <w:rsid w:val="06DE2264"/>
    <w:rsid w:val="06EB4E9F"/>
    <w:rsid w:val="070B61A3"/>
    <w:rsid w:val="07282B43"/>
    <w:rsid w:val="0729202F"/>
    <w:rsid w:val="072B6A3C"/>
    <w:rsid w:val="072F294A"/>
    <w:rsid w:val="07320144"/>
    <w:rsid w:val="0769192D"/>
    <w:rsid w:val="076A263F"/>
    <w:rsid w:val="078526CD"/>
    <w:rsid w:val="078E0DF2"/>
    <w:rsid w:val="07A779B0"/>
    <w:rsid w:val="07A85C48"/>
    <w:rsid w:val="07AD3490"/>
    <w:rsid w:val="07B550AA"/>
    <w:rsid w:val="07BE6AC9"/>
    <w:rsid w:val="07CA5D5C"/>
    <w:rsid w:val="07D21C9C"/>
    <w:rsid w:val="07FE53B0"/>
    <w:rsid w:val="08254D6A"/>
    <w:rsid w:val="082F6455"/>
    <w:rsid w:val="083F42F2"/>
    <w:rsid w:val="08451FE3"/>
    <w:rsid w:val="0846484A"/>
    <w:rsid w:val="086730DC"/>
    <w:rsid w:val="0876092C"/>
    <w:rsid w:val="08961502"/>
    <w:rsid w:val="089E2444"/>
    <w:rsid w:val="08AE7AA1"/>
    <w:rsid w:val="090A7CE6"/>
    <w:rsid w:val="09115808"/>
    <w:rsid w:val="093E246D"/>
    <w:rsid w:val="09415A8A"/>
    <w:rsid w:val="09574AA9"/>
    <w:rsid w:val="095E1E52"/>
    <w:rsid w:val="097F5575"/>
    <w:rsid w:val="0987064B"/>
    <w:rsid w:val="098C5C80"/>
    <w:rsid w:val="099633ED"/>
    <w:rsid w:val="099C234F"/>
    <w:rsid w:val="09AB3DFA"/>
    <w:rsid w:val="09AD5241"/>
    <w:rsid w:val="09B67702"/>
    <w:rsid w:val="09DB2808"/>
    <w:rsid w:val="09FE39FD"/>
    <w:rsid w:val="0A042BE2"/>
    <w:rsid w:val="0A0C4028"/>
    <w:rsid w:val="0A181196"/>
    <w:rsid w:val="0A4F41D2"/>
    <w:rsid w:val="0A70437F"/>
    <w:rsid w:val="0A8570E4"/>
    <w:rsid w:val="0A880A42"/>
    <w:rsid w:val="0A96575C"/>
    <w:rsid w:val="0A995AA7"/>
    <w:rsid w:val="0ABB4B3A"/>
    <w:rsid w:val="0AC4268E"/>
    <w:rsid w:val="0AEE1532"/>
    <w:rsid w:val="0AF24576"/>
    <w:rsid w:val="0B0C6BA8"/>
    <w:rsid w:val="0B4B4DCA"/>
    <w:rsid w:val="0B5F1F51"/>
    <w:rsid w:val="0B793653"/>
    <w:rsid w:val="0B906A15"/>
    <w:rsid w:val="0BA93E7F"/>
    <w:rsid w:val="0BB868C7"/>
    <w:rsid w:val="0BC413DA"/>
    <w:rsid w:val="0BCF6718"/>
    <w:rsid w:val="0BD45360"/>
    <w:rsid w:val="0BD60D27"/>
    <w:rsid w:val="0BE92162"/>
    <w:rsid w:val="0BEC377C"/>
    <w:rsid w:val="0BFE4EBE"/>
    <w:rsid w:val="0C033AA5"/>
    <w:rsid w:val="0C1B51FF"/>
    <w:rsid w:val="0C2A6C9E"/>
    <w:rsid w:val="0C2E78F7"/>
    <w:rsid w:val="0C563908"/>
    <w:rsid w:val="0C564163"/>
    <w:rsid w:val="0C570BFF"/>
    <w:rsid w:val="0C70090E"/>
    <w:rsid w:val="0C7313F3"/>
    <w:rsid w:val="0C7A0B6C"/>
    <w:rsid w:val="0C8B5B3C"/>
    <w:rsid w:val="0C8E7BD4"/>
    <w:rsid w:val="0C97149B"/>
    <w:rsid w:val="0CA2616F"/>
    <w:rsid w:val="0CBF234E"/>
    <w:rsid w:val="0CD117A6"/>
    <w:rsid w:val="0CD8398F"/>
    <w:rsid w:val="0CDF5AD1"/>
    <w:rsid w:val="0CE71F08"/>
    <w:rsid w:val="0CF80231"/>
    <w:rsid w:val="0D2630AC"/>
    <w:rsid w:val="0D270712"/>
    <w:rsid w:val="0D4438CF"/>
    <w:rsid w:val="0D7E0729"/>
    <w:rsid w:val="0D7F67EE"/>
    <w:rsid w:val="0D7F73E4"/>
    <w:rsid w:val="0D8F4EC6"/>
    <w:rsid w:val="0D971239"/>
    <w:rsid w:val="0DA67F43"/>
    <w:rsid w:val="0DAD783A"/>
    <w:rsid w:val="0DD308E2"/>
    <w:rsid w:val="0DDB2931"/>
    <w:rsid w:val="0DDE1035"/>
    <w:rsid w:val="0E382B29"/>
    <w:rsid w:val="0E5F4312"/>
    <w:rsid w:val="0E634C58"/>
    <w:rsid w:val="0E815147"/>
    <w:rsid w:val="0E84036C"/>
    <w:rsid w:val="0EA562B0"/>
    <w:rsid w:val="0EAD1B3E"/>
    <w:rsid w:val="0EC2081E"/>
    <w:rsid w:val="0ED81314"/>
    <w:rsid w:val="0EE17443"/>
    <w:rsid w:val="0F0100FF"/>
    <w:rsid w:val="0F053C27"/>
    <w:rsid w:val="0F0E7DE4"/>
    <w:rsid w:val="0F10008D"/>
    <w:rsid w:val="0F181A17"/>
    <w:rsid w:val="0F1A2DE2"/>
    <w:rsid w:val="0F1F67F3"/>
    <w:rsid w:val="0F28285E"/>
    <w:rsid w:val="0F2D24BE"/>
    <w:rsid w:val="0F2D7BF9"/>
    <w:rsid w:val="0F493905"/>
    <w:rsid w:val="0F4C6A04"/>
    <w:rsid w:val="0F561CFB"/>
    <w:rsid w:val="0F564DFC"/>
    <w:rsid w:val="0F6166B9"/>
    <w:rsid w:val="0F663923"/>
    <w:rsid w:val="0F8732DA"/>
    <w:rsid w:val="0FA06673"/>
    <w:rsid w:val="0FB9242E"/>
    <w:rsid w:val="0FCA2490"/>
    <w:rsid w:val="0FCF14C4"/>
    <w:rsid w:val="0FD51A5E"/>
    <w:rsid w:val="0FDF040A"/>
    <w:rsid w:val="0FE048C9"/>
    <w:rsid w:val="0FE2664B"/>
    <w:rsid w:val="0FEF14D1"/>
    <w:rsid w:val="10020B1E"/>
    <w:rsid w:val="100C540B"/>
    <w:rsid w:val="102408E1"/>
    <w:rsid w:val="102B3481"/>
    <w:rsid w:val="10347B1A"/>
    <w:rsid w:val="1037769A"/>
    <w:rsid w:val="10436D30"/>
    <w:rsid w:val="105631D8"/>
    <w:rsid w:val="1077627E"/>
    <w:rsid w:val="10842395"/>
    <w:rsid w:val="10984750"/>
    <w:rsid w:val="109D598F"/>
    <w:rsid w:val="109E2C5A"/>
    <w:rsid w:val="109F4E93"/>
    <w:rsid w:val="10A33770"/>
    <w:rsid w:val="10DE347B"/>
    <w:rsid w:val="10FE240E"/>
    <w:rsid w:val="11080276"/>
    <w:rsid w:val="11135559"/>
    <w:rsid w:val="11320473"/>
    <w:rsid w:val="11351C53"/>
    <w:rsid w:val="114368E4"/>
    <w:rsid w:val="11446FE4"/>
    <w:rsid w:val="11721368"/>
    <w:rsid w:val="1188747B"/>
    <w:rsid w:val="11942058"/>
    <w:rsid w:val="11A228FE"/>
    <w:rsid w:val="11B335B1"/>
    <w:rsid w:val="11B522B9"/>
    <w:rsid w:val="11D24514"/>
    <w:rsid w:val="11D54EA6"/>
    <w:rsid w:val="11DE30BD"/>
    <w:rsid w:val="11E10CB2"/>
    <w:rsid w:val="11E124D4"/>
    <w:rsid w:val="11FC176C"/>
    <w:rsid w:val="122277A1"/>
    <w:rsid w:val="122A3039"/>
    <w:rsid w:val="12331FD8"/>
    <w:rsid w:val="1238078F"/>
    <w:rsid w:val="125B7727"/>
    <w:rsid w:val="12612C13"/>
    <w:rsid w:val="126605A3"/>
    <w:rsid w:val="126719CD"/>
    <w:rsid w:val="127B669D"/>
    <w:rsid w:val="127C6552"/>
    <w:rsid w:val="128F3ECE"/>
    <w:rsid w:val="12907F41"/>
    <w:rsid w:val="129F3481"/>
    <w:rsid w:val="12A03AB1"/>
    <w:rsid w:val="12A42AF8"/>
    <w:rsid w:val="12B207B6"/>
    <w:rsid w:val="12BF7021"/>
    <w:rsid w:val="12E70FB5"/>
    <w:rsid w:val="12E710C5"/>
    <w:rsid w:val="12F24108"/>
    <w:rsid w:val="12F976C6"/>
    <w:rsid w:val="13086B0D"/>
    <w:rsid w:val="1326374F"/>
    <w:rsid w:val="13265693"/>
    <w:rsid w:val="132E7FEB"/>
    <w:rsid w:val="13361562"/>
    <w:rsid w:val="136C7D25"/>
    <w:rsid w:val="13866877"/>
    <w:rsid w:val="139463BD"/>
    <w:rsid w:val="13B85AC4"/>
    <w:rsid w:val="13D34EB0"/>
    <w:rsid w:val="13E90024"/>
    <w:rsid w:val="13F85F05"/>
    <w:rsid w:val="13FD0589"/>
    <w:rsid w:val="14057350"/>
    <w:rsid w:val="14227A1E"/>
    <w:rsid w:val="143322D0"/>
    <w:rsid w:val="14355187"/>
    <w:rsid w:val="14357566"/>
    <w:rsid w:val="143C5929"/>
    <w:rsid w:val="145516E0"/>
    <w:rsid w:val="145A70F2"/>
    <w:rsid w:val="145E1A04"/>
    <w:rsid w:val="145E74AE"/>
    <w:rsid w:val="146A70DF"/>
    <w:rsid w:val="146C14CF"/>
    <w:rsid w:val="14742579"/>
    <w:rsid w:val="14985024"/>
    <w:rsid w:val="14A64810"/>
    <w:rsid w:val="14AC0739"/>
    <w:rsid w:val="14B50AC4"/>
    <w:rsid w:val="14D73C26"/>
    <w:rsid w:val="14DA4CD7"/>
    <w:rsid w:val="14DF4F65"/>
    <w:rsid w:val="14EA2DF7"/>
    <w:rsid w:val="14F126FE"/>
    <w:rsid w:val="15120A20"/>
    <w:rsid w:val="15324DE7"/>
    <w:rsid w:val="15447F61"/>
    <w:rsid w:val="154A2A0A"/>
    <w:rsid w:val="154F1B91"/>
    <w:rsid w:val="156018C1"/>
    <w:rsid w:val="15776B15"/>
    <w:rsid w:val="158F2C7F"/>
    <w:rsid w:val="15B6650E"/>
    <w:rsid w:val="15B80443"/>
    <w:rsid w:val="15D364D5"/>
    <w:rsid w:val="15FE142C"/>
    <w:rsid w:val="160B1BDD"/>
    <w:rsid w:val="16176A23"/>
    <w:rsid w:val="161A25F6"/>
    <w:rsid w:val="162C738F"/>
    <w:rsid w:val="16324B20"/>
    <w:rsid w:val="16434104"/>
    <w:rsid w:val="1667056B"/>
    <w:rsid w:val="16875FC6"/>
    <w:rsid w:val="16963138"/>
    <w:rsid w:val="169F7B03"/>
    <w:rsid w:val="16B17750"/>
    <w:rsid w:val="16B902B6"/>
    <w:rsid w:val="16C5181C"/>
    <w:rsid w:val="16D533B9"/>
    <w:rsid w:val="16DF1D0B"/>
    <w:rsid w:val="16E600FF"/>
    <w:rsid w:val="17126111"/>
    <w:rsid w:val="171A1A5A"/>
    <w:rsid w:val="171C537E"/>
    <w:rsid w:val="17341020"/>
    <w:rsid w:val="173C241A"/>
    <w:rsid w:val="17570E0A"/>
    <w:rsid w:val="17741587"/>
    <w:rsid w:val="177A790F"/>
    <w:rsid w:val="177F3AF7"/>
    <w:rsid w:val="179752B4"/>
    <w:rsid w:val="17BB4BB8"/>
    <w:rsid w:val="17BF09D8"/>
    <w:rsid w:val="17DC086E"/>
    <w:rsid w:val="17DF36A8"/>
    <w:rsid w:val="17EE4FB3"/>
    <w:rsid w:val="17F80684"/>
    <w:rsid w:val="17F87421"/>
    <w:rsid w:val="1809464E"/>
    <w:rsid w:val="180E1221"/>
    <w:rsid w:val="181146A1"/>
    <w:rsid w:val="1823177B"/>
    <w:rsid w:val="182B7ED4"/>
    <w:rsid w:val="1844125D"/>
    <w:rsid w:val="18551867"/>
    <w:rsid w:val="18563578"/>
    <w:rsid w:val="185D0FCB"/>
    <w:rsid w:val="186C7764"/>
    <w:rsid w:val="188053AD"/>
    <w:rsid w:val="18AF4002"/>
    <w:rsid w:val="18B22D11"/>
    <w:rsid w:val="18B92D8E"/>
    <w:rsid w:val="18BB4A52"/>
    <w:rsid w:val="18BB7734"/>
    <w:rsid w:val="18DC4818"/>
    <w:rsid w:val="18F855A1"/>
    <w:rsid w:val="18FE29CF"/>
    <w:rsid w:val="190445F5"/>
    <w:rsid w:val="191E5A48"/>
    <w:rsid w:val="1971593A"/>
    <w:rsid w:val="197A7C84"/>
    <w:rsid w:val="197E051E"/>
    <w:rsid w:val="197F0007"/>
    <w:rsid w:val="198803B0"/>
    <w:rsid w:val="198863A7"/>
    <w:rsid w:val="198F4F2F"/>
    <w:rsid w:val="19905F55"/>
    <w:rsid w:val="19A96996"/>
    <w:rsid w:val="19C070C6"/>
    <w:rsid w:val="19C34FD2"/>
    <w:rsid w:val="19E24021"/>
    <w:rsid w:val="19E4019F"/>
    <w:rsid w:val="1A0C1401"/>
    <w:rsid w:val="1A183B56"/>
    <w:rsid w:val="1A292821"/>
    <w:rsid w:val="1A325AC9"/>
    <w:rsid w:val="1A374438"/>
    <w:rsid w:val="1A401C1B"/>
    <w:rsid w:val="1A4324EB"/>
    <w:rsid w:val="1A4B3D9F"/>
    <w:rsid w:val="1A596D6B"/>
    <w:rsid w:val="1A61034D"/>
    <w:rsid w:val="1A6433DF"/>
    <w:rsid w:val="1A662E4F"/>
    <w:rsid w:val="1A6944A9"/>
    <w:rsid w:val="1A6F29F0"/>
    <w:rsid w:val="1A705206"/>
    <w:rsid w:val="1A80240F"/>
    <w:rsid w:val="1A946DD4"/>
    <w:rsid w:val="1A9C1C03"/>
    <w:rsid w:val="1AAB2865"/>
    <w:rsid w:val="1ABC5DBC"/>
    <w:rsid w:val="1AC95244"/>
    <w:rsid w:val="1AFE142A"/>
    <w:rsid w:val="1AFF0A4E"/>
    <w:rsid w:val="1B027BAC"/>
    <w:rsid w:val="1B0A275E"/>
    <w:rsid w:val="1B0F743F"/>
    <w:rsid w:val="1B356811"/>
    <w:rsid w:val="1B3A7D28"/>
    <w:rsid w:val="1B4802E0"/>
    <w:rsid w:val="1B4B54DD"/>
    <w:rsid w:val="1B535992"/>
    <w:rsid w:val="1B5B475B"/>
    <w:rsid w:val="1B656613"/>
    <w:rsid w:val="1B77032E"/>
    <w:rsid w:val="1B7C5B46"/>
    <w:rsid w:val="1B880E1C"/>
    <w:rsid w:val="1B8C1E14"/>
    <w:rsid w:val="1B8D256D"/>
    <w:rsid w:val="1B9F1B06"/>
    <w:rsid w:val="1BBB24DB"/>
    <w:rsid w:val="1BC50F1F"/>
    <w:rsid w:val="1BEE3298"/>
    <w:rsid w:val="1BEE6C4D"/>
    <w:rsid w:val="1BF23586"/>
    <w:rsid w:val="1BF7291B"/>
    <w:rsid w:val="1C024F52"/>
    <w:rsid w:val="1C0D51F5"/>
    <w:rsid w:val="1C102197"/>
    <w:rsid w:val="1C17120C"/>
    <w:rsid w:val="1C1B064E"/>
    <w:rsid w:val="1C2B66BC"/>
    <w:rsid w:val="1C2E2CEC"/>
    <w:rsid w:val="1C441A3B"/>
    <w:rsid w:val="1C4D26DA"/>
    <w:rsid w:val="1C4F3A5D"/>
    <w:rsid w:val="1C662A0F"/>
    <w:rsid w:val="1C6A4546"/>
    <w:rsid w:val="1C7479CB"/>
    <w:rsid w:val="1C8D33A3"/>
    <w:rsid w:val="1C95240D"/>
    <w:rsid w:val="1CA405C2"/>
    <w:rsid w:val="1CA67351"/>
    <w:rsid w:val="1CAB0663"/>
    <w:rsid w:val="1CD14F4F"/>
    <w:rsid w:val="1CE029C7"/>
    <w:rsid w:val="1CE06C96"/>
    <w:rsid w:val="1CE1537B"/>
    <w:rsid w:val="1CE74E2B"/>
    <w:rsid w:val="1CEB0C16"/>
    <w:rsid w:val="1CF3380C"/>
    <w:rsid w:val="1CF94A07"/>
    <w:rsid w:val="1D076FC0"/>
    <w:rsid w:val="1D085482"/>
    <w:rsid w:val="1D1563AB"/>
    <w:rsid w:val="1D31010B"/>
    <w:rsid w:val="1D3D28EA"/>
    <w:rsid w:val="1D447068"/>
    <w:rsid w:val="1D477156"/>
    <w:rsid w:val="1D53745C"/>
    <w:rsid w:val="1D6523EE"/>
    <w:rsid w:val="1D6563B7"/>
    <w:rsid w:val="1D672870"/>
    <w:rsid w:val="1D7B451E"/>
    <w:rsid w:val="1D826D66"/>
    <w:rsid w:val="1D8827A7"/>
    <w:rsid w:val="1DA24D3F"/>
    <w:rsid w:val="1DC30018"/>
    <w:rsid w:val="1DD451CF"/>
    <w:rsid w:val="1DE74372"/>
    <w:rsid w:val="1DF156C1"/>
    <w:rsid w:val="1DF70050"/>
    <w:rsid w:val="1E1B1250"/>
    <w:rsid w:val="1E267A77"/>
    <w:rsid w:val="1E2E2077"/>
    <w:rsid w:val="1E4353B4"/>
    <w:rsid w:val="1E5D33AF"/>
    <w:rsid w:val="1E7276CE"/>
    <w:rsid w:val="1E745A8A"/>
    <w:rsid w:val="1E8C0B1F"/>
    <w:rsid w:val="1E904C26"/>
    <w:rsid w:val="1E9E5228"/>
    <w:rsid w:val="1EA74D72"/>
    <w:rsid w:val="1EB76F29"/>
    <w:rsid w:val="1ECF1AD5"/>
    <w:rsid w:val="1EDB0823"/>
    <w:rsid w:val="1EFB350D"/>
    <w:rsid w:val="1EFC784D"/>
    <w:rsid w:val="1F0D092A"/>
    <w:rsid w:val="1F250FC9"/>
    <w:rsid w:val="1F38506F"/>
    <w:rsid w:val="1F45677D"/>
    <w:rsid w:val="1F466DE4"/>
    <w:rsid w:val="1F524A27"/>
    <w:rsid w:val="1F6650EB"/>
    <w:rsid w:val="1F6B04BF"/>
    <w:rsid w:val="1F770310"/>
    <w:rsid w:val="1F8E3DD2"/>
    <w:rsid w:val="1F910888"/>
    <w:rsid w:val="1F9D3613"/>
    <w:rsid w:val="1FBA6FD6"/>
    <w:rsid w:val="1FBD4B3D"/>
    <w:rsid w:val="1FCB3D1D"/>
    <w:rsid w:val="1FDC2371"/>
    <w:rsid w:val="1FDD3D50"/>
    <w:rsid w:val="1FE76FD7"/>
    <w:rsid w:val="1FEC19F6"/>
    <w:rsid w:val="20002C74"/>
    <w:rsid w:val="20121A9B"/>
    <w:rsid w:val="20141214"/>
    <w:rsid w:val="20271D16"/>
    <w:rsid w:val="20464769"/>
    <w:rsid w:val="205C1D75"/>
    <w:rsid w:val="20626369"/>
    <w:rsid w:val="207E1A72"/>
    <w:rsid w:val="20897328"/>
    <w:rsid w:val="209E5CDF"/>
    <w:rsid w:val="209F0403"/>
    <w:rsid w:val="20A52D31"/>
    <w:rsid w:val="20B34074"/>
    <w:rsid w:val="20B4134E"/>
    <w:rsid w:val="20B84CBB"/>
    <w:rsid w:val="20BC1D04"/>
    <w:rsid w:val="20E41588"/>
    <w:rsid w:val="20EE5125"/>
    <w:rsid w:val="20FD1F60"/>
    <w:rsid w:val="210E12CD"/>
    <w:rsid w:val="21223DB0"/>
    <w:rsid w:val="213943BD"/>
    <w:rsid w:val="21526BDB"/>
    <w:rsid w:val="216753A2"/>
    <w:rsid w:val="217A1876"/>
    <w:rsid w:val="21832E51"/>
    <w:rsid w:val="21882F6A"/>
    <w:rsid w:val="218E0668"/>
    <w:rsid w:val="21906C8C"/>
    <w:rsid w:val="219A08A6"/>
    <w:rsid w:val="219E2EE4"/>
    <w:rsid w:val="21AA4630"/>
    <w:rsid w:val="21E3778C"/>
    <w:rsid w:val="21EB1073"/>
    <w:rsid w:val="21F0105D"/>
    <w:rsid w:val="2203336C"/>
    <w:rsid w:val="220D6F3B"/>
    <w:rsid w:val="221C4566"/>
    <w:rsid w:val="22250FA6"/>
    <w:rsid w:val="22320A92"/>
    <w:rsid w:val="224C2EC7"/>
    <w:rsid w:val="22605FB7"/>
    <w:rsid w:val="226C79A6"/>
    <w:rsid w:val="226F1D39"/>
    <w:rsid w:val="2272038F"/>
    <w:rsid w:val="22B23202"/>
    <w:rsid w:val="22BC5498"/>
    <w:rsid w:val="22BE67F4"/>
    <w:rsid w:val="22E976ED"/>
    <w:rsid w:val="231118A7"/>
    <w:rsid w:val="234066BB"/>
    <w:rsid w:val="237562F6"/>
    <w:rsid w:val="238C10F6"/>
    <w:rsid w:val="238F2FE9"/>
    <w:rsid w:val="239D5BDC"/>
    <w:rsid w:val="23A52691"/>
    <w:rsid w:val="23C2284B"/>
    <w:rsid w:val="23C704D9"/>
    <w:rsid w:val="23D60BB5"/>
    <w:rsid w:val="23D926D8"/>
    <w:rsid w:val="24247920"/>
    <w:rsid w:val="242B38B2"/>
    <w:rsid w:val="2434712A"/>
    <w:rsid w:val="243D414C"/>
    <w:rsid w:val="24434B42"/>
    <w:rsid w:val="244A56D1"/>
    <w:rsid w:val="245A090F"/>
    <w:rsid w:val="24736784"/>
    <w:rsid w:val="24821F7C"/>
    <w:rsid w:val="24977199"/>
    <w:rsid w:val="249B27A4"/>
    <w:rsid w:val="249F002D"/>
    <w:rsid w:val="24AD6468"/>
    <w:rsid w:val="24B50AA6"/>
    <w:rsid w:val="24BB523E"/>
    <w:rsid w:val="24BF1EFA"/>
    <w:rsid w:val="24CC19AB"/>
    <w:rsid w:val="24D62B72"/>
    <w:rsid w:val="24D80D7C"/>
    <w:rsid w:val="24DE7671"/>
    <w:rsid w:val="25420D83"/>
    <w:rsid w:val="254C5445"/>
    <w:rsid w:val="25532990"/>
    <w:rsid w:val="256853E2"/>
    <w:rsid w:val="256C30CD"/>
    <w:rsid w:val="25854ED4"/>
    <w:rsid w:val="258F3893"/>
    <w:rsid w:val="25902F39"/>
    <w:rsid w:val="2591768A"/>
    <w:rsid w:val="25957904"/>
    <w:rsid w:val="25E44846"/>
    <w:rsid w:val="25E975FE"/>
    <w:rsid w:val="25ED1650"/>
    <w:rsid w:val="25F02848"/>
    <w:rsid w:val="25FB5EBC"/>
    <w:rsid w:val="25FB7AED"/>
    <w:rsid w:val="25FD4154"/>
    <w:rsid w:val="260B1E40"/>
    <w:rsid w:val="262342CE"/>
    <w:rsid w:val="262D1483"/>
    <w:rsid w:val="26352153"/>
    <w:rsid w:val="26385C75"/>
    <w:rsid w:val="26563E3B"/>
    <w:rsid w:val="2660112F"/>
    <w:rsid w:val="266D21B0"/>
    <w:rsid w:val="267D2452"/>
    <w:rsid w:val="268B0A46"/>
    <w:rsid w:val="2696158F"/>
    <w:rsid w:val="26A34D02"/>
    <w:rsid w:val="26B4274D"/>
    <w:rsid w:val="26BB16D8"/>
    <w:rsid w:val="26BD48CB"/>
    <w:rsid w:val="26BD604A"/>
    <w:rsid w:val="26C37314"/>
    <w:rsid w:val="26C66A27"/>
    <w:rsid w:val="26DD3360"/>
    <w:rsid w:val="27032DAB"/>
    <w:rsid w:val="27077605"/>
    <w:rsid w:val="2711623F"/>
    <w:rsid w:val="273706A6"/>
    <w:rsid w:val="273C6248"/>
    <w:rsid w:val="273C7E2E"/>
    <w:rsid w:val="273F54ED"/>
    <w:rsid w:val="273F699A"/>
    <w:rsid w:val="2740122B"/>
    <w:rsid w:val="27412563"/>
    <w:rsid w:val="275C5874"/>
    <w:rsid w:val="275F3740"/>
    <w:rsid w:val="277C6961"/>
    <w:rsid w:val="277F5E30"/>
    <w:rsid w:val="27840AC5"/>
    <w:rsid w:val="27844598"/>
    <w:rsid w:val="27941409"/>
    <w:rsid w:val="27C4009C"/>
    <w:rsid w:val="27C41ECF"/>
    <w:rsid w:val="27C86D11"/>
    <w:rsid w:val="27CC4087"/>
    <w:rsid w:val="27DF4C08"/>
    <w:rsid w:val="27E81E38"/>
    <w:rsid w:val="27F5782F"/>
    <w:rsid w:val="27FB1115"/>
    <w:rsid w:val="27FE5319"/>
    <w:rsid w:val="28135FF3"/>
    <w:rsid w:val="281F0D5B"/>
    <w:rsid w:val="28223B39"/>
    <w:rsid w:val="28325217"/>
    <w:rsid w:val="284F7D92"/>
    <w:rsid w:val="285314E8"/>
    <w:rsid w:val="2878205F"/>
    <w:rsid w:val="28A62EDE"/>
    <w:rsid w:val="28BD548E"/>
    <w:rsid w:val="28CC365F"/>
    <w:rsid w:val="28CF3A40"/>
    <w:rsid w:val="28D55661"/>
    <w:rsid w:val="28D84C7B"/>
    <w:rsid w:val="28E21F33"/>
    <w:rsid w:val="28E43BF1"/>
    <w:rsid w:val="28EB39F0"/>
    <w:rsid w:val="28EE2655"/>
    <w:rsid w:val="28FE5CA6"/>
    <w:rsid w:val="29063D39"/>
    <w:rsid w:val="290A10B7"/>
    <w:rsid w:val="291C7F3D"/>
    <w:rsid w:val="291E0ECA"/>
    <w:rsid w:val="293B1E3A"/>
    <w:rsid w:val="296F2A42"/>
    <w:rsid w:val="29793B1D"/>
    <w:rsid w:val="29A40D76"/>
    <w:rsid w:val="29BD1C54"/>
    <w:rsid w:val="29D8494E"/>
    <w:rsid w:val="29DF7609"/>
    <w:rsid w:val="29EB4AEB"/>
    <w:rsid w:val="29F55BEC"/>
    <w:rsid w:val="29F76885"/>
    <w:rsid w:val="2A0D16F1"/>
    <w:rsid w:val="2A0F0D71"/>
    <w:rsid w:val="2A28035D"/>
    <w:rsid w:val="2A3751E6"/>
    <w:rsid w:val="2A417DE2"/>
    <w:rsid w:val="2A442182"/>
    <w:rsid w:val="2A5345C6"/>
    <w:rsid w:val="2A8D7E96"/>
    <w:rsid w:val="2AA266F4"/>
    <w:rsid w:val="2AAC156D"/>
    <w:rsid w:val="2AB424BF"/>
    <w:rsid w:val="2ABC63D0"/>
    <w:rsid w:val="2AD00962"/>
    <w:rsid w:val="2AE05285"/>
    <w:rsid w:val="2AE30393"/>
    <w:rsid w:val="2B0035DF"/>
    <w:rsid w:val="2B03449C"/>
    <w:rsid w:val="2B215544"/>
    <w:rsid w:val="2B2C198D"/>
    <w:rsid w:val="2B2D7A34"/>
    <w:rsid w:val="2B3B4ED3"/>
    <w:rsid w:val="2B3F65E4"/>
    <w:rsid w:val="2B4A4168"/>
    <w:rsid w:val="2B5F4F4D"/>
    <w:rsid w:val="2B6826F8"/>
    <w:rsid w:val="2B6A0542"/>
    <w:rsid w:val="2B82591E"/>
    <w:rsid w:val="2B840C55"/>
    <w:rsid w:val="2B8A6DB0"/>
    <w:rsid w:val="2B8E52C0"/>
    <w:rsid w:val="2B9134C2"/>
    <w:rsid w:val="2B962836"/>
    <w:rsid w:val="2B9F02C6"/>
    <w:rsid w:val="2BA536B7"/>
    <w:rsid w:val="2BD4247B"/>
    <w:rsid w:val="2BED090D"/>
    <w:rsid w:val="2BF40139"/>
    <w:rsid w:val="2C40632D"/>
    <w:rsid w:val="2C574A08"/>
    <w:rsid w:val="2C6234FE"/>
    <w:rsid w:val="2C843300"/>
    <w:rsid w:val="2C9467A8"/>
    <w:rsid w:val="2CA316FC"/>
    <w:rsid w:val="2CBB62F6"/>
    <w:rsid w:val="2CC30051"/>
    <w:rsid w:val="2CE9675C"/>
    <w:rsid w:val="2D0B394C"/>
    <w:rsid w:val="2D2406C7"/>
    <w:rsid w:val="2D277212"/>
    <w:rsid w:val="2D30502C"/>
    <w:rsid w:val="2D3E1CCD"/>
    <w:rsid w:val="2D4638BC"/>
    <w:rsid w:val="2D71596F"/>
    <w:rsid w:val="2D722856"/>
    <w:rsid w:val="2D8475B6"/>
    <w:rsid w:val="2D8570CB"/>
    <w:rsid w:val="2D8E53D7"/>
    <w:rsid w:val="2D901D08"/>
    <w:rsid w:val="2DA66236"/>
    <w:rsid w:val="2DAA16BC"/>
    <w:rsid w:val="2DB702E2"/>
    <w:rsid w:val="2DB97EFE"/>
    <w:rsid w:val="2DBA6077"/>
    <w:rsid w:val="2DBB498F"/>
    <w:rsid w:val="2DD967AD"/>
    <w:rsid w:val="2DE66C40"/>
    <w:rsid w:val="2DEA4383"/>
    <w:rsid w:val="2DFB6EB8"/>
    <w:rsid w:val="2E017A3D"/>
    <w:rsid w:val="2E042F64"/>
    <w:rsid w:val="2E1B271D"/>
    <w:rsid w:val="2E1D352A"/>
    <w:rsid w:val="2E2608B9"/>
    <w:rsid w:val="2E35731E"/>
    <w:rsid w:val="2E3B19CE"/>
    <w:rsid w:val="2E747431"/>
    <w:rsid w:val="2E7804D8"/>
    <w:rsid w:val="2EA709D3"/>
    <w:rsid w:val="2EB92199"/>
    <w:rsid w:val="2EC86F98"/>
    <w:rsid w:val="2ED4069D"/>
    <w:rsid w:val="2ED80A56"/>
    <w:rsid w:val="2EDA18CC"/>
    <w:rsid w:val="2F162153"/>
    <w:rsid w:val="2F24120C"/>
    <w:rsid w:val="2F2E1E20"/>
    <w:rsid w:val="2F327321"/>
    <w:rsid w:val="2F39417C"/>
    <w:rsid w:val="2F401E65"/>
    <w:rsid w:val="2F6854BF"/>
    <w:rsid w:val="2F75006F"/>
    <w:rsid w:val="2F892AD0"/>
    <w:rsid w:val="2F8B653E"/>
    <w:rsid w:val="2F943301"/>
    <w:rsid w:val="2F954863"/>
    <w:rsid w:val="2F9C4B5F"/>
    <w:rsid w:val="2F9D634C"/>
    <w:rsid w:val="2F9E4C6D"/>
    <w:rsid w:val="2F9E5A74"/>
    <w:rsid w:val="2FA95199"/>
    <w:rsid w:val="2FB7135B"/>
    <w:rsid w:val="2FB747B8"/>
    <w:rsid w:val="2FCB24CB"/>
    <w:rsid w:val="2FCE3371"/>
    <w:rsid w:val="2FD07B7F"/>
    <w:rsid w:val="2FF35382"/>
    <w:rsid w:val="30055146"/>
    <w:rsid w:val="300807C5"/>
    <w:rsid w:val="300F18CB"/>
    <w:rsid w:val="302321CB"/>
    <w:rsid w:val="30332092"/>
    <w:rsid w:val="30444B50"/>
    <w:rsid w:val="304D6112"/>
    <w:rsid w:val="304D6DE7"/>
    <w:rsid w:val="306D3234"/>
    <w:rsid w:val="307E5007"/>
    <w:rsid w:val="308040DC"/>
    <w:rsid w:val="30971190"/>
    <w:rsid w:val="30B23985"/>
    <w:rsid w:val="30B61D3F"/>
    <w:rsid w:val="30B85ACE"/>
    <w:rsid w:val="30D32383"/>
    <w:rsid w:val="30DB5848"/>
    <w:rsid w:val="30F03B8F"/>
    <w:rsid w:val="30F60509"/>
    <w:rsid w:val="30FC6070"/>
    <w:rsid w:val="310F773B"/>
    <w:rsid w:val="312277BE"/>
    <w:rsid w:val="31270D99"/>
    <w:rsid w:val="312C3CBD"/>
    <w:rsid w:val="31363D17"/>
    <w:rsid w:val="313956A2"/>
    <w:rsid w:val="314A2C66"/>
    <w:rsid w:val="31522080"/>
    <w:rsid w:val="31522189"/>
    <w:rsid w:val="31523E40"/>
    <w:rsid w:val="315C1D86"/>
    <w:rsid w:val="315F4AD9"/>
    <w:rsid w:val="316D47C3"/>
    <w:rsid w:val="3173615D"/>
    <w:rsid w:val="318245F0"/>
    <w:rsid w:val="31892E1B"/>
    <w:rsid w:val="319562C0"/>
    <w:rsid w:val="31A11811"/>
    <w:rsid w:val="31A52CC4"/>
    <w:rsid w:val="31E13926"/>
    <w:rsid w:val="31F514EE"/>
    <w:rsid w:val="320202CB"/>
    <w:rsid w:val="32081F46"/>
    <w:rsid w:val="322848EF"/>
    <w:rsid w:val="325E0D95"/>
    <w:rsid w:val="326912F1"/>
    <w:rsid w:val="328440E9"/>
    <w:rsid w:val="32921C95"/>
    <w:rsid w:val="32936E8D"/>
    <w:rsid w:val="32AF1DA1"/>
    <w:rsid w:val="32B806E4"/>
    <w:rsid w:val="32C13711"/>
    <w:rsid w:val="32C75646"/>
    <w:rsid w:val="33051B17"/>
    <w:rsid w:val="330661A3"/>
    <w:rsid w:val="33084951"/>
    <w:rsid w:val="330D782E"/>
    <w:rsid w:val="33124CDF"/>
    <w:rsid w:val="331E04CA"/>
    <w:rsid w:val="33404116"/>
    <w:rsid w:val="33557D20"/>
    <w:rsid w:val="33566EC8"/>
    <w:rsid w:val="33692F2E"/>
    <w:rsid w:val="336D1A26"/>
    <w:rsid w:val="337B6795"/>
    <w:rsid w:val="339D3DC0"/>
    <w:rsid w:val="33A060ED"/>
    <w:rsid w:val="33A554E5"/>
    <w:rsid w:val="33A62296"/>
    <w:rsid w:val="33B03EFA"/>
    <w:rsid w:val="33B076F7"/>
    <w:rsid w:val="33BD5BE1"/>
    <w:rsid w:val="33BE6702"/>
    <w:rsid w:val="33C4005A"/>
    <w:rsid w:val="33F53AFB"/>
    <w:rsid w:val="33FB0A95"/>
    <w:rsid w:val="33FD5991"/>
    <w:rsid w:val="340759FC"/>
    <w:rsid w:val="340C400F"/>
    <w:rsid w:val="34145728"/>
    <w:rsid w:val="341C4F6E"/>
    <w:rsid w:val="345019D9"/>
    <w:rsid w:val="346B6509"/>
    <w:rsid w:val="346E48AC"/>
    <w:rsid w:val="347C05C8"/>
    <w:rsid w:val="349716B3"/>
    <w:rsid w:val="34B56C82"/>
    <w:rsid w:val="34B82B6B"/>
    <w:rsid w:val="34ED0118"/>
    <w:rsid w:val="351149CA"/>
    <w:rsid w:val="35487629"/>
    <w:rsid w:val="355C68BB"/>
    <w:rsid w:val="356A18E7"/>
    <w:rsid w:val="35786041"/>
    <w:rsid w:val="357D7986"/>
    <w:rsid w:val="3580425D"/>
    <w:rsid w:val="35A24E4B"/>
    <w:rsid w:val="35A42DB4"/>
    <w:rsid w:val="35E55E4E"/>
    <w:rsid w:val="35F63039"/>
    <w:rsid w:val="361F6570"/>
    <w:rsid w:val="362A39E8"/>
    <w:rsid w:val="362D110F"/>
    <w:rsid w:val="365D57FF"/>
    <w:rsid w:val="36776D73"/>
    <w:rsid w:val="367E4C0B"/>
    <w:rsid w:val="36855119"/>
    <w:rsid w:val="36895941"/>
    <w:rsid w:val="369058CE"/>
    <w:rsid w:val="369C2E6A"/>
    <w:rsid w:val="369D0383"/>
    <w:rsid w:val="36B20EF3"/>
    <w:rsid w:val="36B648D0"/>
    <w:rsid w:val="36C00C33"/>
    <w:rsid w:val="36D1598A"/>
    <w:rsid w:val="36D2736E"/>
    <w:rsid w:val="36DB367E"/>
    <w:rsid w:val="36E00FC5"/>
    <w:rsid w:val="36EC6AB2"/>
    <w:rsid w:val="36EE515B"/>
    <w:rsid w:val="36FF3736"/>
    <w:rsid w:val="37044224"/>
    <w:rsid w:val="37144B2F"/>
    <w:rsid w:val="372A42F4"/>
    <w:rsid w:val="372B3C5D"/>
    <w:rsid w:val="37382EEF"/>
    <w:rsid w:val="37531496"/>
    <w:rsid w:val="37566507"/>
    <w:rsid w:val="37624312"/>
    <w:rsid w:val="37677A42"/>
    <w:rsid w:val="377370B0"/>
    <w:rsid w:val="377C1329"/>
    <w:rsid w:val="37812C33"/>
    <w:rsid w:val="378C0284"/>
    <w:rsid w:val="379D5199"/>
    <w:rsid w:val="37A02A78"/>
    <w:rsid w:val="37A578E5"/>
    <w:rsid w:val="37AB6AD6"/>
    <w:rsid w:val="37BD2139"/>
    <w:rsid w:val="37CA5E02"/>
    <w:rsid w:val="37CE6A9F"/>
    <w:rsid w:val="37D57472"/>
    <w:rsid w:val="37E64109"/>
    <w:rsid w:val="37EA2DDF"/>
    <w:rsid w:val="37FE5C67"/>
    <w:rsid w:val="380559CA"/>
    <w:rsid w:val="38104CF2"/>
    <w:rsid w:val="38115DD8"/>
    <w:rsid w:val="38145D02"/>
    <w:rsid w:val="387025AD"/>
    <w:rsid w:val="38714C0B"/>
    <w:rsid w:val="388B3B46"/>
    <w:rsid w:val="389B1191"/>
    <w:rsid w:val="38B35FB3"/>
    <w:rsid w:val="38B81609"/>
    <w:rsid w:val="38F82099"/>
    <w:rsid w:val="38FC0251"/>
    <w:rsid w:val="39057787"/>
    <w:rsid w:val="391714E7"/>
    <w:rsid w:val="392F4E78"/>
    <w:rsid w:val="394E6E85"/>
    <w:rsid w:val="395412D6"/>
    <w:rsid w:val="39641486"/>
    <w:rsid w:val="397E6140"/>
    <w:rsid w:val="39A042C7"/>
    <w:rsid w:val="39A81688"/>
    <w:rsid w:val="39AE56DF"/>
    <w:rsid w:val="39C32ACF"/>
    <w:rsid w:val="39E97602"/>
    <w:rsid w:val="39F53761"/>
    <w:rsid w:val="39F55793"/>
    <w:rsid w:val="39FF4AD0"/>
    <w:rsid w:val="3A3444F3"/>
    <w:rsid w:val="3A397986"/>
    <w:rsid w:val="3A3A24BC"/>
    <w:rsid w:val="3A5452A3"/>
    <w:rsid w:val="3A5E5D66"/>
    <w:rsid w:val="3A667E37"/>
    <w:rsid w:val="3A6C7297"/>
    <w:rsid w:val="3A8857F0"/>
    <w:rsid w:val="3A931DFA"/>
    <w:rsid w:val="3A9C10DE"/>
    <w:rsid w:val="3A9D1149"/>
    <w:rsid w:val="3A9F5FBA"/>
    <w:rsid w:val="3AA048F0"/>
    <w:rsid w:val="3AA27DEA"/>
    <w:rsid w:val="3AAC2DD3"/>
    <w:rsid w:val="3AE5670E"/>
    <w:rsid w:val="3AE6471B"/>
    <w:rsid w:val="3B10740D"/>
    <w:rsid w:val="3B183AB8"/>
    <w:rsid w:val="3B3637FD"/>
    <w:rsid w:val="3B511D3A"/>
    <w:rsid w:val="3B6E0F5F"/>
    <w:rsid w:val="3B92500B"/>
    <w:rsid w:val="3BD852A1"/>
    <w:rsid w:val="3BDE14E8"/>
    <w:rsid w:val="3BE05DA3"/>
    <w:rsid w:val="3BE2164F"/>
    <w:rsid w:val="3BF26CFC"/>
    <w:rsid w:val="3C102350"/>
    <w:rsid w:val="3C1124F6"/>
    <w:rsid w:val="3C202FD1"/>
    <w:rsid w:val="3C262B9F"/>
    <w:rsid w:val="3C287D79"/>
    <w:rsid w:val="3C2C7B01"/>
    <w:rsid w:val="3C367100"/>
    <w:rsid w:val="3C4C5AE1"/>
    <w:rsid w:val="3C540B74"/>
    <w:rsid w:val="3C554C98"/>
    <w:rsid w:val="3C683B49"/>
    <w:rsid w:val="3C7F06C8"/>
    <w:rsid w:val="3CA33D9F"/>
    <w:rsid w:val="3CA44191"/>
    <w:rsid w:val="3CC27BE5"/>
    <w:rsid w:val="3D0D49B7"/>
    <w:rsid w:val="3D101215"/>
    <w:rsid w:val="3D2D6A7E"/>
    <w:rsid w:val="3D470808"/>
    <w:rsid w:val="3D501FC1"/>
    <w:rsid w:val="3D60397A"/>
    <w:rsid w:val="3D81310A"/>
    <w:rsid w:val="3D960C87"/>
    <w:rsid w:val="3DA47B10"/>
    <w:rsid w:val="3DB24E22"/>
    <w:rsid w:val="3DB8124C"/>
    <w:rsid w:val="3DBF2BD0"/>
    <w:rsid w:val="3DE965F6"/>
    <w:rsid w:val="3E443431"/>
    <w:rsid w:val="3E4D23B0"/>
    <w:rsid w:val="3E594132"/>
    <w:rsid w:val="3E702FCE"/>
    <w:rsid w:val="3E727306"/>
    <w:rsid w:val="3E7C255A"/>
    <w:rsid w:val="3E810C85"/>
    <w:rsid w:val="3E8B2903"/>
    <w:rsid w:val="3E8C284A"/>
    <w:rsid w:val="3E92520D"/>
    <w:rsid w:val="3E9D625E"/>
    <w:rsid w:val="3EAB4A73"/>
    <w:rsid w:val="3EB10B52"/>
    <w:rsid w:val="3EBA45C5"/>
    <w:rsid w:val="3EC25BE9"/>
    <w:rsid w:val="3EC64047"/>
    <w:rsid w:val="3ED050B2"/>
    <w:rsid w:val="3EDA487C"/>
    <w:rsid w:val="3EF267D9"/>
    <w:rsid w:val="3F03282B"/>
    <w:rsid w:val="3F0368CB"/>
    <w:rsid w:val="3F140A86"/>
    <w:rsid w:val="3F2C2513"/>
    <w:rsid w:val="3F3804B5"/>
    <w:rsid w:val="3F446CE6"/>
    <w:rsid w:val="3F4B1BF6"/>
    <w:rsid w:val="3F585A44"/>
    <w:rsid w:val="3F647355"/>
    <w:rsid w:val="3F6E002E"/>
    <w:rsid w:val="3F7C2D2B"/>
    <w:rsid w:val="3F8639E3"/>
    <w:rsid w:val="3F8B6732"/>
    <w:rsid w:val="3FA5771F"/>
    <w:rsid w:val="3FB75743"/>
    <w:rsid w:val="3FC62947"/>
    <w:rsid w:val="3FDB7CF3"/>
    <w:rsid w:val="3FE013E5"/>
    <w:rsid w:val="3FE05D53"/>
    <w:rsid w:val="3FE932AC"/>
    <w:rsid w:val="3FEB5F25"/>
    <w:rsid w:val="400A1E67"/>
    <w:rsid w:val="400B37DE"/>
    <w:rsid w:val="401F04D1"/>
    <w:rsid w:val="4020152B"/>
    <w:rsid w:val="402E40ED"/>
    <w:rsid w:val="40365975"/>
    <w:rsid w:val="404370E2"/>
    <w:rsid w:val="405041B4"/>
    <w:rsid w:val="40583B93"/>
    <w:rsid w:val="406E68F6"/>
    <w:rsid w:val="40AF5BAF"/>
    <w:rsid w:val="40BD7BC0"/>
    <w:rsid w:val="411574E4"/>
    <w:rsid w:val="4117150D"/>
    <w:rsid w:val="412052C8"/>
    <w:rsid w:val="412D0521"/>
    <w:rsid w:val="41396A82"/>
    <w:rsid w:val="41596B1F"/>
    <w:rsid w:val="41620E07"/>
    <w:rsid w:val="416A6F5B"/>
    <w:rsid w:val="416B0DD0"/>
    <w:rsid w:val="417B5D0F"/>
    <w:rsid w:val="417C6471"/>
    <w:rsid w:val="41813DBB"/>
    <w:rsid w:val="418A5D92"/>
    <w:rsid w:val="41906CF8"/>
    <w:rsid w:val="419859E0"/>
    <w:rsid w:val="419C2295"/>
    <w:rsid w:val="41B070FA"/>
    <w:rsid w:val="41DE04D9"/>
    <w:rsid w:val="41E3315D"/>
    <w:rsid w:val="41EE240B"/>
    <w:rsid w:val="41EE3699"/>
    <w:rsid w:val="41F72DF5"/>
    <w:rsid w:val="41FA00F4"/>
    <w:rsid w:val="420A35D7"/>
    <w:rsid w:val="422A6A01"/>
    <w:rsid w:val="42303FA1"/>
    <w:rsid w:val="424505A4"/>
    <w:rsid w:val="42450864"/>
    <w:rsid w:val="4249257F"/>
    <w:rsid w:val="42545728"/>
    <w:rsid w:val="426B3859"/>
    <w:rsid w:val="42753F0E"/>
    <w:rsid w:val="428C1DDE"/>
    <w:rsid w:val="428D74D1"/>
    <w:rsid w:val="42966F74"/>
    <w:rsid w:val="42A13318"/>
    <w:rsid w:val="42A90E0B"/>
    <w:rsid w:val="42A921AF"/>
    <w:rsid w:val="42BD6ED5"/>
    <w:rsid w:val="42D170CA"/>
    <w:rsid w:val="42E20AD0"/>
    <w:rsid w:val="42F21A17"/>
    <w:rsid w:val="42F7110B"/>
    <w:rsid w:val="42FE696A"/>
    <w:rsid w:val="4308119A"/>
    <w:rsid w:val="430B7682"/>
    <w:rsid w:val="430E310D"/>
    <w:rsid w:val="430E79D9"/>
    <w:rsid w:val="4316673F"/>
    <w:rsid w:val="431A4B40"/>
    <w:rsid w:val="433146E7"/>
    <w:rsid w:val="43326773"/>
    <w:rsid w:val="433335EE"/>
    <w:rsid w:val="43443284"/>
    <w:rsid w:val="435635D0"/>
    <w:rsid w:val="43570FF7"/>
    <w:rsid w:val="435D1F9D"/>
    <w:rsid w:val="436E6F21"/>
    <w:rsid w:val="43720DA9"/>
    <w:rsid w:val="4380693C"/>
    <w:rsid w:val="439450D4"/>
    <w:rsid w:val="439D439A"/>
    <w:rsid w:val="43A204E1"/>
    <w:rsid w:val="43DE37B6"/>
    <w:rsid w:val="43E30901"/>
    <w:rsid w:val="44165257"/>
    <w:rsid w:val="4429205E"/>
    <w:rsid w:val="44396173"/>
    <w:rsid w:val="444123A3"/>
    <w:rsid w:val="444B108B"/>
    <w:rsid w:val="445F6456"/>
    <w:rsid w:val="4461563D"/>
    <w:rsid w:val="446179CF"/>
    <w:rsid w:val="44782348"/>
    <w:rsid w:val="447845A9"/>
    <w:rsid w:val="447C18EB"/>
    <w:rsid w:val="448075AF"/>
    <w:rsid w:val="448D20D1"/>
    <w:rsid w:val="44AF7D00"/>
    <w:rsid w:val="44DE23B4"/>
    <w:rsid w:val="44EA11C7"/>
    <w:rsid w:val="44F757AA"/>
    <w:rsid w:val="450F4A20"/>
    <w:rsid w:val="45581E50"/>
    <w:rsid w:val="455E66EF"/>
    <w:rsid w:val="456114F0"/>
    <w:rsid w:val="457A133F"/>
    <w:rsid w:val="458F3938"/>
    <w:rsid w:val="45931E27"/>
    <w:rsid w:val="45A56CE2"/>
    <w:rsid w:val="45BD7800"/>
    <w:rsid w:val="45C25CC9"/>
    <w:rsid w:val="45C53CC1"/>
    <w:rsid w:val="45C548F0"/>
    <w:rsid w:val="45DD6A79"/>
    <w:rsid w:val="45E4622C"/>
    <w:rsid w:val="460D7A55"/>
    <w:rsid w:val="462801FB"/>
    <w:rsid w:val="462B67FB"/>
    <w:rsid w:val="462D208D"/>
    <w:rsid w:val="463367CC"/>
    <w:rsid w:val="463E68D5"/>
    <w:rsid w:val="464C7548"/>
    <w:rsid w:val="46522F9D"/>
    <w:rsid w:val="46577785"/>
    <w:rsid w:val="46A05AD2"/>
    <w:rsid w:val="46BE393E"/>
    <w:rsid w:val="46D55E13"/>
    <w:rsid w:val="46D6602D"/>
    <w:rsid w:val="46F05785"/>
    <w:rsid w:val="46F67A4D"/>
    <w:rsid w:val="46FB4243"/>
    <w:rsid w:val="46FC78A5"/>
    <w:rsid w:val="470D103A"/>
    <w:rsid w:val="470E24D5"/>
    <w:rsid w:val="47221CED"/>
    <w:rsid w:val="472360CB"/>
    <w:rsid w:val="474C0794"/>
    <w:rsid w:val="474D6603"/>
    <w:rsid w:val="475A7AF9"/>
    <w:rsid w:val="475C2181"/>
    <w:rsid w:val="47986B82"/>
    <w:rsid w:val="47AD69AA"/>
    <w:rsid w:val="47B45AC5"/>
    <w:rsid w:val="47BB6632"/>
    <w:rsid w:val="47BC45C3"/>
    <w:rsid w:val="47BE60BB"/>
    <w:rsid w:val="47C0301F"/>
    <w:rsid w:val="47C32A2E"/>
    <w:rsid w:val="47C80D2C"/>
    <w:rsid w:val="47D91947"/>
    <w:rsid w:val="47E320D9"/>
    <w:rsid w:val="47EB2946"/>
    <w:rsid w:val="47ED3658"/>
    <w:rsid w:val="47F0779A"/>
    <w:rsid w:val="480908A2"/>
    <w:rsid w:val="480B4561"/>
    <w:rsid w:val="4818523D"/>
    <w:rsid w:val="481F1614"/>
    <w:rsid w:val="48250EC4"/>
    <w:rsid w:val="48394242"/>
    <w:rsid w:val="48574191"/>
    <w:rsid w:val="487A2B9F"/>
    <w:rsid w:val="48935290"/>
    <w:rsid w:val="48943F06"/>
    <w:rsid w:val="48AA5492"/>
    <w:rsid w:val="48BA13BF"/>
    <w:rsid w:val="48BA193D"/>
    <w:rsid w:val="48C400C1"/>
    <w:rsid w:val="48CC14F3"/>
    <w:rsid w:val="48E56514"/>
    <w:rsid w:val="48ED2D89"/>
    <w:rsid w:val="48F3585F"/>
    <w:rsid w:val="48FC7112"/>
    <w:rsid w:val="48FC71E5"/>
    <w:rsid w:val="4948211B"/>
    <w:rsid w:val="4958698E"/>
    <w:rsid w:val="49597DAB"/>
    <w:rsid w:val="49940150"/>
    <w:rsid w:val="499C10BB"/>
    <w:rsid w:val="499E1B47"/>
    <w:rsid w:val="499E2896"/>
    <w:rsid w:val="49AB014C"/>
    <w:rsid w:val="49D074EC"/>
    <w:rsid w:val="49D81192"/>
    <w:rsid w:val="49E463F5"/>
    <w:rsid w:val="49F46C17"/>
    <w:rsid w:val="49FE3970"/>
    <w:rsid w:val="4A0E638C"/>
    <w:rsid w:val="4A237B62"/>
    <w:rsid w:val="4A2B309E"/>
    <w:rsid w:val="4A427C45"/>
    <w:rsid w:val="4A73449B"/>
    <w:rsid w:val="4A7F087A"/>
    <w:rsid w:val="4AA55557"/>
    <w:rsid w:val="4AAD7480"/>
    <w:rsid w:val="4AC54565"/>
    <w:rsid w:val="4ACA19F7"/>
    <w:rsid w:val="4AD13E95"/>
    <w:rsid w:val="4AD57512"/>
    <w:rsid w:val="4ADD3906"/>
    <w:rsid w:val="4AE1657F"/>
    <w:rsid w:val="4B592BBC"/>
    <w:rsid w:val="4B5D2501"/>
    <w:rsid w:val="4B990CAF"/>
    <w:rsid w:val="4BB5320D"/>
    <w:rsid w:val="4BFC3133"/>
    <w:rsid w:val="4C4056C6"/>
    <w:rsid w:val="4C504EBC"/>
    <w:rsid w:val="4C65187A"/>
    <w:rsid w:val="4C67441C"/>
    <w:rsid w:val="4C792397"/>
    <w:rsid w:val="4C9203DD"/>
    <w:rsid w:val="4C937F36"/>
    <w:rsid w:val="4CBB42AC"/>
    <w:rsid w:val="4CD00ED4"/>
    <w:rsid w:val="4CD054D0"/>
    <w:rsid w:val="4CD11CCB"/>
    <w:rsid w:val="4CE03598"/>
    <w:rsid w:val="4CED5D11"/>
    <w:rsid w:val="4D065E6E"/>
    <w:rsid w:val="4D150DF0"/>
    <w:rsid w:val="4D171D3F"/>
    <w:rsid w:val="4D51599F"/>
    <w:rsid w:val="4D8318CF"/>
    <w:rsid w:val="4D9203EE"/>
    <w:rsid w:val="4DA931E5"/>
    <w:rsid w:val="4DAA6B36"/>
    <w:rsid w:val="4DAF37E7"/>
    <w:rsid w:val="4DAF43FA"/>
    <w:rsid w:val="4DB03345"/>
    <w:rsid w:val="4DCA7E9C"/>
    <w:rsid w:val="4DCB4795"/>
    <w:rsid w:val="4DCC2419"/>
    <w:rsid w:val="4E050B61"/>
    <w:rsid w:val="4E064F25"/>
    <w:rsid w:val="4E275F13"/>
    <w:rsid w:val="4E4059C9"/>
    <w:rsid w:val="4E4329D1"/>
    <w:rsid w:val="4E552D92"/>
    <w:rsid w:val="4E5B7B3F"/>
    <w:rsid w:val="4E5C7FA5"/>
    <w:rsid w:val="4E6B36FF"/>
    <w:rsid w:val="4E6E4B51"/>
    <w:rsid w:val="4E835916"/>
    <w:rsid w:val="4EAA5945"/>
    <w:rsid w:val="4EC16A24"/>
    <w:rsid w:val="4ECC2432"/>
    <w:rsid w:val="4ECD13B1"/>
    <w:rsid w:val="4ECD25F4"/>
    <w:rsid w:val="4EE46E34"/>
    <w:rsid w:val="4EE80C4F"/>
    <w:rsid w:val="4F003CBF"/>
    <w:rsid w:val="4F3702E8"/>
    <w:rsid w:val="4F5667FD"/>
    <w:rsid w:val="4F5B7471"/>
    <w:rsid w:val="4F5F226A"/>
    <w:rsid w:val="4F6F0AAD"/>
    <w:rsid w:val="4F773CDF"/>
    <w:rsid w:val="4F8A0286"/>
    <w:rsid w:val="4FB3043F"/>
    <w:rsid w:val="4FBD0239"/>
    <w:rsid w:val="4FCB3E0A"/>
    <w:rsid w:val="4FCF6DB0"/>
    <w:rsid w:val="50015BCF"/>
    <w:rsid w:val="500E7F46"/>
    <w:rsid w:val="5030159B"/>
    <w:rsid w:val="5035730C"/>
    <w:rsid w:val="50440AFE"/>
    <w:rsid w:val="50494ABC"/>
    <w:rsid w:val="506569E0"/>
    <w:rsid w:val="507F4BD3"/>
    <w:rsid w:val="50942A9C"/>
    <w:rsid w:val="50B5603E"/>
    <w:rsid w:val="50CE5BE2"/>
    <w:rsid w:val="50F313AA"/>
    <w:rsid w:val="50FB582D"/>
    <w:rsid w:val="50FF3410"/>
    <w:rsid w:val="51090D4C"/>
    <w:rsid w:val="510E6368"/>
    <w:rsid w:val="51104632"/>
    <w:rsid w:val="511079AA"/>
    <w:rsid w:val="511615C4"/>
    <w:rsid w:val="511D6671"/>
    <w:rsid w:val="51291792"/>
    <w:rsid w:val="512B23A3"/>
    <w:rsid w:val="512D2664"/>
    <w:rsid w:val="513373C9"/>
    <w:rsid w:val="51535DFB"/>
    <w:rsid w:val="515634CE"/>
    <w:rsid w:val="515E015F"/>
    <w:rsid w:val="51687C66"/>
    <w:rsid w:val="516F4726"/>
    <w:rsid w:val="51783BAA"/>
    <w:rsid w:val="518C58EB"/>
    <w:rsid w:val="519D1EF9"/>
    <w:rsid w:val="51A12202"/>
    <w:rsid w:val="51A4451D"/>
    <w:rsid w:val="51B235F4"/>
    <w:rsid w:val="51B655E5"/>
    <w:rsid w:val="51B75108"/>
    <w:rsid w:val="51CA7576"/>
    <w:rsid w:val="51DE0D62"/>
    <w:rsid w:val="51DF3C42"/>
    <w:rsid w:val="51F05955"/>
    <w:rsid w:val="5202555C"/>
    <w:rsid w:val="5210352D"/>
    <w:rsid w:val="52261CD2"/>
    <w:rsid w:val="522A48DD"/>
    <w:rsid w:val="52526538"/>
    <w:rsid w:val="5258348B"/>
    <w:rsid w:val="52670393"/>
    <w:rsid w:val="529757BE"/>
    <w:rsid w:val="52990F3C"/>
    <w:rsid w:val="52A70E01"/>
    <w:rsid w:val="52B151B1"/>
    <w:rsid w:val="52BB25AE"/>
    <w:rsid w:val="52C30FC7"/>
    <w:rsid w:val="52DD3AC3"/>
    <w:rsid w:val="52FE65F6"/>
    <w:rsid w:val="53005C86"/>
    <w:rsid w:val="530347FD"/>
    <w:rsid w:val="5307147D"/>
    <w:rsid w:val="530C20AE"/>
    <w:rsid w:val="53150D1E"/>
    <w:rsid w:val="53412D45"/>
    <w:rsid w:val="53447203"/>
    <w:rsid w:val="53450F49"/>
    <w:rsid w:val="53477068"/>
    <w:rsid w:val="53592B4A"/>
    <w:rsid w:val="535C268A"/>
    <w:rsid w:val="53616905"/>
    <w:rsid w:val="536C1D08"/>
    <w:rsid w:val="53B33F5A"/>
    <w:rsid w:val="53C03F33"/>
    <w:rsid w:val="53EB47F9"/>
    <w:rsid w:val="53EE6217"/>
    <w:rsid w:val="53F72B6B"/>
    <w:rsid w:val="5416085F"/>
    <w:rsid w:val="54244D46"/>
    <w:rsid w:val="54266252"/>
    <w:rsid w:val="54305C0A"/>
    <w:rsid w:val="543B215E"/>
    <w:rsid w:val="544421E3"/>
    <w:rsid w:val="544B4FBF"/>
    <w:rsid w:val="546267E2"/>
    <w:rsid w:val="5468588F"/>
    <w:rsid w:val="546F3232"/>
    <w:rsid w:val="547D3522"/>
    <w:rsid w:val="54934AA3"/>
    <w:rsid w:val="549A7003"/>
    <w:rsid w:val="54A94B3D"/>
    <w:rsid w:val="54AE7CDB"/>
    <w:rsid w:val="54BE0F68"/>
    <w:rsid w:val="54D13A2E"/>
    <w:rsid w:val="54D37246"/>
    <w:rsid w:val="54DE5EE5"/>
    <w:rsid w:val="54DE678F"/>
    <w:rsid w:val="54F07966"/>
    <w:rsid w:val="54F24B98"/>
    <w:rsid w:val="550E13A2"/>
    <w:rsid w:val="5515707A"/>
    <w:rsid w:val="55235A9D"/>
    <w:rsid w:val="554C7197"/>
    <w:rsid w:val="55502848"/>
    <w:rsid w:val="558243FB"/>
    <w:rsid w:val="558F738E"/>
    <w:rsid w:val="559466DF"/>
    <w:rsid w:val="55976F7E"/>
    <w:rsid w:val="559E0C1B"/>
    <w:rsid w:val="55AB7C15"/>
    <w:rsid w:val="55B615A2"/>
    <w:rsid w:val="55BE2544"/>
    <w:rsid w:val="55C40798"/>
    <w:rsid w:val="55C676FB"/>
    <w:rsid w:val="55CC505C"/>
    <w:rsid w:val="55D04A5C"/>
    <w:rsid w:val="55D2469C"/>
    <w:rsid w:val="55DE7F3E"/>
    <w:rsid w:val="55E02B65"/>
    <w:rsid w:val="55E25F2C"/>
    <w:rsid w:val="55E965BC"/>
    <w:rsid w:val="55F75630"/>
    <w:rsid w:val="5601603B"/>
    <w:rsid w:val="560219F5"/>
    <w:rsid w:val="560E748E"/>
    <w:rsid w:val="5615573D"/>
    <w:rsid w:val="562C08B5"/>
    <w:rsid w:val="563F1596"/>
    <w:rsid w:val="564B56ED"/>
    <w:rsid w:val="564D4C37"/>
    <w:rsid w:val="564E26D4"/>
    <w:rsid w:val="5675150C"/>
    <w:rsid w:val="56897E85"/>
    <w:rsid w:val="568E1C1A"/>
    <w:rsid w:val="569F74D0"/>
    <w:rsid w:val="56A22572"/>
    <w:rsid w:val="56A4598B"/>
    <w:rsid w:val="56AD1080"/>
    <w:rsid w:val="56B42C1E"/>
    <w:rsid w:val="56B91218"/>
    <w:rsid w:val="56CD4575"/>
    <w:rsid w:val="56CF7132"/>
    <w:rsid w:val="56E11A6F"/>
    <w:rsid w:val="56E51BEE"/>
    <w:rsid w:val="570057B0"/>
    <w:rsid w:val="570A6A80"/>
    <w:rsid w:val="571361D1"/>
    <w:rsid w:val="57235CB6"/>
    <w:rsid w:val="57264C8B"/>
    <w:rsid w:val="5732724F"/>
    <w:rsid w:val="5733018D"/>
    <w:rsid w:val="574A1F73"/>
    <w:rsid w:val="57564498"/>
    <w:rsid w:val="576F6DF9"/>
    <w:rsid w:val="57752B3C"/>
    <w:rsid w:val="577F28A5"/>
    <w:rsid w:val="579E54DA"/>
    <w:rsid w:val="57AB6D8E"/>
    <w:rsid w:val="57B323AE"/>
    <w:rsid w:val="57B9753C"/>
    <w:rsid w:val="57D23550"/>
    <w:rsid w:val="57D442A4"/>
    <w:rsid w:val="57D50B12"/>
    <w:rsid w:val="57D67B02"/>
    <w:rsid w:val="57D7271F"/>
    <w:rsid w:val="57DC701E"/>
    <w:rsid w:val="57EB19CD"/>
    <w:rsid w:val="57FB1676"/>
    <w:rsid w:val="58096B1B"/>
    <w:rsid w:val="58173FD9"/>
    <w:rsid w:val="5826203C"/>
    <w:rsid w:val="58335511"/>
    <w:rsid w:val="58521161"/>
    <w:rsid w:val="585576E6"/>
    <w:rsid w:val="585D7128"/>
    <w:rsid w:val="586173DD"/>
    <w:rsid w:val="58763F94"/>
    <w:rsid w:val="588E4503"/>
    <w:rsid w:val="58907D0D"/>
    <w:rsid w:val="58924549"/>
    <w:rsid w:val="58AB10B3"/>
    <w:rsid w:val="58AB19AA"/>
    <w:rsid w:val="58DB674E"/>
    <w:rsid w:val="59076517"/>
    <w:rsid w:val="590F2EFB"/>
    <w:rsid w:val="592C23BD"/>
    <w:rsid w:val="592D72AE"/>
    <w:rsid w:val="5943485F"/>
    <w:rsid w:val="594A7E26"/>
    <w:rsid w:val="5953342F"/>
    <w:rsid w:val="5955056B"/>
    <w:rsid w:val="595E74AC"/>
    <w:rsid w:val="597E5A0A"/>
    <w:rsid w:val="59824F7F"/>
    <w:rsid w:val="598C135C"/>
    <w:rsid w:val="59A8241A"/>
    <w:rsid w:val="59B80AAA"/>
    <w:rsid w:val="59BC1354"/>
    <w:rsid w:val="59CB24C0"/>
    <w:rsid w:val="59D77A99"/>
    <w:rsid w:val="59EB26A4"/>
    <w:rsid w:val="5A0140FF"/>
    <w:rsid w:val="5A08386B"/>
    <w:rsid w:val="5A245D4B"/>
    <w:rsid w:val="5A806F5F"/>
    <w:rsid w:val="5A817491"/>
    <w:rsid w:val="5A930DD8"/>
    <w:rsid w:val="5AED5007"/>
    <w:rsid w:val="5B027B02"/>
    <w:rsid w:val="5B163116"/>
    <w:rsid w:val="5B1824DB"/>
    <w:rsid w:val="5B471C88"/>
    <w:rsid w:val="5B553B42"/>
    <w:rsid w:val="5B585DD7"/>
    <w:rsid w:val="5B5F512C"/>
    <w:rsid w:val="5B724193"/>
    <w:rsid w:val="5B75781C"/>
    <w:rsid w:val="5B8B4BFB"/>
    <w:rsid w:val="5B947340"/>
    <w:rsid w:val="5BA92F0E"/>
    <w:rsid w:val="5BBE1BB9"/>
    <w:rsid w:val="5BD076C3"/>
    <w:rsid w:val="5BD41764"/>
    <w:rsid w:val="5BD51640"/>
    <w:rsid w:val="5C07237F"/>
    <w:rsid w:val="5C257591"/>
    <w:rsid w:val="5C537D1F"/>
    <w:rsid w:val="5C5D5C7A"/>
    <w:rsid w:val="5C62050E"/>
    <w:rsid w:val="5C6A17F8"/>
    <w:rsid w:val="5C713798"/>
    <w:rsid w:val="5C85424E"/>
    <w:rsid w:val="5C923465"/>
    <w:rsid w:val="5C9A30B7"/>
    <w:rsid w:val="5CA004C4"/>
    <w:rsid w:val="5CA93800"/>
    <w:rsid w:val="5CB1203D"/>
    <w:rsid w:val="5CD40F46"/>
    <w:rsid w:val="5CE06903"/>
    <w:rsid w:val="5CE12111"/>
    <w:rsid w:val="5CF3354D"/>
    <w:rsid w:val="5CF37DE0"/>
    <w:rsid w:val="5CF546A4"/>
    <w:rsid w:val="5CF80C5A"/>
    <w:rsid w:val="5D013960"/>
    <w:rsid w:val="5D0F0314"/>
    <w:rsid w:val="5D130DF7"/>
    <w:rsid w:val="5D194B18"/>
    <w:rsid w:val="5D4312D1"/>
    <w:rsid w:val="5D4C59D6"/>
    <w:rsid w:val="5D623481"/>
    <w:rsid w:val="5D7A563D"/>
    <w:rsid w:val="5D7D669D"/>
    <w:rsid w:val="5D8465CD"/>
    <w:rsid w:val="5D8B6AA5"/>
    <w:rsid w:val="5DAC6B46"/>
    <w:rsid w:val="5DD84FED"/>
    <w:rsid w:val="5DDD2791"/>
    <w:rsid w:val="5DF01087"/>
    <w:rsid w:val="5DF076E3"/>
    <w:rsid w:val="5E0A3A77"/>
    <w:rsid w:val="5E0B036F"/>
    <w:rsid w:val="5E100842"/>
    <w:rsid w:val="5E2912F8"/>
    <w:rsid w:val="5E2A0B8B"/>
    <w:rsid w:val="5E474861"/>
    <w:rsid w:val="5E4B2596"/>
    <w:rsid w:val="5E4F7420"/>
    <w:rsid w:val="5E52187C"/>
    <w:rsid w:val="5E87123A"/>
    <w:rsid w:val="5E8B50D2"/>
    <w:rsid w:val="5EAF4612"/>
    <w:rsid w:val="5EC0674C"/>
    <w:rsid w:val="5ED94AA7"/>
    <w:rsid w:val="5EE576FF"/>
    <w:rsid w:val="5EFD7B4A"/>
    <w:rsid w:val="5F035FEB"/>
    <w:rsid w:val="5F1C2781"/>
    <w:rsid w:val="5F1F6009"/>
    <w:rsid w:val="5F306E06"/>
    <w:rsid w:val="5F3425B4"/>
    <w:rsid w:val="5F493505"/>
    <w:rsid w:val="5F5F1A03"/>
    <w:rsid w:val="5F894DAC"/>
    <w:rsid w:val="5F9C37EC"/>
    <w:rsid w:val="5FA86AAC"/>
    <w:rsid w:val="5FD31D13"/>
    <w:rsid w:val="5FD9724D"/>
    <w:rsid w:val="5FE9070A"/>
    <w:rsid w:val="5FF845F9"/>
    <w:rsid w:val="60001E2C"/>
    <w:rsid w:val="600360BB"/>
    <w:rsid w:val="604050EC"/>
    <w:rsid w:val="604F0896"/>
    <w:rsid w:val="605E13D2"/>
    <w:rsid w:val="606246E1"/>
    <w:rsid w:val="60673478"/>
    <w:rsid w:val="606A1B1B"/>
    <w:rsid w:val="606C031E"/>
    <w:rsid w:val="6077116C"/>
    <w:rsid w:val="608907B2"/>
    <w:rsid w:val="608D5111"/>
    <w:rsid w:val="60981428"/>
    <w:rsid w:val="609C5181"/>
    <w:rsid w:val="60AA32F8"/>
    <w:rsid w:val="60C87C56"/>
    <w:rsid w:val="60D6424A"/>
    <w:rsid w:val="60DA549E"/>
    <w:rsid w:val="610541C1"/>
    <w:rsid w:val="610A5FF2"/>
    <w:rsid w:val="61205ABC"/>
    <w:rsid w:val="613503D4"/>
    <w:rsid w:val="61393630"/>
    <w:rsid w:val="61707BDB"/>
    <w:rsid w:val="61A3129F"/>
    <w:rsid w:val="61AA7143"/>
    <w:rsid w:val="61AF3730"/>
    <w:rsid w:val="61B57E40"/>
    <w:rsid w:val="61B70B13"/>
    <w:rsid w:val="61BA1496"/>
    <w:rsid w:val="61D77779"/>
    <w:rsid w:val="61DF4DF2"/>
    <w:rsid w:val="61E23F32"/>
    <w:rsid w:val="61EB74E1"/>
    <w:rsid w:val="620B0B4F"/>
    <w:rsid w:val="62126170"/>
    <w:rsid w:val="6219421A"/>
    <w:rsid w:val="621B3368"/>
    <w:rsid w:val="621E4DD9"/>
    <w:rsid w:val="621F4F52"/>
    <w:rsid w:val="62230498"/>
    <w:rsid w:val="62333A57"/>
    <w:rsid w:val="62347348"/>
    <w:rsid w:val="624A31D6"/>
    <w:rsid w:val="62514BEC"/>
    <w:rsid w:val="62516A3A"/>
    <w:rsid w:val="626E3263"/>
    <w:rsid w:val="627C271B"/>
    <w:rsid w:val="628906F9"/>
    <w:rsid w:val="628A25DD"/>
    <w:rsid w:val="629A0FBF"/>
    <w:rsid w:val="62AC553D"/>
    <w:rsid w:val="62CB2235"/>
    <w:rsid w:val="62CD2CB3"/>
    <w:rsid w:val="62E11AAC"/>
    <w:rsid w:val="62EA4346"/>
    <w:rsid w:val="62F11794"/>
    <w:rsid w:val="62F26527"/>
    <w:rsid w:val="62F3485E"/>
    <w:rsid w:val="6300095E"/>
    <w:rsid w:val="63015652"/>
    <w:rsid w:val="63173C2D"/>
    <w:rsid w:val="631E65DD"/>
    <w:rsid w:val="63233E75"/>
    <w:rsid w:val="635C71AF"/>
    <w:rsid w:val="6366103B"/>
    <w:rsid w:val="636A2A00"/>
    <w:rsid w:val="63705800"/>
    <w:rsid w:val="63705BAA"/>
    <w:rsid w:val="63845A68"/>
    <w:rsid w:val="63DB430E"/>
    <w:rsid w:val="63E30EC2"/>
    <w:rsid w:val="63E73F79"/>
    <w:rsid w:val="63FB60EE"/>
    <w:rsid w:val="6401649C"/>
    <w:rsid w:val="64021AE1"/>
    <w:rsid w:val="64032727"/>
    <w:rsid w:val="640815AB"/>
    <w:rsid w:val="64157463"/>
    <w:rsid w:val="64234498"/>
    <w:rsid w:val="643E0572"/>
    <w:rsid w:val="644A1C19"/>
    <w:rsid w:val="645A5F66"/>
    <w:rsid w:val="646A04FD"/>
    <w:rsid w:val="648E677F"/>
    <w:rsid w:val="649854AA"/>
    <w:rsid w:val="64A349EA"/>
    <w:rsid w:val="64B24779"/>
    <w:rsid w:val="64B82FFF"/>
    <w:rsid w:val="64CC5F13"/>
    <w:rsid w:val="64D725CA"/>
    <w:rsid w:val="64DD2A65"/>
    <w:rsid w:val="64E51A0B"/>
    <w:rsid w:val="64F30AA8"/>
    <w:rsid w:val="64F51269"/>
    <w:rsid w:val="650D276C"/>
    <w:rsid w:val="650D437D"/>
    <w:rsid w:val="651F7C3B"/>
    <w:rsid w:val="65253639"/>
    <w:rsid w:val="65334722"/>
    <w:rsid w:val="65445341"/>
    <w:rsid w:val="654779CC"/>
    <w:rsid w:val="656A6B42"/>
    <w:rsid w:val="656A6C6C"/>
    <w:rsid w:val="657A41BD"/>
    <w:rsid w:val="65A564B9"/>
    <w:rsid w:val="65BE4870"/>
    <w:rsid w:val="65CE16FE"/>
    <w:rsid w:val="65D003FD"/>
    <w:rsid w:val="65F01FDC"/>
    <w:rsid w:val="65FA5258"/>
    <w:rsid w:val="660C008C"/>
    <w:rsid w:val="66152FC1"/>
    <w:rsid w:val="662163A0"/>
    <w:rsid w:val="663C7682"/>
    <w:rsid w:val="663E10D8"/>
    <w:rsid w:val="66435029"/>
    <w:rsid w:val="66461AD1"/>
    <w:rsid w:val="664B227F"/>
    <w:rsid w:val="665902A6"/>
    <w:rsid w:val="66784F2F"/>
    <w:rsid w:val="669C2093"/>
    <w:rsid w:val="66AA146E"/>
    <w:rsid w:val="66B63141"/>
    <w:rsid w:val="66BF7277"/>
    <w:rsid w:val="66C30044"/>
    <w:rsid w:val="66D64466"/>
    <w:rsid w:val="66F10836"/>
    <w:rsid w:val="66F73F6E"/>
    <w:rsid w:val="6704458F"/>
    <w:rsid w:val="671A6397"/>
    <w:rsid w:val="67217348"/>
    <w:rsid w:val="6723515E"/>
    <w:rsid w:val="67412D2B"/>
    <w:rsid w:val="6750687A"/>
    <w:rsid w:val="67585FC6"/>
    <w:rsid w:val="676460FE"/>
    <w:rsid w:val="676D0DC7"/>
    <w:rsid w:val="67811850"/>
    <w:rsid w:val="67913C67"/>
    <w:rsid w:val="67932907"/>
    <w:rsid w:val="6794608C"/>
    <w:rsid w:val="67952262"/>
    <w:rsid w:val="679E26E2"/>
    <w:rsid w:val="67A627AA"/>
    <w:rsid w:val="67A96C1A"/>
    <w:rsid w:val="68385036"/>
    <w:rsid w:val="68462250"/>
    <w:rsid w:val="684C54A1"/>
    <w:rsid w:val="68535788"/>
    <w:rsid w:val="688B52C9"/>
    <w:rsid w:val="689B35A8"/>
    <w:rsid w:val="68A86D19"/>
    <w:rsid w:val="68B67FC2"/>
    <w:rsid w:val="68BE0101"/>
    <w:rsid w:val="68BF74F0"/>
    <w:rsid w:val="68C63CB2"/>
    <w:rsid w:val="68D81EFA"/>
    <w:rsid w:val="68E62F15"/>
    <w:rsid w:val="68FF79F4"/>
    <w:rsid w:val="69006773"/>
    <w:rsid w:val="6906141E"/>
    <w:rsid w:val="690F0C17"/>
    <w:rsid w:val="691B0BB8"/>
    <w:rsid w:val="69277445"/>
    <w:rsid w:val="692774A3"/>
    <w:rsid w:val="69362CAC"/>
    <w:rsid w:val="69417CE6"/>
    <w:rsid w:val="69590F18"/>
    <w:rsid w:val="69640728"/>
    <w:rsid w:val="69720765"/>
    <w:rsid w:val="697B7275"/>
    <w:rsid w:val="699057EF"/>
    <w:rsid w:val="69B528E4"/>
    <w:rsid w:val="69BB15EC"/>
    <w:rsid w:val="69D33387"/>
    <w:rsid w:val="69E1293E"/>
    <w:rsid w:val="69F20C1A"/>
    <w:rsid w:val="69F706A6"/>
    <w:rsid w:val="69F96EE9"/>
    <w:rsid w:val="6A04377D"/>
    <w:rsid w:val="6A061487"/>
    <w:rsid w:val="6A1111FA"/>
    <w:rsid w:val="6A183E9A"/>
    <w:rsid w:val="6A3A7A9A"/>
    <w:rsid w:val="6A3B6D60"/>
    <w:rsid w:val="6A5721F2"/>
    <w:rsid w:val="6A5775B2"/>
    <w:rsid w:val="6A691AE9"/>
    <w:rsid w:val="6A6C5F90"/>
    <w:rsid w:val="6AA05FF4"/>
    <w:rsid w:val="6AA732CB"/>
    <w:rsid w:val="6AAC2BA7"/>
    <w:rsid w:val="6ABA5943"/>
    <w:rsid w:val="6AC424EC"/>
    <w:rsid w:val="6AE53C70"/>
    <w:rsid w:val="6AF101E8"/>
    <w:rsid w:val="6AFD22FF"/>
    <w:rsid w:val="6B0C46B3"/>
    <w:rsid w:val="6B0E421C"/>
    <w:rsid w:val="6B32086B"/>
    <w:rsid w:val="6B3446A2"/>
    <w:rsid w:val="6B384B8C"/>
    <w:rsid w:val="6B410D58"/>
    <w:rsid w:val="6B4C5690"/>
    <w:rsid w:val="6B4D4BDA"/>
    <w:rsid w:val="6B525100"/>
    <w:rsid w:val="6B5E7AF9"/>
    <w:rsid w:val="6B7B3DAF"/>
    <w:rsid w:val="6B7D647A"/>
    <w:rsid w:val="6B7E5978"/>
    <w:rsid w:val="6B800944"/>
    <w:rsid w:val="6B92553F"/>
    <w:rsid w:val="6BA01AC8"/>
    <w:rsid w:val="6BAB03BC"/>
    <w:rsid w:val="6BB27C6F"/>
    <w:rsid w:val="6BBA7116"/>
    <w:rsid w:val="6BD11E64"/>
    <w:rsid w:val="6BFD1257"/>
    <w:rsid w:val="6C05084F"/>
    <w:rsid w:val="6C0E2551"/>
    <w:rsid w:val="6C1963CF"/>
    <w:rsid w:val="6C2408FD"/>
    <w:rsid w:val="6C2D2786"/>
    <w:rsid w:val="6C4B7756"/>
    <w:rsid w:val="6C6733A6"/>
    <w:rsid w:val="6C8A5113"/>
    <w:rsid w:val="6CA62243"/>
    <w:rsid w:val="6CCB34C1"/>
    <w:rsid w:val="6CD24E27"/>
    <w:rsid w:val="6CE11479"/>
    <w:rsid w:val="6CE74888"/>
    <w:rsid w:val="6CFB0FF7"/>
    <w:rsid w:val="6D043EEC"/>
    <w:rsid w:val="6D056D08"/>
    <w:rsid w:val="6D084A08"/>
    <w:rsid w:val="6D250EFE"/>
    <w:rsid w:val="6D301203"/>
    <w:rsid w:val="6D3D08AC"/>
    <w:rsid w:val="6D4A5A9A"/>
    <w:rsid w:val="6D4F0AFE"/>
    <w:rsid w:val="6D646575"/>
    <w:rsid w:val="6D6739CF"/>
    <w:rsid w:val="6D731D65"/>
    <w:rsid w:val="6D736406"/>
    <w:rsid w:val="6D7675A3"/>
    <w:rsid w:val="6D856BBC"/>
    <w:rsid w:val="6D8A7EB9"/>
    <w:rsid w:val="6D8B0FBC"/>
    <w:rsid w:val="6D9306CB"/>
    <w:rsid w:val="6DB94151"/>
    <w:rsid w:val="6DBB5545"/>
    <w:rsid w:val="6DCA557F"/>
    <w:rsid w:val="6DDE1D91"/>
    <w:rsid w:val="6DDF0E79"/>
    <w:rsid w:val="6E0642BE"/>
    <w:rsid w:val="6E07176D"/>
    <w:rsid w:val="6E0F2BFE"/>
    <w:rsid w:val="6E215AF4"/>
    <w:rsid w:val="6E2E229B"/>
    <w:rsid w:val="6E39743B"/>
    <w:rsid w:val="6E3C3CA2"/>
    <w:rsid w:val="6E4E16D0"/>
    <w:rsid w:val="6E5F3315"/>
    <w:rsid w:val="6E676084"/>
    <w:rsid w:val="6E742FB8"/>
    <w:rsid w:val="6E7C747B"/>
    <w:rsid w:val="6EA04C1B"/>
    <w:rsid w:val="6EA75DC0"/>
    <w:rsid w:val="6EAC6828"/>
    <w:rsid w:val="6EC04AA6"/>
    <w:rsid w:val="6EC1693A"/>
    <w:rsid w:val="6EC863D7"/>
    <w:rsid w:val="6ED6239D"/>
    <w:rsid w:val="6EE6267C"/>
    <w:rsid w:val="6EF135CF"/>
    <w:rsid w:val="6EF34F21"/>
    <w:rsid w:val="6EFC543E"/>
    <w:rsid w:val="6F0638F4"/>
    <w:rsid w:val="6F2B0E36"/>
    <w:rsid w:val="6F5058A4"/>
    <w:rsid w:val="6F563B9A"/>
    <w:rsid w:val="6F6318F8"/>
    <w:rsid w:val="6F645CB0"/>
    <w:rsid w:val="6F793122"/>
    <w:rsid w:val="6F9A76EA"/>
    <w:rsid w:val="6FC35AF4"/>
    <w:rsid w:val="6FC651CB"/>
    <w:rsid w:val="6FC74FC3"/>
    <w:rsid w:val="6FDD08C3"/>
    <w:rsid w:val="6FE61A25"/>
    <w:rsid w:val="70020E3A"/>
    <w:rsid w:val="701473C1"/>
    <w:rsid w:val="701E6D09"/>
    <w:rsid w:val="704F5169"/>
    <w:rsid w:val="70586FC1"/>
    <w:rsid w:val="705D2C61"/>
    <w:rsid w:val="705E48BE"/>
    <w:rsid w:val="70691E69"/>
    <w:rsid w:val="708C0DE8"/>
    <w:rsid w:val="70944195"/>
    <w:rsid w:val="709872AA"/>
    <w:rsid w:val="70A615D7"/>
    <w:rsid w:val="70DD1FFE"/>
    <w:rsid w:val="712D33ED"/>
    <w:rsid w:val="712E2898"/>
    <w:rsid w:val="712F3A0B"/>
    <w:rsid w:val="712F3C33"/>
    <w:rsid w:val="714A593E"/>
    <w:rsid w:val="71561CD3"/>
    <w:rsid w:val="715700F9"/>
    <w:rsid w:val="71585C50"/>
    <w:rsid w:val="71883514"/>
    <w:rsid w:val="718A02C0"/>
    <w:rsid w:val="71A045F4"/>
    <w:rsid w:val="71A305BE"/>
    <w:rsid w:val="71AD4973"/>
    <w:rsid w:val="71BB4A89"/>
    <w:rsid w:val="71BE5FFB"/>
    <w:rsid w:val="71CF4B58"/>
    <w:rsid w:val="71D629C9"/>
    <w:rsid w:val="71DD7875"/>
    <w:rsid w:val="71E362ED"/>
    <w:rsid w:val="71EF7649"/>
    <w:rsid w:val="71F35BA7"/>
    <w:rsid w:val="71F43DD4"/>
    <w:rsid w:val="72030234"/>
    <w:rsid w:val="721272F9"/>
    <w:rsid w:val="72160CA2"/>
    <w:rsid w:val="722E1B13"/>
    <w:rsid w:val="723D07D8"/>
    <w:rsid w:val="724E2185"/>
    <w:rsid w:val="72545DFE"/>
    <w:rsid w:val="726238E4"/>
    <w:rsid w:val="72685C83"/>
    <w:rsid w:val="72883217"/>
    <w:rsid w:val="72943A20"/>
    <w:rsid w:val="72D6731B"/>
    <w:rsid w:val="72EC5181"/>
    <w:rsid w:val="72F87AE9"/>
    <w:rsid w:val="7300569E"/>
    <w:rsid w:val="73091721"/>
    <w:rsid w:val="73153807"/>
    <w:rsid w:val="73354E77"/>
    <w:rsid w:val="734233AF"/>
    <w:rsid w:val="73845E9D"/>
    <w:rsid w:val="73B14174"/>
    <w:rsid w:val="73C21174"/>
    <w:rsid w:val="73C3656F"/>
    <w:rsid w:val="73CF5662"/>
    <w:rsid w:val="73D12C88"/>
    <w:rsid w:val="73DA0144"/>
    <w:rsid w:val="73DC42B9"/>
    <w:rsid w:val="7400455A"/>
    <w:rsid w:val="74020CC9"/>
    <w:rsid w:val="7404155B"/>
    <w:rsid w:val="741A1DD4"/>
    <w:rsid w:val="742504AB"/>
    <w:rsid w:val="742E0638"/>
    <w:rsid w:val="744075E7"/>
    <w:rsid w:val="745E34D7"/>
    <w:rsid w:val="74625ECB"/>
    <w:rsid w:val="74731696"/>
    <w:rsid w:val="748D3303"/>
    <w:rsid w:val="74CF11E2"/>
    <w:rsid w:val="74D2351B"/>
    <w:rsid w:val="74F60555"/>
    <w:rsid w:val="74FC61CB"/>
    <w:rsid w:val="750834A1"/>
    <w:rsid w:val="751D1F63"/>
    <w:rsid w:val="75202088"/>
    <w:rsid w:val="75266A56"/>
    <w:rsid w:val="752B1658"/>
    <w:rsid w:val="7548702F"/>
    <w:rsid w:val="7549473C"/>
    <w:rsid w:val="7560288F"/>
    <w:rsid w:val="75755F8A"/>
    <w:rsid w:val="757B4850"/>
    <w:rsid w:val="757C5FDA"/>
    <w:rsid w:val="757F5C9D"/>
    <w:rsid w:val="75906CAE"/>
    <w:rsid w:val="759B0DF2"/>
    <w:rsid w:val="759B4AFF"/>
    <w:rsid w:val="75A741C4"/>
    <w:rsid w:val="75AC24E9"/>
    <w:rsid w:val="75AD6100"/>
    <w:rsid w:val="75E92726"/>
    <w:rsid w:val="75F108F2"/>
    <w:rsid w:val="75F7408A"/>
    <w:rsid w:val="76095536"/>
    <w:rsid w:val="760D1206"/>
    <w:rsid w:val="76126278"/>
    <w:rsid w:val="761C1A08"/>
    <w:rsid w:val="762A03DE"/>
    <w:rsid w:val="762B13D8"/>
    <w:rsid w:val="763645D7"/>
    <w:rsid w:val="76393858"/>
    <w:rsid w:val="76650FEE"/>
    <w:rsid w:val="76687CFE"/>
    <w:rsid w:val="76692ADD"/>
    <w:rsid w:val="766F3A12"/>
    <w:rsid w:val="76AF450B"/>
    <w:rsid w:val="76CA437D"/>
    <w:rsid w:val="76F05897"/>
    <w:rsid w:val="76F22951"/>
    <w:rsid w:val="771501BF"/>
    <w:rsid w:val="77276304"/>
    <w:rsid w:val="773074B3"/>
    <w:rsid w:val="77354781"/>
    <w:rsid w:val="77394B26"/>
    <w:rsid w:val="77535E75"/>
    <w:rsid w:val="77703DAC"/>
    <w:rsid w:val="77775400"/>
    <w:rsid w:val="778A5B25"/>
    <w:rsid w:val="77A122B1"/>
    <w:rsid w:val="77B26D7D"/>
    <w:rsid w:val="77BF35C3"/>
    <w:rsid w:val="77C230C0"/>
    <w:rsid w:val="77C72EB2"/>
    <w:rsid w:val="77CC1998"/>
    <w:rsid w:val="77CC7C22"/>
    <w:rsid w:val="77DB1DEB"/>
    <w:rsid w:val="77EB01B3"/>
    <w:rsid w:val="77EC14E4"/>
    <w:rsid w:val="77F83436"/>
    <w:rsid w:val="77FF0CF0"/>
    <w:rsid w:val="78016349"/>
    <w:rsid w:val="780A79E0"/>
    <w:rsid w:val="780F7F22"/>
    <w:rsid w:val="781C69E0"/>
    <w:rsid w:val="781C7CA3"/>
    <w:rsid w:val="78500F58"/>
    <w:rsid w:val="785410F9"/>
    <w:rsid w:val="7867704A"/>
    <w:rsid w:val="787B41A2"/>
    <w:rsid w:val="787F51FC"/>
    <w:rsid w:val="7887458A"/>
    <w:rsid w:val="788C5963"/>
    <w:rsid w:val="789623E9"/>
    <w:rsid w:val="78983085"/>
    <w:rsid w:val="78A77CE5"/>
    <w:rsid w:val="78A93408"/>
    <w:rsid w:val="78AD5DB6"/>
    <w:rsid w:val="78F36FBB"/>
    <w:rsid w:val="792A3AAF"/>
    <w:rsid w:val="79533ADF"/>
    <w:rsid w:val="795E0EF0"/>
    <w:rsid w:val="796A4A96"/>
    <w:rsid w:val="796B6342"/>
    <w:rsid w:val="79771995"/>
    <w:rsid w:val="797872AA"/>
    <w:rsid w:val="797B2DDF"/>
    <w:rsid w:val="799867F3"/>
    <w:rsid w:val="799E7B95"/>
    <w:rsid w:val="79A24C0C"/>
    <w:rsid w:val="79C9053D"/>
    <w:rsid w:val="79CB666F"/>
    <w:rsid w:val="79DB4924"/>
    <w:rsid w:val="79E1682E"/>
    <w:rsid w:val="79FD0244"/>
    <w:rsid w:val="7A1212D7"/>
    <w:rsid w:val="7A2C7365"/>
    <w:rsid w:val="7A44350B"/>
    <w:rsid w:val="7A561AF7"/>
    <w:rsid w:val="7A59388F"/>
    <w:rsid w:val="7A5D0E48"/>
    <w:rsid w:val="7A72472B"/>
    <w:rsid w:val="7A9824F8"/>
    <w:rsid w:val="7AB92750"/>
    <w:rsid w:val="7AC733DC"/>
    <w:rsid w:val="7AC818AD"/>
    <w:rsid w:val="7AF3226A"/>
    <w:rsid w:val="7B003761"/>
    <w:rsid w:val="7B053B68"/>
    <w:rsid w:val="7B0C469E"/>
    <w:rsid w:val="7B173221"/>
    <w:rsid w:val="7B3A733A"/>
    <w:rsid w:val="7B3E46C4"/>
    <w:rsid w:val="7B5D6E4E"/>
    <w:rsid w:val="7B73535B"/>
    <w:rsid w:val="7B7414E5"/>
    <w:rsid w:val="7B7B3449"/>
    <w:rsid w:val="7B8357A8"/>
    <w:rsid w:val="7B9B7DF3"/>
    <w:rsid w:val="7BA45252"/>
    <w:rsid w:val="7BAF067E"/>
    <w:rsid w:val="7BB739C3"/>
    <w:rsid w:val="7BBE0C7E"/>
    <w:rsid w:val="7BD60727"/>
    <w:rsid w:val="7BE661C8"/>
    <w:rsid w:val="7BF5600E"/>
    <w:rsid w:val="7BFD28B1"/>
    <w:rsid w:val="7C0200A3"/>
    <w:rsid w:val="7C3B3BC1"/>
    <w:rsid w:val="7C465F91"/>
    <w:rsid w:val="7C4723A8"/>
    <w:rsid w:val="7C5339E8"/>
    <w:rsid w:val="7C5349F2"/>
    <w:rsid w:val="7C6F7A58"/>
    <w:rsid w:val="7C8166C8"/>
    <w:rsid w:val="7C905DCD"/>
    <w:rsid w:val="7C9B420D"/>
    <w:rsid w:val="7CA936C5"/>
    <w:rsid w:val="7CB7602A"/>
    <w:rsid w:val="7CB8589C"/>
    <w:rsid w:val="7CC40212"/>
    <w:rsid w:val="7CE43BC6"/>
    <w:rsid w:val="7CF56AB3"/>
    <w:rsid w:val="7D213C24"/>
    <w:rsid w:val="7D2752E2"/>
    <w:rsid w:val="7D322EDA"/>
    <w:rsid w:val="7D416BFB"/>
    <w:rsid w:val="7D6F51C4"/>
    <w:rsid w:val="7D7E4468"/>
    <w:rsid w:val="7D8E2D62"/>
    <w:rsid w:val="7DC53463"/>
    <w:rsid w:val="7DE14D34"/>
    <w:rsid w:val="7DE74552"/>
    <w:rsid w:val="7E011635"/>
    <w:rsid w:val="7E144ECC"/>
    <w:rsid w:val="7E196380"/>
    <w:rsid w:val="7E24096C"/>
    <w:rsid w:val="7E433900"/>
    <w:rsid w:val="7E5A027B"/>
    <w:rsid w:val="7E5F0913"/>
    <w:rsid w:val="7E747B3F"/>
    <w:rsid w:val="7E92257F"/>
    <w:rsid w:val="7E995BB9"/>
    <w:rsid w:val="7EB31E2C"/>
    <w:rsid w:val="7EBB3F02"/>
    <w:rsid w:val="7EBC7B52"/>
    <w:rsid w:val="7EC55E16"/>
    <w:rsid w:val="7ED451AB"/>
    <w:rsid w:val="7F0F56A1"/>
    <w:rsid w:val="7F39026C"/>
    <w:rsid w:val="7F4741DE"/>
    <w:rsid w:val="7F4F3B7A"/>
    <w:rsid w:val="7F6362D2"/>
    <w:rsid w:val="7F6E0915"/>
    <w:rsid w:val="7F7E5F35"/>
    <w:rsid w:val="7F8C1017"/>
    <w:rsid w:val="7F9034AC"/>
    <w:rsid w:val="7FDD29F6"/>
    <w:rsid w:val="7FDF098C"/>
    <w:rsid w:val="7FF54A9A"/>
    <w:rsid w:val="7FFD07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00" w:lineRule="exact"/>
      <w:outlineLvl w:val="0"/>
    </w:pPr>
    <w:rPr>
      <w:b/>
      <w:bCs/>
      <w:kern w:val="44"/>
      <w:sz w:val="44"/>
      <w:szCs w:val="44"/>
    </w:rPr>
  </w:style>
  <w:style w:type="paragraph" w:styleId="4">
    <w:name w:val="heading 2"/>
    <w:basedOn w:val="1"/>
    <w:next w:val="1"/>
    <w:qFormat/>
    <w:uiPriority w:val="0"/>
    <w:pPr>
      <w:keepNext/>
      <w:keepLines/>
      <w:spacing w:before="260" w:after="260" w:line="440" w:lineRule="exact"/>
      <w:outlineLvl w:val="1"/>
    </w:pPr>
    <w:rPr>
      <w:rFonts w:ascii="Arial" w:hAnsi="Arial"/>
      <w:b/>
      <w:bCs/>
      <w:sz w:val="24"/>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5"/>
    <w:basedOn w:val="1"/>
    <w:next w:val="1"/>
    <w:link w:val="54"/>
    <w:unhideWhenUsed/>
    <w:qFormat/>
    <w:uiPriority w:val="0"/>
    <w:pPr>
      <w:keepNext/>
      <w:keepLines/>
      <w:spacing w:before="280" w:after="290" w:line="376" w:lineRule="auto"/>
      <w:outlineLvl w:val="4"/>
    </w:pPr>
    <w:rPr>
      <w:b/>
      <w:bCs/>
      <w:sz w:val="28"/>
      <w:szCs w:val="28"/>
    </w:rPr>
  </w:style>
  <w:style w:type="paragraph" w:styleId="7">
    <w:name w:val="heading 9"/>
    <w:basedOn w:val="1"/>
    <w:next w:val="1"/>
    <w:link w:val="55"/>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unhideWhenUsed/>
    <w:qFormat/>
    <w:uiPriority w:val="99"/>
    <w:pPr>
      <w:spacing w:after="120"/>
    </w:pPr>
  </w:style>
  <w:style w:type="paragraph" w:styleId="8">
    <w:name w:val="toc 7"/>
    <w:basedOn w:val="1"/>
    <w:next w:val="1"/>
    <w:unhideWhenUsed/>
    <w:qFormat/>
    <w:uiPriority w:val="39"/>
    <w:pPr>
      <w:ind w:left="2520" w:leftChars="1200"/>
    </w:pPr>
    <w:rPr>
      <w:rFonts w:ascii="Calibri" w:hAnsi="Calibri"/>
      <w:szCs w:val="22"/>
    </w:rPr>
  </w:style>
  <w:style w:type="paragraph" w:styleId="9">
    <w:name w:val="Normal Indent"/>
    <w:basedOn w:val="1"/>
    <w:link w:val="71"/>
    <w:qFormat/>
    <w:uiPriority w:val="0"/>
    <w:pPr>
      <w:ind w:firstLine="200" w:firstLineChars="200"/>
    </w:pPr>
  </w:style>
  <w:style w:type="paragraph" w:styleId="10">
    <w:name w:val="Document Map"/>
    <w:basedOn w:val="1"/>
    <w:qFormat/>
    <w:uiPriority w:val="0"/>
    <w:pPr>
      <w:shd w:val="clear" w:color="auto" w:fill="000080"/>
    </w:pPr>
  </w:style>
  <w:style w:type="paragraph" w:styleId="11">
    <w:name w:val="annotation text"/>
    <w:basedOn w:val="1"/>
    <w:link w:val="51"/>
    <w:qFormat/>
    <w:uiPriority w:val="0"/>
    <w:pPr>
      <w:jc w:val="left"/>
    </w:pPr>
  </w:style>
  <w:style w:type="paragraph" w:styleId="12">
    <w:name w:val="Body Text Indent"/>
    <w:basedOn w:val="1"/>
    <w:link w:val="75"/>
    <w:qFormat/>
    <w:uiPriority w:val="0"/>
    <w:pPr>
      <w:ind w:firstLine="630"/>
    </w:pPr>
    <w:rPr>
      <w:sz w:val="32"/>
      <w:szCs w:val="20"/>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5">
    <w:name w:val="Plain Text"/>
    <w:basedOn w:val="1"/>
    <w:qFormat/>
    <w:uiPriority w:val="0"/>
    <w:rPr>
      <w:rFonts w:ascii="宋体" w:hAnsi="Courier New"/>
    </w:rPr>
  </w:style>
  <w:style w:type="paragraph" w:styleId="16">
    <w:name w:val="toc 8"/>
    <w:basedOn w:val="1"/>
    <w:next w:val="1"/>
    <w:unhideWhenUsed/>
    <w:qFormat/>
    <w:uiPriority w:val="39"/>
    <w:pPr>
      <w:ind w:left="2940" w:leftChars="1400"/>
    </w:pPr>
    <w:rPr>
      <w:rFonts w:ascii="Calibri" w:hAnsi="Calibri"/>
      <w:szCs w:val="22"/>
    </w:rPr>
  </w:style>
  <w:style w:type="paragraph" w:styleId="17">
    <w:name w:val="Body Text Indent 2"/>
    <w:basedOn w:val="1"/>
    <w:qFormat/>
    <w:uiPriority w:val="0"/>
    <w:pPr>
      <w:spacing w:after="120" w:line="480" w:lineRule="auto"/>
      <w:ind w:left="200" w:leftChars="200"/>
    </w:pPr>
  </w:style>
  <w:style w:type="paragraph" w:styleId="18">
    <w:name w:val="Balloon Text"/>
    <w:basedOn w:val="1"/>
    <w:link w:val="49"/>
    <w:qFormat/>
    <w:uiPriority w:val="0"/>
    <w:rPr>
      <w:sz w:val="18"/>
      <w:szCs w:val="18"/>
    </w:rPr>
  </w:style>
  <w:style w:type="paragraph" w:styleId="19">
    <w:name w:val="footer"/>
    <w:basedOn w:val="1"/>
    <w:link w:val="57"/>
    <w:qFormat/>
    <w:uiPriority w:val="99"/>
    <w:pPr>
      <w:tabs>
        <w:tab w:val="center" w:pos="4153"/>
        <w:tab w:val="right" w:pos="8306"/>
      </w:tabs>
      <w:snapToGrid w:val="0"/>
      <w:jc w:val="left"/>
    </w:pPr>
    <w:rPr>
      <w:sz w:val="18"/>
      <w:szCs w:val="20"/>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20"/>
    </w:rPr>
  </w:style>
  <w:style w:type="paragraph" w:styleId="21">
    <w:name w:val="toc 1"/>
    <w:basedOn w:val="22"/>
    <w:next w:val="1"/>
    <w:unhideWhenUsed/>
    <w:qFormat/>
    <w:uiPriority w:val="39"/>
    <w:pPr>
      <w:widowControl/>
      <w:spacing w:after="100" w:line="259" w:lineRule="auto"/>
      <w:jc w:val="left"/>
    </w:pPr>
    <w:rPr>
      <w:rFonts w:ascii="Calibri" w:hAnsi="Calibri"/>
      <w:kern w:val="0"/>
      <w:sz w:val="22"/>
      <w:szCs w:val="22"/>
    </w:rPr>
  </w:style>
  <w:style w:type="paragraph" w:styleId="22">
    <w:name w:val="Title"/>
    <w:basedOn w:val="1"/>
    <w:next w:val="1"/>
    <w:link w:val="58"/>
    <w:qFormat/>
    <w:uiPriority w:val="0"/>
    <w:pPr>
      <w:spacing w:before="240" w:after="60"/>
      <w:jc w:val="center"/>
      <w:outlineLvl w:val="0"/>
    </w:pPr>
    <w:rPr>
      <w:rFonts w:asciiTheme="majorHAnsi" w:hAnsiTheme="majorHAnsi" w:cstheme="majorBidi"/>
      <w:b/>
      <w:bCs/>
      <w:sz w:val="32"/>
      <w:szCs w:val="32"/>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Subtitle"/>
    <w:basedOn w:val="1"/>
    <w:next w:val="1"/>
    <w:qFormat/>
    <w:uiPriority w:val="0"/>
    <w:pPr>
      <w:spacing w:line="312" w:lineRule="auto"/>
      <w:jc w:val="left"/>
      <w:outlineLvl w:val="1"/>
    </w:pPr>
    <w:rPr>
      <w:rFonts w:ascii="Cambria" w:hAnsi="Cambria"/>
      <w:b/>
      <w:bCs/>
      <w:kern w:val="28"/>
      <w:szCs w:val="32"/>
    </w:rPr>
  </w:style>
  <w:style w:type="paragraph" w:styleId="25">
    <w:name w:val="footnote text"/>
    <w:basedOn w:val="1"/>
    <w:link w:val="60"/>
    <w:semiHidden/>
    <w:unhideWhenUsed/>
    <w:qFormat/>
    <w:uiPriority w:val="0"/>
    <w:pPr>
      <w:snapToGrid w:val="0"/>
      <w:jc w:val="left"/>
    </w:pPr>
    <w:rPr>
      <w:sz w:val="18"/>
      <w:szCs w:val="18"/>
    </w:rPr>
  </w:style>
  <w:style w:type="paragraph" w:styleId="26">
    <w:name w:val="toc 6"/>
    <w:basedOn w:val="1"/>
    <w:next w:val="1"/>
    <w:unhideWhenUsed/>
    <w:qFormat/>
    <w:uiPriority w:val="39"/>
    <w:pPr>
      <w:ind w:left="2100" w:leftChars="1000"/>
    </w:pPr>
    <w:rPr>
      <w:rFonts w:ascii="Calibri" w:hAnsi="Calibri"/>
      <w:szCs w:val="22"/>
    </w:rPr>
  </w:style>
  <w:style w:type="paragraph" w:styleId="27">
    <w:name w:val="Body Text Indent 3"/>
    <w:basedOn w:val="1"/>
    <w:qFormat/>
    <w:uiPriority w:val="0"/>
    <w:pPr>
      <w:spacing w:after="120"/>
      <w:ind w:left="200" w:leftChars="200"/>
    </w:pPr>
    <w:rPr>
      <w:sz w:val="16"/>
      <w:szCs w:val="16"/>
    </w:rPr>
  </w:style>
  <w:style w:type="paragraph" w:styleId="28">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9">
    <w:name w:val="toc 9"/>
    <w:basedOn w:val="1"/>
    <w:next w:val="1"/>
    <w:unhideWhenUsed/>
    <w:qFormat/>
    <w:uiPriority w:val="39"/>
    <w:pPr>
      <w:ind w:left="3360" w:leftChars="1600"/>
    </w:pPr>
    <w:rPr>
      <w:rFonts w:ascii="Calibri" w:hAnsi="Calibri"/>
      <w:szCs w:val="22"/>
    </w:rPr>
  </w:style>
  <w:style w:type="paragraph" w:styleId="30">
    <w:name w:val="Normal (Web)"/>
    <w:basedOn w:val="1"/>
    <w:qFormat/>
    <w:uiPriority w:val="0"/>
    <w:pPr>
      <w:widowControl/>
      <w:spacing w:before="100" w:beforeAutospacing="1" w:after="100" w:afterAutospacing="1"/>
      <w:jc w:val="left"/>
    </w:pPr>
    <w:rPr>
      <w:rFonts w:ascii="宋体"/>
      <w:kern w:val="0"/>
      <w:sz w:val="18"/>
      <w:szCs w:val="18"/>
    </w:rPr>
  </w:style>
  <w:style w:type="paragraph" w:styleId="31">
    <w:name w:val="annotation subject"/>
    <w:basedOn w:val="11"/>
    <w:next w:val="11"/>
    <w:link w:val="52"/>
    <w:qFormat/>
    <w:uiPriority w:val="0"/>
    <w:rPr>
      <w:b/>
      <w:bCs/>
    </w:rPr>
  </w:style>
  <w:style w:type="paragraph" w:styleId="32">
    <w:name w:val="Body Text First Indent"/>
    <w:basedOn w:val="2"/>
    <w:link w:val="70"/>
    <w:unhideWhenUsed/>
    <w:qFormat/>
    <w:uiPriority w:val="0"/>
    <w:pPr>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qFormat/>
    <w:uiPriority w:val="0"/>
  </w:style>
  <w:style w:type="character" w:styleId="37">
    <w:name w:val="Hyperlink"/>
    <w:basedOn w:val="35"/>
    <w:unhideWhenUsed/>
    <w:qFormat/>
    <w:uiPriority w:val="99"/>
    <w:rPr>
      <w:color w:val="0563C1"/>
      <w:u w:val="single"/>
    </w:rPr>
  </w:style>
  <w:style w:type="character" w:styleId="38">
    <w:name w:val="annotation reference"/>
    <w:basedOn w:val="35"/>
    <w:qFormat/>
    <w:uiPriority w:val="0"/>
    <w:rPr>
      <w:sz w:val="21"/>
      <w:szCs w:val="21"/>
    </w:rPr>
  </w:style>
  <w:style w:type="character" w:styleId="39">
    <w:name w:val="footnote reference"/>
    <w:basedOn w:val="35"/>
    <w:semiHidden/>
    <w:unhideWhenUsed/>
    <w:qFormat/>
    <w:uiPriority w:val="0"/>
    <w:rPr>
      <w:vertAlign w:val="superscript"/>
    </w:rPr>
  </w:style>
  <w:style w:type="paragraph" w:customStyle="1" w:styleId="40">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41">
    <w:name w:val="正文首行缩进两字符"/>
    <w:basedOn w:val="1"/>
    <w:qFormat/>
    <w:uiPriority w:val="0"/>
    <w:pPr>
      <w:spacing w:line="360" w:lineRule="auto"/>
      <w:ind w:firstLine="200" w:firstLineChars="200"/>
    </w:pPr>
  </w:style>
  <w:style w:type="paragraph" w:customStyle="1" w:styleId="4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qFormat/>
    <w:uiPriority w:val="0"/>
    <w:pPr>
      <w:spacing w:line="400" w:lineRule="exact"/>
    </w:pPr>
    <w:rPr>
      <w:sz w:val="24"/>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character" w:customStyle="1" w:styleId="46">
    <w:name w:val="（符号）邀请函中一、"/>
    <w:qFormat/>
    <w:uiPriority w:val="0"/>
    <w:rPr>
      <w:rFonts w:ascii="黑体" w:eastAsia="黑体"/>
      <w:b/>
      <w:bCs/>
      <w:sz w:val="24"/>
    </w:rPr>
  </w:style>
  <w:style w:type="paragraph" w:customStyle="1" w:styleId="47">
    <w:name w:val="Char Char Char Char Char Char Char Char Char Char Char Char Char Char1 Char Char Char Char"/>
    <w:basedOn w:val="1"/>
    <w:qFormat/>
    <w:uiPriority w:val="0"/>
    <w:rPr>
      <w:szCs w:val="21"/>
    </w:rPr>
  </w:style>
  <w:style w:type="paragraph" w:customStyle="1" w:styleId="48">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49">
    <w:name w:val="批注框文本 Char"/>
    <w:link w:val="18"/>
    <w:qFormat/>
    <w:uiPriority w:val="0"/>
    <w:rPr>
      <w:kern w:val="2"/>
      <w:sz w:val="18"/>
      <w:szCs w:val="18"/>
    </w:rPr>
  </w:style>
  <w:style w:type="character" w:customStyle="1" w:styleId="50">
    <w:name w:val="页眉 Char"/>
    <w:link w:val="20"/>
    <w:qFormat/>
    <w:uiPriority w:val="99"/>
    <w:rPr>
      <w:kern w:val="2"/>
      <w:sz w:val="18"/>
    </w:rPr>
  </w:style>
  <w:style w:type="character" w:customStyle="1" w:styleId="51">
    <w:name w:val="批注文字 Char"/>
    <w:basedOn w:val="35"/>
    <w:link w:val="11"/>
    <w:qFormat/>
    <w:uiPriority w:val="0"/>
    <w:rPr>
      <w:kern w:val="2"/>
      <w:sz w:val="21"/>
      <w:szCs w:val="24"/>
    </w:rPr>
  </w:style>
  <w:style w:type="character" w:customStyle="1" w:styleId="52">
    <w:name w:val="批注主题 Char"/>
    <w:basedOn w:val="51"/>
    <w:link w:val="31"/>
    <w:qFormat/>
    <w:uiPriority w:val="0"/>
    <w:rPr>
      <w:b/>
      <w:bCs/>
      <w:kern w:val="2"/>
      <w:sz w:val="21"/>
      <w:szCs w:val="24"/>
    </w:rPr>
  </w:style>
  <w:style w:type="paragraph" w:customStyle="1" w:styleId="53">
    <w:name w:val="列出段落1"/>
    <w:basedOn w:val="1"/>
    <w:qFormat/>
    <w:uiPriority w:val="34"/>
    <w:pPr>
      <w:ind w:firstLine="420" w:firstLineChars="200"/>
    </w:pPr>
  </w:style>
  <w:style w:type="character" w:customStyle="1" w:styleId="54">
    <w:name w:val="标题 5 Char"/>
    <w:basedOn w:val="35"/>
    <w:link w:val="6"/>
    <w:qFormat/>
    <w:uiPriority w:val="0"/>
    <w:rPr>
      <w:b/>
      <w:bCs/>
      <w:kern w:val="2"/>
      <w:sz w:val="28"/>
      <w:szCs w:val="28"/>
    </w:rPr>
  </w:style>
  <w:style w:type="character" w:customStyle="1" w:styleId="55">
    <w:name w:val="标题 9 Char"/>
    <w:basedOn w:val="35"/>
    <w:link w:val="7"/>
    <w:qFormat/>
    <w:uiPriority w:val="0"/>
    <w:rPr>
      <w:rFonts w:asciiTheme="majorHAnsi" w:hAnsiTheme="majorHAnsi" w:eastAsiaTheme="majorEastAsia" w:cstheme="majorBidi"/>
      <w:kern w:val="2"/>
      <w:sz w:val="21"/>
      <w:szCs w:val="21"/>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7">
    <w:name w:val="页脚 Char"/>
    <w:basedOn w:val="35"/>
    <w:link w:val="19"/>
    <w:qFormat/>
    <w:uiPriority w:val="99"/>
    <w:rPr>
      <w:kern w:val="2"/>
      <w:sz w:val="18"/>
    </w:rPr>
  </w:style>
  <w:style w:type="character" w:customStyle="1" w:styleId="58">
    <w:name w:val="标题 Char"/>
    <w:basedOn w:val="35"/>
    <w:link w:val="22"/>
    <w:qFormat/>
    <w:uiPriority w:val="0"/>
    <w:rPr>
      <w:rFonts w:asciiTheme="majorHAnsi" w:hAnsiTheme="majorHAnsi" w:cstheme="majorBidi"/>
      <w:b/>
      <w:bCs/>
      <w:kern w:val="2"/>
      <w:sz w:val="32"/>
      <w:szCs w:val="32"/>
    </w:rPr>
  </w:style>
  <w:style w:type="paragraph" w:styleId="59">
    <w:name w:val="List Paragraph"/>
    <w:basedOn w:val="1"/>
    <w:link w:val="63"/>
    <w:qFormat/>
    <w:uiPriority w:val="0"/>
    <w:pPr>
      <w:ind w:firstLine="420" w:firstLineChars="200"/>
    </w:pPr>
  </w:style>
  <w:style w:type="character" w:customStyle="1" w:styleId="60">
    <w:name w:val="脚注文本 Char"/>
    <w:basedOn w:val="35"/>
    <w:link w:val="25"/>
    <w:semiHidden/>
    <w:qFormat/>
    <w:uiPriority w:val="0"/>
    <w:rPr>
      <w:kern w:val="2"/>
      <w:sz w:val="18"/>
      <w:szCs w:val="18"/>
    </w:rPr>
  </w:style>
  <w:style w:type="character" w:styleId="61">
    <w:name w:val="Placeholder Text"/>
    <w:basedOn w:val="35"/>
    <w:unhideWhenUsed/>
    <w:qFormat/>
    <w:uiPriority w:val="99"/>
    <w:rPr>
      <w:color w:val="808080"/>
    </w:rPr>
  </w:style>
  <w:style w:type="paragraph" w:customStyle="1" w:styleId="62">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3">
    <w:name w:val="列出段落 Char"/>
    <w:link w:val="59"/>
    <w:qFormat/>
    <w:uiPriority w:val="0"/>
    <w:rPr>
      <w:rFonts w:ascii="Times New Roman" w:hAnsi="Times New Roman" w:eastAsia="宋体" w:cs="Times New Roman"/>
      <w:kern w:val="2"/>
      <w:sz w:val="21"/>
      <w:szCs w:val="24"/>
    </w:rPr>
  </w:style>
  <w:style w:type="paragraph" w:customStyle="1" w:styleId="64">
    <w:name w:val="正文首行缩进1"/>
    <w:basedOn w:val="2"/>
    <w:semiHidden/>
    <w:qFormat/>
    <w:uiPriority w:val="0"/>
    <w:pPr>
      <w:spacing w:before="100" w:beforeAutospacing="1"/>
      <w:ind w:firstLine="420" w:firstLineChars="100"/>
    </w:pPr>
    <w:rPr>
      <w:szCs w:val="21"/>
    </w:rPr>
  </w:style>
  <w:style w:type="character" w:customStyle="1" w:styleId="65">
    <w:name w:val="批注文字 字符"/>
    <w:qFormat/>
    <w:uiPriority w:val="0"/>
    <w:rPr>
      <w:kern w:val="2"/>
      <w:sz w:val="18"/>
    </w:rPr>
  </w:style>
  <w:style w:type="paragraph" w:customStyle="1" w:styleId="66">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7">
    <w:name w:val="正文文本 Char"/>
    <w:basedOn w:val="35"/>
    <w:link w:val="2"/>
    <w:qFormat/>
    <w:uiPriority w:val="99"/>
    <w:rPr>
      <w:kern w:val="2"/>
      <w:sz w:val="21"/>
      <w:szCs w:val="24"/>
    </w:rPr>
  </w:style>
  <w:style w:type="paragraph" w:customStyle="1" w:styleId="68">
    <w:name w:val="_Style 65"/>
    <w:basedOn w:val="2"/>
    <w:next w:val="32"/>
    <w:link w:val="69"/>
    <w:qFormat/>
    <w:uiPriority w:val="0"/>
    <w:pPr>
      <w:ind w:firstLine="420" w:firstLineChars="100"/>
    </w:pPr>
  </w:style>
  <w:style w:type="character" w:customStyle="1" w:styleId="69">
    <w:name w:val="正文文本首行缩进 字符"/>
    <w:basedOn w:val="35"/>
    <w:link w:val="68"/>
    <w:qFormat/>
    <w:uiPriority w:val="0"/>
    <w:rPr>
      <w:kern w:val="2"/>
      <w:sz w:val="21"/>
      <w:szCs w:val="24"/>
    </w:rPr>
  </w:style>
  <w:style w:type="character" w:customStyle="1" w:styleId="70">
    <w:name w:val="正文首行缩进 Char"/>
    <w:basedOn w:val="67"/>
    <w:link w:val="32"/>
    <w:qFormat/>
    <w:uiPriority w:val="0"/>
    <w:rPr>
      <w:kern w:val="2"/>
      <w:sz w:val="21"/>
      <w:szCs w:val="24"/>
    </w:rPr>
  </w:style>
  <w:style w:type="character" w:customStyle="1" w:styleId="71">
    <w:name w:val="正文缩进 Char"/>
    <w:link w:val="9"/>
    <w:qFormat/>
    <w:uiPriority w:val="0"/>
    <w:rPr>
      <w:kern w:val="2"/>
      <w:sz w:val="21"/>
      <w:szCs w:val="24"/>
    </w:rPr>
  </w:style>
  <w:style w:type="paragraph" w:customStyle="1" w:styleId="72">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73">
    <w:name w:val="GW-正文 Char"/>
    <w:link w:val="74"/>
    <w:qFormat/>
    <w:uiPriority w:val="0"/>
    <w:rPr>
      <w:rFonts w:eastAsia="仿宋_GB2312"/>
      <w:kern w:val="2"/>
      <w:sz w:val="24"/>
      <w:szCs w:val="24"/>
    </w:rPr>
  </w:style>
  <w:style w:type="paragraph" w:customStyle="1" w:styleId="74">
    <w:name w:val="GW-正文"/>
    <w:basedOn w:val="1"/>
    <w:link w:val="73"/>
    <w:qFormat/>
    <w:uiPriority w:val="0"/>
    <w:pPr>
      <w:spacing w:line="360" w:lineRule="auto"/>
      <w:ind w:firstLine="200" w:firstLineChars="200"/>
    </w:pPr>
    <w:rPr>
      <w:rFonts w:eastAsia="仿宋_GB2312"/>
      <w:sz w:val="24"/>
    </w:rPr>
  </w:style>
  <w:style w:type="character" w:customStyle="1" w:styleId="75">
    <w:name w:val="正文文本缩进 Char"/>
    <w:link w:val="12"/>
    <w:qFormat/>
    <w:uiPriority w:val="0"/>
    <w:rPr>
      <w:kern w:val="2"/>
      <w:sz w:val="32"/>
    </w:rPr>
  </w:style>
  <w:style w:type="paragraph" w:customStyle="1" w:styleId="76">
    <w:name w:val="_Style 2"/>
    <w:basedOn w:val="1"/>
    <w:qFormat/>
    <w:uiPriority w:val="0"/>
    <w:pPr>
      <w:ind w:firstLine="420" w:firstLineChars="200"/>
    </w:pPr>
    <w:rPr>
      <w:sz w:val="18"/>
      <w:szCs w:val="18"/>
    </w:rPr>
  </w:style>
  <w:style w:type="paragraph" w:customStyle="1" w:styleId="7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79">
    <w:name w:val="01、普通正文"/>
    <w:basedOn w:val="1"/>
    <w:qFormat/>
    <w:uiPriority w:val="0"/>
    <w:pPr>
      <w:tabs>
        <w:tab w:val="left" w:pos="0"/>
      </w:tabs>
      <w:wordWrap w:val="0"/>
      <w:topLinePunct/>
      <w:spacing w:line="360" w:lineRule="auto"/>
      <w:ind w:firstLine="200" w:firstLineChars="200"/>
    </w:pPr>
    <w:rPr>
      <w:snapToGrid w:val="0"/>
    </w:rPr>
  </w:style>
  <w:style w:type="paragraph" w:customStyle="1" w:styleId="80">
    <w:name w:val="15、“一、”二级标题"/>
    <w:basedOn w:val="1"/>
    <w:qFormat/>
    <w:uiPriority w:val="0"/>
    <w:pPr>
      <w:numPr>
        <w:ilvl w:val="1"/>
        <w:numId w:val="1"/>
      </w:numPr>
      <w:tabs>
        <w:tab w:val="left" w:pos="0"/>
      </w:tabs>
      <w:wordWrap w:val="0"/>
      <w:topLinePunct/>
      <w:adjustRightInd w:val="0"/>
      <w:snapToGrid w:val="0"/>
      <w:spacing w:line="440" w:lineRule="exact"/>
      <w:jc w:val="left"/>
      <w:outlineLvl w:val="1"/>
    </w:pPr>
    <w:rPr>
      <w:rFonts w:ascii="宋体" w:hAnsi="宋体"/>
      <w:b/>
      <w:sz w:val="24"/>
      <w:szCs w:val="24"/>
    </w:rPr>
  </w:style>
  <w:style w:type="paragraph" w:customStyle="1" w:styleId="81">
    <w:name w:val="05、“(一)”正文三级标题"/>
    <w:basedOn w:val="1"/>
    <w:qFormat/>
    <w:uiPriority w:val="0"/>
    <w:pPr>
      <w:numPr>
        <w:ilvl w:val="1"/>
        <w:numId w:val="2"/>
      </w:numPr>
      <w:tabs>
        <w:tab w:val="left" w:pos="0"/>
      </w:tabs>
      <w:wordWrap w:val="0"/>
      <w:topLinePunct/>
      <w:adjustRightInd w:val="0"/>
      <w:snapToGrid w:val="0"/>
      <w:spacing w:line="440" w:lineRule="exact"/>
      <w:ind w:left="1320" w:hanging="420"/>
      <w:jc w:val="left"/>
    </w:pPr>
    <w:rPr>
      <w:rFonts w:ascii="宋体" w:hAnsi="宋体"/>
      <w:sz w:val="24"/>
      <w:szCs w:val="24"/>
    </w:rPr>
  </w:style>
  <w:style w:type="paragraph" w:customStyle="1" w:styleId="82">
    <w:name w:val="06、“1.”正文四级标题"/>
    <w:basedOn w:val="1"/>
    <w:qFormat/>
    <w:uiPriority w:val="0"/>
    <w:pPr>
      <w:tabs>
        <w:tab w:val="left" w:pos="0"/>
      </w:tabs>
      <w:wordWrap w:val="0"/>
      <w:topLinePunct/>
      <w:adjustRightInd w:val="0"/>
      <w:snapToGrid w:val="0"/>
      <w:spacing w:line="440" w:lineRule="exact"/>
      <w:ind w:firstLine="803" w:firstLineChars="200"/>
      <w:jc w:val="left"/>
    </w:pPr>
    <w:rPr>
      <w:rFonts w:ascii="宋体" w:hAnsi="宋体" w:cstheme="minorBidi"/>
      <w:snapToGrid w:val="0"/>
      <w:sz w:val="24"/>
    </w:rPr>
  </w:style>
  <w:style w:type="paragraph" w:customStyle="1" w:styleId="83">
    <w:name w:val="方案正文"/>
    <w:basedOn w:val="1"/>
    <w:qFormat/>
    <w:uiPriority w:val="0"/>
    <w:pPr>
      <w:spacing w:beforeLines="50" w:line="360" w:lineRule="auto"/>
      <w:ind w:firstLine="200" w:firstLineChars="200"/>
    </w:pPr>
    <w:rPr>
      <w:rFonts w:ascii="宋体" w:hAnsi="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4BCEC-5A02-4563-A0A5-6A174705F07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160</Pages>
  <Words>86328</Words>
  <Characters>90487</Characters>
  <Lines>329</Lines>
  <Paragraphs>92</Paragraphs>
  <TotalTime>0</TotalTime>
  <ScaleCrop>false</ScaleCrop>
  <LinksUpToDate>false</LinksUpToDate>
  <CharactersWithSpaces>91308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2020-02-14T02:17:00Z</dcterms:created>
  <dc:creator>蔡瑞旭</dc:creator>
  <cp:lastModifiedBy>小叮铛</cp:lastModifiedBy>
  <cp:lastPrinted>2020-03-02T11:31:00Z</cp:lastPrinted>
  <dcterms:modified xsi:type="dcterms:W3CDTF">2021-11-25T01:52:44Z</dcterms:modified>
  <dc:title>政府采购文件范本</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851C750A66D248DA8AC76C3E567D88B0</vt:lpwstr>
  </property>
</Properties>
</file>