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克州乌恰县2022年保障性住房安居工程城市燃气设施更新改造采购项目（1包）（二次）</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auto"/>
          <w:kern w:val="0"/>
          <w:sz w:val="36"/>
          <w:szCs w:val="36"/>
          <w:lang w:val="en-US"/>
        </w:rPr>
      </w:pPr>
      <w:r>
        <w:rPr>
          <w:rFonts w:hint="eastAsia" w:ascii="仿宋" w:hAnsi="仿宋" w:eastAsia="仿宋" w:cs="仿宋"/>
          <w:b/>
          <w:bCs/>
          <w:color w:val="auto"/>
          <w:sz w:val="36"/>
          <w:szCs w:val="36"/>
          <w:lang w:eastAsia="zh-CN"/>
        </w:rPr>
        <w:t>项目编号：WQXZFCG（ZB）-2022-057-1-2</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jc w:val="center"/>
        <w:rPr>
          <w:rFonts w:hint="eastAsia" w:ascii="仿宋" w:hAnsi="仿宋" w:eastAsia="仿宋" w:cs="仿宋"/>
          <w:color w:val="auto"/>
          <w:lang w:eastAsia="zh-CN"/>
        </w:rPr>
      </w:pPr>
      <w:r>
        <w:rPr>
          <w:rFonts w:hint="eastAsia" w:ascii="仿宋" w:hAnsi="仿宋" w:eastAsia="仿宋" w:cs="仿宋"/>
          <w:color w:val="auto"/>
          <w:lang w:eastAsia="zh-CN"/>
        </w:rPr>
        <w:drawing>
          <wp:inline distT="0" distB="0" distL="114300" distR="114300">
            <wp:extent cx="2105025" cy="2990850"/>
            <wp:effectExtent l="0" t="0" r="9525" b="0"/>
            <wp:docPr id="276" name="图片 276" descr="16644456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1664445654615"/>
                    <pic:cNvPicPr>
                      <a:picLocks noChangeAspect="1"/>
                    </pic:cNvPicPr>
                  </pic:nvPicPr>
                  <pic:blipFill>
                    <a:blip r:embed="rId15"/>
                    <a:stretch>
                      <a:fillRect/>
                    </a:stretch>
                  </pic:blipFill>
                  <pic:spPr>
                    <a:xfrm>
                      <a:off x="0" y="0"/>
                      <a:ext cx="2105025" cy="2990850"/>
                    </a:xfrm>
                    <a:prstGeom prst="rect">
                      <a:avLst/>
                    </a:prstGeom>
                  </pic:spPr>
                </pic:pic>
              </a:graphicData>
            </a:graphic>
          </wp:inline>
        </w:drawing>
      </w:r>
    </w:p>
    <w:p>
      <w:pPr>
        <w:pStyle w:val="11"/>
        <w:jc w:val="center"/>
        <w:rPr>
          <w:rFonts w:hint="default" w:ascii="仿宋" w:hAnsi="仿宋" w:eastAsia="仿宋" w:cs="仿宋"/>
          <w:b/>
          <w:bCs/>
          <w:color w:val="auto"/>
          <w:sz w:val="96"/>
          <w:szCs w:val="96"/>
          <w:lang w:val="en-US" w:eastAsia="zh-CN"/>
        </w:rPr>
      </w:pPr>
      <w:r>
        <w:rPr>
          <w:rFonts w:hint="eastAsia" w:ascii="仿宋" w:hAnsi="仿宋" w:eastAsia="仿宋" w:cs="仿宋"/>
          <w:b/>
          <w:bCs/>
          <w:color w:val="auto"/>
          <w:sz w:val="96"/>
          <w:szCs w:val="96"/>
          <w:lang w:val="en-US" w:eastAsia="zh-CN"/>
        </w:rPr>
        <w:t>招标文件</w:t>
      </w:r>
    </w:p>
    <w:p>
      <w:pPr>
        <w:pStyle w:val="11"/>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乌恰县住房和城乡建设局</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人：白女士</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联系电话：13779610956</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新疆宏力源工程项目管理有限公司</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夏</w:t>
      </w:r>
      <w:r>
        <w:rPr>
          <w:rFonts w:hint="eastAsia" w:ascii="仿宋" w:hAnsi="仿宋" w:eastAsia="仿宋" w:cs="仿宋"/>
          <w:color w:val="auto"/>
          <w:sz w:val="32"/>
          <w:szCs w:val="32"/>
          <w:lang w:eastAsia="zh-CN"/>
        </w:rPr>
        <w:t>先生</w:t>
      </w:r>
    </w:p>
    <w:p>
      <w:pPr>
        <w:keepNext w:val="0"/>
        <w:keepLines w:val="0"/>
        <w:pageBreakBefore w:val="0"/>
        <w:widowControl w:val="0"/>
        <w:kinsoku/>
        <w:wordWrap/>
        <w:overflowPunct/>
        <w:topLinePunct w:val="0"/>
        <w:autoSpaceDE/>
        <w:autoSpaceDN/>
        <w:bidi w:val="0"/>
        <w:adjustRightInd/>
        <w:snapToGrid/>
        <w:spacing w:line="700" w:lineRule="exact"/>
        <w:ind w:firstLine="960" w:firstLineChars="3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 17881605898</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2"/>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eastAsia="zh-CN"/>
              </w:rPr>
              <w:t>乌恰县住房和城乡建设局</w:t>
            </w:r>
            <w:r>
              <w:rPr>
                <w:rFonts w:hint="eastAsia" w:ascii="仿宋" w:hAnsi="仿宋" w:eastAsia="仿宋" w:cs="仿宋"/>
                <w:color w:val="auto"/>
                <w:w w:val="95"/>
                <w:sz w:val="32"/>
                <w:szCs w:val="32"/>
                <w:lang w:eastAsia="zh-CN"/>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pPr>
              <w:pageBreakBefore w:val="0"/>
              <w:widowControl w:val="0"/>
              <w:shd w:val="clear" w:color="auto" w:fill="auto"/>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项目名称：克州乌恰县2022年保障性住房安居工程城市燃气设施更新改造采购项目（1包）（二次）</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Style w:val="6"/>
              <w:rPr>
                <w:rFonts w:hint="eastAsia"/>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新疆宏力源工程项目管理有限公司（盖章）</w:t>
            </w:r>
          </w:p>
          <w:p>
            <w:pPr>
              <w:pStyle w:val="6"/>
              <w:jc w:val="center"/>
              <w:rPr>
                <w:rFonts w:hint="eastAsia" w:ascii="仿宋" w:hAnsi="仿宋" w:eastAsia="仿宋" w:cs="仿宋"/>
                <w:color w:val="auto"/>
              </w:rPr>
            </w:pPr>
          </w:p>
          <w:p>
            <w:pPr>
              <w:pStyle w:val="6"/>
              <w:jc w:val="center"/>
              <w:rPr>
                <w:rFonts w:hint="eastAsia" w:ascii="仿宋" w:hAnsi="仿宋" w:eastAsia="仿宋" w:cs="仿宋"/>
                <w:color w:val="auto"/>
              </w:rPr>
            </w:pPr>
          </w:p>
          <w:p>
            <w:pPr>
              <w:pStyle w:val="6"/>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23</w:t>
            </w:r>
            <w:r>
              <w:rPr>
                <w:rFonts w:hint="eastAsia" w:ascii="仿宋" w:hAnsi="仿宋" w:eastAsia="仿宋" w:cs="仿宋"/>
                <w:color w:val="auto"/>
              </w:rPr>
              <w:t>年</w:t>
            </w:r>
            <w:r>
              <w:rPr>
                <w:rFonts w:hint="eastAsia" w:ascii="仿宋" w:hAnsi="仿宋" w:eastAsia="仿宋" w:cs="仿宋"/>
                <w:color w:val="auto"/>
                <w:lang w:val="en-US" w:eastAsia="zh-CN"/>
              </w:rPr>
              <w:t>2</w:t>
            </w:r>
            <w:r>
              <w:rPr>
                <w:rFonts w:hint="eastAsia" w:ascii="仿宋" w:hAnsi="仿宋" w:eastAsia="仿宋" w:cs="仿宋"/>
                <w:color w:val="auto"/>
              </w:rPr>
              <w:t>月</w:t>
            </w:r>
          </w:p>
          <w:p>
            <w:pPr>
              <w:pStyle w:val="6"/>
              <w:rPr>
                <w:rFonts w:hint="eastAsia" w:ascii="仿宋" w:hAnsi="仿宋" w:eastAsia="仿宋" w:cs="仿宋"/>
                <w:color w:val="auto"/>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rPr>
          <w:rFonts w:hint="eastAsia" w:ascii="仿宋" w:hAnsi="仿宋" w:eastAsia="仿宋" w:cs="仿宋"/>
          <w:color w:val="auto"/>
          <w:lang w:val="zh-CN"/>
        </w:rPr>
      </w:pPr>
    </w:p>
    <w:p>
      <w:pPr>
        <w:pStyle w:val="27"/>
        <w:spacing w:before="0" w:line="360" w:lineRule="auto"/>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widowControl/>
        <w:rPr>
          <w:rFonts w:ascii="仿宋" w:hAnsi="仿宋" w:eastAsia="仿宋" w:cs="仿宋"/>
          <w:color w:val="000000" w:themeColor="text1"/>
          <w:sz w:val="30"/>
          <w:szCs w:val="30"/>
          <w14:textFill>
            <w14:solidFill>
              <w14:schemeClr w14:val="tx1"/>
            </w14:solidFill>
          </w14:textFill>
        </w:rPr>
      </w:pPr>
    </w:p>
    <w:p>
      <w:pPr>
        <w:numPr>
          <w:ilvl w:val="0"/>
          <w:numId w:val="0"/>
        </w:numPr>
        <w:spacing w:line="600" w:lineRule="auto"/>
        <w:ind w:leftChars="0" w:right="0" w:rightChars="0" w:firstLine="600" w:firstLineChars="200"/>
        <w:jc w:val="both"/>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第一章    招标公告</w:t>
      </w:r>
      <w:r>
        <w:rPr>
          <w:rFonts w:ascii="Arial" w:hAnsi="Arial" w:eastAsia="仿宋" w:cs="Arial"/>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4</w:t>
      </w:r>
    </w:p>
    <w:p>
      <w:pPr>
        <w:numPr>
          <w:ilvl w:val="0"/>
          <w:numId w:val="0"/>
        </w:numPr>
        <w:spacing w:line="600" w:lineRule="auto"/>
        <w:ind w:leftChars="0" w:right="0" w:rightChars="0" w:firstLine="600" w:firstLineChars="200"/>
        <w:jc w:val="both"/>
        <w:rPr>
          <w:rFonts w:ascii="Arial" w:hAnsi="Arial" w:eastAsia="仿宋" w:cs="Arial"/>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第二章  </w:t>
      </w:r>
      <w:r>
        <w:rPr>
          <w:rFonts w:hint="eastAsia" w:ascii="仿宋" w:hAnsi="仿宋" w:eastAsia="仿宋" w:cs="仿宋"/>
          <w:b/>
          <w:color w:val="000000" w:themeColor="text1"/>
          <w:sz w:val="30"/>
          <w:szCs w:val="30"/>
          <w:lang w:val="en-US" w:eastAsia="zh-CN"/>
          <w14:textFill>
            <w14:solidFill>
              <w14:schemeClr w14:val="tx1"/>
            </w14:solidFill>
          </w14:textFill>
        </w:rPr>
        <w:t xml:space="preserve">  </w:t>
      </w:r>
      <w:r>
        <w:rPr>
          <w:rFonts w:hint="eastAsia" w:ascii="仿宋" w:hAnsi="仿宋" w:eastAsia="仿宋" w:cs="仿宋"/>
          <w:b/>
          <w:color w:val="000000" w:themeColor="text1"/>
          <w:sz w:val="30"/>
          <w:szCs w:val="30"/>
          <w:lang w:eastAsia="zh-CN"/>
          <w14:textFill>
            <w14:solidFill>
              <w14:schemeClr w14:val="tx1"/>
            </w14:solidFill>
          </w14:textFill>
        </w:rPr>
        <w:t>供应商须知</w:t>
      </w:r>
      <w:r>
        <w:rPr>
          <w:rFonts w:ascii="Arial" w:hAnsi="Arial" w:eastAsia="仿宋" w:cs="Arial"/>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7</w:t>
      </w:r>
    </w:p>
    <w:p>
      <w:pPr>
        <w:numPr>
          <w:ilvl w:val="0"/>
          <w:numId w:val="0"/>
        </w:numPr>
        <w:spacing w:line="600" w:lineRule="auto"/>
        <w:ind w:leftChars="0" w:right="0" w:rightChars="0" w:firstLine="600" w:firstLineChars="200"/>
        <w:jc w:val="both"/>
        <w:rPr>
          <w:rFonts w:hint="default" w:ascii="Arial" w:hAnsi="Arial" w:eastAsia="仿宋" w:cs="Arial"/>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第三章    评标办法</w:t>
      </w:r>
      <w:r>
        <w:rPr>
          <w:rFonts w:ascii="Arial" w:hAnsi="Arial" w:eastAsia="仿宋" w:cs="Arial"/>
          <w:b/>
          <w:color w:val="000000" w:themeColor="text1"/>
          <w:sz w:val="30"/>
          <w:szCs w:val="30"/>
          <w:lang w:eastAsia="zh-CN"/>
          <w14:textFill>
            <w14:solidFill>
              <w14:schemeClr w14:val="tx1"/>
            </w14:solidFill>
          </w14:textFill>
        </w:rPr>
        <w:t>………………………………………………</w:t>
      </w:r>
      <w:r>
        <w:rPr>
          <w:rFonts w:hint="eastAsia" w:ascii="Arial" w:hAnsi="Arial" w:eastAsia="仿宋" w:cs="Arial"/>
          <w:b/>
          <w:color w:val="000000" w:themeColor="text1"/>
          <w:sz w:val="30"/>
          <w:szCs w:val="30"/>
          <w:lang w:val="en-US" w:eastAsia="zh-CN"/>
          <w14:textFill>
            <w14:solidFill>
              <w14:schemeClr w14:val="tx1"/>
            </w14:solidFill>
          </w14:textFill>
        </w:rPr>
        <w:t>40</w:t>
      </w:r>
    </w:p>
    <w:p>
      <w:pPr>
        <w:numPr>
          <w:ilvl w:val="0"/>
          <w:numId w:val="0"/>
        </w:numPr>
        <w:spacing w:line="600" w:lineRule="auto"/>
        <w:ind w:leftChars="0" w:right="0" w:rightChars="0" w:firstLine="600" w:firstLineChars="200"/>
        <w:jc w:val="both"/>
        <w:rPr>
          <w:rFonts w:hint="default" w:ascii="Arial" w:hAnsi="Arial" w:eastAsia="仿宋" w:cs="Arial"/>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第四章</w:t>
      </w:r>
      <w:r>
        <w:rPr>
          <w:rFonts w:hint="eastAsia" w:ascii="仿宋" w:hAnsi="仿宋" w:eastAsia="仿宋" w:cs="仿宋"/>
          <w:b/>
          <w:color w:val="000000" w:themeColor="text1"/>
          <w:sz w:val="30"/>
          <w:szCs w:val="30"/>
          <w:lang w:val="en-US" w:eastAsia="zh-CN"/>
          <w14:textFill>
            <w14:solidFill>
              <w14:schemeClr w14:val="tx1"/>
            </w14:solidFill>
          </w14:textFill>
        </w:rPr>
        <w:t xml:space="preserve">    项目采购清单（</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r>
        <w:rPr>
          <w:rFonts w:hint="eastAsia" w:ascii="仿宋" w:hAnsi="仿宋" w:eastAsia="仿宋" w:cs="仿宋"/>
          <w:b/>
          <w:color w:val="000000" w:themeColor="text1"/>
          <w:sz w:val="30"/>
          <w:szCs w:val="30"/>
          <w:lang w:val="en-US" w:eastAsia="zh-CN"/>
          <w14:textFill>
            <w14:solidFill>
              <w14:schemeClr w14:val="tx1"/>
            </w14:solidFill>
          </w14:textFill>
        </w:rPr>
        <w:t>）</w:t>
      </w:r>
      <w:r>
        <w:rPr>
          <w:rFonts w:ascii="Arial" w:hAnsi="Arial" w:eastAsia="仿宋" w:cs="Arial"/>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50</w:t>
      </w:r>
    </w:p>
    <w:p>
      <w:pPr>
        <w:spacing w:line="600" w:lineRule="auto"/>
        <w:ind w:firstLine="600" w:firstLineChars="200"/>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第五章    合同（参考）</w:t>
      </w:r>
      <w:r>
        <w:rPr>
          <w:rFonts w:ascii="Arial" w:hAnsi="Arial" w:eastAsia="仿宋" w:cs="Arial"/>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60</w:t>
      </w:r>
    </w:p>
    <w:p>
      <w:pPr>
        <w:spacing w:line="600" w:lineRule="auto"/>
        <w:ind w:firstLine="600" w:firstLineChars="200"/>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第六章    投标文件格式</w:t>
      </w:r>
      <w:r>
        <w:rPr>
          <w:rFonts w:ascii="Arial" w:hAnsi="Arial" w:eastAsia="仿宋" w:cs="Arial"/>
          <w:b/>
          <w:color w:val="000000" w:themeColor="text1"/>
          <w:sz w:val="30"/>
          <w:szCs w:val="30"/>
          <w:lang w:eastAsia="zh-CN"/>
          <w14:textFill>
            <w14:solidFill>
              <w14:schemeClr w14:val="tx1"/>
            </w14:solidFill>
          </w14:textFill>
        </w:rPr>
        <w:t>…………………………………………</w:t>
      </w:r>
      <w:r>
        <w:rPr>
          <w:rFonts w:hint="eastAsia" w:ascii="仿宋" w:hAnsi="仿宋" w:eastAsia="仿宋" w:cs="仿宋"/>
          <w:b/>
          <w:color w:val="000000" w:themeColor="text1"/>
          <w:sz w:val="30"/>
          <w:szCs w:val="30"/>
          <w:lang w:val="en-US" w:eastAsia="zh-CN"/>
          <w14:textFill>
            <w14:solidFill>
              <w14:schemeClr w14:val="tx1"/>
            </w14:solidFill>
          </w14:textFill>
        </w:rPr>
        <w:t>63</w:t>
      </w:r>
    </w:p>
    <w:p>
      <w:pPr>
        <w:pStyle w:val="9"/>
        <w:numPr>
          <w:ilvl w:val="0"/>
          <w:numId w:val="0"/>
        </w:numPr>
        <w:spacing w:line="480" w:lineRule="auto"/>
        <w:rPr>
          <w:rFonts w:ascii="仿宋" w:hAnsi="仿宋" w:eastAsia="仿宋" w:cs="仿宋"/>
          <w:color w:val="000000" w:themeColor="text1"/>
          <w:lang w:eastAsia="zh-CN"/>
          <w14:textFill>
            <w14:solidFill>
              <w14:schemeClr w14:val="tx1"/>
            </w14:solidFill>
          </w14:textFill>
        </w:rPr>
      </w:pPr>
    </w:p>
    <w:p>
      <w:pPr>
        <w:spacing w:line="480" w:lineRule="auto"/>
        <w:rPr>
          <w:rFonts w:ascii="仿宋" w:hAnsi="仿宋" w:eastAsia="仿宋" w:cs="仿宋"/>
          <w:color w:val="000000" w:themeColor="text1"/>
          <w:lang w:eastAsia="zh-CN"/>
          <w14:textFill>
            <w14:solidFill>
              <w14:schemeClr w14:val="tx1"/>
            </w14:solidFill>
          </w14:textFill>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30"/>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cols w:space="720" w:num="1"/>
          <w:docGrid w:type="linesAndChars" w:linePitch="312" w:charSpace="0"/>
        </w:sectPr>
      </w:pPr>
    </w:p>
    <w:p>
      <w:pPr>
        <w:pStyle w:val="30"/>
        <w:keepNext/>
        <w:keepLines/>
        <w:pageBreakBefore w:val="0"/>
        <w:widowControl w:val="0"/>
        <w:shd w:val="clear" w:color="auto" w:fill="auto"/>
        <w:kinsoku/>
        <w:wordWrap/>
        <w:overflowPunct/>
        <w:topLinePunct w:val="0"/>
        <w:autoSpaceDE/>
        <w:autoSpaceDN/>
        <w:bidi w:val="0"/>
        <w:adjustRightInd/>
        <w:snapToGrid/>
        <w:spacing w:before="120" w:after="300" w:line="440" w:lineRule="exact"/>
        <w:ind w:left="0" w:right="0" w:firstLine="0"/>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pacing w:val="0"/>
          <w:w w:val="100"/>
          <w:position w:val="0"/>
          <w:sz w:val="44"/>
          <w:szCs w:val="44"/>
        </w:rPr>
        <w:t>第一</w:t>
      </w:r>
      <w:r>
        <w:rPr>
          <w:rFonts w:hint="eastAsia" w:ascii="仿宋" w:hAnsi="仿宋" w:eastAsia="仿宋" w:cs="仿宋"/>
          <w:b/>
          <w:bCs/>
          <w:color w:val="auto"/>
          <w:spacing w:val="0"/>
          <w:w w:val="100"/>
          <w:position w:val="0"/>
          <w:sz w:val="44"/>
          <w:szCs w:val="44"/>
          <w:lang w:eastAsia="zh-CN"/>
        </w:rPr>
        <w:t>章</w:t>
      </w:r>
      <w:r>
        <w:rPr>
          <w:rFonts w:hint="eastAsia" w:ascii="仿宋" w:hAnsi="仿宋" w:eastAsia="仿宋" w:cs="仿宋"/>
          <w:b/>
          <w:bCs/>
          <w:color w:val="auto"/>
          <w:spacing w:val="0"/>
          <w:w w:val="100"/>
          <w:position w:val="0"/>
          <w:sz w:val="44"/>
          <w:szCs w:val="44"/>
          <w:lang w:val="en-US" w:eastAsia="zh-CN"/>
        </w:rPr>
        <w:t xml:space="preserve">   </w:t>
      </w:r>
      <w:r>
        <w:rPr>
          <w:rFonts w:hint="eastAsia" w:ascii="仿宋" w:hAnsi="仿宋" w:eastAsia="仿宋" w:cs="仿宋"/>
          <w:b/>
          <w:bCs/>
          <w:color w:val="auto"/>
          <w:spacing w:val="0"/>
          <w:w w:val="100"/>
          <w:position w:val="0"/>
          <w:sz w:val="44"/>
          <w:szCs w:val="44"/>
          <w:lang w:eastAsia="zh-CN"/>
        </w:rPr>
        <w:t>招标公告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w w:val="90"/>
          <w:sz w:val="36"/>
          <w:szCs w:val="36"/>
          <w:lang w:eastAsia="zh-CN"/>
        </w:rPr>
        <w:t>克州乌恰县2022年保障性住房安居工程城市燃气设施更新改造采购项目（1包）（二次）公开招标公告</w:t>
      </w:r>
      <w:r>
        <w:rPr>
          <w:rFonts w:hint="eastAsia" w:ascii="仿宋" w:hAnsi="仿宋" w:eastAsia="仿宋" w:cs="仿宋"/>
          <w:b/>
          <w:bCs/>
          <w:color w:val="auto"/>
          <w:sz w:val="32"/>
          <w:szCs w:val="32"/>
          <w:lang w:eastAsia="zh-CN"/>
        </w:rPr>
        <w:t xml:space="preserve">  </w:t>
      </w:r>
      <w:r>
        <w:rPr>
          <w:rFonts w:hint="eastAsia" w:ascii="仿宋" w:hAnsi="仿宋" w:eastAsia="仿宋" w:cs="仿宋"/>
          <w:color w:val="auto"/>
          <w:sz w:val="32"/>
          <w:szCs w:val="32"/>
          <w:lang w:eastAsia="zh-CN"/>
        </w:rPr>
        <w:t xml:space="preserve">   </w:t>
      </w:r>
    </w:p>
    <w:tbl>
      <w:tblPr>
        <w:tblStyle w:val="22"/>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9961" w:type="dxa"/>
            <w:noWrap w:val="0"/>
            <w:vAlign w:val="top"/>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项目概况</w:t>
            </w:r>
          </w:p>
          <w:p>
            <w:pPr>
              <w:spacing w:line="360" w:lineRule="auto"/>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lang w:eastAsia="zh-CN"/>
              </w:rPr>
              <w:t>克州乌恰县2022年保障性住房安居工程城市燃气设施更新改造采购项目（1包）（二次）的潜在投标人应在供应商登陆政采云平台http://www.zcygov.cn/，在线申请获取采购文件（登录政府采购云平台 → 项目采购 → 获取采购文件 → 申请，审核通过后可下载招标文件，如有操作性问题，可与政采云在线客服进行咨询，咨询电话：</w:t>
            </w:r>
            <w:r>
              <w:rPr>
                <w:rFonts w:hint="eastAsia" w:ascii="仿宋" w:hAnsi="仿宋" w:eastAsia="仿宋" w:cs="仿宋"/>
                <w:color w:val="auto"/>
                <w:lang w:val="en-US" w:eastAsia="zh-CN"/>
              </w:rPr>
              <w:t>95763</w:t>
            </w:r>
            <w:r>
              <w:rPr>
                <w:rFonts w:hint="eastAsia" w:ascii="仿宋" w:hAnsi="仿宋" w:eastAsia="仿宋" w:cs="仿宋"/>
                <w:color w:val="auto"/>
                <w:lang w:eastAsia="zh-CN"/>
              </w:rPr>
              <w:t>）获取招标文件，</w:t>
            </w:r>
            <w:r>
              <w:rPr>
                <w:rFonts w:hint="eastAsia" w:ascii="仿宋" w:hAnsi="仿宋" w:eastAsia="仿宋" w:cs="仿宋"/>
                <w:color w:val="0000FF"/>
                <w:lang w:eastAsia="zh-CN"/>
              </w:rPr>
              <w:t>并于 2023年02月23日1</w:t>
            </w:r>
            <w:r>
              <w:rPr>
                <w:rFonts w:hint="eastAsia" w:ascii="仿宋" w:hAnsi="仿宋" w:eastAsia="仿宋" w:cs="仿宋"/>
                <w:color w:val="0000FF"/>
                <w:lang w:val="en-US" w:eastAsia="zh-CN"/>
              </w:rPr>
              <w:t>1</w:t>
            </w:r>
            <w:r>
              <w:rPr>
                <w:rFonts w:hint="eastAsia" w:ascii="仿宋" w:hAnsi="仿宋" w:eastAsia="仿宋" w:cs="仿宋"/>
                <w:color w:val="0000FF"/>
                <w:lang w:eastAsia="zh-CN"/>
              </w:rPr>
              <w:t>:</w:t>
            </w:r>
            <w:r>
              <w:rPr>
                <w:rFonts w:hint="eastAsia" w:ascii="仿宋" w:hAnsi="仿宋" w:eastAsia="仿宋" w:cs="仿宋"/>
                <w:color w:val="0000FF"/>
                <w:lang w:val="en-US" w:eastAsia="zh-CN"/>
              </w:rPr>
              <w:t>0</w:t>
            </w:r>
            <w:r>
              <w:rPr>
                <w:rFonts w:hint="eastAsia" w:ascii="仿宋" w:hAnsi="仿宋" w:eastAsia="仿宋" w:cs="仿宋"/>
                <w:color w:val="0000FF"/>
                <w:lang w:eastAsia="zh-CN"/>
              </w:rPr>
              <w:t>0（</w:t>
            </w:r>
            <w:r>
              <w:rPr>
                <w:rFonts w:hint="eastAsia" w:ascii="仿宋" w:hAnsi="仿宋" w:eastAsia="仿宋" w:cs="仿宋"/>
                <w:color w:val="auto"/>
                <w:lang w:eastAsia="zh-CN"/>
              </w:rPr>
              <w:t>北京时间）前（上传）电子投标文件。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auto"/>
        </w:rPr>
      </w:pPr>
      <w:r>
        <w:rPr>
          <w:rFonts w:hint="eastAsia" w:ascii="仿宋" w:hAnsi="仿宋" w:eastAsia="仿宋" w:cs="仿宋"/>
          <w:b/>
          <w:bCs/>
          <w:color w:val="auto"/>
          <w:lang w:eastAsia="zh-CN"/>
        </w:rPr>
        <w:t>一、</w:t>
      </w:r>
      <w:r>
        <w:rPr>
          <w:rFonts w:hint="eastAsia" w:ascii="仿宋" w:hAnsi="仿宋" w:eastAsia="仿宋" w:cs="仿宋"/>
          <w:b/>
          <w:bCs/>
          <w:color w:val="auto"/>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FF0000"/>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WQXZFCG（ZB）-2022-057-1-2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项目名称：</w:t>
      </w:r>
      <w:r>
        <w:rPr>
          <w:rFonts w:hint="eastAsia" w:ascii="仿宋" w:hAnsi="仿宋" w:eastAsia="仿宋" w:cs="仿宋"/>
          <w:color w:val="auto"/>
          <w:lang w:eastAsia="zh-CN"/>
        </w:rPr>
        <w:t>克州乌恰县2022年保障性住房安居工程城市燃气设施更新改造采购项目（1包）（二次）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rPr>
        <w:t>预算金额（元）</w:t>
      </w:r>
      <w:r>
        <w:rPr>
          <w:rFonts w:hint="eastAsia" w:ascii="仿宋" w:hAnsi="仿宋" w:eastAsia="仿宋" w:cs="仿宋"/>
          <w:color w:val="0000FF"/>
          <w:lang w:val="en-US" w:eastAsia="zh-CN"/>
        </w:rPr>
        <w:t>:9000000.00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rPr>
        <w:t>最高限价（元）</w:t>
      </w:r>
      <w:r>
        <w:rPr>
          <w:rFonts w:hint="eastAsia" w:ascii="仿宋" w:hAnsi="仿宋" w:eastAsia="仿宋" w:cs="仿宋"/>
          <w:color w:val="0000FF"/>
          <w:lang w:val="en-US" w:eastAsia="zh-CN"/>
        </w:rPr>
        <w:t>:9000000</w:t>
      </w:r>
      <w:r>
        <w:rPr>
          <w:rFonts w:hint="eastAsia" w:ascii="仿宋" w:hAnsi="仿宋" w:eastAsia="仿宋" w:cs="仿宋"/>
          <w:color w:val="0000FF"/>
          <w:kern w:val="0"/>
          <w:sz w:val="24"/>
          <w:lang w:val="en-US" w:eastAsia="zh-CN"/>
        </w:rPr>
        <w:t>.00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rPr>
        <w:t>标项名称:</w:t>
      </w:r>
      <w:r>
        <w:rPr>
          <w:rFonts w:hint="eastAsia" w:ascii="仿宋" w:hAnsi="仿宋" w:eastAsia="仿宋" w:cs="仿宋"/>
          <w:color w:val="auto"/>
          <w:lang w:eastAsia="zh-CN"/>
        </w:rPr>
        <w:t>克州乌恰县2022年保障性住房安居工程城市燃气设施更新改造采购项目（1包）（二次）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rPr>
        <w:t>数量:</w:t>
      </w:r>
      <w:r>
        <w:rPr>
          <w:rFonts w:hint="eastAsia" w:ascii="仿宋" w:hAnsi="仿宋" w:eastAsia="仿宋" w:cs="仿宋"/>
          <w:color w:val="auto"/>
          <w:lang w:val="en-US" w:eastAsia="zh-CN"/>
        </w:rPr>
        <w:t>1批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rPr>
        <w:t>预算金额（元）:</w:t>
      </w:r>
      <w:r>
        <w:rPr>
          <w:rFonts w:hint="eastAsia" w:ascii="仿宋" w:hAnsi="仿宋" w:eastAsia="仿宋" w:cs="仿宋"/>
          <w:color w:val="0000FF"/>
          <w:lang w:val="en-US" w:eastAsia="zh-CN"/>
        </w:rPr>
        <w:t>9000000</w:t>
      </w:r>
      <w:r>
        <w:rPr>
          <w:rFonts w:hint="eastAsia" w:ascii="仿宋" w:hAnsi="仿宋" w:eastAsia="仿宋" w:cs="仿宋"/>
          <w:color w:val="0000FF"/>
          <w:kern w:val="0"/>
          <w:sz w:val="24"/>
          <w:lang w:val="en-US" w:eastAsia="zh-CN"/>
        </w:rPr>
        <w:t>.00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简要规格描述或项目基本概况介绍、用途：</w:t>
      </w:r>
      <w:r>
        <w:rPr>
          <w:rFonts w:hint="eastAsia" w:ascii="仿宋" w:hAnsi="仿宋" w:eastAsia="仿宋" w:cs="仿宋"/>
          <w:color w:val="000000"/>
          <w:sz w:val="24"/>
          <w:lang w:val="en-US" w:eastAsia="zh-CN"/>
        </w:rPr>
        <w:t>燃气设备（燃气报警器、智能燃气表等配套设施设备），(</w:t>
      </w:r>
      <w:r>
        <w:rPr>
          <w:rFonts w:hint="eastAsia" w:ascii="仿宋" w:hAnsi="仿宋" w:eastAsia="仿宋" w:cs="仿宋"/>
          <w:color w:val="000000"/>
          <w:sz w:val="24"/>
          <w:lang w:eastAsia="zh-CN"/>
        </w:rPr>
        <w:t>具体内容详见采购清单)。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合同履约期限：</w:t>
      </w:r>
      <w:r>
        <w:rPr>
          <w:rFonts w:hint="eastAsia" w:ascii="仿宋" w:hAnsi="仿宋" w:eastAsia="仿宋" w:cs="仿宋"/>
          <w:color w:val="auto"/>
          <w:lang w:val="en-US" w:eastAsia="zh-CN"/>
        </w:rPr>
        <w:t>签订合同后60 天内完成供货及安装调试完毕；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eastAsia="zh-CN"/>
        </w:rPr>
        <w:t>不</w:t>
      </w:r>
      <w:r>
        <w:rPr>
          <w:rFonts w:hint="eastAsia" w:ascii="仿宋" w:hAnsi="仿宋" w:eastAsia="仿宋" w:cs="仿宋"/>
          <w:color w:val="auto"/>
        </w:rPr>
        <w:t>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rPr>
      </w:pPr>
      <w:r>
        <w:rPr>
          <w:rFonts w:hint="eastAsia" w:ascii="仿宋" w:hAnsi="仿宋" w:eastAsia="仿宋" w:cs="仿宋"/>
          <w:b/>
          <w:bCs/>
          <w:color w:val="auto"/>
          <w:lang w:eastAsia="zh-CN"/>
        </w:rPr>
        <w:t>二、</w:t>
      </w:r>
      <w:r>
        <w:rPr>
          <w:rFonts w:hint="eastAsia" w:ascii="仿宋" w:hAnsi="仿宋" w:eastAsia="仿宋" w:cs="仿宋"/>
          <w:b/>
          <w:bCs/>
          <w:color w:val="auto"/>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2.落实政府采购政策需满足的资格要求：标项1：供应商为中小企业，（1）《政府采购促进中小企业发展管理办法》（财库[2020]46号）；（2）《财政部、民政部中国残疾人联合会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 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（1）有效的三证合一营业执照副本；</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（2）法定代表人投标需提供法定代表人资格证明书，委托代理人投标需提供法定代表人授权委托书，投标企业须提供投标人（被授权在职人员）近6个月有效的社保证明；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（4）投标单位（供应商）针对本次采购项目《反商业贿赂承诺书》，《采购活动前三年内无重大违规记录承诺书》的书面声明；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（5）特种设备安装改造维修许可证GB1级。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rPr>
      </w:pPr>
      <w:r>
        <w:rPr>
          <w:rFonts w:hint="eastAsia" w:ascii="仿宋" w:hAnsi="仿宋" w:eastAsia="仿宋" w:cs="仿宋"/>
          <w:b/>
          <w:bCs/>
          <w:color w:val="auto"/>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时间：</w:t>
      </w:r>
      <w:r>
        <w:rPr>
          <w:rFonts w:hint="eastAsia" w:ascii="仿宋" w:hAnsi="仿宋" w:eastAsia="仿宋" w:cs="仿宋"/>
          <w:color w:val="0000FF"/>
        </w:rPr>
        <w:t>202</w:t>
      </w:r>
      <w:r>
        <w:rPr>
          <w:rFonts w:hint="eastAsia" w:ascii="仿宋" w:hAnsi="仿宋" w:eastAsia="仿宋" w:cs="仿宋"/>
          <w:color w:val="0000FF"/>
          <w:lang w:val="en-US" w:eastAsia="zh-CN"/>
        </w:rPr>
        <w:t>3</w:t>
      </w:r>
      <w:r>
        <w:rPr>
          <w:rFonts w:hint="eastAsia" w:ascii="仿宋" w:hAnsi="仿宋" w:eastAsia="仿宋" w:cs="仿宋"/>
          <w:color w:val="0000FF"/>
        </w:rPr>
        <w:t>年</w:t>
      </w:r>
      <w:r>
        <w:rPr>
          <w:rFonts w:hint="eastAsia" w:ascii="仿宋" w:hAnsi="仿宋" w:eastAsia="仿宋" w:cs="仿宋"/>
          <w:color w:val="0000FF"/>
          <w:u w:val="single"/>
          <w:lang w:val="en-US" w:eastAsia="zh-CN"/>
        </w:rPr>
        <w:t>02</w:t>
      </w:r>
      <w:r>
        <w:rPr>
          <w:rFonts w:hint="eastAsia" w:ascii="仿宋" w:hAnsi="仿宋" w:eastAsia="仿宋" w:cs="仿宋"/>
          <w:color w:val="0000FF"/>
        </w:rPr>
        <w:t>月</w:t>
      </w:r>
      <w:r>
        <w:rPr>
          <w:rFonts w:hint="eastAsia" w:ascii="仿宋" w:hAnsi="仿宋" w:eastAsia="仿宋" w:cs="仿宋"/>
          <w:color w:val="0000FF"/>
          <w:u w:val="single"/>
          <w:lang w:val="en-US" w:eastAsia="zh-CN"/>
        </w:rPr>
        <w:t>03</w:t>
      </w:r>
      <w:r>
        <w:rPr>
          <w:rFonts w:hint="eastAsia" w:ascii="仿宋" w:hAnsi="仿宋" w:eastAsia="仿宋" w:cs="仿宋"/>
          <w:color w:val="0000FF"/>
        </w:rPr>
        <w:t>日至202</w:t>
      </w:r>
      <w:r>
        <w:rPr>
          <w:rFonts w:hint="eastAsia" w:ascii="仿宋" w:hAnsi="仿宋" w:eastAsia="仿宋" w:cs="仿宋"/>
          <w:color w:val="0000FF"/>
          <w:lang w:val="en-US" w:eastAsia="zh-CN"/>
        </w:rPr>
        <w:t>2</w:t>
      </w:r>
      <w:r>
        <w:rPr>
          <w:rFonts w:hint="eastAsia" w:ascii="仿宋" w:hAnsi="仿宋" w:eastAsia="仿宋" w:cs="仿宋"/>
          <w:color w:val="0000FF"/>
        </w:rPr>
        <w:t>年</w:t>
      </w:r>
      <w:r>
        <w:rPr>
          <w:rFonts w:hint="eastAsia" w:ascii="仿宋" w:hAnsi="仿宋" w:eastAsia="仿宋" w:cs="仿宋"/>
          <w:color w:val="0000FF"/>
          <w:u w:val="single"/>
          <w:lang w:val="en-US" w:eastAsia="zh-CN"/>
        </w:rPr>
        <w:t>02</w:t>
      </w:r>
      <w:r>
        <w:rPr>
          <w:rFonts w:hint="eastAsia" w:ascii="仿宋" w:hAnsi="仿宋" w:eastAsia="仿宋" w:cs="仿宋"/>
          <w:color w:val="0000FF"/>
        </w:rPr>
        <w:t>月</w:t>
      </w:r>
      <w:r>
        <w:rPr>
          <w:rFonts w:hint="eastAsia" w:ascii="仿宋" w:hAnsi="仿宋" w:eastAsia="仿宋" w:cs="仿宋"/>
          <w:color w:val="0000FF"/>
          <w:u w:val="single"/>
          <w:lang w:val="en-US" w:eastAsia="zh-CN"/>
        </w:rPr>
        <w:t>10</w:t>
      </w:r>
      <w:r>
        <w:rPr>
          <w:rFonts w:hint="eastAsia" w:ascii="仿宋" w:hAnsi="仿宋" w:eastAsia="仿宋" w:cs="仿宋"/>
          <w:color w:val="0000FF"/>
        </w:rPr>
        <w:t>日</w:t>
      </w:r>
      <w:r>
        <w:rPr>
          <w:rFonts w:hint="eastAsia" w:ascii="仿宋" w:hAnsi="仿宋" w:eastAsia="仿宋" w:cs="仿宋"/>
          <w:color w:val="auto"/>
        </w:rPr>
        <w:t>，每天上午10:00至1</w:t>
      </w:r>
      <w:r>
        <w:rPr>
          <w:rFonts w:hint="eastAsia" w:ascii="仿宋" w:hAnsi="仿宋" w:eastAsia="仿宋" w:cs="仿宋"/>
          <w:color w:val="auto"/>
          <w:lang w:val="en-US" w:eastAsia="zh-CN"/>
        </w:rPr>
        <w:t>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0，下午16:</w:t>
      </w:r>
      <w:r>
        <w:rPr>
          <w:rFonts w:hint="eastAsia" w:ascii="仿宋" w:hAnsi="仿宋" w:eastAsia="仿宋" w:cs="仿宋"/>
          <w:color w:val="auto"/>
          <w:lang w:val="en-US" w:eastAsia="zh-CN"/>
        </w:rPr>
        <w:t>0</w:t>
      </w:r>
      <w:r>
        <w:rPr>
          <w:rFonts w:hint="eastAsia" w:ascii="仿宋" w:hAnsi="仿宋" w:eastAsia="仿宋" w:cs="仿宋"/>
          <w:color w:val="auto"/>
        </w:rPr>
        <w:t>0至</w:t>
      </w:r>
      <w:r>
        <w:rPr>
          <w:rFonts w:hint="eastAsia" w:ascii="仿宋" w:hAnsi="仿宋" w:eastAsia="仿宋" w:cs="仿宋"/>
          <w:color w:val="auto"/>
          <w:lang w:val="en-US" w:eastAsia="zh-CN"/>
        </w:rPr>
        <w:t>19</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0（北京时间，节假日除外）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地点：供应商登陆政采云平台http://www.zcygov.cn/，在线申请获取</w:t>
      </w:r>
      <w:r>
        <w:rPr>
          <w:rFonts w:hint="eastAsia" w:ascii="仿宋" w:hAnsi="仿宋" w:eastAsia="仿宋" w:cs="仿宋"/>
          <w:color w:val="auto"/>
          <w:lang w:eastAsia="zh-CN"/>
        </w:rPr>
        <w:t>招标文件</w:t>
      </w:r>
      <w:r>
        <w:rPr>
          <w:rFonts w:hint="eastAsia" w:ascii="仿宋" w:hAnsi="仿宋" w:eastAsia="仿宋" w:cs="仿宋"/>
          <w:color w:val="auto"/>
        </w:rPr>
        <w:t>（登录政府采购云平台 → 项目采购 → 获取</w:t>
      </w:r>
      <w:r>
        <w:rPr>
          <w:rFonts w:hint="eastAsia" w:ascii="仿宋" w:hAnsi="仿宋" w:eastAsia="仿宋" w:cs="仿宋"/>
          <w:color w:val="auto"/>
          <w:lang w:eastAsia="zh-CN"/>
        </w:rPr>
        <w:t>招标文件</w:t>
      </w:r>
      <w:r>
        <w:rPr>
          <w:rFonts w:hint="eastAsia" w:ascii="仿宋" w:hAnsi="仿宋" w:eastAsia="仿宋" w:cs="仿宋"/>
          <w:color w:val="auto"/>
        </w:rPr>
        <w:t>→申请，审核通过后可下载</w:t>
      </w:r>
      <w:r>
        <w:rPr>
          <w:rFonts w:hint="eastAsia" w:ascii="仿宋" w:hAnsi="仿宋" w:eastAsia="仿宋" w:cs="仿宋"/>
          <w:color w:val="auto"/>
          <w:lang w:eastAsia="zh-CN"/>
        </w:rPr>
        <w:t>招标文件</w:t>
      </w:r>
      <w:r>
        <w:rPr>
          <w:rFonts w:hint="eastAsia" w:ascii="仿宋" w:hAnsi="仿宋" w:eastAsia="仿宋" w:cs="仿宋"/>
          <w:color w:val="auto"/>
        </w:rPr>
        <w:t>，如有操作性问题，可与政采云在线客服进行咨询，咨询电话：</w:t>
      </w:r>
      <w:r>
        <w:rPr>
          <w:rFonts w:hint="eastAsia" w:ascii="仿宋" w:hAnsi="仿宋" w:eastAsia="仿宋" w:cs="仿宋"/>
          <w:color w:val="auto"/>
          <w:lang w:val="en-US" w:eastAsia="zh-CN"/>
        </w:rPr>
        <w:t>95763</w:t>
      </w:r>
      <w:r>
        <w:rPr>
          <w:rFonts w:hint="eastAsia" w:ascii="仿宋" w:hAnsi="仿宋" w:eastAsia="仿宋" w:cs="仿宋"/>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方式：（1）线上获取（登录政府采购云平台 → 项目采购 → 获取</w:t>
      </w:r>
      <w:r>
        <w:rPr>
          <w:rFonts w:hint="eastAsia" w:ascii="仿宋" w:hAnsi="仿宋" w:eastAsia="仿宋" w:cs="仿宋"/>
          <w:color w:val="auto"/>
          <w:lang w:eastAsia="zh-CN"/>
        </w:rPr>
        <w:t>招标文件</w:t>
      </w:r>
      <w:r>
        <w:rPr>
          <w:rFonts w:hint="eastAsia" w:ascii="仿宋" w:hAnsi="仿宋" w:eastAsia="仿宋" w:cs="仿宋"/>
          <w:color w:val="auto"/>
        </w:rPr>
        <w:t>→ 申请，审核通过后可下载</w:t>
      </w:r>
      <w:r>
        <w:rPr>
          <w:rFonts w:hint="eastAsia" w:ascii="仿宋" w:hAnsi="仿宋" w:eastAsia="仿宋" w:cs="仿宋"/>
          <w:color w:val="auto"/>
          <w:lang w:eastAsia="zh-CN"/>
        </w:rPr>
        <w:t>招标文件</w:t>
      </w:r>
      <w:r>
        <w:rPr>
          <w:rFonts w:hint="eastAsia" w:ascii="仿宋" w:hAnsi="仿宋" w:eastAsia="仿宋" w:cs="仿宋"/>
          <w:color w:val="auto"/>
        </w:rPr>
        <w:t>）。本次招标不提供纸质版</w:t>
      </w:r>
      <w:r>
        <w:rPr>
          <w:rFonts w:hint="eastAsia" w:ascii="仿宋" w:hAnsi="仿宋" w:eastAsia="仿宋" w:cs="仿宋"/>
          <w:color w:val="auto"/>
          <w:lang w:eastAsia="zh-CN"/>
        </w:rPr>
        <w:t>招标文件</w:t>
      </w:r>
      <w:r>
        <w:rPr>
          <w:rFonts w:hint="eastAsia" w:ascii="仿宋" w:hAnsi="仿宋" w:eastAsia="仿宋" w:cs="仿宋"/>
          <w:color w:val="auto"/>
        </w:rPr>
        <w:t>。（2）供应商获取</w:t>
      </w:r>
      <w:r>
        <w:rPr>
          <w:rFonts w:hint="eastAsia" w:ascii="仿宋" w:hAnsi="仿宋" w:eastAsia="仿宋" w:cs="仿宋"/>
          <w:color w:val="auto"/>
          <w:lang w:eastAsia="zh-CN"/>
        </w:rPr>
        <w:t>招标文件</w:t>
      </w:r>
      <w:r>
        <w:rPr>
          <w:rFonts w:hint="eastAsia" w:ascii="仿宋" w:hAnsi="仿宋" w:eastAsia="仿宋" w:cs="仿宋"/>
          <w:color w:val="auto"/>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四、提交投标文件截止时间、开标时间和地点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截止时间：</w:t>
      </w:r>
      <w:r>
        <w:rPr>
          <w:rFonts w:hint="eastAsia" w:ascii="仿宋" w:hAnsi="仿宋" w:eastAsia="仿宋" w:cs="仿宋"/>
          <w:color w:val="0000FF"/>
          <w:lang w:val="en-US" w:eastAsia="zh-CN"/>
        </w:rPr>
        <w:t xml:space="preserve">2023年02月23日11：00 </w:t>
      </w:r>
      <w:r>
        <w:rPr>
          <w:rFonts w:hint="eastAsia" w:ascii="仿宋" w:hAnsi="仿宋" w:eastAsia="仿宋" w:cs="仿宋"/>
          <w:color w:val="auto"/>
          <w:lang w:val="en-US" w:eastAsia="zh-CN"/>
        </w:rPr>
        <w:t>（北京时间）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投标地点：政府采购云平台（www.zcygov.cn）</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开标时间：</w:t>
      </w:r>
      <w:r>
        <w:rPr>
          <w:rFonts w:hint="eastAsia" w:ascii="仿宋" w:hAnsi="仿宋" w:eastAsia="仿宋" w:cs="仿宋"/>
          <w:color w:val="0000FF"/>
          <w:lang w:val="en-US" w:eastAsia="zh-CN"/>
        </w:rPr>
        <w:t>2023年02月23日11：00 （</w:t>
      </w:r>
      <w:r>
        <w:rPr>
          <w:rFonts w:hint="eastAsia" w:ascii="仿宋" w:hAnsi="仿宋" w:eastAsia="仿宋" w:cs="仿宋"/>
          <w:color w:val="auto"/>
          <w:lang w:val="en-US" w:eastAsia="zh-CN"/>
        </w:rPr>
        <w:t>北京时间）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五、公告期限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自本公告发布之日起5个工作日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六、其他补充事宜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群：35547618、二十一群：44303812（如已加入1-19群，无需重复加入，二十一个群联动直播），钉钉工具软件具有回放功能，直播培训结束后可在钉钉群中回放观看学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7.为了保证开评标顺利进行，政采云线上开标功能完全实现，供应商开标所使用的电脑设备须具有视频及语音功能。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lang w:val="en-US" w:eastAsia="zh-CN"/>
        </w:rPr>
      </w:pPr>
      <w:r>
        <w:rPr>
          <w:rFonts w:hint="eastAsia" w:ascii="仿宋" w:hAnsi="仿宋" w:eastAsia="仿宋" w:cs="仿宋"/>
          <w:color w:val="auto"/>
          <w:lang w:val="en-US" w:eastAsia="zh-CN"/>
        </w:rPr>
        <w:t xml:space="preserve"> </w:t>
      </w:r>
      <w:r>
        <w:rPr>
          <w:rFonts w:hint="eastAsia" w:ascii="仿宋" w:hAnsi="仿宋" w:eastAsia="仿宋" w:cs="仿宋"/>
          <w:b/>
          <w:bCs/>
          <w:color w:val="auto"/>
          <w:lang w:val="en-US" w:eastAsia="zh-CN"/>
        </w:rPr>
        <w:t>七、对本次招标提出询问，请按以下方式联系。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1.采购人信息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名 称：乌恰县住房和城乡建设局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地 址：乌恰县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联系方式：13779610956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b/>
          <w:bCs/>
          <w:color w:val="auto"/>
          <w:lang w:val="en-US" w:eastAsia="zh-CN"/>
        </w:rPr>
        <w:t>2.采购代理机构信息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名 称：新疆宏力源工程项目管理有限公司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地 址：新疆克州乌恰县天源市政7楼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联系方式：夏先生　17881605898</w:t>
      </w:r>
    </w:p>
    <w:p/>
    <w:p>
      <w:pPr>
        <w:rPr>
          <w:rFonts w:hint="eastAsia"/>
        </w:rPr>
      </w:pPr>
    </w:p>
    <w:p>
      <w:pPr>
        <w:rPr>
          <w:rFonts w:hint="eastAsia"/>
        </w:rPr>
      </w:pPr>
    </w:p>
    <w:p>
      <w:pPr>
        <w:rPr>
          <w:rFonts w:hint="eastAsia"/>
        </w:rPr>
      </w:pPr>
    </w:p>
    <w:p>
      <w:pPr>
        <w:pStyle w:val="6"/>
        <w:rPr>
          <w:rFonts w:hint="eastAsia"/>
        </w:rPr>
      </w:pPr>
    </w:p>
    <w:p>
      <w:pPr>
        <w:rPr>
          <w:rFonts w:hint="eastAsia"/>
        </w:rPr>
      </w:pPr>
    </w:p>
    <w:p>
      <w:pPr>
        <w:rPr>
          <w:rFonts w:hint="eastAsia"/>
        </w:rPr>
      </w:pPr>
    </w:p>
    <w:p>
      <w:pPr>
        <w:rPr>
          <w:rFonts w:hint="eastAsia"/>
        </w:rPr>
      </w:pPr>
    </w:p>
    <w:p>
      <w:pPr>
        <w:pStyle w:val="30"/>
        <w:keepNext/>
        <w:keepLines/>
        <w:pageBreakBefore w:val="0"/>
        <w:widowControl w:val="0"/>
        <w:shd w:val="clear" w:color="auto" w:fill="auto"/>
        <w:kinsoku/>
        <w:wordWrap/>
        <w:overflowPunct/>
        <w:topLinePunct w:val="0"/>
        <w:autoSpaceDE/>
        <w:autoSpaceDN/>
        <w:bidi w:val="0"/>
        <w:adjustRightInd/>
        <w:snapToGrid/>
        <w:spacing w:before="0" w:after="240" w:line="200" w:lineRule="atLeast"/>
        <w:ind w:left="0" w:right="0" w:firstLine="0"/>
        <w:jc w:val="center"/>
        <w:textAlignment w:val="auto"/>
        <w:rPr>
          <w:rFonts w:hint="eastAsia" w:ascii="仿宋" w:hAnsi="仿宋" w:eastAsia="仿宋" w:cs="仿宋"/>
          <w:b/>
          <w:bCs/>
          <w:color w:val="auto"/>
          <w:sz w:val="44"/>
          <w:szCs w:val="44"/>
        </w:rPr>
      </w:pPr>
      <w:r>
        <w:rPr>
          <w:rFonts w:hint="eastAsia" w:ascii="仿宋" w:hAnsi="仿宋" w:eastAsia="仿宋" w:cs="仿宋"/>
          <w:b/>
          <w:bCs/>
          <w:color w:val="auto"/>
          <w:spacing w:val="0"/>
          <w:w w:val="100"/>
          <w:position w:val="0"/>
          <w:sz w:val="44"/>
          <w:szCs w:val="44"/>
        </w:rPr>
        <w:t>第二</w:t>
      </w:r>
      <w:r>
        <w:rPr>
          <w:rFonts w:hint="eastAsia" w:ascii="仿宋" w:hAnsi="仿宋" w:eastAsia="仿宋" w:cs="仿宋"/>
          <w:b/>
          <w:bCs/>
          <w:color w:val="auto"/>
          <w:spacing w:val="0"/>
          <w:w w:val="100"/>
          <w:position w:val="0"/>
          <w:sz w:val="44"/>
          <w:szCs w:val="44"/>
          <w:lang w:eastAsia="zh-CN"/>
        </w:rPr>
        <w:t>章</w:t>
      </w:r>
      <w:r>
        <w:rPr>
          <w:rFonts w:hint="eastAsia" w:ascii="仿宋" w:hAnsi="仿宋" w:eastAsia="仿宋" w:cs="仿宋"/>
          <w:b/>
          <w:bCs/>
          <w:color w:val="auto"/>
          <w:spacing w:val="0"/>
          <w:w w:val="100"/>
          <w:position w:val="0"/>
          <w:sz w:val="44"/>
          <w:szCs w:val="44"/>
          <w:lang w:val="en-US" w:eastAsia="zh-CN"/>
        </w:rPr>
        <w:t xml:space="preserve">  </w:t>
      </w:r>
      <w:r>
        <w:rPr>
          <w:rFonts w:hint="eastAsia" w:ascii="仿宋" w:hAnsi="仿宋" w:eastAsia="仿宋" w:cs="仿宋"/>
          <w:b/>
          <w:bCs/>
          <w:color w:val="auto"/>
          <w:spacing w:val="0"/>
          <w:w w:val="100"/>
          <w:position w:val="0"/>
          <w:sz w:val="44"/>
          <w:szCs w:val="44"/>
        </w:rPr>
        <w:t>供应商须知</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right="0"/>
        <w:jc w:val="center"/>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lang w:eastAsia="zh-CN"/>
        </w:rPr>
        <w:t>供应商</w:t>
      </w:r>
      <w:r>
        <w:rPr>
          <w:rFonts w:hint="eastAsia" w:ascii="仿宋" w:hAnsi="仿宋" w:eastAsia="仿宋" w:cs="仿宋"/>
          <w:b/>
          <w:bCs/>
          <w:color w:val="auto"/>
          <w:spacing w:val="0"/>
          <w:w w:val="100"/>
          <w:position w:val="0"/>
          <w:sz w:val="24"/>
          <w:szCs w:val="24"/>
        </w:rPr>
        <w:t>须知前附表</w:t>
      </w:r>
    </w:p>
    <w:tbl>
      <w:tblPr>
        <w:tblStyle w:val="21"/>
        <w:tblW w:w="9803" w:type="dxa"/>
        <w:jc w:val="center"/>
        <w:tblLayout w:type="fixed"/>
        <w:tblCellMar>
          <w:top w:w="0" w:type="dxa"/>
          <w:left w:w="108" w:type="dxa"/>
          <w:bottom w:w="0" w:type="dxa"/>
          <w:right w:w="108" w:type="dxa"/>
        </w:tblCellMar>
      </w:tblPr>
      <w:tblGrid>
        <w:gridCol w:w="536"/>
        <w:gridCol w:w="1719"/>
        <w:gridCol w:w="7548"/>
      </w:tblGrid>
      <w:tr>
        <w:tblPrEx>
          <w:tblCellMar>
            <w:top w:w="0" w:type="dxa"/>
            <w:left w:w="108" w:type="dxa"/>
            <w:bottom w:w="0" w:type="dxa"/>
            <w:right w:w="108" w:type="dxa"/>
          </w:tblCellMar>
        </w:tblPrEx>
        <w:trPr>
          <w:trHeight w:val="54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tblPrEx>
          <w:tblCellMar>
            <w:top w:w="0" w:type="dxa"/>
            <w:left w:w="108" w:type="dxa"/>
            <w:bottom w:w="0" w:type="dxa"/>
            <w:right w:w="108" w:type="dxa"/>
          </w:tblCellMar>
        </w:tblPrEx>
        <w:trPr>
          <w:trHeight w:val="228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pPr>
              <w:shd w:val="clear" w:color="auto" w:fill="auto"/>
              <w:spacing w:line="360" w:lineRule="auto"/>
              <w:jc w:val="center"/>
              <w:rPr>
                <w:rFonts w:hint="eastAsia"/>
                <w:lang w:val="en-US" w:eastAsia="zh-CN"/>
              </w:rPr>
            </w:pPr>
            <w:r>
              <w:rPr>
                <w:rFonts w:hint="eastAsia" w:ascii="仿宋" w:hAnsi="仿宋" w:eastAsia="仿宋" w:cs="仿宋"/>
                <w:color w:val="auto"/>
                <w:sz w:val="24"/>
                <w:szCs w:val="24"/>
                <w:lang w:val="en-US" w:eastAsia="zh-CN"/>
              </w:rPr>
              <w:t>项目编号</w:t>
            </w:r>
          </w:p>
          <w:p>
            <w:pPr>
              <w:shd w:val="clear" w:color="auto" w:fill="auto"/>
              <w:spacing w:line="360" w:lineRule="auto"/>
              <w:jc w:val="center"/>
              <w:rPr>
                <w:rFonts w:hint="eastAsia"/>
                <w:lang w:val="en-US" w:eastAsia="zh-CN"/>
              </w:rPr>
            </w:pPr>
            <w:r>
              <w:rPr>
                <w:rFonts w:hint="eastAsia" w:ascii="仿宋" w:hAnsi="仿宋" w:eastAsia="仿宋" w:cs="仿宋"/>
                <w:color w:val="auto"/>
                <w:sz w:val="24"/>
                <w:szCs w:val="24"/>
                <w:lang w:val="en-US" w:eastAsia="zh-CN"/>
              </w:rPr>
              <w:t>采购内容</w:t>
            </w:r>
          </w:p>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项目名称：克州乌恰县2022年保障性住房安居工程城市燃气设施更新改造采购项目（1包）（二次）</w:t>
            </w:r>
          </w:p>
          <w:p>
            <w:pPr>
              <w:shd w:val="clear" w:color="auto" w:fill="auto"/>
              <w:spacing w:line="360" w:lineRule="auto"/>
              <w:jc w:val="left"/>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项目编号：WQXZFCG（ZB）-2022-057-1-2</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w:t>
            </w:r>
            <w:r>
              <w:rPr>
                <w:rFonts w:hint="eastAsia" w:ascii="仿宋" w:hAnsi="仿宋" w:eastAsia="仿宋" w:cs="仿宋"/>
                <w:color w:val="000000"/>
                <w:sz w:val="24"/>
                <w:lang w:val="en-US" w:eastAsia="zh-CN"/>
              </w:rPr>
              <w:t>燃气设备（燃气报警器、智能燃气表等配套设施设备），(</w:t>
            </w:r>
            <w:r>
              <w:rPr>
                <w:rFonts w:hint="eastAsia" w:ascii="仿宋" w:hAnsi="仿宋" w:eastAsia="仿宋" w:cs="仿宋"/>
                <w:color w:val="000000"/>
                <w:sz w:val="24"/>
                <w:lang w:eastAsia="zh-CN"/>
              </w:rPr>
              <w:t>具体内容详见采购清单)。</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FF"/>
                <w:sz w:val="24"/>
                <w:szCs w:val="24"/>
                <w:lang w:val="en-US" w:eastAsia="zh-CN"/>
              </w:rPr>
              <w:t>供货及安装期：签订合同后60 天内完成供货及安装调试完毕</w:t>
            </w:r>
            <w:r>
              <w:rPr>
                <w:rFonts w:hint="eastAsia" w:ascii="仿宋" w:hAnsi="仿宋" w:eastAsia="仿宋" w:cs="仿宋"/>
                <w:color w:val="auto"/>
                <w:sz w:val="24"/>
                <w:szCs w:val="24"/>
                <w:lang w:val="en-US" w:eastAsia="zh-CN"/>
              </w:rPr>
              <w:t>；</w:t>
            </w:r>
          </w:p>
        </w:tc>
      </w:tr>
      <w:tr>
        <w:tblPrEx>
          <w:tblCellMar>
            <w:top w:w="0" w:type="dxa"/>
            <w:left w:w="108" w:type="dxa"/>
            <w:bottom w:w="0" w:type="dxa"/>
            <w:right w:w="108" w:type="dxa"/>
          </w:tblCellMar>
        </w:tblPrEx>
        <w:trPr>
          <w:trHeight w:val="85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称：乌恰县住房和城乡建设局</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联系人：白女士       电  话：</w:t>
            </w:r>
            <w:r>
              <w:rPr>
                <w:rFonts w:hint="eastAsia" w:ascii="仿宋" w:hAnsi="仿宋" w:eastAsia="仿宋" w:cs="仿宋"/>
                <w:color w:val="auto"/>
                <w:lang w:val="en-US" w:eastAsia="zh-CN"/>
              </w:rPr>
              <w:t xml:space="preserve">13779610956 </w:t>
            </w:r>
          </w:p>
        </w:tc>
      </w:tr>
      <w:tr>
        <w:trPr>
          <w:trHeight w:val="1319"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称：新疆宏力源工程项目管理有限公司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址：新疆克州乌恰县天源市政7楼</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联系人：夏先生       电  话：17881605898</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最终交货地点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CellMar>
            <w:top w:w="0" w:type="dxa"/>
            <w:left w:w="108" w:type="dxa"/>
            <w:bottom w:w="0" w:type="dxa"/>
            <w:right w:w="108" w:type="dxa"/>
          </w:tblCellMar>
        </w:tblPrEx>
        <w:trPr>
          <w:trHeight w:val="40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2.落实政府采购政策需满足的资格要求：标项1：供应商为中小企业/小微企业，（1）《政府采购促进中小企业发展管理办法》（财库[2020]46号）；（2）《财政部、民政部中国残疾人联合会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 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（1）有效的三证合一营业执照副本；</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（2）法定代表人投标需提供法定代表人资格证明书，委托代理人投标需提供法定代表人授权委托书，投标企业须提供投标人（被授权在职人员）近6个月有效的社保证明；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（4）投标单位（供应商）针对本次采购项目《反商业贿赂承诺书》，《采购活动前三年内无重大违规记录承诺书》的书面声明；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lang w:val="en-US"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（5）特种设备安装改造维修许可证GB1级。</w:t>
            </w:r>
          </w:p>
        </w:tc>
      </w:tr>
      <w:tr>
        <w:tblPrEx>
          <w:tblCellMar>
            <w:top w:w="0" w:type="dxa"/>
            <w:left w:w="108" w:type="dxa"/>
            <w:bottom w:w="0" w:type="dxa"/>
            <w:right w:w="108" w:type="dxa"/>
          </w:tblCellMar>
        </w:tblPrEx>
        <w:trPr>
          <w:trHeight w:val="42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中央预算内资金</w:t>
            </w:r>
          </w:p>
        </w:tc>
      </w:tr>
      <w:tr>
        <w:tblPrEx>
          <w:tblCellMar>
            <w:top w:w="0" w:type="dxa"/>
            <w:left w:w="108" w:type="dxa"/>
            <w:bottom w:w="0" w:type="dxa"/>
            <w:right w:w="108" w:type="dxa"/>
          </w:tblCellMar>
        </w:tblPrEx>
        <w:trPr>
          <w:trHeight w:val="41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招标方式</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公开招标(本项目采用网上电子招投标)  </w:t>
            </w:r>
          </w:p>
        </w:tc>
      </w:tr>
      <w:tr>
        <w:tblPrEx>
          <w:tblCellMar>
            <w:top w:w="0" w:type="dxa"/>
            <w:left w:w="108" w:type="dxa"/>
            <w:bottom w:w="0" w:type="dxa"/>
            <w:right w:w="108" w:type="dxa"/>
          </w:tblCellMar>
        </w:tblPrEx>
        <w:trPr>
          <w:trHeight w:val="459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供应商信用查询</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85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CellMar>
            <w:top w:w="0" w:type="dxa"/>
            <w:left w:w="108" w:type="dxa"/>
            <w:bottom w:w="0" w:type="dxa"/>
            <w:right w:w="108" w:type="dxa"/>
          </w:tblCellMar>
        </w:tblPrEx>
        <w:trPr>
          <w:trHeight w:val="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截止时间：</w:t>
            </w:r>
            <w:r>
              <w:rPr>
                <w:rFonts w:hint="eastAsia" w:ascii="仿宋" w:hAnsi="仿宋" w:eastAsia="仿宋" w:cs="仿宋"/>
                <w:b w:val="0"/>
                <w:bCs w:val="0"/>
                <w:color w:val="0000FF"/>
                <w:sz w:val="24"/>
                <w:szCs w:val="24"/>
                <w:lang w:val="en-US" w:eastAsia="zh-CN"/>
              </w:rPr>
              <w:t>2023年02月23日11时00分（北京时间）</w:t>
            </w:r>
          </w:p>
        </w:tc>
      </w:tr>
      <w:tr>
        <w:tblPrEx>
          <w:tblCellMar>
            <w:top w:w="0" w:type="dxa"/>
            <w:left w:w="108" w:type="dxa"/>
            <w:bottom w:w="0" w:type="dxa"/>
            <w:right w:w="108" w:type="dxa"/>
          </w:tblCellMar>
        </w:tblPrEx>
        <w:trPr>
          <w:trHeight w:val="3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政府采购投标保证金要求：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w:t>
            </w:r>
            <w:r>
              <w:rPr>
                <w:rFonts w:hint="eastAsia" w:ascii="仿宋" w:hAnsi="仿宋" w:eastAsia="仿宋" w:cs="仿宋"/>
                <w:b w:val="0"/>
                <w:bCs w:val="0"/>
                <w:color w:val="0000FF"/>
                <w:sz w:val="24"/>
                <w:szCs w:val="24"/>
                <w:lang w:val="en-US" w:eastAsia="zh-CN"/>
              </w:rPr>
              <w:t>180000.00元（壹拾捌万元整）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1、投标保证金以电汇、网银等转账形式提交的，应在投标截止时间 2023年02月23日上午11：00时（北京时间）前以总公司的基本账户一次性汇入指定账户（以到账时间为准），不接受现金及任何个人汇款。确认到账后，持法定代表人授权委托书、社保证明 （委托代理人必须为参加本单位社保的在职工作人员）委托代理人近六个月的社保证明，银行电子回单、持银行交款单、基本户开户许可证原件 （基本存款账户信息原件）乌恰县政务服务和公共资源交易中心二楼换取票据收据，项目开具的票据收据原件须扫描上传，标书内附有此票据收据。</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2、投标保证金以保函等票据形式提交的，需注明项目名称及单位名称，银行保函（电子保函）的有效期与投标有效期一致。需提供基本户开户行 出具的银行保函，投标文件内附此保函原件电子件。</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3、有效投标保证金成功交纳后，截止开标时间，供应商无正当理由不参加该项目投标且不递交弃标函，投标保证金不予退还。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户  名：乌恰县政务服务和公共资源交易中心</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账  号：30470101040018134</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行  名：中国农业银行乌恰县支行营业部 </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联 系 人：唐先生  </w:t>
            </w:r>
          </w:p>
          <w:p>
            <w:pPr>
              <w:shd w:val="clear" w:color="auto" w:fill="auto"/>
              <w:spacing w:line="360" w:lineRule="auto"/>
              <w:jc w:val="left"/>
              <w:rPr>
                <w:rFonts w:hint="eastAsia" w:ascii="仿宋" w:hAnsi="仿宋" w:eastAsia="仿宋" w:cs="仿宋"/>
                <w:b w:val="0"/>
                <w:bCs w:val="0"/>
                <w:color w:val="0000FF"/>
                <w:sz w:val="24"/>
                <w:szCs w:val="24"/>
                <w:lang w:val="en-US" w:eastAsia="zh-CN"/>
              </w:rPr>
            </w:pPr>
            <w:r>
              <w:rPr>
                <w:rFonts w:hint="eastAsia" w:ascii="仿宋" w:hAnsi="仿宋" w:eastAsia="仿宋" w:cs="仿宋"/>
                <w:b w:val="0"/>
                <w:bCs w:val="0"/>
                <w:color w:val="0000FF"/>
                <w:sz w:val="24"/>
                <w:szCs w:val="24"/>
                <w:lang w:val="en-US" w:eastAsia="zh-CN"/>
              </w:rPr>
              <w:t xml:space="preserve">电   话：15509080607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投标保证金退还：</w:t>
            </w:r>
          </w:p>
          <w:p>
            <w:pPr>
              <w:numPr>
                <w:ilvl w:val="0"/>
                <w:numId w:val="3"/>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中标供应商持合同和票据收据5日内办理；</w:t>
            </w:r>
          </w:p>
          <w:p>
            <w:pPr>
              <w:numPr>
                <w:ilvl w:val="0"/>
                <w:numId w:val="3"/>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未中标供应商持收据5日内办理；</w:t>
            </w:r>
          </w:p>
          <w:p>
            <w:pPr>
              <w:numPr>
                <w:ilvl w:val="0"/>
                <w:numId w:val="0"/>
              </w:numPr>
              <w:shd w:val="clear" w:color="auto" w:fill="auto"/>
              <w:spacing w:line="360" w:lineRule="auto"/>
              <w:ind w:leftChars="0" w:right="0" w:right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3、因供应商自身原因耽搁领取，超过退还时限，不承担延后退还责任。                             </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是否允许递交备选投标方案</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CellMar>
            <w:top w:w="0" w:type="dxa"/>
            <w:left w:w="108" w:type="dxa"/>
            <w:bottom w:w="0" w:type="dxa"/>
            <w:right w:w="108" w:type="dxa"/>
          </w:tblCellMar>
        </w:tblPrEx>
        <w:trPr>
          <w:trHeight w:val="67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招标文件获取</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w:t>
            </w:r>
            <w:r>
              <w:rPr>
                <w:rFonts w:hint="eastAsia" w:ascii="仿宋" w:hAnsi="仿宋" w:eastAsia="仿宋" w:cs="仿宋"/>
                <w:b w:val="0"/>
                <w:bCs w:val="0"/>
                <w:color w:val="0000FF"/>
                <w:sz w:val="24"/>
                <w:szCs w:val="24"/>
                <w:u w:val="none"/>
                <w:lang w:val="en-US" w:eastAsia="zh-CN"/>
              </w:rPr>
              <w:t>2023年02月03日至2022年02月10日</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val="0"/>
                <w:bCs w:val="0"/>
                <w:color w:val="auto"/>
                <w:sz w:val="24"/>
                <w:szCs w:val="24"/>
                <w:lang w:val="en-US" w:eastAsia="zh-CN"/>
              </w:rPr>
              <w:t>每天上午10:00至14:00，下午16:00至19：30（北京时间，节假日除外）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投标文件形式</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投标文件份数及要求</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3、待开标结束后，中标企业请于</w:t>
            </w:r>
            <w:r>
              <w:rPr>
                <w:rFonts w:hint="eastAsia" w:ascii="仿宋" w:hAnsi="仿宋" w:eastAsia="仿宋" w:cs="仿宋"/>
                <w:b w:val="0"/>
                <w:bCs w:val="0"/>
                <w:color w:val="auto"/>
                <w:sz w:val="24"/>
                <w:szCs w:val="24"/>
                <w:u w:val="single"/>
                <w:lang w:val="en-US" w:eastAsia="zh-CN"/>
              </w:rPr>
              <w:t>2023年02月28日20:00</w:t>
            </w:r>
            <w:r>
              <w:rPr>
                <w:rFonts w:hint="eastAsia" w:ascii="仿宋" w:hAnsi="仿宋" w:eastAsia="仿宋" w:cs="仿宋"/>
                <w:b w:val="0"/>
                <w:bCs w:val="0"/>
                <w:color w:val="auto"/>
                <w:sz w:val="24"/>
                <w:szCs w:val="24"/>
                <w:lang w:val="en-US" w:eastAsia="zh-CN"/>
              </w:rPr>
              <w:t>前提供纸质投标文件五份并承诺与电子投标文件内容一致的承诺书至新疆宏力源工程项目管理有限公司（新疆克州乌恰县天源市政7楼）。中标人可采用邮寄方式提供纸质版投标文件（收件地址：新疆克州乌恰县天源市政7楼，收件人：夏先生，电话：17881605898），费用自行承担。</w:t>
            </w:r>
          </w:p>
        </w:tc>
      </w:tr>
      <w:tr>
        <w:tblPrEx>
          <w:tblCellMar>
            <w:top w:w="0" w:type="dxa"/>
            <w:left w:w="108" w:type="dxa"/>
            <w:bottom w:w="0" w:type="dxa"/>
            <w:right w:w="108" w:type="dxa"/>
          </w:tblCellMar>
        </w:tblPrEx>
        <w:trPr>
          <w:trHeight w:val="731"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投标文件的上传和递交</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投标文件：供应商在投标截止时间前将加密的投标文件上传至政府采购云平台，还可以在投标截止时间前以电子邮件方式提供备份投标文件1份（接收人邮箱：562251287@qq.com，接收人：夏先生，电话：17881605898），“备份投标文件”由供应商自愿提供，招标文件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评标委员会的组建</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评标委员会由采购人依法组建；</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评标专家确定方式：专家评委由采购人在开标前从政采云专家库中随机抽取</w:t>
            </w:r>
          </w:p>
        </w:tc>
      </w:tr>
      <w:tr>
        <w:tblPrEx>
          <w:tblCellMar>
            <w:top w:w="0" w:type="dxa"/>
            <w:left w:w="108" w:type="dxa"/>
            <w:bottom w:w="0" w:type="dxa"/>
            <w:right w:w="108" w:type="dxa"/>
          </w:tblCellMar>
        </w:tblPrEx>
        <w:trPr>
          <w:trHeight w:val="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是否授权评标委员会确定中标候选人</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en-US" w:eastAsia="zh-CN"/>
              </w:rPr>
              <w:t>是，评标委员会推荐3名中标候选人。</w:t>
            </w:r>
            <w:r>
              <w:rPr>
                <w:rFonts w:hint="eastAsia" w:ascii="仿宋" w:hAnsi="仿宋" w:eastAsia="仿宋" w:cs="仿宋"/>
                <w:b w:val="0"/>
                <w:bCs w:val="0"/>
                <w:color w:val="auto"/>
                <w:sz w:val="24"/>
                <w:szCs w:val="24"/>
                <w:lang w:val="en-US" w:eastAsia="zh-CN"/>
              </w:rPr>
              <w:tab/>
            </w:r>
          </w:p>
        </w:tc>
      </w:tr>
      <w:tr>
        <w:tblPrEx>
          <w:tblCellMar>
            <w:top w:w="0" w:type="dxa"/>
            <w:left w:w="108" w:type="dxa"/>
            <w:bottom w:w="0" w:type="dxa"/>
            <w:right w:w="108" w:type="dxa"/>
          </w:tblCellMar>
        </w:tblPrEx>
        <w:trPr>
          <w:trHeight w:val="75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w:t>
            </w:r>
            <w:r>
              <w:rPr>
                <w:rFonts w:hint="eastAsia" w:ascii="仿宋" w:hAnsi="仿宋" w:eastAsia="仿宋" w:cs="仿宋"/>
                <w:b w:val="0"/>
                <w:bCs w:val="0"/>
                <w:color w:val="0000FF"/>
                <w:sz w:val="24"/>
                <w:szCs w:val="24"/>
                <w:lang w:val="en-US" w:eastAsia="zh-CN"/>
              </w:rPr>
              <w:t>2023年02月23日11时00分</w:t>
            </w:r>
            <w:r>
              <w:rPr>
                <w:rFonts w:hint="eastAsia" w:ascii="仿宋" w:hAnsi="仿宋" w:eastAsia="仿宋" w:cs="仿宋"/>
                <w:b w:val="0"/>
                <w:bCs w:val="0"/>
                <w:color w:val="auto"/>
                <w:sz w:val="24"/>
                <w:szCs w:val="24"/>
                <w:lang w:val="en-US" w:eastAsia="zh-CN"/>
              </w:rPr>
              <w:t>（北京时间）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36"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719"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w:t>
            </w:r>
            <w:r>
              <w:rPr>
                <w:rFonts w:hint="eastAsia" w:ascii="仿宋" w:hAnsi="仿宋" w:eastAsia="仿宋" w:cs="仿宋"/>
                <w:b w:val="0"/>
                <w:bCs w:val="0"/>
                <w:color w:val="0000FF"/>
                <w:sz w:val="24"/>
                <w:szCs w:val="24"/>
                <w:lang w:val="en-US" w:eastAsia="zh-CN"/>
              </w:rPr>
              <w:t>：2023年02月23日11时00分（</w:t>
            </w:r>
            <w:r>
              <w:rPr>
                <w:rFonts w:hint="eastAsia" w:ascii="仿宋" w:hAnsi="仿宋" w:eastAsia="仿宋" w:cs="仿宋"/>
                <w:b w:val="0"/>
                <w:bCs w:val="0"/>
                <w:color w:val="auto"/>
                <w:sz w:val="24"/>
                <w:szCs w:val="24"/>
                <w:lang w:val="en-US" w:eastAsia="zh-CN"/>
              </w:rPr>
              <w:t>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CellMar>
            <w:top w:w="0" w:type="dxa"/>
            <w:left w:w="108" w:type="dxa"/>
            <w:bottom w:w="0" w:type="dxa"/>
            <w:right w:w="108" w:type="dxa"/>
          </w:tblCellMar>
        </w:tblPrEx>
        <w:trPr>
          <w:trHeight w:val="90"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5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群：35547618、二十一群：44303812（如已加入1-19群，无需重复加入，二十一个群联动直播），钉钉工具软件具有回放功能，直播培训结束后可在钉钉群中回放观看学习。</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lang w:val="en-US"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207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lang w:eastAsia="zh-CN"/>
              </w:rPr>
            </w:pPr>
            <w:r>
              <w:rPr>
                <w:rFonts w:hint="eastAsia" w:ascii="仿宋" w:hAnsi="仿宋" w:eastAsia="仿宋" w:cs="仿宋"/>
                <w:b w:val="0"/>
                <w:bCs w:val="0"/>
                <w:color w:val="auto"/>
                <w:sz w:val="24"/>
                <w:szCs w:val="24"/>
                <w:lang w:val="en-US" w:eastAsia="zh-CN"/>
              </w:rPr>
              <w:t>（3）招标文件的获取：使用账号登录或者短信验证码或者使用CA登录政采云平台；进入“项目采购”应用，在获取招标文件 菜单中选择项目，获取招标文件 。</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（4）投标文件的制作：在“政采云电子交易客户端”中完成“填写基本信息”、“导入投标文件”、“标书关联”、“标书检查”、“电子签名”、“生成电子标书”等操作。</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文件的传输递交：供应商在投标截止时间前将加密的投标文件上传至政府采购云平台，还可以在投标截止时间前以电子邮件方式提供备份投标文件1份（接收人邮箱：562251287@qq.com，接收人：夏先生，电话：17881605898），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（7）具体操作指南：详见政采云平台“服务中心-帮助文档-项目采购-操作流程-电子招投标-政府采购项目电子交易管理操作指南-供应商”。</w:t>
            </w:r>
          </w:p>
          <w:p>
            <w:pPr>
              <w:shd w:val="clear" w:color="auto" w:fill="auto"/>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（8）供应商在进行上述操作时，如遇技术问题可登录政采云（https://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），点击右侧咨询小采，获取采小蜜智能服务管家帮助，或拨打政采云服务热线95763获取热线服务帮助。</w:t>
            </w:r>
          </w:p>
          <w:p>
            <w:pPr>
              <w:shd w:val="clear" w:color="auto" w:fill="auto"/>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tblPrEx>
          <w:tblCellMar>
            <w:top w:w="0" w:type="dxa"/>
            <w:left w:w="108" w:type="dxa"/>
            <w:bottom w:w="0" w:type="dxa"/>
            <w:right w:w="108" w:type="dxa"/>
          </w:tblCellMar>
        </w:tblPrEx>
        <w:trPr>
          <w:trHeight w:val="84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中标候选人公示媒介</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克州公共资源交易中心网、新疆政府采购网，公示期为一个工作日。</w:t>
            </w:r>
          </w:p>
        </w:tc>
      </w:tr>
      <w:tr>
        <w:tblPrEx>
          <w:tblCellMar>
            <w:top w:w="0" w:type="dxa"/>
            <w:left w:w="108" w:type="dxa"/>
            <w:bottom w:w="0" w:type="dxa"/>
            <w:right w:w="108" w:type="dxa"/>
          </w:tblCellMar>
        </w:tblPrEx>
        <w:trPr>
          <w:trHeight w:val="39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CellMar>
            <w:top w:w="0" w:type="dxa"/>
            <w:left w:w="108" w:type="dxa"/>
            <w:bottom w:w="0" w:type="dxa"/>
            <w:right w:w="108" w:type="dxa"/>
          </w:tblCellMar>
        </w:tblPrEx>
        <w:trPr>
          <w:trHeight w:val="3652"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21"/>
              <w:tblpPr w:leftFromText="180" w:rightFromText="180" w:vertAnchor="text" w:horzAnchor="page" w:tblpXSpec="center" w:tblpY="19"/>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433"/>
              <w:gridCol w:w="14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中标金额</w:t>
                  </w:r>
                </w:p>
              </w:tc>
              <w:tc>
                <w:tcPr>
                  <w:tcW w:w="1530" w:type="dxa"/>
                  <w:noWrap w:val="0"/>
                  <w:vAlign w:val="center"/>
                </w:tcPr>
                <w:p>
                  <w:pPr>
                    <w:shd w:val="clear" w:color="auto" w:fill="auto"/>
                    <w:spacing w:line="360" w:lineRule="auto"/>
                    <w:ind w:firstLine="240" w:firstLineChars="10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433"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144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c>
                <w:tcPr>
                  <w:tcW w:w="1144" w:type="dxa"/>
                  <w:noWrap w:val="0"/>
                  <w:vAlign w:val="center"/>
                </w:tcPr>
                <w:p>
                  <w:pPr>
                    <w:shd w:val="clear" w:color="auto" w:fill="auto"/>
                    <w:tabs>
                      <w:tab w:val="left" w:pos="317"/>
                    </w:tabs>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numPr>
                <w:ilvl w:val="0"/>
                <w:numId w:val="4"/>
              </w:numPr>
              <w:shd w:val="clear" w:color="auto" w:fill="auto"/>
              <w:spacing w:line="360" w:lineRule="auto"/>
              <w:ind w:left="320" w:leftChars="0" w:firstLine="0"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CellMar>
            <w:top w:w="0" w:type="dxa"/>
            <w:left w:w="108" w:type="dxa"/>
            <w:bottom w:w="0" w:type="dxa"/>
            <w:right w:w="108" w:type="dxa"/>
          </w:tblCellMar>
        </w:tblPrEx>
        <w:trPr>
          <w:trHeight w:val="37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评标办法：本项目采用</w:t>
            </w:r>
            <w:r>
              <w:rPr>
                <w:rFonts w:hint="eastAsia" w:ascii="仿宋" w:hAnsi="仿宋" w:eastAsia="仿宋" w:cs="仿宋"/>
                <w:b w:val="0"/>
                <w:bCs w:val="0"/>
                <w:color w:val="0000FF"/>
                <w:sz w:val="24"/>
                <w:szCs w:val="24"/>
                <w:lang w:val="en-US" w:eastAsia="zh-CN"/>
              </w:rPr>
              <w:t>综合评分法</w:t>
            </w:r>
          </w:p>
        </w:tc>
      </w:tr>
      <w:tr>
        <w:tblPrEx>
          <w:tblCellMar>
            <w:top w:w="0" w:type="dxa"/>
            <w:left w:w="108" w:type="dxa"/>
            <w:bottom w:w="0" w:type="dxa"/>
            <w:right w:w="108" w:type="dxa"/>
          </w:tblCellMar>
        </w:tblPrEx>
        <w:trPr>
          <w:trHeight w:val="40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CellMar>
            <w:top w:w="0" w:type="dxa"/>
            <w:left w:w="108" w:type="dxa"/>
            <w:bottom w:w="0" w:type="dxa"/>
            <w:right w:w="108" w:type="dxa"/>
          </w:tblCellMar>
        </w:tblPrEx>
        <w:trPr>
          <w:trHeight w:val="46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926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w:t>
            </w:r>
            <w:r>
              <w:rPr>
                <w:rFonts w:hint="eastAsia" w:ascii="仿宋" w:hAnsi="仿宋" w:eastAsia="仿宋" w:cs="仿宋"/>
                <w:b w:val="0"/>
                <w:bCs w:val="0"/>
                <w:color w:val="0000FF"/>
                <w:sz w:val="24"/>
                <w:szCs w:val="24"/>
                <w:lang w:val="en-US" w:eastAsia="zh-CN"/>
              </w:rPr>
              <w:t>9000000.00元（玖佰万元整）</w:t>
            </w:r>
            <w:r>
              <w:rPr>
                <w:rFonts w:hint="eastAsia" w:ascii="仿宋" w:hAnsi="仿宋" w:eastAsia="仿宋" w:cs="仿宋"/>
                <w:b w:val="0"/>
                <w:bCs w:val="0"/>
                <w:color w:val="auto"/>
                <w:sz w:val="24"/>
                <w:szCs w:val="24"/>
                <w:lang w:val="en-US" w:eastAsia="zh-CN"/>
              </w:rPr>
              <w:t>，</w:t>
            </w:r>
            <w:r>
              <w:rPr>
                <w:rFonts w:hint="eastAsia" w:ascii="仿宋" w:hAnsi="仿宋" w:eastAsia="仿宋" w:cs="仿宋"/>
                <w:color w:val="000000" w:themeColor="text1"/>
                <w:lang w:eastAsia="zh-CN"/>
                <w14:textFill>
                  <w14:solidFill>
                    <w14:schemeClr w14:val="tx1"/>
                  </w14:solidFill>
                </w14:textFill>
              </w:rPr>
              <w:t>投标总报价超过采购预算价的按废标处理。</w:t>
            </w:r>
          </w:p>
        </w:tc>
      </w:tr>
      <w:tr>
        <w:tblPrEx>
          <w:tblCellMar>
            <w:top w:w="0" w:type="dxa"/>
            <w:left w:w="108" w:type="dxa"/>
            <w:bottom w:w="0" w:type="dxa"/>
            <w:right w:w="108" w:type="dxa"/>
          </w:tblCellMar>
        </w:tblPrEx>
        <w:trPr>
          <w:trHeight w:val="2726"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中小微企业政策文件</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根据财政部、工业和信息化部关于印发《政府采购促进中小企业发展管理办法》的通知（财库[2020]46号）和（财库[2020]19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rPr>
          <w:trHeight w:val="1759" w:hRule="atLeast"/>
          <w:jc w:val="center"/>
        </w:trPr>
        <w:tc>
          <w:tcPr>
            <w:tcW w:w="536"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1735"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534"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719"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）支持中小企业发展：给予小型和微型企业产品的价格10%-20%的扣除，用扣除后的价格参与评审，</w:t>
            </w:r>
            <w:r>
              <w:rPr>
                <w:rFonts w:hint="eastAsia" w:ascii="仿宋" w:hAnsi="仿宋" w:eastAsia="仿宋" w:cs="仿宋"/>
                <w:color w:val="000000" w:themeColor="text1"/>
                <w:u w:val="single"/>
                <w:lang w:eastAsia="zh-CN"/>
                <w14:textFill>
                  <w14:solidFill>
                    <w14:schemeClr w14:val="tx1"/>
                  </w14:solidFill>
                </w14:textFill>
              </w:rPr>
              <w:t>本</w:t>
            </w:r>
            <w:r>
              <w:rPr>
                <w:rFonts w:hint="eastAsia" w:ascii="仿宋" w:hAnsi="仿宋" w:eastAsia="仿宋" w:cs="仿宋"/>
                <w:color w:val="0000FF"/>
                <w:u w:val="single"/>
                <w:lang w:eastAsia="zh-CN"/>
              </w:rPr>
              <w:t>项目具体扣除比例为10%</w:t>
            </w:r>
            <w:r>
              <w:rPr>
                <w:rFonts w:hint="eastAsia" w:ascii="仿宋" w:hAnsi="仿宋" w:eastAsia="仿宋" w:cs="仿宋"/>
                <w:color w:val="0000FF"/>
                <w:lang w:eastAsia="zh-CN"/>
              </w:rPr>
              <w:t>。</w:t>
            </w:r>
            <w:r>
              <w:rPr>
                <w:rFonts w:hint="eastAsia" w:ascii="仿宋" w:hAnsi="仿宋" w:eastAsia="仿宋" w:cs="仿宋"/>
                <w:color w:val="000000" w:themeColor="text1"/>
                <w:lang w:eastAsia="zh-CN"/>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584"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19"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（2）不符合上述适用情形的投标人无需提供上述声明函件。</w:t>
            </w:r>
          </w:p>
        </w:tc>
      </w:tr>
      <w:tr>
        <w:tblPrEx>
          <w:tblCellMar>
            <w:top w:w="0" w:type="dxa"/>
            <w:left w:w="108" w:type="dxa"/>
            <w:bottom w:w="0" w:type="dxa"/>
            <w:right w:w="108" w:type="dxa"/>
          </w:tblCellMar>
        </w:tblPrEx>
        <w:trPr>
          <w:trHeight w:val="149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30</w:t>
            </w:r>
          </w:p>
        </w:tc>
        <w:tc>
          <w:tcPr>
            <w:tcW w:w="1719" w:type="dxa"/>
            <w:tcBorders>
              <w:left w:val="single" w:color="auto" w:sz="4" w:space="0"/>
              <w:bottom w:val="single" w:color="auto" w:sz="4" w:space="0"/>
              <w:right w:val="single" w:color="auto" w:sz="4" w:space="0"/>
            </w:tcBorders>
            <w:noWrap w:val="0"/>
            <w:vAlign w:val="center"/>
          </w:tcPr>
          <w:p>
            <w:pPr>
              <w:shd w:val="clear" w:color="auto" w:fill="auto"/>
              <w:spacing w:line="360" w:lineRule="auto"/>
              <w:ind w:firstLine="240" w:firstLineChars="100"/>
              <w:jc w:val="both"/>
              <w:rPr>
                <w:rFonts w:hint="eastAsia" w:ascii="仿宋" w:hAnsi="仿宋" w:eastAsia="仿宋" w:cs="仿宋"/>
                <w:b w:val="0"/>
                <w:bCs w:val="0"/>
                <w:color w:val="auto"/>
                <w:sz w:val="24"/>
                <w:szCs w:val="24"/>
              </w:rPr>
            </w:pPr>
          </w:p>
          <w:p>
            <w:pPr>
              <w:shd w:val="clear" w:color="auto" w:fill="auto"/>
              <w:spacing w:line="36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履约保证金</w:t>
            </w:r>
          </w:p>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zh-CN"/>
              </w:rPr>
              <w:t>中标人</w:t>
            </w:r>
            <w:r>
              <w:rPr>
                <w:rFonts w:hint="eastAsia" w:ascii="仿宋" w:hAnsi="仿宋" w:eastAsia="仿宋" w:cs="仿宋"/>
                <w:b w:val="0"/>
                <w:bCs w:val="0"/>
                <w:color w:val="auto"/>
                <w:sz w:val="24"/>
                <w:szCs w:val="24"/>
              </w:rPr>
              <w:t>应在领取《</w:t>
            </w:r>
            <w:r>
              <w:rPr>
                <w:rFonts w:hint="eastAsia" w:ascii="仿宋" w:hAnsi="仿宋" w:eastAsia="仿宋" w:cs="仿宋"/>
                <w:b w:val="0"/>
                <w:bCs w:val="0"/>
                <w:color w:val="auto"/>
                <w:sz w:val="24"/>
                <w:szCs w:val="24"/>
                <w:lang w:val="zh-CN"/>
              </w:rPr>
              <w:t>中标通知书</w:t>
            </w:r>
            <w:r>
              <w:rPr>
                <w:rFonts w:hint="eastAsia" w:ascii="仿宋" w:hAnsi="仿宋" w:eastAsia="仿宋" w:cs="仿宋"/>
                <w:b w:val="0"/>
                <w:bCs w:val="0"/>
                <w:color w:val="auto"/>
                <w:sz w:val="24"/>
                <w:szCs w:val="24"/>
              </w:rPr>
              <w:t>》后的十个日历日内，办理履约保证金，</w:t>
            </w:r>
            <w:r>
              <w:rPr>
                <w:rFonts w:hint="eastAsia" w:ascii="仿宋" w:hAnsi="仿宋" w:eastAsia="仿宋" w:cs="仿宋"/>
                <w:b w:val="0"/>
                <w:bCs w:val="0"/>
                <w:color w:val="auto"/>
                <w:sz w:val="24"/>
                <w:szCs w:val="24"/>
                <w:lang w:val="zh-CN"/>
              </w:rPr>
              <w:t>金额不超过合同总价的10%，</w:t>
            </w:r>
            <w:r>
              <w:rPr>
                <w:rFonts w:hint="eastAsia" w:ascii="仿宋" w:hAnsi="仿宋" w:eastAsia="仿宋" w:cs="仿宋"/>
                <w:b w:val="0"/>
                <w:bCs w:val="0"/>
                <w:color w:val="auto"/>
                <w:sz w:val="24"/>
                <w:szCs w:val="24"/>
              </w:rPr>
              <w:t>否则招标人可取消</w:t>
            </w:r>
            <w:r>
              <w:rPr>
                <w:rFonts w:hint="eastAsia" w:ascii="仿宋" w:hAnsi="仿宋" w:eastAsia="仿宋" w:cs="仿宋"/>
                <w:b w:val="0"/>
                <w:bCs w:val="0"/>
                <w:color w:val="auto"/>
                <w:sz w:val="24"/>
                <w:szCs w:val="24"/>
                <w:lang w:val="zh-CN"/>
              </w:rPr>
              <w:t>中标交人</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val="zh-CN"/>
              </w:rPr>
              <w:t>中标</w:t>
            </w:r>
            <w:r>
              <w:rPr>
                <w:rFonts w:hint="eastAsia" w:ascii="仿宋" w:hAnsi="仿宋" w:eastAsia="仿宋" w:cs="仿宋"/>
                <w:b w:val="0"/>
                <w:bCs w:val="0"/>
                <w:color w:val="auto"/>
                <w:sz w:val="24"/>
                <w:szCs w:val="24"/>
              </w:rPr>
              <w:t>资格，并没收其投标保证金</w:t>
            </w:r>
            <w:r>
              <w:rPr>
                <w:rFonts w:hint="eastAsia" w:ascii="仿宋" w:hAnsi="仿宋" w:eastAsia="仿宋" w:cs="仿宋"/>
                <w:b w:val="0"/>
                <w:bCs w:val="0"/>
                <w:color w:val="auto"/>
                <w:sz w:val="24"/>
                <w:szCs w:val="24"/>
                <w:lang w:eastAsia="zh-CN"/>
              </w:rPr>
              <w:t>。</w:t>
            </w:r>
          </w:p>
        </w:tc>
      </w:tr>
      <w:tr>
        <w:tblPrEx>
          <w:tblCellMar>
            <w:top w:w="0" w:type="dxa"/>
            <w:left w:w="108" w:type="dxa"/>
            <w:bottom w:w="0" w:type="dxa"/>
            <w:right w:w="108" w:type="dxa"/>
          </w:tblCellMar>
        </w:tblPrEx>
        <w:trPr>
          <w:trHeight w:val="84"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31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本采购项目所属行业</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本采购项目所属行业：</w:t>
            </w:r>
            <w:r>
              <w:rPr>
                <w:rFonts w:hint="eastAsia" w:ascii="仿宋" w:hAnsi="仿宋" w:eastAsia="仿宋" w:cs="仿宋"/>
                <w:b w:val="0"/>
                <w:bCs w:val="0"/>
                <w:color w:val="auto"/>
                <w:sz w:val="24"/>
                <w:szCs w:val="24"/>
                <w:u w:val="single"/>
                <w:lang w:val="en-US" w:eastAsia="zh-CN"/>
              </w:rPr>
              <w:t>燃气、货物</w:t>
            </w:r>
          </w:p>
        </w:tc>
      </w:tr>
      <w:tr>
        <w:tblPrEx>
          <w:tblCellMar>
            <w:top w:w="0" w:type="dxa"/>
            <w:left w:w="108" w:type="dxa"/>
            <w:bottom w:w="0" w:type="dxa"/>
            <w:right w:w="108" w:type="dxa"/>
          </w:tblCellMar>
        </w:tblPrEx>
        <w:trPr>
          <w:trHeight w:val="84" w:hRule="atLeast"/>
          <w:jc w:val="center"/>
        </w:trPr>
        <w:tc>
          <w:tcPr>
            <w:tcW w:w="225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2、投标人使用相同IP地址的，一经发现，相关部门将进一步核实，查实后按串通投标处理。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为保证本项目质量，良好的售后服务，最低报价不作为中标的唯一依据。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中如出现前后不一致情况，均以前附表内容为准。</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pPr>
        <w:shd w:val="clear" w:color="auto" w:fill="auto"/>
        <w:spacing w:line="440" w:lineRule="exact"/>
        <w:jc w:val="center"/>
        <w:outlineLvl w:val="2"/>
        <w:rPr>
          <w:rFonts w:hint="eastAsia" w:ascii="仿宋" w:hAnsi="仿宋" w:eastAsia="仿宋" w:cs="仿宋"/>
          <w:color w:val="auto"/>
          <w:sz w:val="28"/>
          <w:szCs w:val="28"/>
          <w:highlight w:val="none"/>
        </w:rPr>
      </w:pPr>
      <w:bookmarkStart w:id="0"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0"/>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供货期：见投标人须知前附表。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固定单价 。</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1" w:name="_Toc247513962"/>
      <w:bookmarkStart w:id="2" w:name="_Toc247527563"/>
      <w:bookmarkStart w:id="3" w:name="_Toc152042315"/>
      <w:bookmarkStart w:id="4" w:name="_Toc247592876"/>
      <w:bookmarkStart w:id="5" w:name="_Toc144974507"/>
      <w:bookmarkStart w:id="6" w:name="_Toc152045539"/>
      <w:bookmarkStart w:id="7" w:name="_Toc296602429"/>
      <w:r>
        <w:rPr>
          <w:rFonts w:hint="eastAsia" w:ascii="仿宋" w:hAnsi="仿宋" w:eastAsia="仿宋" w:cs="仿宋"/>
          <w:b/>
          <w:color w:val="auto"/>
          <w:szCs w:val="21"/>
          <w:highlight w:val="none"/>
        </w:rPr>
        <w:t xml:space="preserve"> 踏勘现场</w:t>
      </w:r>
      <w:bookmarkEnd w:id="1"/>
      <w:bookmarkEnd w:id="2"/>
      <w:bookmarkEnd w:id="3"/>
      <w:bookmarkEnd w:id="4"/>
      <w:bookmarkEnd w:id="5"/>
      <w:bookmarkEnd w:id="6"/>
      <w:bookmarkEnd w:id="7"/>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8" w:name="_Toc152045540"/>
      <w:bookmarkStart w:id="9" w:name="_Toc296602430"/>
      <w:bookmarkStart w:id="10" w:name="_Toc247527564"/>
      <w:bookmarkStart w:id="11" w:name="_Toc152042316"/>
      <w:bookmarkStart w:id="12" w:name="_Toc247592877"/>
      <w:bookmarkStart w:id="13" w:name="_Toc144974508"/>
      <w:bookmarkStart w:id="14" w:name="_Toc247513963"/>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8"/>
      <w:bookmarkEnd w:id="9"/>
      <w:bookmarkEnd w:id="10"/>
      <w:bookmarkEnd w:id="11"/>
      <w:bookmarkEnd w:id="12"/>
      <w:bookmarkEnd w:id="13"/>
      <w:bookmarkEnd w:id="14"/>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w:t>
      </w:r>
      <w:r>
        <w:rPr>
          <w:rFonts w:hint="eastAsia" w:ascii="仿宋" w:hAnsi="仿宋" w:eastAsia="仿宋" w:cs="仿宋"/>
          <w:b/>
          <w:color w:val="auto"/>
          <w:szCs w:val="21"/>
          <w:highlight w:val="none"/>
          <w:lang w:eastAsia="zh-CN"/>
        </w:rPr>
        <w:t>体</w:t>
      </w:r>
      <w:r>
        <w:rPr>
          <w:rFonts w:hint="eastAsia" w:ascii="仿宋" w:hAnsi="仿宋" w:eastAsia="仿宋" w:cs="仿宋"/>
          <w:b/>
          <w:color w:val="auto"/>
          <w:szCs w:val="21"/>
          <w:highlight w:val="none"/>
        </w:rPr>
        <w:t>投标</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pPr>
        <w:pStyle w:val="10"/>
        <w:shd w:val="clear" w:color="auto" w:fill="auto"/>
        <w:spacing w:after="0" w:line="400" w:lineRule="exact"/>
        <w:ind w:left="0" w:leftChars="0" w:firstLine="48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招标代理服务收费标准</w:t>
      </w:r>
    </w:p>
    <w:tbl>
      <w:tblPr>
        <w:tblStyle w:val="21"/>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542"/>
        <w:gridCol w:w="1758"/>
        <w:gridCol w:w="171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中标金额</w:t>
            </w:r>
          </w:p>
        </w:tc>
        <w:tc>
          <w:tcPr>
            <w:tcW w:w="1542" w:type="dxa"/>
            <w:noWrap w:val="0"/>
            <w:vAlign w:val="center"/>
          </w:tcPr>
          <w:p>
            <w:pPr>
              <w:shd w:val="clear" w:color="auto" w:fill="auto"/>
              <w:spacing w:line="360" w:lineRule="auto"/>
              <w:ind w:left="0" w:leftChars="0" w:right="0" w:rightChars="0" w:firstLine="240" w:firstLineChars="1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货物招标</w:t>
            </w:r>
          </w:p>
        </w:tc>
        <w:tc>
          <w:tcPr>
            <w:tcW w:w="1758"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服务招标</w:t>
            </w:r>
          </w:p>
        </w:tc>
        <w:tc>
          <w:tcPr>
            <w:tcW w:w="1714" w:type="dxa"/>
            <w:noWrap w:val="0"/>
            <w:vAlign w:val="center"/>
          </w:tcPr>
          <w:p>
            <w:pPr>
              <w:shd w:val="clear" w:color="auto" w:fill="auto"/>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工程招标</w:t>
            </w:r>
          </w:p>
        </w:tc>
        <w:tc>
          <w:tcPr>
            <w:tcW w:w="1509" w:type="dxa"/>
            <w:noWrap w:val="0"/>
            <w:vAlign w:val="center"/>
          </w:tcPr>
          <w:p>
            <w:pPr>
              <w:shd w:val="clear" w:color="auto" w:fill="auto"/>
              <w:tabs>
                <w:tab w:val="left" w:pos="317"/>
              </w:tabs>
              <w:spacing w:line="360" w:lineRule="auto"/>
              <w:ind w:left="0" w:leftChars="0" w:right="0" w:righ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100万元以下</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1.5%</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100～500万元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1.1%</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0.8%</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0.7%</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500～1000万元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0.8%</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0.45%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0.55%</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235"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1000～5000万元</w:t>
            </w:r>
          </w:p>
        </w:tc>
        <w:tc>
          <w:tcPr>
            <w:tcW w:w="1542"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0.5%</w:t>
            </w:r>
          </w:p>
        </w:tc>
        <w:tc>
          <w:tcPr>
            <w:tcW w:w="1758"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0.25%</w:t>
            </w:r>
          </w:p>
        </w:tc>
        <w:tc>
          <w:tcPr>
            <w:tcW w:w="1714"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lang w:val="en-US" w:eastAsia="zh-CN"/>
              </w:rPr>
              <w:t>0.35%</w:t>
            </w:r>
          </w:p>
        </w:tc>
        <w:tc>
          <w:tcPr>
            <w:tcW w:w="1509" w:type="dxa"/>
            <w:noWrap w:val="0"/>
            <w:vAlign w:val="center"/>
          </w:tcPr>
          <w:p>
            <w:pPr>
              <w:shd w:val="clear" w:color="auto" w:fill="auto"/>
              <w:spacing w:line="360" w:lineRule="auto"/>
              <w:ind w:left="0" w:leftChars="0" w:right="0" w:rightChars="0" w:firstLine="0" w:firstLineChars="0"/>
              <w:jc w:val="left"/>
              <w:rPr>
                <w:rFonts w:hint="eastAsia" w:ascii="仿宋" w:hAnsi="仿宋" w:eastAsia="仿宋" w:cs="仿宋"/>
                <w:b w:val="0"/>
                <w:bCs w:val="0"/>
                <w:color w:val="auto"/>
                <w:sz w:val="24"/>
                <w:szCs w:val="24"/>
                <w:highlight w:val="none"/>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招标代理服务收费</w:t>
      </w:r>
      <w:r>
        <w:rPr>
          <w:rFonts w:hint="eastAsia" w:ascii="仿宋" w:hAnsi="仿宋" w:eastAsia="仿宋" w:cs="仿宋"/>
          <w:color w:val="auto"/>
          <w:szCs w:val="21"/>
          <w:highlight w:val="none"/>
        </w:rPr>
        <w:t>按差额定率累进法计算。例如：某项目招标代理业务</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（2000-1000）万元×0.50%=5.0（万元）</w:t>
      </w:r>
    </w:p>
    <w:p>
      <w:pPr>
        <w:shd w:val="clear" w:color="auto" w:fill="auto"/>
        <w:spacing w:line="440" w:lineRule="exact"/>
        <w:ind w:left="240" w:leftChars="100" w:firstLine="360" w:firstLineChars="150"/>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合计收费=1.5+4.4+4.0+5.0=14.9(万元)</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成为新疆维吾尔自治区政府采购网正式注册入库（已在政采云平台其他省份入驻的供应商无须重复注册）并完成CA数字证书申领供应商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bookmarkStart w:id="15" w:name="_Toc469495725"/>
      <w:r>
        <w:rPr>
          <w:rFonts w:hint="eastAsia" w:ascii="仿宋" w:hAnsi="仿宋" w:eastAsia="仿宋" w:cs="仿宋"/>
          <w:b/>
          <w:color w:val="auto"/>
          <w:sz w:val="28"/>
          <w:szCs w:val="28"/>
          <w:highlight w:val="none"/>
        </w:rPr>
        <w:t>（二）</w:t>
      </w:r>
      <w:bookmarkEnd w:id="15"/>
      <w:r>
        <w:rPr>
          <w:rFonts w:hint="eastAsia" w:ascii="仿宋" w:hAnsi="仿宋" w:eastAsia="仿宋" w:cs="仿宋"/>
          <w:b/>
          <w:color w:val="auto"/>
          <w:sz w:val="28"/>
          <w:szCs w:val="28"/>
          <w:highlight w:val="none"/>
          <w:lang w:eastAsia="zh-CN"/>
        </w:rPr>
        <w:t>招标文件</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采购内容及技术要求</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投标文件格式文本</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pPr>
        <w:pStyle w:val="12"/>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pPr>
        <w:shd w:val="clear" w:color="auto" w:fill="auto"/>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pPr>
        <w:shd w:val="clear" w:color="auto" w:fill="auto"/>
        <w:spacing w:line="440" w:lineRule="exact"/>
        <w:ind w:firstLine="319" w:firstLineChars="133"/>
        <w:rPr>
          <w:rFonts w:hint="eastAsia" w:ascii="仿宋" w:hAnsi="仿宋" w:eastAsia="仿宋" w:cs="仿宋"/>
          <w:color w:val="auto"/>
          <w:szCs w:val="21"/>
          <w:highlight w:val="none"/>
        </w:rPr>
      </w:pPr>
      <w:bookmarkStart w:id="16"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16"/>
    </w:p>
    <w:p>
      <w:pPr>
        <w:shd w:val="clear" w:color="auto" w:fill="auto"/>
        <w:spacing w:line="440" w:lineRule="exact"/>
        <w:ind w:firstLine="348"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pPr>
        <w:shd w:val="clear" w:color="auto" w:fill="auto"/>
        <w:spacing w:line="44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0000FF"/>
          <w:szCs w:val="21"/>
          <w:highlight w:val="none"/>
          <w:lang w:val="en-US" w:eastAsia="zh-CN"/>
        </w:rPr>
        <w:t>、投标企业须提供投标人（被授权在职人员）近6个月有效的社保证明；</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5、投标保证金收据或投标担保函；</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6、投标单位（供应商）针对本次采购项目《反商业贿赂承诺书》；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7、参加政府采购活动前三年内，在经营活动中没有重大违法记录的书面声明;</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8、供应商须提供 “信用中国”网（http://www.creditchina.gov.cn/）、“中国政府采购网”网站（http://www.ccgp.gov.cn）无违法违规行为的查询记录（提供查询结果网页截图并加盖供应商公章）；</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9、投标人须知资料表要求的其他资格证明文件;</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、投标分项报价表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8、近三年（2020年1月1日至今）类似项目业绩表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rPr>
        <w:t>、中小企业声明函(</w:t>
      </w:r>
      <w:r>
        <w:rPr>
          <w:rFonts w:hint="eastAsia" w:ascii="仿宋" w:hAnsi="仿宋" w:eastAsia="仿宋" w:cs="仿宋"/>
          <w:b w:val="0"/>
          <w:bCs/>
          <w:color w:val="auto"/>
          <w:kern w:val="0"/>
          <w:szCs w:val="21"/>
          <w:highlight w:val="none"/>
          <w:u w:val="none"/>
          <w:lang w:eastAsia="zh-CN"/>
        </w:rPr>
        <w:t>货物</w:t>
      </w:r>
      <w:r>
        <w:rPr>
          <w:rFonts w:hint="eastAsia" w:ascii="仿宋" w:hAnsi="仿宋" w:eastAsia="仿宋" w:cs="仿宋"/>
          <w:b w:val="0"/>
          <w:bCs/>
          <w:color w:val="auto"/>
          <w:kern w:val="0"/>
          <w:szCs w:val="21"/>
          <w:highlight w:val="none"/>
          <w:u w:val="none"/>
        </w:rPr>
        <w:t>)</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rPr>
        <w:t>《残疾人福利性单位声明函》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所列货物逐项进行单价报价，并最终按货物总量乘以货物单价报总价，不得采用总价下浮的方式进行报价。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22.8</w:t>
      </w:r>
      <w:r>
        <w:rPr>
          <w:rFonts w:hint="eastAsia" w:ascii="仿宋" w:hAnsi="仿宋" w:eastAsia="仿宋" w:cs="仿宋"/>
          <w:b/>
          <w:color w:val="auto"/>
          <w:szCs w:val="21"/>
          <w:highlight w:val="none"/>
        </w:rPr>
        <w:t>投标人投标总报价，不得高于本次招标设置的最高限价，</w:t>
      </w:r>
      <w:r>
        <w:rPr>
          <w:rFonts w:hint="eastAsia" w:ascii="仿宋" w:hAnsi="仿宋" w:eastAsia="仿宋" w:cs="仿宋"/>
          <w:b/>
          <w:bCs/>
          <w:color w:val="auto"/>
          <w:szCs w:val="21"/>
          <w:highlight w:val="none"/>
        </w:rPr>
        <w:t>否则将作为无效投标处理。</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22.10总投标价中不得包含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22.11总投标价中不得缺漏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w:t>
      </w:r>
      <w:r>
        <w:rPr>
          <w:rFonts w:hint="eastAsia" w:ascii="仿宋" w:hAnsi="仿宋" w:eastAsia="仿宋" w:cs="仿宋"/>
          <w:color w:val="auto"/>
          <w:szCs w:val="21"/>
          <w:highlight w:val="none"/>
          <w:lang w:eastAsia="zh-CN"/>
        </w:rPr>
        <w:t>保证金</w:t>
      </w:r>
      <w:r>
        <w:rPr>
          <w:rFonts w:hint="eastAsia" w:ascii="仿宋" w:hAnsi="仿宋" w:eastAsia="仿宋" w:cs="仿宋"/>
          <w:color w:val="auto"/>
          <w:szCs w:val="21"/>
          <w:highlight w:val="none"/>
        </w:rPr>
        <w:t>。</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pPr>
        <w:shd w:val="clear" w:color="auto" w:fill="auto"/>
        <w:spacing w:line="400" w:lineRule="exact"/>
        <w:ind w:firstLine="480" w:firstLineChars="200"/>
        <w:rPr>
          <w:rFonts w:hint="eastAsia" w:ascii="仿宋" w:hAnsi="仿宋" w:eastAsia="仿宋" w:cs="仿宋"/>
          <w:color w:val="auto"/>
          <w:szCs w:val="21"/>
          <w:highlight w:val="none"/>
        </w:rPr>
      </w:pPr>
      <w:bookmarkStart w:id="17"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pPr>
        <w:pStyle w:val="4"/>
        <w:shd w:val="clear" w:color="auto" w:fill="auto"/>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17"/>
      <w:r>
        <w:rPr>
          <w:rFonts w:hint="eastAsia" w:ascii="仿宋" w:hAnsi="仿宋" w:eastAsia="仿宋" w:cs="仿宋"/>
          <w:color w:val="auto"/>
          <w:sz w:val="28"/>
          <w:szCs w:val="28"/>
          <w:highlight w:val="none"/>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pPr>
        <w:pStyle w:val="7"/>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、盖章、专用名称等特殊情形外，以中文汉语以外的文字表述的投标文件视同未提供。</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pPr>
        <w:pStyle w:val="7"/>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pPr>
        <w:pStyle w:val="7"/>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pPr>
        <w:pStyle w:val="7"/>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highlight w:val="none"/>
          <w:u w:val="single"/>
          <w:lang w:bidi="zh-CN"/>
        </w:rPr>
        <w:t>接收人邮箱：</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562251287@qq.com</w:t>
      </w:r>
      <w:r>
        <w:rPr>
          <w:rStyle w:val="25"/>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夏先生</w:t>
      </w:r>
      <w:r>
        <w:rPr>
          <w:rStyle w:val="25"/>
          <w:rFonts w:hint="eastAsia" w:ascii="仿宋" w:hAnsi="仿宋" w:eastAsia="仿宋" w:cs="仿宋"/>
          <w:color w:val="auto"/>
          <w:sz w:val="24"/>
          <w:szCs w:val="24"/>
          <w:highlight w:val="none"/>
          <w:u w:val="single"/>
          <w:lang w:bidi="zh-CN"/>
        </w:rPr>
        <w:t>，电话</w:t>
      </w:r>
      <w:r>
        <w:rPr>
          <w:rStyle w:val="25"/>
          <w:rFonts w:hint="eastAsia" w:ascii="仿宋" w:hAnsi="仿宋" w:eastAsia="仿宋" w:cs="仿宋"/>
          <w:color w:val="auto"/>
          <w:sz w:val="24"/>
          <w:szCs w:val="24"/>
          <w:highlight w:val="none"/>
          <w:u w:val="single"/>
          <w:lang w:val="en-US" w:bidi="zh-CN"/>
        </w:rPr>
        <w:t xml:space="preserve"> </w:t>
      </w:r>
      <w:r>
        <w:rPr>
          <w:rStyle w:val="25"/>
          <w:rFonts w:hint="eastAsia" w:ascii="仿宋" w:hAnsi="仿宋" w:eastAsia="仿宋" w:cs="仿宋"/>
          <w:color w:val="auto"/>
          <w:sz w:val="24"/>
          <w:szCs w:val="24"/>
          <w:highlight w:val="none"/>
          <w:u w:val="single"/>
          <w:lang w:bidi="zh-CN"/>
        </w:rPr>
        <w:t>：</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7881605898</w:t>
      </w:r>
      <w:r>
        <w:rPr>
          <w:rFonts w:hint="eastAsia" w:ascii="仿宋" w:hAnsi="仿宋" w:eastAsia="仿宋" w:cs="仿宋"/>
          <w:color w:val="auto"/>
          <w:sz w:val="24"/>
          <w:szCs w:val="24"/>
          <w:highlight w:val="none"/>
          <w:u w:val="single"/>
          <w:lang w:bidi="zh-CN"/>
        </w:rPr>
        <w:t>）</w:t>
      </w:r>
      <w:r>
        <w:rPr>
          <w:rFonts w:hint="eastAsia" w:ascii="仿宋" w:hAnsi="仿宋" w:eastAsia="仿宋" w:cs="仿宋"/>
          <w:color w:val="auto"/>
          <w:sz w:val="24"/>
          <w:szCs w:val="24"/>
          <w:highlight w:val="none"/>
          <w:u w:val="none"/>
          <w:lang w:bidi="zh-CN"/>
        </w:rPr>
        <w:t>；</w:t>
      </w:r>
    </w:p>
    <w:p>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shd w:val="clear" w:color="auto" w:fill="auto"/>
        <w:tabs>
          <w:tab w:val="left" w:pos="960"/>
          <w:tab w:val="left" w:pos="1418"/>
        </w:tabs>
        <w:autoSpaceDE w:val="0"/>
        <w:autoSpaceDN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（五）开标、评标和定标</w:t>
      </w:r>
      <w:bookmarkEnd w:id="18"/>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19" w:name="_Toc73975822"/>
      <w:r>
        <w:rPr>
          <w:rFonts w:hint="eastAsia" w:ascii="仿宋" w:hAnsi="仿宋" w:eastAsia="仿宋" w:cs="仿宋"/>
          <w:b/>
          <w:bCs/>
          <w:color w:val="auto"/>
          <w:sz w:val="24"/>
          <w:szCs w:val="24"/>
          <w:highlight w:val="none"/>
          <w:lang w:val="en-US" w:eastAsia="zh-CN"/>
        </w:rPr>
        <w:t>29.1开标邀请</w:t>
      </w:r>
      <w:bookmarkEnd w:id="19"/>
    </w:p>
    <w:p>
      <w:pPr>
        <w:pStyle w:val="12"/>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12"/>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12"/>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5"/>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12"/>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auto"/>
          <w:sz w:val="24"/>
          <w:szCs w:val="24"/>
          <w:highlight w:val="none"/>
        </w:rPr>
      </w:pPr>
      <w:bookmarkStart w:id="20"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20"/>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公布投标文件解密情况（投标文件成功解密的供应商名单等信息），组织签署</w:t>
      </w:r>
      <w:r>
        <w:rPr>
          <w:rFonts w:hint="eastAsia" w:ascii="仿宋" w:hAnsi="仿宋" w:eastAsia="仿宋" w:cs="仿宋"/>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562251287@qq.com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或盖章确认的材料将通过“政府采购云平台”进行，若因“政府采购云平台”技术问题无法进行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或盖章确认的时间为20分钟。如未及时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.评标委员会的职责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0000FF"/>
          <w:kern w:val="0"/>
          <w:szCs w:val="21"/>
          <w:highlight w:val="none"/>
          <w:lang w:val="en-US" w:eastAsia="zh-CN"/>
        </w:rPr>
        <w:t>30</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21" w:name="_Toc469495729"/>
      <w:r>
        <w:rPr>
          <w:rFonts w:hint="eastAsia" w:ascii="仿宋" w:hAnsi="仿宋" w:eastAsia="仿宋" w:cs="仿宋"/>
          <w:b w:val="0"/>
          <w:bCs w:val="0"/>
          <w:color w:val="auto"/>
          <w:szCs w:val="21"/>
          <w:highlight w:val="none"/>
          <w:lang w:val="en-US" w:eastAsia="zh-CN"/>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新疆政府采购网（www.zjzfcg.gov.cn）、克州公共资源交易中心网上公告采购结果，中标公告期限为1个工作日。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（六）合同的授予</w:t>
      </w:r>
      <w:bookmarkEnd w:id="21"/>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2" w:name="_Toc73975842"/>
      <w:bookmarkStart w:id="23" w:name="_Toc469495730"/>
      <w:r>
        <w:rPr>
          <w:rFonts w:hint="eastAsia" w:ascii="仿宋" w:hAnsi="仿宋" w:eastAsia="仿宋" w:cs="仿宋"/>
          <w:b w:val="0"/>
          <w:bCs w:val="0"/>
          <w:color w:val="auto"/>
          <w:szCs w:val="21"/>
          <w:highlight w:val="none"/>
          <w:lang w:val="en-US" w:eastAsia="zh-CN"/>
        </w:rPr>
        <w:t>43．履约保证金</w:t>
      </w:r>
      <w:bookmarkEnd w:id="22"/>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中标供应商在签订合同后十个工作日内向采购人交纳不超过中标价10%的履约保证金（鼓励以银行、保险公司出具的履约保函形式提交；若以电汇、银行转账方式提交的，必须转到采购人的指定账户）。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4" w:name="_Toc73975843"/>
      <w:r>
        <w:rPr>
          <w:rFonts w:hint="eastAsia" w:ascii="仿宋" w:hAnsi="仿宋" w:eastAsia="仿宋" w:cs="仿宋"/>
          <w:b w:val="0"/>
          <w:bCs w:val="0"/>
          <w:color w:val="auto"/>
          <w:szCs w:val="21"/>
          <w:highlight w:val="none"/>
          <w:lang w:val="en-US" w:eastAsia="zh-CN"/>
        </w:rPr>
        <w:t>44．签订合同及公告</w:t>
      </w:r>
      <w:bookmarkEnd w:id="24"/>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bCs/>
          <w:color w:val="auto"/>
          <w:sz w:val="28"/>
          <w:szCs w:val="28"/>
          <w:highlight w:val="none"/>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（七）纪律和监督</w:t>
      </w:r>
      <w:bookmarkEnd w:id="23"/>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（八）质疑与投诉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49.5供应商有下列情形之一的，采购代理机构和乌恰县财政局，将其列入不良行为记录名单：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auto"/>
          <w:sz w:val="30"/>
          <w:szCs w:val="30"/>
          <w:highlight w:val="none"/>
        </w:rPr>
      </w:pPr>
    </w:p>
    <w:p>
      <w:pPr>
        <w:pStyle w:val="28"/>
        <w:shd w:val="clear" w:color="auto" w:fill="auto"/>
        <w:rPr>
          <w:rFonts w:hint="eastAsia" w:ascii="仿宋" w:hAnsi="仿宋" w:eastAsia="仿宋" w:cs="仿宋"/>
          <w:color w:val="auto"/>
          <w:sz w:val="30"/>
          <w:szCs w:val="30"/>
          <w:highlight w:val="none"/>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政府采购投诉书（范本）</w:t>
      </w:r>
    </w:p>
    <w:p>
      <w:pPr>
        <w:pStyle w:val="16"/>
        <w:rPr>
          <w:rFonts w:hint="eastAsia"/>
        </w:rPr>
      </w:pP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委托代理人姓名：                 职务：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住址：                           联系电话：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被投诉人：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1.具体的投诉事项及事实依据；</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2.质疑和质疑答复情况简要描述；</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3.投诉请求。</w:t>
      </w:r>
    </w:p>
    <w:p>
      <w:pPr>
        <w:shd w:val="clear" w:color="auto" w:fill="auto"/>
        <w:spacing w:line="440" w:lineRule="exact"/>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附件：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1.质疑书和质疑答复书；</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2.证据材料（需注明证据来源），证人的姓名、住址和联系方式等；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3.营业执照；</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4.法定代表人身份证明函</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5.法定代表人授权委托书（包含法定代表人和委托代理人的身份证复印件）；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6.政府采购监管部门认为应当提供的其它材料。</w:t>
      </w:r>
    </w:p>
    <w:p>
      <w:pPr>
        <w:shd w:val="clear" w:color="auto" w:fill="auto"/>
        <w:spacing w:line="440" w:lineRule="exact"/>
        <w:ind w:firstLine="3840" w:firstLineChars="16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320" w:firstLineChars="18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投诉供应商：（盖章）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法定代表人（或主要负责人）：（签字或盖章）</w:t>
      </w:r>
    </w:p>
    <w:p>
      <w:pPr>
        <w:shd w:val="clear" w:color="auto" w:fill="auto"/>
        <w:spacing w:line="440" w:lineRule="exact"/>
        <w:ind w:firstLine="240" w:firstLineChars="10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年   月    日</w:t>
      </w:r>
    </w:p>
    <w:p>
      <w:pPr>
        <w:pStyle w:val="16"/>
        <w:rPr>
          <w:rFonts w:hint="eastAsia"/>
          <w:lang w:val="en-US" w:eastAsia="zh-CN"/>
        </w:rPr>
      </w:pPr>
    </w:p>
    <w:p>
      <w:pPr>
        <w:shd w:val="clear" w:color="auto" w:fill="auto"/>
        <w:spacing w:line="440" w:lineRule="exact"/>
        <w:ind w:firstLine="240" w:firstLineChars="100"/>
        <w:jc w:val="center"/>
        <w:rPr>
          <w:rFonts w:hint="eastAsia" w:ascii="仿宋" w:hAnsi="仿宋" w:eastAsia="仿宋" w:cs="仿宋"/>
          <w:b/>
          <w:bCs/>
          <w:color w:val="auto"/>
          <w:sz w:val="32"/>
          <w:szCs w:val="32"/>
          <w:highlight w:val="none"/>
        </w:rPr>
      </w:pPr>
      <w:r>
        <w:rPr>
          <w:rFonts w:hint="eastAsia" w:ascii="仿宋" w:hAnsi="仿宋" w:eastAsia="仿宋" w:cs="仿宋"/>
          <w:b w:val="0"/>
          <w:bCs w:val="0"/>
          <w:color w:val="auto"/>
          <w:szCs w:val="21"/>
          <w:highlight w:val="none"/>
          <w:lang w:val="en-US" w:eastAsia="zh-CN"/>
        </w:rPr>
        <w:t xml:space="preserve">                            本投诉书正本叁份，副本   份并附电子文档。</w:t>
      </w:r>
      <w:bookmarkStart w:id="25" w:name="_Toc17515"/>
    </w:p>
    <w:p>
      <w:pPr>
        <w:shd w:val="clear" w:color="auto" w:fill="auto"/>
        <w:ind w:left="7951" w:hanging="5760" w:hangingChars="180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2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569" w:leftChars="304" w:hanging="3840" w:hangingChars="1600"/>
        <w:textAlignment w:val="auto"/>
        <w:outlineLvl w:val="0"/>
        <w:rPr>
          <w:rFonts w:hint="eastAsia"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27" w:name="_Toc13508"/>
      <w:r>
        <w:rPr>
          <w:rFonts w:hint="eastAsia" w:ascii="仿宋" w:hAnsi="仿宋" w:eastAsia="仿宋" w:cs="仿宋"/>
          <w:b/>
          <w:bCs/>
          <w:color w:val="auto"/>
          <w:sz w:val="24"/>
          <w:szCs w:val="24"/>
          <w:highlight w:val="none"/>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；投诉人为法人或者其他组织的，应当由法定代表人或者主要负责人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hd w:val="clear" w:color="auto" w:fil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4"/>
          <w:szCs w:val="24"/>
          <w:highlight w:val="none"/>
        </w:rPr>
        <w:t xml:space="preserve">  </w:t>
      </w:r>
      <w:bookmarkStart w:id="28" w:name="_Toc5978"/>
      <w:r>
        <w:rPr>
          <w:rFonts w:hint="eastAsia" w:ascii="仿宋" w:hAnsi="仿宋" w:eastAsia="仿宋" w:cs="仿宋"/>
          <w:b/>
          <w:bCs/>
          <w:color w:val="auto"/>
          <w:sz w:val="24"/>
          <w:szCs w:val="24"/>
          <w:highlight w:val="none"/>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shd w:val="clear" w:color="auto" w:fill="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乌恰县政府采购办</w:t>
      </w:r>
      <w:r>
        <w:rPr>
          <w:rFonts w:hint="eastAsia" w:ascii="仿宋" w:hAnsi="仿宋" w:eastAsia="仿宋" w:cs="仿宋"/>
          <w:color w:val="auto"/>
          <w:sz w:val="24"/>
          <w:szCs w:val="24"/>
          <w:highlight w:val="none"/>
        </w:rPr>
        <w:t>监管办公室</w:t>
      </w:r>
    </w:p>
    <w:p>
      <w:pPr>
        <w:shd w:val="clear" w:color="auto" w:fill="auto"/>
        <w:jc w:val="right"/>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auto"/>
          <w:sz w:val="44"/>
          <w:szCs w:val="44"/>
          <w:highlight w:val="none"/>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44"/>
          <w:szCs w:val="44"/>
          <w:highlight w:val="none"/>
        </w:rPr>
      </w:pPr>
    </w:p>
    <w:p>
      <w:pPr>
        <w:pStyle w:val="20"/>
        <w:ind w:left="0" w:leftChars="0" w:firstLine="0" w:firstLineChars="0"/>
        <w:rPr>
          <w:rFonts w:hint="eastAsia" w:ascii="仿宋" w:hAnsi="仿宋" w:eastAsia="仿宋" w:cs="仿宋"/>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仿宋" w:hAnsi="仿宋" w:eastAsia="仿宋" w:cs="仿宋"/>
          <w:bCs/>
          <w:color w:val="auto"/>
          <w:sz w:val="24"/>
          <w:szCs w:val="24"/>
          <w:highlight w:val="none"/>
        </w:rPr>
      </w:pPr>
      <w:bookmarkStart w:id="30" w:name="_Toc9061"/>
      <w:r>
        <w:rPr>
          <w:rFonts w:hint="eastAsia" w:ascii="仿宋" w:hAnsi="仿宋" w:eastAsia="仿宋" w:cs="仿宋"/>
          <w:bCs/>
          <w:color w:val="auto"/>
          <w:sz w:val="24"/>
          <w:szCs w:val="24"/>
          <w:highlight w:val="none"/>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1" w:name="_Toc15938"/>
      <w:r>
        <w:rPr>
          <w:rFonts w:hint="eastAsia" w:ascii="仿宋" w:hAnsi="仿宋" w:eastAsia="仿宋" w:cs="仿宋"/>
          <w:bCs/>
          <w:color w:val="auto"/>
          <w:sz w:val="24"/>
          <w:szCs w:val="24"/>
          <w:highlight w:val="none"/>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2" w:name="_Toc18271"/>
      <w:r>
        <w:rPr>
          <w:rFonts w:hint="eastAsia" w:ascii="仿宋" w:hAnsi="仿宋" w:eastAsia="仿宋" w:cs="仿宋"/>
          <w:bCs/>
          <w:color w:val="auto"/>
          <w:sz w:val="24"/>
          <w:szCs w:val="24"/>
          <w:highlight w:val="none"/>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3" w:name="_Toc22365"/>
      <w:r>
        <w:rPr>
          <w:rFonts w:hint="eastAsia" w:ascii="仿宋" w:hAnsi="仿宋" w:eastAsia="仿宋" w:cs="仿宋"/>
          <w:bCs/>
          <w:color w:val="auto"/>
          <w:sz w:val="24"/>
          <w:szCs w:val="24"/>
          <w:highlight w:val="none"/>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 xml:space="preserve">)：                   公章：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p>
    <w:p>
      <w:pPr>
        <w:pageBreakBefore/>
        <w:shd w:val="clear" w:color="auto" w:fill="auto"/>
        <w:spacing w:line="440" w:lineRule="exact"/>
        <w:jc w:val="center"/>
        <w:outlineLvl w:val="0"/>
        <w:rPr>
          <w:rFonts w:hint="eastAsia" w:ascii="仿宋" w:hAnsi="仿宋" w:eastAsia="仿宋" w:cs="仿宋"/>
          <w:b/>
          <w:bCs/>
          <w:color w:val="auto"/>
          <w:sz w:val="44"/>
          <w:szCs w:val="44"/>
          <w:highlight w:val="none"/>
        </w:rPr>
      </w:pPr>
      <w:bookmarkStart w:id="34" w:name="_Toc469495731"/>
      <w:r>
        <w:rPr>
          <w:rFonts w:hint="eastAsia" w:ascii="仿宋" w:hAnsi="仿宋" w:eastAsia="仿宋" w:cs="仿宋"/>
          <w:b/>
          <w:bCs/>
          <w:color w:val="auto"/>
          <w:sz w:val="44"/>
          <w:szCs w:val="44"/>
          <w:highlight w:val="none"/>
        </w:rPr>
        <w:t>第三</w:t>
      </w:r>
      <w:r>
        <w:rPr>
          <w:rFonts w:hint="eastAsia" w:ascii="仿宋" w:hAnsi="仿宋" w:eastAsia="仿宋" w:cs="仿宋"/>
          <w:b/>
          <w:bCs/>
          <w:color w:val="auto"/>
          <w:sz w:val="44"/>
          <w:szCs w:val="44"/>
          <w:highlight w:val="none"/>
          <w:lang w:eastAsia="zh-CN"/>
        </w:rPr>
        <w:t>章</w:t>
      </w:r>
      <w:r>
        <w:rPr>
          <w:rFonts w:hint="eastAsia" w:ascii="仿宋" w:hAnsi="仿宋" w:eastAsia="仿宋" w:cs="仿宋"/>
          <w:b/>
          <w:bCs/>
          <w:color w:val="auto"/>
          <w:sz w:val="44"/>
          <w:szCs w:val="44"/>
          <w:highlight w:val="none"/>
        </w:rPr>
        <w:t xml:space="preserve">  评标办法</w:t>
      </w:r>
      <w:bookmarkEnd w:id="34"/>
    </w:p>
    <w:p>
      <w:pPr>
        <w:shd w:val="clear" w:color="auto" w:fill="auto"/>
        <w:jc w:val="center"/>
        <w:outlineLvl w:val="1"/>
        <w:rPr>
          <w:rFonts w:hint="eastAsia" w:ascii="仿宋" w:hAnsi="仿宋" w:eastAsia="仿宋" w:cs="仿宋"/>
          <w:b/>
          <w:color w:val="auto"/>
          <w:sz w:val="28"/>
          <w:szCs w:val="28"/>
          <w:highlight w:val="none"/>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2、评标组织机构的组成</w:t>
      </w:r>
    </w:p>
    <w:p>
      <w:pPr>
        <w:widowControl/>
        <w:shd w:val="clear" w:color="auto" w:fill="auto"/>
        <w:spacing w:line="440" w:lineRule="exact"/>
        <w:ind w:firstLine="48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pPr>
        <w:pStyle w:val="36"/>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pPr>
        <w:pStyle w:val="36"/>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pPr>
        <w:pStyle w:val="36"/>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36"/>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pPr>
        <w:pStyle w:val="17"/>
        <w:shd w:val="clear" w:color="auto" w:fill="auto"/>
        <w:tabs>
          <w:tab w:val="left" w:pos="720"/>
          <w:tab w:val="clear" w:pos="0"/>
        </w:tabs>
        <w:spacing w:line="440" w:lineRule="exact"/>
        <w:ind w:firstLine="612" w:firstLineChars="255"/>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auto"/>
          <w:sz w:val="24"/>
          <w:szCs w:val="24"/>
          <w:highlight w:val="none"/>
        </w:rPr>
      </w:pPr>
    </w:p>
    <w:p>
      <w:pPr>
        <w:shd w:val="clear" w:color="auto" w:fill="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投标文件初审</w:t>
      </w:r>
      <w:bookmarkEnd w:id="35"/>
      <w:bookmarkEnd w:id="36"/>
    </w:p>
    <w:p>
      <w:pPr>
        <w:shd w:val="clear" w:color="auto" w:fill="auto"/>
        <w:spacing w:line="400" w:lineRule="exact"/>
        <w:ind w:firstLine="352"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pPr>
        <w:shd w:val="clear" w:color="auto" w:fill="auto"/>
        <w:spacing w:line="40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196" w:type="dxa"/>
            <w:gridSpan w:val="2"/>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09" w:type="dxa"/>
            <w:gridSpan w:val="2"/>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196" w:type="dxa"/>
            <w:gridSpan w:val="2"/>
            <w:vMerge w:val="continue"/>
            <w:noWrap w:val="0"/>
            <w:vAlign w:val="top"/>
          </w:tcPr>
          <w:p>
            <w:pPr>
              <w:shd w:val="clear" w:color="auto" w:fill="auto"/>
              <w:rPr>
                <w:rFonts w:hint="eastAsia" w:ascii="仿宋" w:hAnsi="仿宋" w:eastAsia="仿宋" w:cs="仿宋"/>
                <w:color w:val="auto"/>
                <w:sz w:val="24"/>
                <w:szCs w:val="24"/>
                <w:highlight w:val="none"/>
              </w:rPr>
            </w:pPr>
          </w:p>
        </w:tc>
        <w:tc>
          <w:tcPr>
            <w:tcW w:w="555"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654"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restart"/>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547" w:type="dxa"/>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9" w:type="dxa"/>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（三证合一）营业执照</w:t>
            </w:r>
            <w:r>
              <w:rPr>
                <w:rFonts w:hint="eastAsia" w:ascii="仿宋" w:hAnsi="仿宋" w:eastAsia="仿宋" w:cs="仿宋"/>
                <w:color w:val="auto"/>
                <w:kern w:val="0"/>
                <w:sz w:val="24"/>
                <w:szCs w:val="24"/>
                <w:highlight w:val="none"/>
                <w:lang w:eastAsia="zh-CN" w:bidi="ar"/>
              </w:rPr>
              <w:t>副本</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49"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法定代表人投标需提供法定代表人资格证明书，委托代理人投标需提供法定代表人授权委托书，</w:t>
            </w:r>
            <w:r>
              <w:rPr>
                <w:rFonts w:hint="eastAsia" w:ascii="仿宋" w:hAnsi="仿宋" w:eastAsia="仿宋" w:cs="仿宋"/>
                <w:b/>
                <w:bCs/>
                <w:color w:val="0000FF"/>
                <w:kern w:val="0"/>
                <w:sz w:val="24"/>
                <w:szCs w:val="24"/>
                <w:highlight w:val="none"/>
                <w:lang w:val="en-US" w:eastAsia="zh-CN" w:bidi="ar"/>
              </w:rPr>
              <w:t>投标企业须提供投标人（被授权在职人员）近6个月有效的社保证明</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649" w:type="dxa"/>
            <w:noWrap w:val="0"/>
            <w:vAlign w:val="center"/>
          </w:tcPr>
          <w:p>
            <w:pPr>
              <w:widowControl/>
              <w:shd w:val="clear" w:color="auto" w:fill="auto"/>
              <w:jc w:val="both"/>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参加采购活动前三年内，在经营活动中没有重大违法记录，供应商须提供 “信用中国”网（http://www.creditchina.gov.cn/）、“中国政府采购网”网站（http://www.ccgp.gov.cn）无违法违规行为的查询记录（提供查询结果网页截图并加盖供应商公章）；</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49"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保证金收据</w:t>
            </w:r>
            <w:r>
              <w:rPr>
                <w:rFonts w:hint="eastAsia" w:ascii="仿宋" w:hAnsi="仿宋" w:eastAsia="仿宋" w:cs="仿宋"/>
                <w:color w:val="auto"/>
                <w:kern w:val="0"/>
                <w:sz w:val="24"/>
                <w:szCs w:val="24"/>
                <w:highlight w:val="none"/>
                <w:lang w:eastAsia="zh-CN" w:bidi="ar"/>
              </w:rPr>
              <w:t>或保函等票据</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6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lang w:eastAsia="zh-CN"/>
              </w:rPr>
              <w:t>投标单位（供应商）针对本次采购项目《反商业贿赂承诺书》，《采购活动前三年内无重大违规记录承诺书》的书面声明；</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81"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547" w:type="dxa"/>
            <w:noWrap w:val="0"/>
            <w:vAlign w:val="center"/>
          </w:tcPr>
          <w:p>
            <w:pPr>
              <w:widowControl/>
              <w:shd w:val="clear" w:color="auto" w:fill="auto"/>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6649"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highlight w:val="none"/>
                <w:lang w:val="en-US" w:eastAsia="zh-CN"/>
              </w:rPr>
              <w:t>投标企业须提供中小企业/小微企业声明函；</w:t>
            </w:r>
          </w:p>
        </w:tc>
        <w:tc>
          <w:tcPr>
            <w:tcW w:w="555" w:type="dxa"/>
            <w:noWrap w:val="0"/>
            <w:vAlign w:val="top"/>
          </w:tcPr>
          <w:p>
            <w:pPr>
              <w:shd w:val="clear" w:color="auto" w:fill="auto"/>
              <w:rPr>
                <w:rFonts w:hint="eastAsia" w:ascii="仿宋" w:hAnsi="仿宋" w:eastAsia="仿宋" w:cs="仿宋"/>
                <w:color w:val="auto"/>
                <w:sz w:val="24"/>
                <w:szCs w:val="24"/>
                <w:highlight w:val="none"/>
              </w:rPr>
            </w:pPr>
          </w:p>
        </w:tc>
        <w:tc>
          <w:tcPr>
            <w:tcW w:w="654"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1" w:type="dxa"/>
            <w:vMerge w:val="continue"/>
            <w:noWrap w:val="0"/>
            <w:vAlign w:val="center"/>
          </w:tcPr>
          <w:p>
            <w:pPr>
              <w:shd w:val="clear" w:color="auto" w:fill="auto"/>
              <w:jc w:val="center"/>
              <w:rPr>
                <w:rFonts w:hint="eastAsia" w:ascii="仿宋" w:hAnsi="仿宋" w:eastAsia="仿宋" w:cs="仿宋"/>
                <w:color w:val="auto"/>
                <w:sz w:val="24"/>
                <w:szCs w:val="24"/>
                <w:highlight w:val="none"/>
              </w:rPr>
            </w:pPr>
          </w:p>
        </w:tc>
        <w:tc>
          <w:tcPr>
            <w:tcW w:w="547" w:type="dxa"/>
            <w:noWrap w:val="0"/>
            <w:vAlign w:val="top"/>
          </w:tcPr>
          <w:p>
            <w:pPr>
              <w:shd w:val="clear" w:color="auto" w:fill="auto"/>
              <w:spacing w:line="440" w:lineRule="exact"/>
              <w:rPr>
                <w:rFonts w:hint="eastAsia" w:ascii="仿宋" w:hAnsi="仿宋" w:eastAsia="仿宋" w:cs="仿宋"/>
                <w:color w:val="auto"/>
                <w:sz w:val="24"/>
                <w:szCs w:val="24"/>
                <w:highlight w:val="none"/>
              </w:rPr>
            </w:pPr>
          </w:p>
        </w:tc>
        <w:tc>
          <w:tcPr>
            <w:tcW w:w="6649" w:type="dxa"/>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09" w:type="dxa"/>
            <w:gridSpan w:val="2"/>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spacing w:line="400" w:lineRule="exact"/>
        <w:ind w:firstLine="578" w:firstLineChars="24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pPr>
        <w:shd w:val="clear" w:color="auto" w:fill="auto"/>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832" w:type="dxa"/>
            <w:gridSpan w:val="2"/>
            <w:tcBorders>
              <w:top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37"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6832" w:type="dxa"/>
            <w:gridSpan w:val="2"/>
            <w:tcBorders>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482"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由政府立项核准、审批的采购项目, 报价高于设定的采购预算价的</w:t>
            </w:r>
            <w:r>
              <w:rPr>
                <w:rFonts w:hint="eastAsia" w:ascii="仿宋" w:hAnsi="仿宋" w:eastAsia="仿宋" w:cs="仿宋"/>
                <w:color w:val="auto"/>
                <w:kern w:val="0"/>
                <w:sz w:val="24"/>
                <w:szCs w:val="24"/>
                <w:highlight w:val="none"/>
                <w:lang w:eastAsia="zh-CN" w:bidi="ar"/>
              </w:rPr>
              <w:t>。</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71"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71"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投标有效期满足招标文件要求。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bidi="ar"/>
              </w:rPr>
              <w:t>投标人详细地址、联系人、电话</w:t>
            </w:r>
            <w:r>
              <w:rPr>
                <w:rFonts w:hint="eastAsia" w:ascii="仿宋" w:hAnsi="仿宋" w:eastAsia="仿宋" w:cs="仿宋"/>
                <w:b w:val="0"/>
                <w:bCs w:val="0"/>
                <w:color w:val="auto"/>
                <w:kern w:val="0"/>
                <w:sz w:val="24"/>
                <w:szCs w:val="24"/>
                <w:highlight w:val="none"/>
                <w:lang w:eastAsia="zh-CN" w:bidi="ar"/>
              </w:rPr>
              <w:t>。</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bidi w:val="0"/>
        <w:rPr>
          <w:rFonts w:hint="eastAsia" w:ascii="仿宋" w:hAnsi="仿宋" w:eastAsia="仿宋" w:cs="仿宋"/>
          <w:color w:val="auto"/>
          <w:highlight w:val="none"/>
        </w:rPr>
      </w:pPr>
    </w:p>
    <w:p>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pPr>
        <w:shd w:val="clear" w:color="auto" w:fill="auto"/>
        <w:spacing w:line="400" w:lineRule="exact"/>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39" w:name="_Toc469495734"/>
      <w:bookmarkStart w:id="40" w:name="_Toc362983803"/>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39"/>
      <w:bookmarkEnd w:id="40"/>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color w:val="auto"/>
          <w:sz w:val="22"/>
          <w:szCs w:val="20"/>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仿宋" w:hAnsi="仿宋" w:eastAsia="仿宋" w:cs="仿宋"/>
          <w:b/>
          <w:color w:val="auto"/>
          <w:sz w:val="24"/>
          <w:szCs w:val="24"/>
          <w:highlight w:val="none"/>
        </w:rPr>
      </w:pPr>
      <w:bookmarkStart w:id="41" w:name="_Toc469495735"/>
      <w:r>
        <w:rPr>
          <w:rFonts w:hint="eastAsia" w:ascii="仿宋" w:hAnsi="仿宋" w:eastAsia="仿宋" w:cs="仿宋"/>
          <w:b/>
          <w:color w:val="auto"/>
          <w:sz w:val="24"/>
          <w:szCs w:val="24"/>
          <w:highlight w:val="none"/>
        </w:rPr>
        <w:t>四 比较与评价</w:t>
      </w:r>
      <w:bookmarkEnd w:id="41"/>
    </w:p>
    <w:p>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bookmarkStart w:id="42" w:name="_Toc469495736"/>
      <w:bookmarkStart w:id="43" w:name="_Toc362983805"/>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pPr>
        <w:pStyle w:val="6"/>
        <w:ind w:firstLine="480" w:firstLineChars="200"/>
        <w:rPr>
          <w:rFonts w:hint="eastAsia" w:ascii="仿宋" w:hAnsi="仿宋" w:eastAsia="仿宋" w:cs="仿宋"/>
          <w:b w:val="0"/>
          <w:bCs w:val="0"/>
          <w:color w:val="auto"/>
          <w:spacing w:val="0"/>
          <w:w w:val="100"/>
          <w:position w:val="0"/>
          <w:sz w:val="24"/>
          <w:szCs w:val="21"/>
          <w:highlight w:val="none"/>
          <w:shd w:val="clear" w:color="auto" w:fill="auto"/>
          <w:lang w:val="en-US" w:eastAsia="en-US" w:bidi="ar-SA"/>
        </w:rPr>
      </w:pPr>
      <w:r>
        <w:rPr>
          <w:rFonts w:hint="eastAsia" w:ascii="仿宋" w:hAnsi="仿宋" w:eastAsia="仿宋" w:cs="仿宋"/>
          <w:b w:val="0"/>
          <w:bCs w:val="0"/>
          <w:color w:val="auto"/>
          <w:spacing w:val="0"/>
          <w:w w:val="100"/>
          <w:position w:val="0"/>
          <w:sz w:val="24"/>
          <w:szCs w:val="21"/>
          <w:highlight w:val="none"/>
          <w:shd w:val="clear" w:color="auto" w:fill="auto"/>
          <w:lang w:val="en-US" w:eastAsia="en-US" w:bidi="ar-SA"/>
        </w:rPr>
        <w:t>（8）评分标准和细则（综合评分法评分标准）</w:t>
      </w:r>
    </w:p>
    <w:tbl>
      <w:tblPr>
        <w:tblStyle w:val="21"/>
        <w:tblW w:w="505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425"/>
        <w:gridCol w:w="562"/>
        <w:gridCol w:w="73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序号</w:t>
            </w:r>
          </w:p>
        </w:tc>
        <w:tc>
          <w:tcPr>
            <w:tcW w:w="707"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评分因素</w:t>
            </w:r>
          </w:p>
        </w:tc>
        <w:tc>
          <w:tcPr>
            <w:tcW w:w="279"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分值</w:t>
            </w:r>
          </w:p>
        </w:tc>
        <w:tc>
          <w:tcPr>
            <w:tcW w:w="3625" w:type="pct"/>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5000" w:type="pct"/>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经济部分：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87" w:type="pct"/>
            <w:noWrap w:val="0"/>
            <w:vAlign w:val="center"/>
          </w:tcPr>
          <w:p>
            <w:pPr>
              <w:shd w:val="clear" w:color="auto" w:fill="auto"/>
              <w:spacing w:line="440" w:lineRule="exact"/>
              <w:jc w:val="both"/>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报价</w:t>
            </w:r>
          </w:p>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eastAsia="zh-CN" w:bidi="ar-SA"/>
              </w:rPr>
              <w:t>部分</w:t>
            </w:r>
          </w:p>
        </w:tc>
        <w:tc>
          <w:tcPr>
            <w:tcW w:w="279"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30分</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评标基准价=有效投标报价的最低值，有效投标报价等于基准值的得满分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分，投标报价得分=（评标基准价/投标报价）×价格权重×100；有效投标报价为通过资格性和符合性审查的供应商报价。计算分数时四舍五入取小数点后两位,分数最高不超过</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分。对小型和微型企业产品的价格给予</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的扣除【即:投标报价-（投标报价×</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）】，用扣除后的价格参与评审。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5000" w:type="pct"/>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商务部分：</w:t>
            </w:r>
            <w:r>
              <w:rPr>
                <w:rFonts w:hint="eastAsia" w:ascii="仿宋" w:hAnsi="仿宋" w:eastAsia="仿宋" w:cs="仿宋"/>
                <w:color w:val="000000"/>
                <w:szCs w:val="21"/>
                <w:highlight w:val="none"/>
                <w:lang w:val="en-US" w:eastAsia="zh-CN" w:bidi="ar-SA"/>
              </w:rPr>
              <w:t>15</w:t>
            </w:r>
            <w:r>
              <w:rPr>
                <w:rFonts w:hint="eastAsia" w:ascii="仿宋" w:hAnsi="仿宋" w:eastAsia="仿宋" w:cs="仿宋"/>
                <w:color w:val="000000"/>
                <w:szCs w:val="21"/>
                <w:highlight w:val="none"/>
                <w:lang w:eastAsia="zh-CN"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val="en-US" w:eastAsia="zh-CN" w:bidi="ar-SA"/>
              </w:rPr>
              <w:t>1</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投标文件及相关资料的完整性</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相关资料的提供情况，是否真实、完整、清晰、有序、合理；投标文件是否编制完整、格式规范、内容齐全、表述准确、条理清晰，内容无前后矛盾，评委根据各投标文件的制作情况及资料提供情况进行打分。投标文件制作情况好的得5分，一般得2分，较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707"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管理体系认证证书</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3625" w:type="pct"/>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投标人具有质量管理体系证书、环境管理体系证书、职业健康安全管理体系证书全部满足得</w:t>
            </w: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分，缺一项扣1分，扣完为止(提供有效期内证书复印件加盖投标单位公章)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类似项目业绩</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有类似项目业绩每提供一项类似业绩得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分，最多得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bidi="ar-SA"/>
              </w:rPr>
              <w:t>分（类似业绩：使用功能相似，并附合同、中标通知书、验收报告和采购人联系方式，否则不得分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87"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4</w:t>
            </w:r>
          </w:p>
        </w:tc>
        <w:tc>
          <w:tcPr>
            <w:tcW w:w="707"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响应时间</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2</w:t>
            </w:r>
          </w:p>
        </w:tc>
        <w:tc>
          <w:tcPr>
            <w:tcW w:w="3625"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在接到通知，1小时内到现场并解决问题得2分</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在接到通知，2小时内到现场并解决问题得1分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32" w:hRule="atLeast"/>
        </w:trPr>
        <w:tc>
          <w:tcPr>
            <w:tcW w:w="5000" w:type="pct"/>
            <w:gridSpan w:val="4"/>
            <w:tcBorders>
              <w:bottom w:val="single" w:color="auto" w:sz="4" w:space="0"/>
            </w:tcBorders>
            <w:noWrap w:val="0"/>
            <w:vAlign w:val="center"/>
          </w:tcPr>
          <w:p>
            <w:pPr>
              <w:shd w:val="clear" w:color="auto" w:fill="auto"/>
              <w:spacing w:line="440" w:lineRule="exact"/>
              <w:ind w:firstLine="616" w:firstLineChars="257"/>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技术部分：55分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w:t>
            </w:r>
          </w:p>
        </w:tc>
        <w:tc>
          <w:tcPr>
            <w:tcW w:w="707"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12</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技术指标、参数完全满足招标文件技术指标、参数要求的得4分；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技术参数及要求优于招标文件的一项加1分，最多加8分；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707" w:type="pct"/>
            <w:tcBorders>
              <w:bottom w:val="single" w:color="auto" w:sz="4" w:space="0"/>
            </w:tcBorders>
            <w:noWrap w:val="0"/>
            <w:vAlign w:val="center"/>
          </w:tcPr>
          <w:p>
            <w:pPr>
              <w:shd w:val="clear" w:color="auto" w:fill="auto"/>
              <w:spacing w:line="440" w:lineRule="exact"/>
              <w:jc w:val="lef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拟投入的人员、设备</w:t>
            </w:r>
          </w:p>
        </w:tc>
        <w:tc>
          <w:tcPr>
            <w:tcW w:w="279"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拟为本项目配置的主要人员、设备，明确主要人员的岗位职责，设备的应用位置。应提供主要人员及设备的相关证明材料。投入本项目人员8人及以上得5分，每少一人扣一分，扣完为止。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项目实施</w:t>
            </w:r>
          </w:p>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方案</w:t>
            </w:r>
          </w:p>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bidi="ar-SA"/>
              </w:rPr>
              <w:t>供应商应充分考虑用户需求，在设备选型过程中满足用户对产品功能、质量、使用、操作等层面的需求</w:t>
            </w:r>
            <w:r>
              <w:rPr>
                <w:rFonts w:hint="eastAsia" w:ascii="仿宋" w:hAnsi="仿宋" w:eastAsia="仿宋" w:cs="仿宋"/>
                <w:color w:val="000000"/>
                <w:szCs w:val="21"/>
                <w:highlight w:val="none"/>
                <w:lang w:eastAsia="zh-CN" w:bidi="ar-SA"/>
              </w:rPr>
              <w:t>，</w:t>
            </w:r>
            <w:r>
              <w:rPr>
                <w:rFonts w:hint="eastAsia" w:ascii="仿宋" w:hAnsi="仿宋" w:eastAsia="仿宋" w:cs="仿宋"/>
                <w:color w:val="000000"/>
                <w:szCs w:val="21"/>
                <w:highlight w:val="none"/>
                <w:lang w:bidi="ar-SA"/>
              </w:rPr>
              <w:t>对产品供货安装计划与调试是否有及时可靠的供应保障方案，安全保证措施、质量保证措施方案</w:t>
            </w:r>
            <w:r>
              <w:rPr>
                <w:rFonts w:hint="eastAsia" w:ascii="仿宋" w:hAnsi="仿宋" w:eastAsia="仿宋" w:cs="仿宋"/>
                <w:color w:val="000000"/>
                <w:szCs w:val="21"/>
                <w:highlight w:val="none"/>
                <w:lang w:eastAsia="zh-CN" w:bidi="ar-SA"/>
              </w:rPr>
              <w:t>：</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1、有完善的管理架构、有详细的施工计划、质量服务计划表、机械设备使用、资金使用计划及其保证措施，计划详细、合理可行，得</w:t>
            </w:r>
            <w:r>
              <w:rPr>
                <w:rFonts w:hint="eastAsia" w:ascii="仿宋" w:hAnsi="仿宋" w:eastAsia="仿宋" w:cs="仿宋"/>
                <w:color w:val="000000"/>
                <w:szCs w:val="21"/>
                <w:highlight w:val="none"/>
                <w:lang w:val="en-US" w:eastAsia="zh-CN" w:bidi="ar-SA"/>
              </w:rPr>
              <w:t>6</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2、有较好的管理架构、有较详细的质量服务计划表、机械设备使用、资金使用计划及其保证措施，计划基本合理可行，措施基本得当，得</w:t>
            </w:r>
            <w:r>
              <w:rPr>
                <w:rFonts w:hint="eastAsia" w:ascii="仿宋" w:hAnsi="仿宋" w:eastAsia="仿宋" w:cs="仿宋"/>
                <w:color w:val="000000"/>
                <w:szCs w:val="21"/>
                <w:highlight w:val="none"/>
                <w:lang w:val="en-US" w:eastAsia="zh-CN" w:bidi="ar-SA"/>
              </w:rPr>
              <w:t>4</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3、有一般的管理架构、有基本的质量服务计划表、机械设备使用、资金使用计划不全，有漏项，得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4、方案较差或不提供，得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窄带物联网（NB-IOT）服务证明</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投标单位能协调有资质运营商提供窄带物联网（NB-IOT）服务，提供相关证明文件的得</w:t>
            </w:r>
            <w:r>
              <w:rPr>
                <w:rFonts w:hint="eastAsia" w:ascii="仿宋" w:hAnsi="仿宋" w:eastAsia="仿宋" w:cs="仿宋"/>
                <w:color w:val="000000"/>
                <w:szCs w:val="21"/>
                <w:highlight w:val="none"/>
                <w:lang w:val="en-US" w:eastAsia="zh-CN" w:bidi="ar-SA"/>
              </w:rPr>
              <w:t xml:space="preserve"> 4</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产品功能承诺</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bottom w:val="single" w:color="auto" w:sz="4" w:space="0"/>
            </w:tcBorders>
            <w:noWrap w:val="0"/>
            <w:vAlign w:val="center"/>
          </w:tcPr>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投标单位需承诺所投产品具备以下功能：</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1、平台可对各个类型的设备信息进行统一管理，主要的字段包括设备标识（图片，文字都可以），设备类型（燃气表），设备型号，厂家，设备状态，最后通讯时间，安装时间，信息记录（包括上报信息，以及下发指令，上报信息中，包括信息报文和告警报文）。</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2、平台可实时监控设备状态，监控内容包含设备状态、电池电量、在用状态、信号强度</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3、平台具备设备离线告警、手机端小程序推送告警、电话语音/短信通知告警多重告警方式</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4、平台拥有工单管理系统，可实时监测所有的报警信息并形成工单，工单的解除需要人为手动操作，以免遗漏报警信息</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提供加盖投标单位公章的承诺书的得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eastAsia="zh-CN" w:bidi="ar-SA"/>
              </w:rPr>
              <w:t>分，否则不得分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应急服务方案</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根据供应商提供的应急服务方案的详尽程度、科学性、合理性进行评审，优(5分)；良(3分)；一般(1分)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2"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7</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产品培训</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供货方能保证用户单位完全掌握设备正常使用和基础维护，有完整的培训计划，优惠条件好。完全满足培训要求得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分；基本满足培训要求得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分；无培训或培训水平低不得分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8</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施工进度控制和工期保证措施的方案</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对工程施工进度控制和工期保证措施的方案：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1、提供详细施工整体进度计划方案，进度控制方案和工期保证措施方案有明确可行的节点目标，得6分；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2、提供较详细施工整体进度计划方案，进度控制方案和工期保证措施方案有较可行的节点目标，得 4分；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3、提供施工整体进度计划方案，进度控制方案和工期保证措施方案的节点目标一般，得 2分；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4、提供施工整体进度计划方案不全面，进度控制方案和工期保证措施方案没有明确可行的节点目标，或没有相关内容描述的，得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8" w:hRule="atLeast"/>
        </w:trPr>
        <w:tc>
          <w:tcPr>
            <w:tcW w:w="387" w:type="pct"/>
            <w:vMerge w:val="restart"/>
            <w:tcBorders>
              <w:top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9</w:t>
            </w:r>
          </w:p>
        </w:tc>
        <w:tc>
          <w:tcPr>
            <w:tcW w:w="707" w:type="pct"/>
            <w:vMerge w:val="restart"/>
            <w:tcBorders>
              <w:top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售后服务</w:t>
            </w:r>
          </w:p>
        </w:tc>
        <w:tc>
          <w:tcPr>
            <w:tcW w:w="279" w:type="pct"/>
            <w:vMerge w:val="restart"/>
            <w:tcBorders>
              <w:top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10</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投标单位拟投入本项目售后服务车辆为自有或者租赁的（需提供车辆行驶证或租赁合同），每有一辆得1分，最高2分。注：提供车辆行驶证复印件或租赁合同复印件。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trPr>
        <w:tc>
          <w:tcPr>
            <w:tcW w:w="387"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707"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279"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对提供的售后服务保障方案（售后服务实施方案内容包含但不限于投标人维护人员、备件、维护响应时间、售后服务承诺等售后服务保障措施方案）：</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1、提供的售后服务保障方案，方案可行性、售后服务时间明确以及售后服务承诺落实保障措施全面完整的，得8分；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2、提供的售后服务保障方案，方案可行性、售后服务时间明确以及售后服务承诺落实保障措施一般的，得4分；</w:t>
            </w:r>
          </w:p>
          <w:p>
            <w:pPr>
              <w:shd w:val="clear" w:color="auto" w:fill="auto"/>
              <w:spacing w:line="440" w:lineRule="exact"/>
              <w:rPr>
                <w:rFonts w:hint="default"/>
                <w:lang w:val="en-US" w:eastAsia="zh-CN"/>
              </w:rPr>
            </w:pP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、提供的售后服务保障方案，方案可行</w:t>
            </w:r>
            <w:r>
              <w:rPr>
                <w:rFonts w:hint="eastAsia" w:ascii="仿宋" w:hAnsi="仿宋" w:eastAsia="仿宋" w:cs="仿宋"/>
                <w:color w:val="000000"/>
                <w:szCs w:val="21"/>
                <w:highlight w:val="none"/>
                <w:lang w:val="en-US" w:eastAsia="zh-CN" w:bidi="ar-SA"/>
              </w:rPr>
              <w:t>性</w:t>
            </w:r>
            <w:r>
              <w:rPr>
                <w:rFonts w:hint="default" w:ascii="仿宋" w:hAnsi="仿宋" w:eastAsia="仿宋" w:cs="仿宋"/>
                <w:color w:val="000000"/>
                <w:szCs w:val="21"/>
                <w:highlight w:val="none"/>
                <w:lang w:val="en-US" w:eastAsia="zh-CN" w:bidi="ar-SA"/>
              </w:rPr>
              <w:t>、售后服务时间明确以及售后服务承诺落实保障措施</w:t>
            </w:r>
            <w:r>
              <w:rPr>
                <w:rFonts w:hint="eastAsia" w:ascii="仿宋" w:hAnsi="仿宋" w:eastAsia="仿宋" w:cs="仿宋"/>
                <w:color w:val="000000"/>
                <w:szCs w:val="21"/>
                <w:highlight w:val="none"/>
                <w:lang w:val="en-US" w:eastAsia="zh-CN" w:bidi="ar-SA"/>
              </w:rPr>
              <w:t>不</w:t>
            </w:r>
            <w:r>
              <w:rPr>
                <w:rFonts w:hint="default" w:ascii="仿宋" w:hAnsi="仿宋" w:eastAsia="仿宋" w:cs="仿宋"/>
                <w:color w:val="000000"/>
                <w:szCs w:val="21"/>
                <w:highlight w:val="none"/>
                <w:lang w:val="en-US" w:eastAsia="zh-CN" w:bidi="ar-SA"/>
              </w:rPr>
              <w:t>完整的，得</w:t>
            </w:r>
            <w:r>
              <w:rPr>
                <w:rFonts w:hint="eastAsia" w:ascii="仿宋" w:hAnsi="仿宋" w:eastAsia="仿宋" w:cs="仿宋"/>
                <w:color w:val="000000"/>
                <w:szCs w:val="21"/>
                <w:highlight w:val="none"/>
                <w:lang w:val="en-US" w:eastAsia="zh-CN" w:bidi="ar-SA"/>
              </w:rPr>
              <w:t>0</w:t>
            </w:r>
            <w:r>
              <w:rPr>
                <w:rFonts w:hint="default" w:ascii="仿宋" w:hAnsi="仿宋" w:eastAsia="仿宋" w:cs="仿宋"/>
                <w:color w:val="000000"/>
                <w:szCs w:val="21"/>
                <w:highlight w:val="none"/>
                <w:lang w:val="en-US" w:eastAsia="zh-CN" w:bidi="ar-SA"/>
              </w:rPr>
              <w:t>分</w:t>
            </w:r>
            <w:r>
              <w:rPr>
                <w:rFonts w:hint="eastAsia" w:ascii="仿宋" w:hAnsi="仿宋" w:eastAsia="仿宋" w:cs="仿宋"/>
                <w:color w:val="000000"/>
                <w:szCs w:val="21"/>
                <w:highlight w:val="none"/>
                <w:lang w:val="en-US" w:eastAsia="zh-CN" w:bidi="ar-SA"/>
              </w:rPr>
              <w:t>。</w:t>
            </w:r>
          </w:p>
        </w:tc>
      </w:tr>
    </w:tbl>
    <w:p>
      <w:pPr>
        <w:rPr>
          <w:rFonts w:hint="eastAsia" w:ascii="仿宋" w:hAnsi="仿宋" w:eastAsia="仿宋" w:cs="仿宋"/>
          <w:b w:val="0"/>
          <w:bCs w:val="0"/>
          <w:color w:val="auto"/>
          <w:spacing w:val="0"/>
          <w:w w:val="100"/>
          <w:position w:val="0"/>
          <w:sz w:val="24"/>
          <w:szCs w:val="21"/>
          <w:highlight w:val="none"/>
          <w:shd w:val="clear" w:color="auto" w:fill="auto"/>
          <w:lang w:val="en-US" w:eastAsia="en-US" w:bidi="ar-SA"/>
        </w:rPr>
      </w:pPr>
    </w:p>
    <w:p>
      <w:pPr>
        <w:pStyle w:val="39"/>
        <w:shd w:val="clear" w:color="auto" w:fill="auto"/>
        <w:tabs>
          <w:tab w:val="left" w:pos="1701"/>
        </w:tabs>
        <w:spacing w:line="440" w:lineRule="exact"/>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pPr>
        <w:shd w:val="clear" w:color="auto" w:fill="auto"/>
        <w:spacing w:line="440" w:lineRule="exact"/>
        <w:ind w:firstLine="480" w:firstLineChars="200"/>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  推荐中标候选人</w:t>
      </w:r>
      <w:bookmarkEnd w:id="42"/>
      <w:bookmarkEnd w:id="43"/>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37"/>
    <w:p>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val="0"/>
          <w:bCs w:val="0"/>
          <w:color w:val="auto"/>
          <w:szCs w:val="21"/>
          <w:highlight w:val="none"/>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（12）投标人基本资格条件和特定资格条件中有一项及以上不符合要求的；</w:t>
      </w:r>
    </w:p>
    <w:p>
      <w:pPr>
        <w:shd w:val="clear" w:color="auto" w:fill="auto"/>
        <w:snapToGrid w:val="0"/>
        <w:spacing w:line="400" w:lineRule="exact"/>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（13）投标人使用相同的MAC地址进行报名的</w:t>
      </w:r>
      <w:r>
        <w:rPr>
          <w:rFonts w:hint="eastAsia" w:ascii="仿宋" w:hAnsi="仿宋" w:eastAsia="仿宋" w:cs="仿宋"/>
          <w:color w:val="auto"/>
          <w:szCs w:val="21"/>
          <w:highlight w:val="none"/>
          <w:lang w:eastAsia="zh-CN"/>
        </w:rPr>
        <w:t>；</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（14）其它情形，经评标委员会提出按无效投标处理，并经公共资源交易监督部门核准的；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（7）其它情形，经评标委员会提出按无效投标处理，并经公共资源交易监督部门核准的；</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pStyle w:val="3"/>
        <w:rPr>
          <w:rFonts w:hint="eastAsia" w:ascii="仿宋" w:hAnsi="仿宋" w:eastAsia="仿宋" w:cs="仿宋"/>
          <w:b/>
          <w:color w:val="auto"/>
          <w:sz w:val="32"/>
          <w:szCs w:val="32"/>
          <w:highlight w:val="none"/>
        </w:rPr>
      </w:pPr>
      <w:bookmarkStart w:id="44" w:name="_Toc469495737"/>
      <w:bookmarkStart w:id="45" w:name="OLE_LINK4"/>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sectPr>
          <w:footerReference r:id="rId8" w:type="default"/>
          <w:pgSz w:w="11906" w:h="16838"/>
          <w:pgMar w:top="1440" w:right="1080" w:bottom="1440" w:left="1080" w:header="851" w:footer="992" w:gutter="0"/>
          <w:pgNumType w:fmt="decimal"/>
          <w:cols w:space="720" w:num="1"/>
          <w:docGrid w:type="linesAndChars" w:linePitch="312" w:charSpace="0"/>
        </w:sectPr>
      </w:pPr>
    </w:p>
    <w:p>
      <w:pPr>
        <w:pageBreakBefore/>
        <w:numPr>
          <w:ilvl w:val="0"/>
          <w:numId w:val="0"/>
        </w:numPr>
        <w:shd w:val="clear" w:color="auto" w:fill="auto"/>
        <w:spacing w:line="360" w:lineRule="auto"/>
        <w:ind w:leftChars="0" w:right="0" w:rightChars="0"/>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36"/>
          <w:szCs w:val="36"/>
          <w:highlight w:val="none"/>
          <w:lang w:eastAsia="zh-CN"/>
        </w:rPr>
        <w:t>第四章</w:t>
      </w:r>
      <w:r>
        <w:rPr>
          <w:rFonts w:hint="eastAsia" w:ascii="仿宋" w:hAnsi="仿宋" w:eastAsia="仿宋" w:cs="仿宋"/>
          <w:b/>
          <w:color w:val="auto"/>
          <w:sz w:val="36"/>
          <w:szCs w:val="36"/>
          <w:highlight w:val="none"/>
          <w:lang w:val="en-US" w:eastAsia="zh-CN"/>
        </w:rPr>
        <w:t xml:space="preserve">  项目采购清单（</w:t>
      </w:r>
      <w:r>
        <w:rPr>
          <w:rFonts w:hint="eastAsia" w:ascii="仿宋" w:hAnsi="仿宋" w:eastAsia="仿宋" w:cs="仿宋"/>
          <w:b/>
          <w:color w:val="auto"/>
          <w:sz w:val="36"/>
          <w:szCs w:val="36"/>
          <w:highlight w:val="none"/>
        </w:rPr>
        <w:t>技术规格、数量及质量要求</w:t>
      </w:r>
      <w:r>
        <w:rPr>
          <w:rFonts w:hint="eastAsia" w:ascii="仿宋" w:hAnsi="仿宋" w:eastAsia="仿宋" w:cs="仿宋"/>
          <w:b/>
          <w:color w:val="auto"/>
          <w:sz w:val="36"/>
          <w:szCs w:val="36"/>
          <w:highlight w:val="none"/>
          <w:lang w:val="en-US" w:eastAsia="zh-CN"/>
        </w:rPr>
        <w:t>）</w:t>
      </w:r>
    </w:p>
    <w:p>
      <w:pPr>
        <w:pStyle w:val="3"/>
        <w:rPr>
          <w:rFonts w:hint="eastAsia" w:ascii="仿宋" w:hAnsi="仿宋" w:eastAsia="仿宋" w:cs="仿宋"/>
          <w:b/>
          <w:color w:val="auto"/>
          <w:sz w:val="32"/>
          <w:szCs w:val="32"/>
          <w:highlight w:val="none"/>
        </w:rPr>
      </w:pPr>
    </w:p>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shd w:val="clear" w:color="auto" w:fill="auto"/>
        </w:rPr>
      </w:pPr>
      <w:r>
        <w:rPr>
          <w:rFonts w:hint="eastAsia" w:ascii="宋体" w:hAnsi="宋体" w:eastAsia="宋体" w:cs="宋体"/>
          <w:b/>
          <w:bCs/>
          <w:i w:val="0"/>
          <w:iCs w:val="0"/>
          <w:color w:val="auto"/>
          <w:kern w:val="0"/>
          <w:sz w:val="40"/>
          <w:szCs w:val="40"/>
          <w:u w:val="none"/>
          <w:shd w:val="clear" w:color="auto" w:fill="auto"/>
          <w:lang w:val="en-US" w:eastAsia="zh-CN" w:bidi="ar"/>
        </w:rPr>
        <w:t>智能物联网燃气表及燃气报警器</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618"/>
        <w:gridCol w:w="1020"/>
        <w:gridCol w:w="6968"/>
        <w:gridCol w:w="618"/>
        <w:gridCol w:w="716"/>
        <w:gridCol w:w="819"/>
        <w:gridCol w:w="819"/>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序号</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项目</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采购名称</w:t>
            </w:r>
          </w:p>
        </w:tc>
        <w:tc>
          <w:tcPr>
            <w:tcW w:w="2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规格要求</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单位</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单价</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总价</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c>
          <w:tcPr>
            <w:tcW w:w="2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shd w:val="clear" w:color="auto" w:fill="auto"/>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（元）</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（元）</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NB-IoT物联网无线远传燃气表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NB-IoT物联网无线远传燃气表，采用NB-IoT通讯方式，支持远程阀控，使用寿命10年，产品需具备无线远传燃气表防爆合格证、计量器具型式批准证书，物联网卡10年使用费用由供应商提供。具体技术要求如下。</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一、技术标准</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GB/T 6968   膜式燃气表；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GB/T 4208   外壳防护等级(IP代码)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GB/T 3836.1 爆性环境用防爆电气设备通用要求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GB/T 3836.4 爆炸性气体环境用电气设备本质安全型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JJG 577膜式燃气表检定规程</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T/CGAS003-2017 民用智能燃气表通用技术要求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T/CGAS006-2019 基于窄带物联网（NB-IoT）技术的燃气智能抄表系统</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本标准约定物联网智能燃气表控制器采用在基表基础上增加电子模块的产品组装方式。增加的电子模块使用寿命必须大于基表的使用寿命，整个组装后的物联网智能燃气表的正常使用生命周期必须大于十年。其中基表部分根据要求进行重新维护与校准后继续使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凡本技术协议未叙及的条款及内容均按上述标准的规定执行，要求不统一条款以要求高条款为准。</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二、技术参数</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 规格： G2.5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公称流量m3/h：2.5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最大流量(qmax) m3/h：4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最小流量：(qmin) m3/h ：0.025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基本误差限 %： Qmin≤Q＜0.1Qmax时±3；0.1Qmax≤Q≤Qmax时±1.5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适用介质： 天然气、空气</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最大累计读数m³：99999.999</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工作压力范围 kPa：0～30</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密封性 kPa：最大工作压力的1.5倍下不泄漏</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压力损失 Pa： ≤250</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防爆标准 ： EXib IIBT3 Gb</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工作环境温度 ℃ ：-10～+40</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工作环境湿度 %RH ：≤93%RH</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供电方式： 碱性电池</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电池使用年限：使用寿命≥24个月，方便更换，两年期限内由供应商免费更换</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采样方式： 脉冲采样</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显示方式 ：机械显示和液晶显示</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阀门控制 ： 支持远程阀控，可实现不同权限阀门控制，包括普通关阀，权限关阀</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阀门可靠性：  连续开关次数不小于60000次</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防护等级：  IP65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通讯方式 ： NB-IOT、红外线或蓝牙</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日抄表成功率：  ≥99%</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一次抄表成功率： ≥97%</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使用寿命 年： ≥10</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数据上传频率：  ≥1次/天，失败重传≤3次/天</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外壳材质：钢质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三、技术要求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1．基本要求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（1）表具应为脉冲采样模式；</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（2）表具电源：碱性电池寿命≥24个月，方便更换，两年期限内由供应商免费更换（满足每天至少数据传输1次）；</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（3）功耗要求：静态工作电流不大于50微安，最大工作电流不大于250毫安。</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（4）表具天线：内置天线；</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（5）通讯功能：采用的通信号段必须为三大运营商的物联网号段，物联网号段指运营商专为物联网行业所发行的卡号。</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（6）表具使用温度为-10℃~+40℃；表具耐贮存温度为-25℃~55℃。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（7）表具防护等级为IP65；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（8）表头应有唯一编号。表头铭牌应包含：厂家、规格型号、条形码、计量许可证编号、防爆等级等信息。</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（9）外壳涂层：应均匀，不得有起泡、脱落、划痕、凹陷、污斑等缺陷，标记应清晰易读，封印应完好可靠。</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（10）表端需具备经外力破坏方能拆卸的防护封印或其他措施。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2、功能配置</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（1）具备定时与手动上传两种工作模式；</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（2）定时上传，可在线配置，以天为最小单位，按天上传、按月上传等模式；上传机制需具备系统“错峰”和随机错峰两种模式，便于分担服务器、带宽等压力；</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（3）数据上传过程中，数据需采用动态的加密方式，保证通信数据的安全；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（4）表具实时数据包括：燃气表编号、软件版本号、表具的读数（总使用量）、表具的阀门状态、表具的电池电压、抄表时间、通讯状态、报警信息等，不限于这些；</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（5）表具报警信息包括：电量不足报警等；</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1)低电报警功能：当电池进入电量不足时，显示故障码并及时告知系统；</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2)余额不足报警功能：当表内余额小于预设的报警限时，发出报警提示；</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3)燃气表在强磁、无线电干扰、静电脉冲等干扰情况下，能执行报警普通关阀。</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4)多天不用气报警功能：燃气表可设置多天不用气关阀 当表具检测到连续 N 天没有用气则会自动关闭阀门，用户可以通过功能按钮 来打开阀门；该功能开启或关闭及 N 天不用气关阀天数可通过采集平台在线设置；</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5)长时间不通信报警功能：燃气表应支持长时间不通信关阀功能，当表具检测到连续 N 天上传数据不成功则会自动关阀，用户不能通过功能按钮打开阀门，该功能开启或关闭及 N 天不上传关阀天数可通过采集平台在线设置；</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（6）具备远程自动校时功能；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（7）表具在收到关阀信号、电压过低、流量过大等情况下应关闭内置阀门。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（8）定时上传模式及参数可在线配置；</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（9）通信时必须校准表内时钟；</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（10）除网络配置外，还需具备一种表端本地配置功能，方便快捷的修改通信参数，如红外通讯、蓝牙通讯等；</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（11）按键功能：满足开启液晶显示，检查开阀条件。满足唤醒通信模块，上报抄表数据，接收平台指令。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shd w:val="clear" w:color="auto" w:fill="FFFF00"/>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其他要求：供应商必须向平台开发商无偿提供接入平台所需的代码，并确保燃气表能够在燃气平台正常使用，接入平台所产生的所有费用由供应商承担。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auto"/>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2"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物联网燃气报警器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燃气报警器设备要求采用高品质气敏元件，基于新国标要求设计，出厂前经过48小时老化测试，支持微信、短信、电话三种方式告警推送，采用LTE Cat.1高质量网络进行数据上报，物联网卡5年使用费用由供应商提供，产品需要具有消防CCCF证书。</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在功能上需满足下表基本配置要求。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 可燃气体检测 1）要求支持对甲烷或丙烷气体的检测功能。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2）甲烷或丙烷的检测精度要求优于±3% LEL。</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 设备状态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 1）正常监视状态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设备在正常监视状态下时，指示灯应为绿色状态。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2）报警状态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当被监测气体浓度达到阈值时，指示灯应为红色状态并进行蜂鸣器报警，同时上报报警信息至平台。</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3）故障状态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当设备遇传感器故障时，指示灯应为黄色状态并进行蜂鸣器提示，同时上报故障信息至平台。</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 数据传输：设备支持周期性上报设备状态、网络状态、气体浓度等参数信息至平台，上报周期要求不超过24小时。</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 设备报警 1）当被监测气体浓度达到阈值时，设备要求支持上报报警信息至平台及本地进行声光告警。</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2）甲烷和丙烷的报警设定值要求在5% LEL到25% LEL范围内。</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 自检功能 设备要求支持手动自检，按下按键后要求发出声光信号，同时上报自检信息至平台。</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 消音功能 1）设备在报警状态发出声光报警时，要求支持进行本地消音。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2）设备在故障状态发出声光提示时，要求支持进行本地消音。</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3）设备可选支持应用平台通过控制指令进行远程消音。</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7 固件升级 设备可选支持固件/应用本地升级及远程升级。若支持，在升级失败时需具备回退机制。</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8 供电 1）设备要求采用外接直流电源供电，要求支持工作电压AC187V～AC253V（50Hz±0.5Hz）。</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2）设备所带电源线要求不短于1.5米。</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9 通信部分 1）通信制式要求使用4G Cat.1。</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2）频段要求支持B1、B3、B8。</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3）射频接收灵敏度(整机)要求优于-92dBm。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10 指示灯 1）要求采用发光二极管指示灯。支持设备在不同状态下的指示、告警功能。红色表示报警信号，黄色表示故障信号，绿色表示电源正常工作。</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2）在5lx到500lx光照条件下，正前方5米处，指示灯的状态要求清晰可见。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11 蜂鸣器 1）报警最大声压级要求不小于70dB，小大于115dB(正前方1米，A计权)。支持设备在不同状态下的指示、告警功能。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2）在85%额定电压条件下，蜂鸣器应能发出声响。</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12 工作环境 1）工作温度：-10℃～+55℃。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2）存储温度：-25℃～+55℃。</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3）相对湿度：93%RH，无冷凝（40℃环境下）。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4）环境可靠性测试要求符合GB 15322.2-2019标准。</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入户安装辅材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切断阀</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DN15口径；支持燃气报警器联动控制关阀；支持和物联网燃气报警器联动控制关阀；材质铜合金， 工作温度-15℃到60℃； 防爆等级EXmbIIT6GB；CJ/T394-2018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4</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燃气表接头</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DN15；金属材质，与燃气表配套、配密封垫片。符合国家最新标准</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8000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5</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表前后内外丝球阀</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DN15；铜合金材质；RQZ-PNO.15</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11724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符合</w:t>
            </w:r>
            <w:r>
              <w:rPr>
                <w:rFonts w:hint="default" w:ascii="宋体" w:hAnsi="宋体" w:eastAsia="宋体" w:cs="宋体"/>
                <w:i w:val="0"/>
                <w:iCs w:val="0"/>
                <w:color w:val="000000"/>
                <w:spacing w:val="0"/>
                <w:w w:val="100"/>
                <w:kern w:val="0"/>
                <w:position w:val="0"/>
                <w:sz w:val="18"/>
                <w:szCs w:val="18"/>
                <w:u w:val="none"/>
                <w:shd w:val="clear" w:color="auto" w:fill="auto"/>
                <w:lang w:val="en-US" w:eastAsia="zh-CN" w:bidi="ar"/>
              </w:rPr>
              <w:t>GB/T 12225-2018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6</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 xml:space="preserve">管卡 </w:t>
            </w:r>
            <w:r>
              <w:rPr>
                <w:rStyle w:val="43"/>
                <w:color w:val="auto"/>
                <w:shd w:val="clear" w:color="auto" w:fill="auto"/>
                <w:lang w:val="en-US" w:eastAsia="zh-CN" w:bidi="ar"/>
              </w:rPr>
              <w:t xml:space="preserve">  </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w:t>
            </w:r>
            <w:r>
              <w:rPr>
                <w:rStyle w:val="43"/>
                <w:color w:val="auto"/>
                <w:shd w:val="clear" w:color="auto" w:fill="auto"/>
                <w:lang w:val="en-US" w:eastAsia="zh-CN" w:bidi="ar"/>
              </w:rPr>
              <w:t>CJ/T447-2014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7</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金属波纹管灶具管成品</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shd w:val="clear" w:color="auto" w:fill="auto"/>
                <w:lang w:val="en-US" w:eastAsia="zh-CN" w:bidi="ar"/>
              </w:rPr>
            </w:pPr>
            <w:r>
              <w:rPr>
                <w:rFonts w:hint="eastAsia" w:ascii="宋体" w:hAnsi="宋体" w:eastAsia="宋体" w:cs="宋体"/>
                <w:i w:val="0"/>
                <w:iCs w:val="0"/>
                <w:color w:val="auto"/>
                <w:kern w:val="0"/>
                <w:sz w:val="20"/>
                <w:szCs w:val="20"/>
                <w:u w:val="none"/>
                <w:shd w:val="clear" w:color="auto" w:fill="auto"/>
                <w:lang w:val="en-US" w:eastAsia="zh-CN" w:bidi="ar"/>
              </w:rPr>
              <w:t>DN10；2米， 304不锈钢 ；CJ/197-2010；使用寿命不低于8年，在此期间损坏的由供应商无条件提供。</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8</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内丝弯头</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DN15-90°；304不锈钢；GB/T12459-2017</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15632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9</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燃气表托</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10X10  金属材质 符合国家最新标准</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3908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10</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膨胀螺丝</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M8X120； 20#碳钢</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11724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0"/>
                <w:szCs w:val="20"/>
                <w:u w:val="none"/>
                <w:shd w:val="clear" w:color="auto" w:fill="auto"/>
                <w:lang w:val="en-US" w:eastAsia="zh-CN"/>
              </w:rPr>
            </w:pPr>
            <w:r>
              <w:rPr>
                <w:rFonts w:hint="eastAsia" w:ascii="宋体" w:hAnsi="宋体" w:eastAsia="宋体" w:cs="宋体"/>
                <w:i w:val="0"/>
                <w:iCs w:val="0"/>
                <w:color w:val="auto"/>
                <w:sz w:val="20"/>
                <w:szCs w:val="20"/>
                <w:u w:val="none"/>
                <w:shd w:val="clear" w:color="auto" w:fill="auto"/>
                <w:lang w:val="en-US" w:eastAsia="zh-CN"/>
              </w:rPr>
              <w:t>11</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燃气入户管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  20#无缝钢管  壁厚2.0mm</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米</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11724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shd w:val="clear" w:color="auto" w:fill="auto"/>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0"/>
                <w:szCs w:val="20"/>
                <w:u w:val="none"/>
                <w:shd w:val="clear" w:color="auto" w:fill="auto"/>
                <w:lang w:val="en-US" w:eastAsia="zh-CN"/>
              </w:rPr>
            </w:pPr>
            <w:r>
              <w:rPr>
                <w:rFonts w:hint="eastAsia" w:ascii="宋体" w:hAnsi="宋体" w:eastAsia="宋体" w:cs="宋体"/>
                <w:i w:val="0"/>
                <w:iCs w:val="0"/>
                <w:color w:val="auto"/>
                <w:sz w:val="20"/>
                <w:szCs w:val="20"/>
                <w:u w:val="none"/>
                <w:shd w:val="clear" w:color="auto" w:fill="auto"/>
                <w:lang w:val="en-US" w:eastAsia="zh-CN"/>
              </w:rPr>
              <w:t>12</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入户套管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DN40  20#无缝钢管  壁厚3.5mm</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米</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11724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shd w:val="clear" w:color="auto" w:fill="auto"/>
                <w:lang w:val="en-US"/>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shd w:val="clear" w:color="auto" w:fill="auto"/>
                <w:lang w:val="en-US"/>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13</w:t>
            </w: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三通</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DN15；304不锈钢；成品与远传表出口配套、配密封垫</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11724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总计</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shd w:val="clear" w:color="auto" w:fil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shd w:val="clear" w:color="auto" w:fill="auto"/>
                <w:lang w:val="en-US"/>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shd w:val="clear" w:color="auto" w:fill="auto"/>
              </w:rPr>
            </w:pPr>
          </w:p>
        </w:tc>
      </w:tr>
    </w:tbl>
    <w:p>
      <w:pPr>
        <w:rPr>
          <w:color w:val="auto"/>
          <w:shd w:val="clear" w:color="auto" w:fill="auto"/>
        </w:rPr>
      </w:pPr>
    </w:p>
    <w:p>
      <w:pPr>
        <w:pStyle w:val="3"/>
        <w:rPr>
          <w:rFonts w:hint="eastAsia" w:ascii="仿宋" w:hAnsi="仿宋" w:eastAsia="仿宋" w:cs="仿宋"/>
          <w:b/>
          <w:color w:val="auto"/>
          <w:sz w:val="32"/>
          <w:szCs w:val="32"/>
          <w:highlight w:val="none"/>
        </w:rPr>
        <w:sectPr>
          <w:pgSz w:w="16838" w:h="11906" w:orient="landscape"/>
          <w:pgMar w:top="1080" w:right="1440" w:bottom="1080" w:left="1440" w:header="851" w:footer="992" w:gutter="0"/>
          <w:pgNumType w:fmt="decimal"/>
          <w:cols w:space="720" w:num="1"/>
          <w:docGrid w:type="linesAndChars" w:linePitch="312" w:charSpace="0"/>
        </w:sectPr>
      </w:pPr>
    </w:p>
    <w:bookmarkEnd w:id="38"/>
    <w:bookmarkEnd w:id="44"/>
    <w:p>
      <w:pPr>
        <w:spacing w:line="360" w:lineRule="auto"/>
        <w:rPr>
          <w:rFonts w:hint="eastAsia" w:ascii="仿宋" w:hAnsi="仿宋" w:eastAsia="仿宋" w:cs="仿宋"/>
          <w:b/>
          <w:bCs/>
          <w:color w:val="auto"/>
          <w:sz w:val="24"/>
          <w:szCs w:val="24"/>
          <w:lang w:eastAsia="zh-CN"/>
        </w:rPr>
      </w:pPr>
      <w:bookmarkStart w:id="46" w:name="_Toc340225294"/>
      <w:bookmarkStart w:id="47" w:name="_Toc267320052"/>
      <w:r>
        <w:rPr>
          <w:rFonts w:hint="eastAsia" w:ascii="仿宋" w:hAnsi="仿宋" w:eastAsia="仿宋" w:cs="仿宋"/>
          <w:b/>
          <w:bCs/>
          <w:color w:val="auto"/>
          <w:sz w:val="24"/>
          <w:szCs w:val="24"/>
          <w:lang w:eastAsia="zh-CN"/>
        </w:rPr>
        <w:t>1.2包装要求</w:t>
      </w:r>
    </w:p>
    <w:p>
      <w:pPr>
        <w:spacing w:line="360" w:lineRule="auto"/>
        <w:ind w:firstLine="49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项目商务要求</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（一）实施（供货及安装期限）时间</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签订合同后</w:t>
      </w:r>
      <w:r>
        <w:rPr>
          <w:rFonts w:hint="eastAsia" w:ascii="仿宋" w:hAnsi="仿宋" w:eastAsia="仿宋" w:cs="仿宋"/>
          <w:color w:val="auto"/>
          <w:sz w:val="24"/>
          <w:szCs w:val="24"/>
          <w:u w:val="single"/>
          <w:lang w:val="en-US" w:eastAsia="zh-CN"/>
        </w:rPr>
        <w:t xml:space="preserve"> 60 </w:t>
      </w:r>
      <w:r>
        <w:rPr>
          <w:rFonts w:hint="eastAsia" w:ascii="仿宋" w:hAnsi="仿宋" w:eastAsia="仿宋" w:cs="仿宋"/>
          <w:color w:val="auto"/>
          <w:sz w:val="24"/>
          <w:szCs w:val="24"/>
          <w:lang w:val="en-US" w:eastAsia="zh-CN"/>
        </w:rPr>
        <w:t>天内完成供货及安装调试完毕；</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（二）实施（交货）地点</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实施（交货）地点：甲方指定地点</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（三）报价要求</w:t>
      </w:r>
    </w:p>
    <w:p>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项目报价采用人民币综合单价，投标供应商应严格按照“开标一览表”和“分项报价明细表”的格式认真填写。本项目只接受一个投标报价，有选择的或有条件的报价将不予接受。</w:t>
      </w:r>
    </w:p>
    <w:p>
      <w:pPr>
        <w:spacing w:line="360" w:lineRule="auto"/>
        <w:ind w:firstLine="490"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投标企业报价必须考虑事宜如下：从采购、运输、税金、安装维修、接入、拆除、卸货至指定地点、验收合格、交付使用及售后服务等的人民币报价。单价包括了货物本身价格、运输税金费、安装维修费、现场检验试验费、交付使用及售后服务费等，因质量问题引起的更换、技术指导和培训、成品保护、投标人的利润、税金、政策性文件的规定以及包括原材料涨价等合同明示或暗示的所有一切风险、责任和义务的费用，本次报价投标企业必须考虑清楚一切费用，一旦中标不增加任何费用。</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（四）质保要求</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1、本项目质保期</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lang w:val="en-US" w:eastAsia="zh-CN"/>
        </w:rPr>
        <w:t>年，质保期内免费维修。</w:t>
      </w:r>
    </w:p>
    <w:p>
      <w:pPr>
        <w:spacing w:line="360" w:lineRule="auto"/>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2、质量标准：货物的技术指标作为交货验收时的依据（采购人按照所投产品的技术规格及商务要求验收货物，如投标人实际应标的标准高于国家标准及招标文件中的要求，则按投标人应标标准验收）。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3、投标人应保证用品是全新、未使用过的合格正品,并完全符合国家规定的质量、规格和性能要求。</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4、投标人提供伪劣假冒商品或非合格全新的，投标人应无条件更换为合格产品。给甲方造成损失的,应承担赔偿责任。</w:t>
      </w:r>
    </w:p>
    <w:p>
      <w:pPr>
        <w:spacing w:line="360" w:lineRule="auto"/>
        <w:ind w:firstLine="490"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5、所供货物质量如达不到甲方质量要求的，必须按甲方要求更换，更换至甲方满意为止。</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（五）售后服务、理赔、质量技术及验收保证的承诺</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货物验收时，供应商向采购人提供所有构件的生产厂家出具的出厂合格证、厂家资格证件、安装手册、操作手册、维修保养手册等，并必须进行送检，经检验合格后报送燃气主管部门备案，否则甲方不予以验收。</w:t>
      </w:r>
      <w:bookmarkStart w:id="76" w:name="_GoBack"/>
      <w:bookmarkEnd w:id="76"/>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 3 \* GB3 \* MERGEFORMAT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w:t>
      </w:r>
      <w:r>
        <w:rPr>
          <w:rFonts w:hint="eastAsia" w:ascii="仿宋" w:hAnsi="仿宋" w:eastAsia="仿宋" w:cs="仿宋"/>
          <w:color w:val="000000" w:themeColor="text1"/>
          <w:sz w:val="24"/>
          <w:szCs w:val="24"/>
          <w:lang w:val="en-US" w:eastAsia="zh-CN"/>
          <w14:textFill>
            <w14:solidFill>
              <w14:schemeClr w14:val="tx1"/>
            </w14:solidFill>
          </w14:textFill>
        </w:rPr>
        <w:t>货物的技术指标作为交货验收时的依据（采购人按照所投产品的技术规格及商务要求验收货物，如投标人实际应标的标准高于国家标准及招标文件中的要求，则按投标人应标标准验收）</w:t>
      </w:r>
      <w:r>
        <w:rPr>
          <w:rFonts w:hint="eastAsia" w:ascii="仿宋" w:hAnsi="仿宋" w:eastAsia="仿宋" w:cs="仿宋"/>
          <w:color w:val="auto"/>
          <w:sz w:val="24"/>
          <w:szCs w:val="24"/>
          <w:lang w:val="en-US" w:eastAsia="zh-CN"/>
        </w:rPr>
        <w:t>。</w:t>
      </w:r>
    </w:p>
    <w:p>
      <w:pPr>
        <w:spacing w:line="360" w:lineRule="auto"/>
        <w:ind w:firstLine="490" w:firstLineChars="200"/>
        <w:rPr>
          <w:rFonts w:hint="eastAsia" w:ascii="仿宋" w:hAnsi="仿宋" w:eastAsia="仿宋" w:cs="仿宋"/>
          <w:b w:val="0"/>
          <w:color w:val="auto"/>
          <w:spacing w:val="0"/>
          <w:w w:val="100"/>
          <w:position w:val="0"/>
          <w:sz w:val="24"/>
          <w:szCs w:val="24"/>
          <w:shd w:val="clear" w:color="auto" w:fill="auto"/>
          <w:lang w:val="en-US" w:eastAsia="zh-CN" w:bidi="en-US"/>
        </w:rPr>
      </w:pPr>
      <w:r>
        <w:rPr>
          <w:rFonts w:hint="eastAsia" w:ascii="仿宋" w:hAnsi="仿宋" w:eastAsia="仿宋" w:cs="仿宋"/>
          <w:b w:val="0"/>
          <w:color w:val="auto"/>
          <w:spacing w:val="0"/>
          <w:w w:val="100"/>
          <w:position w:val="0"/>
          <w:sz w:val="24"/>
          <w:szCs w:val="24"/>
          <w:shd w:val="clear" w:color="auto" w:fill="auto"/>
          <w:lang w:val="en-US" w:eastAsia="zh-CN" w:bidi="en-US"/>
        </w:rPr>
        <w:t>④、</w:t>
      </w:r>
      <w:r>
        <w:rPr>
          <w:rFonts w:hint="eastAsia" w:ascii="仿宋" w:hAnsi="仿宋" w:eastAsia="仿宋" w:cs="仿宋"/>
          <w:color w:val="000000" w:themeColor="text1"/>
          <w:sz w:val="24"/>
          <w:szCs w:val="24"/>
          <w:lang w:val="en-US" w:eastAsia="zh-CN"/>
          <w14:textFill>
            <w14:solidFill>
              <w14:schemeClr w14:val="tx1"/>
            </w14:solidFill>
          </w14:textFill>
        </w:rPr>
        <w:t>供应商提供的货物未达到招标文件规定要求，且对采购人造成损失的，由供应商承担一切责任，并赔偿所造成的损失。</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3、售后服务</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1）凡乙方所售产品，在质保期之内设备出现非人为损坏，上门服务不收任何费用。质保期过后只收取配件的成本费，免费维修。</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2）在质保期外，提供零配件和保养服务（只计取成本费）。</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3）质保期满后，若有零部件出现故障，经权威部门签定属于寿命异常问题（明显短于该零部件正常寿命）时，则由乙方负责免费更换及维修。</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4）质保期满后不能维修的，配件更换，只收成本费。在配件停止生产的情况下，乙方事先将要停止生产的计划通知用户，使用户有足够的时间采购所需备件。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5）质保期内，自设备投入使用之日起开始计算，提供每年不少于2次回访。</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6）供应商须配备必备的原厂零配件，零配件必须满足正常使用1年的零配件损耗，保证设备正常运行。</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7）甲方正常使用乙方所供产品出现损坏需要维修时，乙方须在2小时内响应，12小时内到达现场进行处理，一般24小时内解决故障问题，重大故障48小时内解决故障问题。</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8）供应商提供的货物未达到招标文件规定要求，且对采购人造成损失的，由供应商承担一切责任，并赔偿所造成的损失。</w:t>
      </w:r>
    </w:p>
    <w:p>
      <w:pPr>
        <w:spacing w:line="360" w:lineRule="auto"/>
        <w:ind w:firstLine="490"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（六）付款方式</w:t>
      </w:r>
    </w:p>
    <w:bookmarkEnd w:id="45"/>
    <w:bookmarkEnd w:id="46"/>
    <w:bookmarkEnd w:id="47"/>
    <w:p>
      <w:pPr>
        <w:shd w:val="clear" w:color="auto" w:fill="auto"/>
        <w:spacing w:line="360" w:lineRule="auto"/>
        <w:ind w:firstLine="490" w:firstLineChars="200"/>
        <w:jc w:val="left"/>
        <w:rPr>
          <w:rFonts w:hint="eastAsia" w:ascii="仿宋" w:hAnsi="仿宋" w:eastAsia="仿宋" w:cs="仿宋"/>
          <w:color w:val="0000FF"/>
          <w:sz w:val="24"/>
          <w:szCs w:val="24"/>
          <w:lang w:val="en-US" w:eastAsia="zh-CN"/>
        </w:rPr>
      </w:pPr>
      <w:bookmarkStart w:id="48" w:name="_Toc21807"/>
      <w:bookmarkStart w:id="49" w:name="_Toc16945"/>
      <w:bookmarkStart w:id="50" w:name="_Toc8238"/>
      <w:bookmarkStart w:id="51" w:name="_Toc469495740"/>
      <w:r>
        <w:rPr>
          <w:rFonts w:hint="eastAsia" w:ascii="仿宋" w:hAnsi="仿宋" w:eastAsia="仿宋" w:cs="仿宋"/>
          <w:color w:val="0000FF"/>
          <w:sz w:val="24"/>
          <w:szCs w:val="24"/>
          <w:lang w:val="en-US" w:eastAsia="zh-CN"/>
        </w:rPr>
        <w:t>项目合同签订后，货物及施工达到入场条件时预付30%的款项，供货及安装达到整体50%（附已完成工程量清单）时支付20%的款项，供货及安装完成验收合格后支付剩余50%的款项（实际以签订合同为准）。</w:t>
      </w:r>
    </w:p>
    <w:p>
      <w:pPr>
        <w:spacing w:line="360" w:lineRule="auto"/>
        <w:ind w:firstLine="490"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知识产权</w:t>
      </w:r>
      <w:bookmarkEnd w:id="48"/>
      <w:bookmarkEnd w:id="49"/>
      <w:bookmarkEnd w:id="50"/>
    </w:p>
    <w:p>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ind w:firstLine="490" w:firstLineChars="200"/>
        <w:rPr>
          <w:rFonts w:hint="eastAsia" w:ascii="仿宋" w:hAnsi="仿宋" w:eastAsia="仿宋" w:cs="仿宋"/>
          <w:b/>
          <w:bCs/>
          <w:color w:val="auto"/>
          <w:sz w:val="24"/>
          <w:szCs w:val="24"/>
          <w:lang w:eastAsia="zh-CN"/>
        </w:rPr>
      </w:pPr>
      <w:bookmarkStart w:id="52" w:name="_Toc20832"/>
      <w:bookmarkStart w:id="53" w:name="_Toc12239"/>
      <w:bookmarkStart w:id="54" w:name="_Toc7598"/>
      <w:bookmarkStart w:id="55" w:name="_Toc439255252"/>
      <w:bookmarkStart w:id="56" w:name="_Toc267320054"/>
      <w:bookmarkStart w:id="57" w:name="_Toc12840_WPSOffice_Level1"/>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lang w:eastAsia="zh-CN"/>
        </w:rPr>
        <w:t>其他</w:t>
      </w:r>
      <w:bookmarkEnd w:id="52"/>
      <w:bookmarkEnd w:id="53"/>
      <w:bookmarkEnd w:id="54"/>
    </w:p>
    <w:bookmarkEnd w:id="55"/>
    <w:bookmarkEnd w:id="56"/>
    <w:bookmarkEnd w:id="57"/>
    <w:p>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1、投标人必须在投标文件中对以上条款和服务承诺明确列出，承诺内容必须达到本篇及招标文件其他条款的要求。</w:t>
      </w:r>
    </w:p>
    <w:p>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2、其他未尽事宜由供需双方在采购合同中详细约定。</w:t>
      </w: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p>
      <w:pPr>
        <w:pStyle w:val="16"/>
        <w:rPr>
          <w:rFonts w:hint="eastAsia" w:ascii="仿宋" w:hAnsi="仿宋" w:eastAsia="仿宋" w:cs="仿宋"/>
          <w:color w:val="auto"/>
          <w:sz w:val="24"/>
          <w:szCs w:val="24"/>
          <w:lang w:eastAsia="zh-CN"/>
        </w:rPr>
      </w:pPr>
    </w:p>
    <w:bookmarkEnd w:id="51"/>
    <w:p>
      <w:pPr>
        <w:numPr>
          <w:ilvl w:val="0"/>
          <w:numId w:val="0"/>
        </w:numPr>
        <w:spacing w:line="360" w:lineRule="auto"/>
        <w:ind w:leftChars="0" w:right="0" w:rightChars="0"/>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lang w:eastAsia="zh-CN"/>
        </w:rPr>
        <w:t>第五章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合  同</w:t>
      </w:r>
    </w:p>
    <w:p>
      <w:pPr>
        <w:pStyle w:val="16"/>
        <w:numPr>
          <w:ilvl w:val="0"/>
          <w:numId w:val="0"/>
        </w:numPr>
        <w:ind w:leftChars="0" w:right="0" w:rightChars="0"/>
        <w:rPr>
          <w:rFonts w:hint="eastAsia"/>
        </w:rPr>
      </w:pPr>
    </w:p>
    <w:p>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16"/>
        <w:rPr>
          <w:rFonts w:hint="eastAsia"/>
        </w:rPr>
      </w:pPr>
    </w:p>
    <w:p>
      <w:pPr>
        <w:spacing w:line="440" w:lineRule="exact"/>
        <w:jc w:val="center"/>
        <w:rPr>
          <w:rFonts w:hint="eastAsia" w:ascii="宋体" w:hAnsi="宋体" w:cs="宋体"/>
          <w:szCs w:val="21"/>
        </w:rPr>
      </w:pPr>
      <w:r>
        <w:rPr>
          <w:rFonts w:hint="eastAsia" w:ascii="宋体" w:hAnsi="宋体" w:eastAsia="宋体" w:cs="宋体"/>
          <w:szCs w:val="21"/>
          <w:lang w:val="en-US" w:eastAsia="zh-CN"/>
        </w:rPr>
        <w:t xml:space="preserve">                                        </w:t>
      </w:r>
      <w:r>
        <w:rPr>
          <w:rFonts w:hint="eastAsia" w:ascii="宋体" w:hAnsi="宋体" w:cs="宋体"/>
          <w:szCs w:val="21"/>
        </w:rPr>
        <w:t>合同编号：</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pPr>
        <w:shd w:val="clear" w:color="auto" w:fill="auto"/>
        <w:spacing w:line="360" w:lineRule="auto"/>
        <w:jc w:val="left"/>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（下称需方）经公开招标结果确定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1、本项目质保期</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lang w:val="en-US" w:eastAsia="zh-CN"/>
        </w:rPr>
        <w:t>年，质保期内免费维修。</w:t>
      </w:r>
    </w:p>
    <w:p>
      <w:pPr>
        <w:spacing w:line="360" w:lineRule="auto"/>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2、质量标准：货物的技术指标作为交货验收时的依据（采购人按照所投产品的技术规格及商务要求验收货物，如投标人实际应标的标准高于国家标准及招标文件中的要求，则按投标人应标标准验收）。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3、投标人应保证用品是全新、未使用过的合格正品,并完全符合国家规定的质量、规格和性能要求。</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4、投标人提供伪劣假冒商品或非合格全新的，投标人应无条件更换为合格产品。给甲方造成损失的,应承担赔偿责任。</w:t>
      </w:r>
    </w:p>
    <w:p>
      <w:pPr>
        <w:spacing w:line="360" w:lineRule="auto"/>
        <w:ind w:firstLine="490"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5、所供货物质量如达不到甲方质量要求的，必须按甲方要求更换，更换至甲方满意为止。</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w:t>
      </w:r>
      <w:r>
        <w:rPr>
          <w:rFonts w:hint="eastAsia" w:ascii="仿宋" w:hAnsi="仿宋" w:eastAsia="仿宋" w:cs="仿宋"/>
          <w:b w:val="0"/>
          <w:bCs w:val="0"/>
          <w:color w:val="auto"/>
          <w:sz w:val="24"/>
          <w:szCs w:val="24"/>
          <w:lang w:val="en-US" w:eastAsia="zh-CN"/>
        </w:rPr>
        <w:t>招标人</w:t>
      </w:r>
      <w:r>
        <w:rPr>
          <w:rFonts w:hint="eastAsia" w:ascii="仿宋" w:hAnsi="仿宋" w:eastAsia="仿宋" w:cs="仿宋"/>
          <w:b w:val="0"/>
          <w:bCs w:val="0"/>
          <w:color w:val="auto"/>
          <w:sz w:val="24"/>
          <w:szCs w:val="24"/>
        </w:rPr>
        <w:t>验收。</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售后服务、理赔、质量技术及验收保证的承诺</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②、货物验收时，供应商向采购人提供所有构件的生产厂家出具的出厂合格证、厂家资格证件、安装手册、操作手册、维修保养手册等，否则甲方不予以验收。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 3 \* GB3 \* MERGEFORMAT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w:t>
      </w:r>
      <w:r>
        <w:rPr>
          <w:rFonts w:hint="eastAsia" w:ascii="仿宋" w:hAnsi="仿宋" w:eastAsia="仿宋" w:cs="仿宋"/>
          <w:color w:val="000000" w:themeColor="text1"/>
          <w:sz w:val="24"/>
          <w:szCs w:val="24"/>
          <w:lang w:val="en-US" w:eastAsia="zh-CN"/>
          <w14:textFill>
            <w14:solidFill>
              <w14:schemeClr w14:val="tx1"/>
            </w14:solidFill>
          </w14:textFill>
        </w:rPr>
        <w:t>货物的技术指标作为交货验收时的依据（采购人按照所投产品的技术规格及商务要求验收货物，如投标人实际应标的标准高于国家标准及招标文件中的要求，则按投标人应标标准验收）</w:t>
      </w:r>
      <w:r>
        <w:rPr>
          <w:rFonts w:hint="eastAsia" w:ascii="仿宋" w:hAnsi="仿宋" w:eastAsia="仿宋" w:cs="仿宋"/>
          <w:color w:val="auto"/>
          <w:sz w:val="24"/>
          <w:szCs w:val="24"/>
          <w:lang w:val="en-US" w:eastAsia="zh-CN"/>
        </w:rPr>
        <w:t>。</w:t>
      </w:r>
    </w:p>
    <w:p>
      <w:pPr>
        <w:spacing w:line="360" w:lineRule="auto"/>
        <w:ind w:firstLine="490" w:firstLineChars="200"/>
        <w:rPr>
          <w:rFonts w:hint="eastAsia" w:ascii="仿宋" w:hAnsi="仿宋" w:eastAsia="仿宋" w:cs="仿宋"/>
          <w:b w:val="0"/>
          <w:color w:val="auto"/>
          <w:spacing w:val="0"/>
          <w:w w:val="100"/>
          <w:position w:val="0"/>
          <w:sz w:val="24"/>
          <w:szCs w:val="24"/>
          <w:shd w:val="clear" w:color="auto" w:fill="auto"/>
          <w:lang w:val="en-US" w:eastAsia="zh-CN" w:bidi="en-US"/>
        </w:rPr>
      </w:pPr>
      <w:r>
        <w:rPr>
          <w:rFonts w:hint="eastAsia" w:ascii="仿宋" w:hAnsi="仿宋" w:eastAsia="仿宋" w:cs="仿宋"/>
          <w:b w:val="0"/>
          <w:color w:val="auto"/>
          <w:spacing w:val="0"/>
          <w:w w:val="100"/>
          <w:position w:val="0"/>
          <w:sz w:val="24"/>
          <w:szCs w:val="24"/>
          <w:shd w:val="clear" w:color="auto" w:fill="auto"/>
          <w:lang w:val="en-US" w:eastAsia="zh-CN" w:bidi="en-US"/>
        </w:rPr>
        <w:t>④、</w:t>
      </w:r>
      <w:r>
        <w:rPr>
          <w:rFonts w:hint="eastAsia" w:ascii="仿宋" w:hAnsi="仿宋" w:eastAsia="仿宋" w:cs="仿宋"/>
          <w:color w:val="000000" w:themeColor="text1"/>
          <w:sz w:val="24"/>
          <w:szCs w:val="24"/>
          <w:lang w:val="en-US" w:eastAsia="zh-CN"/>
          <w14:textFill>
            <w14:solidFill>
              <w14:schemeClr w14:val="tx1"/>
            </w14:solidFill>
          </w14:textFill>
        </w:rPr>
        <w:t>供应商提供的货物未达到招标文件规定要求，且对采购人造成损失的，由供应商承担一切责任，并赔偿所造成的损失。</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3、售后服务</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1）凡乙方所售产品，在质保期之内设备出现非人为损坏，上门服务不收任何费用。质保期过后只收取配件的成本费，免费维修。</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2）在质保期外，提供零配件和保养服务（只计取成本费）。</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3）质保期满后，若有零部件出现故障，经权威部门签定属于寿命异常问题（明显短于该零部件正常寿命）时，则由乙方负责免费更换及维修。</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4）质保期满后不能维修的，配件更换，只收成本费。在配件停止生产的情况下，乙方事先将要停止生产的计划通知用户，使用户有足够的时间采购所需备件。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5）质保期内，自设备投入使用之日起开始计算，提供每年不少于2次回访。</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6）供应商须配备必备的原厂零配件，零配件必须满足正常使用1年的零配件损耗，保证设备正常运行。</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7）甲方正常使用乙方所供产品出现损坏需要维修时，乙方须在2小时内响应，12小时内到达现场进行处理，一般24小时内解决故障问题，重大故障48小时内解决故障问题。</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8）供应商提供的货物未达到招标文件规定要求，且对采购人造成损失的，由供应商承担一切责任，并赔偿所造成的损失。</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pPr>
        <w:shd w:val="clear" w:color="auto" w:fill="auto"/>
        <w:spacing w:line="360" w:lineRule="auto"/>
        <w:ind w:firstLine="490" w:firstLineChars="200"/>
        <w:jc w:val="left"/>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项目合同签订后，货物及施工达到入场条件时预付30%的款项，供货及安装达到整体50%（附已完成工程量清单）时支付20%的款项，供货及安装完成验收合格后支付剩余50%的款项（实际以签订合同为准）。</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2、如有质量问题时需方可以按照供应方投标文件的服务承诺从质量保证金款项中扣除相关费用。</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3、其它违约，按《中华人民共和国合同法》的相关条款执行。</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lang w:val="en-US" w:eastAsia="zh-CN"/>
        </w:rPr>
        <w:t>后确认</w:t>
      </w:r>
      <w:r>
        <w:rPr>
          <w:rFonts w:hint="eastAsia" w:ascii="仿宋" w:hAnsi="仿宋" w:eastAsia="仿宋" w:cs="仿宋"/>
          <w:b w:val="0"/>
          <w:bCs w:val="0"/>
          <w:color w:val="auto"/>
          <w:sz w:val="24"/>
          <w:szCs w:val="24"/>
        </w:rPr>
        <w:t>。</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pPr>
        <w:shd w:val="clear" w:color="auto" w:fill="auto"/>
        <w:spacing w:line="360" w:lineRule="auto"/>
        <w:ind w:firstLine="490" w:firstLineChars="200"/>
        <w:jc w:val="left"/>
        <w:rPr>
          <w:rFonts w:hint="eastAsia"/>
        </w:rPr>
      </w:pPr>
      <w:r>
        <w:rPr>
          <w:rFonts w:hint="eastAsia" w:ascii="仿宋" w:hAnsi="仿宋" w:eastAsia="仿宋" w:cs="仿宋"/>
          <w:b w:val="0"/>
          <w:bCs w:val="0"/>
          <w:color w:val="auto"/>
          <w:sz w:val="24"/>
          <w:szCs w:val="24"/>
        </w:rPr>
        <w:t>3、相关招标文件、投标文件与本合同具有同等法律效力。</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pPr>
        <w:pStyle w:val="16"/>
        <w:rPr>
          <w:rFonts w:hint="eastAsia" w:ascii="仿宋" w:hAnsi="仿宋" w:eastAsia="仿宋" w:cs="仿宋"/>
          <w:b w:val="0"/>
          <w:bCs w:val="0"/>
          <w:color w:val="auto"/>
          <w:sz w:val="24"/>
          <w:szCs w:val="24"/>
        </w:rPr>
      </w:pPr>
    </w:p>
    <w:p>
      <w:pPr>
        <w:pStyle w:val="30"/>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z w:val="44"/>
          <w:szCs w:val="44"/>
        </w:rPr>
      </w:pPr>
      <w:r>
        <w:rPr>
          <w:rFonts w:hint="eastAsia" w:ascii="仿宋" w:hAnsi="仿宋" w:eastAsia="仿宋" w:cs="仿宋"/>
          <w:b/>
          <w:bCs/>
          <w:color w:val="auto"/>
          <w:spacing w:val="0"/>
          <w:w w:val="100"/>
          <w:position w:val="0"/>
          <w:sz w:val="44"/>
          <w:szCs w:val="44"/>
        </w:rPr>
        <w:t>第</w:t>
      </w:r>
      <w:r>
        <w:rPr>
          <w:rFonts w:hint="eastAsia" w:ascii="仿宋" w:hAnsi="仿宋" w:eastAsia="仿宋" w:cs="仿宋"/>
          <w:b/>
          <w:bCs/>
          <w:color w:val="auto"/>
          <w:spacing w:val="0"/>
          <w:w w:val="100"/>
          <w:position w:val="0"/>
          <w:sz w:val="44"/>
          <w:szCs w:val="44"/>
          <w:lang w:eastAsia="zh-CN"/>
        </w:rPr>
        <w:t>六章</w:t>
      </w:r>
      <w:r>
        <w:rPr>
          <w:rFonts w:hint="eastAsia" w:ascii="仿宋" w:hAnsi="仿宋" w:eastAsia="仿宋" w:cs="仿宋"/>
          <w:b/>
          <w:bCs/>
          <w:color w:val="auto"/>
          <w:spacing w:val="0"/>
          <w:w w:val="100"/>
          <w:position w:val="0"/>
          <w:sz w:val="44"/>
          <w:szCs w:val="44"/>
          <w:lang w:val="en-US" w:eastAsia="zh-CN"/>
        </w:rPr>
        <w:t xml:space="preserve">   </w:t>
      </w:r>
      <w:r>
        <w:rPr>
          <w:rFonts w:hint="eastAsia" w:ascii="仿宋" w:hAnsi="仿宋" w:eastAsia="仿宋" w:cs="仿宋"/>
          <w:b/>
          <w:bCs/>
          <w:color w:val="auto"/>
          <w:spacing w:val="0"/>
          <w:w w:val="100"/>
          <w:position w:val="0"/>
          <w:sz w:val="44"/>
          <w:szCs w:val="44"/>
        </w:rPr>
        <w:t>投标文件格式</w:t>
      </w:r>
    </w:p>
    <w:p>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bookmarkStart w:id="58" w:name="bookmark196"/>
      <w:r>
        <w:rPr>
          <w:rFonts w:hint="eastAsia" w:ascii="仿宋" w:hAnsi="仿宋" w:eastAsia="仿宋" w:cs="仿宋"/>
          <w:b/>
          <w:bCs/>
          <w:color w:val="auto"/>
          <w:sz w:val="28"/>
          <w:szCs w:val="28"/>
          <w:bdr w:val="single" w:color="auto" w:sz="4" w:space="0"/>
        </w:rPr>
        <w:t>正/副 本</w:t>
      </w:r>
    </w:p>
    <w:p>
      <w:pPr>
        <w:adjustRightInd w:val="0"/>
        <w:snapToGrid w:val="0"/>
        <w:spacing w:line="360" w:lineRule="auto"/>
        <w:jc w:val="center"/>
        <w:rPr>
          <w:rFonts w:hint="eastAsia" w:ascii="仿宋" w:hAnsi="仿宋" w:eastAsia="仿宋" w:cs="仿宋"/>
          <w:b/>
          <w:caps/>
          <w:color w:val="auto"/>
          <w:sz w:val="24"/>
          <w:szCs w:val="24"/>
        </w:rPr>
      </w:pPr>
    </w:p>
    <w:p>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pPr>
        <w:adjustRightInd w:val="0"/>
        <w:snapToGrid w:val="0"/>
        <w:spacing w:line="360" w:lineRule="auto"/>
        <w:jc w:val="both"/>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hint="eastAsia" w:ascii="仿宋" w:hAnsi="仿宋" w:eastAsia="仿宋" w:cs="仿宋"/>
          <w:bCs/>
          <w:color w:val="auto"/>
          <w:sz w:val="32"/>
          <w:szCs w:val="32"/>
        </w:rPr>
      </w:pPr>
    </w:p>
    <w:p>
      <w:pPr>
        <w:pStyle w:val="6"/>
        <w:rPr>
          <w:rFonts w:hint="eastAsia"/>
        </w:rPr>
      </w:pPr>
    </w:p>
    <w:p>
      <w:pPr>
        <w:adjustRightInd w:val="0"/>
        <w:snapToGrid w:val="0"/>
        <w:spacing w:line="360" w:lineRule="auto"/>
        <w:jc w:val="both"/>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0"/>
          <w:w w:val="87"/>
          <w:kern w:val="0"/>
          <w:sz w:val="32"/>
          <w:szCs w:val="32"/>
          <w:fitText w:val="2810" w:id="1470909418"/>
        </w:rPr>
        <w:t>供应商名称（公章）</w:t>
      </w:r>
      <w:r>
        <w:rPr>
          <w:rFonts w:hint="eastAsia" w:ascii="仿宋" w:hAnsi="仿宋" w:eastAsia="仿宋" w:cs="仿宋"/>
          <w:b/>
          <w:caps/>
          <w:color w:val="auto"/>
          <w:spacing w:val="3"/>
          <w:w w:val="87"/>
          <w:kern w:val="0"/>
          <w:sz w:val="32"/>
          <w:szCs w:val="32"/>
          <w:fitText w:val="2810" w:id="1470909418"/>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0"/>
          <w:w w:val="67"/>
          <w:kern w:val="0"/>
          <w:sz w:val="32"/>
          <w:szCs w:val="32"/>
          <w:fitText w:val="2810" w:id="1"/>
        </w:rPr>
        <w:t>法定代表人（</w:t>
      </w:r>
      <w:r>
        <w:rPr>
          <w:rFonts w:hint="eastAsia" w:ascii="仿宋" w:hAnsi="仿宋" w:eastAsia="仿宋" w:cs="仿宋"/>
          <w:b/>
          <w:caps/>
          <w:color w:val="auto"/>
          <w:spacing w:val="0"/>
          <w:w w:val="67"/>
          <w:kern w:val="0"/>
          <w:sz w:val="32"/>
          <w:szCs w:val="32"/>
          <w:fitText w:val="2810" w:id="1"/>
          <w:lang w:eastAsia="zh-CN"/>
        </w:rPr>
        <w:t>签字</w:t>
      </w:r>
      <w:r>
        <w:rPr>
          <w:rFonts w:hint="eastAsia" w:ascii="仿宋" w:hAnsi="仿宋" w:eastAsia="仿宋" w:cs="仿宋"/>
          <w:b/>
          <w:caps/>
          <w:color w:val="auto"/>
          <w:spacing w:val="0"/>
          <w:w w:val="67"/>
          <w:kern w:val="0"/>
          <w:sz w:val="32"/>
          <w:szCs w:val="32"/>
          <w:fitText w:val="2810" w:id="1"/>
        </w:rPr>
        <w:t>或盖章）</w:t>
      </w:r>
      <w:r>
        <w:rPr>
          <w:rFonts w:hint="eastAsia" w:ascii="仿宋" w:hAnsi="仿宋" w:eastAsia="仿宋" w:cs="仿宋"/>
          <w:b/>
          <w:caps/>
          <w:color w:val="auto"/>
          <w:spacing w:val="5"/>
          <w:w w:val="67"/>
          <w:kern w:val="0"/>
          <w:sz w:val="32"/>
          <w:szCs w:val="32"/>
          <w:fitText w:val="2810" w:id="1"/>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89"/>
          <w:kern w:val="0"/>
          <w:sz w:val="32"/>
          <w:szCs w:val="32"/>
          <w:fitText w:val="2810" w:id="2"/>
        </w:rPr>
        <w:t>供应商地址</w:t>
      </w:r>
      <w:r>
        <w:rPr>
          <w:rFonts w:hint="eastAsia" w:ascii="仿宋" w:hAnsi="仿宋" w:eastAsia="仿宋" w:cs="仿宋"/>
          <w:b/>
          <w:caps/>
          <w:color w:val="auto"/>
          <w:spacing w:val="0"/>
          <w:kern w:val="0"/>
          <w:sz w:val="32"/>
          <w:szCs w:val="32"/>
          <w:fitText w:val="2810" w:id="2"/>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255"/>
          <w:kern w:val="0"/>
          <w:sz w:val="32"/>
          <w:szCs w:val="32"/>
          <w:fitText w:val="2810" w:id="3"/>
        </w:rPr>
        <w:t>联系人</w:t>
      </w:r>
      <w:r>
        <w:rPr>
          <w:rFonts w:hint="eastAsia" w:ascii="仿宋" w:hAnsi="仿宋" w:eastAsia="仿宋" w:cs="仿宋"/>
          <w:b/>
          <w:caps/>
          <w:color w:val="auto"/>
          <w:spacing w:val="0"/>
          <w:kern w:val="0"/>
          <w:sz w:val="32"/>
          <w:szCs w:val="32"/>
          <w:fitText w:val="2810" w:id="3"/>
        </w:rPr>
        <w:t>：</w:t>
      </w: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56" w:rightChars="-64"/>
        <w:textAlignment w:val="auto"/>
        <w:rPr>
          <w:rFonts w:hint="eastAsia" w:ascii="仿宋" w:hAnsi="仿宋" w:eastAsia="仿宋" w:cs="仿宋"/>
          <w:b/>
          <w:caps/>
          <w:color w:val="auto"/>
          <w:sz w:val="32"/>
          <w:szCs w:val="32"/>
        </w:rPr>
      </w:pPr>
      <w:r>
        <w:rPr>
          <w:rFonts w:hint="eastAsia" w:ascii="仿宋" w:hAnsi="仿宋" w:eastAsia="仿宋" w:cs="仿宋"/>
          <w:b/>
          <w:caps/>
          <w:color w:val="auto"/>
          <w:spacing w:val="151"/>
          <w:kern w:val="0"/>
          <w:sz w:val="32"/>
          <w:szCs w:val="32"/>
          <w:fitText w:val="2810" w:id="4"/>
        </w:rPr>
        <w:t>联系电话</w:t>
      </w:r>
      <w:r>
        <w:rPr>
          <w:rFonts w:hint="eastAsia" w:ascii="仿宋" w:hAnsi="仿宋" w:eastAsia="仿宋" w:cs="仿宋"/>
          <w:b/>
          <w:caps/>
          <w:color w:val="auto"/>
          <w:spacing w:val="1"/>
          <w:kern w:val="0"/>
          <w:sz w:val="32"/>
          <w:szCs w:val="32"/>
          <w:fitText w:val="2810" w:id="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_年__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_月__</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_日</w:t>
      </w:r>
    </w:p>
    <w:p>
      <w:pPr>
        <w:pStyle w:val="32"/>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auto"/>
          <w:spacing w:val="0"/>
          <w:w w:val="100"/>
          <w:position w:val="0"/>
        </w:rPr>
      </w:pPr>
    </w:p>
    <w:bookmarkEnd w:id="58"/>
    <w:p>
      <w:pPr>
        <w:pStyle w:val="5"/>
        <w:numPr>
          <w:ilvl w:val="0"/>
          <w:numId w:val="0"/>
        </w:numPr>
        <w:shd w:val="clear" w:color="auto" w:fill="auto"/>
        <w:spacing w:before="0" w:line="240" w:lineRule="atLeast"/>
        <w:rPr>
          <w:rFonts w:hint="eastAsia" w:ascii="仿宋" w:hAnsi="仿宋" w:eastAsia="仿宋" w:cs="仿宋"/>
          <w:b/>
          <w:bCs/>
          <w:color w:val="auto"/>
          <w:sz w:val="24"/>
          <w:highlight w:val="none"/>
        </w:rPr>
      </w:pPr>
      <w:bookmarkStart w:id="59" w:name="_Toc515647803"/>
      <w:bookmarkStart w:id="60" w:name="_Toc18694"/>
      <w:bookmarkStart w:id="61" w:name="_Toc18974"/>
      <w:bookmarkStart w:id="62" w:name="_Toc8919"/>
    </w:p>
    <w:p>
      <w:pPr>
        <w:pStyle w:val="5"/>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40"/>
          <w:szCs w:val="40"/>
          <w:highlight w:val="none"/>
        </w:rPr>
        <w:t>第一部分 资格证明文件</w:t>
      </w:r>
      <w:bookmarkEnd w:id="59"/>
      <w:bookmarkEnd w:id="60"/>
      <w:bookmarkEnd w:id="61"/>
      <w:bookmarkEnd w:id="62"/>
    </w:p>
    <w:p>
      <w:pPr>
        <w:shd w:val="clear" w:color="auto" w:fill="auto"/>
        <w:spacing w:line="240" w:lineRule="atLeast"/>
        <w:ind w:left="708" w:hanging="722" w:hangingChars="295"/>
        <w:jc w:val="center"/>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具备三证合一营业执照副本；</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、法定代表人资格证明书</w:t>
      </w:r>
      <w:r>
        <w:rPr>
          <w:rFonts w:hint="eastAsia" w:ascii="仿宋" w:hAnsi="仿宋" w:eastAsia="仿宋" w:cs="仿宋"/>
          <w:color w:val="auto"/>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法定代表人授权书</w:t>
      </w:r>
      <w:r>
        <w:rPr>
          <w:rFonts w:hint="eastAsia" w:ascii="仿宋" w:hAnsi="仿宋" w:eastAsia="仿宋" w:cs="仿宋"/>
          <w:color w:val="auto"/>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b w:val="0"/>
          <w:color w:val="0000FF"/>
          <w:spacing w:val="0"/>
          <w:w w:val="100"/>
          <w:position w:val="0"/>
          <w:sz w:val="24"/>
          <w:szCs w:val="24"/>
          <w:highlight w:val="none"/>
          <w:shd w:val="clear" w:color="auto" w:fill="auto"/>
          <w:lang w:val="en-US" w:eastAsia="zh-CN" w:bidi="en-US"/>
        </w:rPr>
      </w:pPr>
      <w:r>
        <w:rPr>
          <w:rFonts w:hint="eastAsia" w:ascii="仿宋" w:hAnsi="仿宋" w:eastAsia="仿宋" w:cs="仿宋"/>
          <w:b w:val="0"/>
          <w:color w:val="0000FF"/>
          <w:spacing w:val="0"/>
          <w:w w:val="100"/>
          <w:position w:val="0"/>
          <w:sz w:val="24"/>
          <w:szCs w:val="24"/>
          <w:highlight w:val="none"/>
          <w:shd w:val="clear" w:color="auto" w:fill="auto"/>
          <w:lang w:val="en-US" w:eastAsia="zh-CN" w:bidi="en-US"/>
        </w:rPr>
        <w:t>4、投标企业须提供投标人（被授权在职人员）近6个月有效的社保证明；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lang w:eastAsia="zh-CN"/>
        </w:rPr>
        <w:t>投标单位（供应商）针对本次采购项目《反商业贿赂承诺书》；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8、供应商须提供 “信用中国”网站（http://www.creditchina.gov.cn/）、“中国政府采购网”网站（http://www.ccgp.gov.cn）无违法违规行为的查询记录（提供查询结果网页截图并加盖供应商公章）；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、投标人须知资料表要求的其他资格证明文件;</w:t>
      </w: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rPr>
      </w:pPr>
    </w:p>
    <w:p>
      <w:pPr>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bookmarkStart w:id="63" w:name="_Toc29899"/>
      <w:bookmarkStart w:id="64" w:name="_Toc515647805"/>
      <w:bookmarkStart w:id="65" w:name="_Toc4844"/>
      <w:bookmarkStart w:id="66" w:name="_Toc17577"/>
      <w:r>
        <w:rPr>
          <w:rFonts w:hint="eastAsia" w:ascii="仿宋" w:hAnsi="仿宋" w:eastAsia="仿宋" w:cs="仿宋"/>
          <w:b/>
          <w:bCs/>
          <w:color w:val="auto"/>
          <w:sz w:val="36"/>
          <w:szCs w:val="36"/>
          <w:lang w:val="en-US" w:eastAsia="zh-CN"/>
        </w:rPr>
        <w:t xml:space="preserve">1、 </w:t>
      </w:r>
      <w:bookmarkEnd w:id="63"/>
      <w:bookmarkEnd w:id="64"/>
      <w:bookmarkEnd w:id="65"/>
      <w:bookmarkEnd w:id="66"/>
      <w:r>
        <w:rPr>
          <w:rFonts w:hint="eastAsia" w:ascii="仿宋" w:hAnsi="仿宋" w:eastAsia="仿宋" w:cs="仿宋"/>
          <w:b/>
          <w:bCs/>
          <w:color w:val="auto"/>
          <w:sz w:val="36"/>
          <w:szCs w:val="36"/>
          <w:lang w:val="en-US" w:eastAsia="zh-CN"/>
        </w:rPr>
        <w:t>具备三证合一营业执照副本；</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28"/>
        <w:rPr>
          <w:rFonts w:hint="eastAsia" w:ascii="仿宋" w:hAnsi="仿宋" w:eastAsia="仿宋" w:cs="仿宋"/>
          <w:b/>
          <w:bCs/>
          <w:color w:val="auto"/>
          <w:sz w:val="36"/>
          <w:szCs w:val="36"/>
        </w:rPr>
      </w:pPr>
    </w:p>
    <w:p>
      <w:pPr>
        <w:pStyle w:val="9"/>
        <w:keepNext w:val="0"/>
        <w:keepLines w:val="0"/>
        <w:pageBreakBefore w:val="0"/>
        <w:widowControl w:val="0"/>
        <w:numPr>
          <w:ilvl w:val="0"/>
          <w:numId w:val="0"/>
        </w:numPr>
        <w:tabs>
          <w:tab w:val="left" w:pos="2556"/>
        </w:tabs>
        <w:kinsoku w:val="0"/>
        <w:overflowPunct w:val="0"/>
        <w:topLinePunct w:val="0"/>
        <w:autoSpaceDE/>
        <w:autoSpaceDN/>
        <w:bidi w:val="0"/>
        <w:adjustRightInd/>
        <w:snapToGrid/>
        <w:spacing w:before="34" w:line="440" w:lineRule="exact"/>
        <w:ind w:right="126" w:rightChars="0"/>
        <w:jc w:val="left"/>
        <w:textAlignment w:val="auto"/>
        <w:rPr>
          <w:rFonts w:hint="eastAsia" w:ascii="仿宋" w:hAnsi="仿宋" w:eastAsia="仿宋" w:cs="仿宋"/>
          <w:b/>
          <w:bCs/>
          <w:color w:val="auto"/>
          <w:sz w:val="36"/>
          <w:szCs w:val="36"/>
          <w:lang w:eastAsia="zh-CN"/>
        </w:rPr>
      </w:pPr>
    </w:p>
    <w:p>
      <w:pPr>
        <w:pStyle w:val="9"/>
        <w:keepNext w:val="0"/>
        <w:keepLines w:val="0"/>
        <w:pageBreakBefore w:val="0"/>
        <w:widowControl w:val="0"/>
        <w:numPr>
          <w:ilvl w:val="0"/>
          <w:numId w:val="4"/>
        </w:numPr>
        <w:kinsoku w:val="0"/>
        <w:overflowPunct w:val="0"/>
        <w:topLinePunct w:val="0"/>
        <w:autoSpaceDE/>
        <w:autoSpaceDN/>
        <w:bidi w:val="0"/>
        <w:adjustRightInd/>
        <w:snapToGrid/>
        <w:spacing w:before="34" w:line="440" w:lineRule="exact"/>
        <w:ind w:left="320" w:leftChars="0" w:right="126" w:rightChars="0" w:firstLine="0" w:firstLine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法定代表人身份证明</w:t>
      </w:r>
    </w:p>
    <w:p>
      <w:pPr>
        <w:pStyle w:val="6"/>
        <w:rPr>
          <w:rFonts w:hint="eastAsia"/>
        </w:rPr>
      </w:pP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pPr>
        <w:pStyle w:val="9"/>
        <w:numPr>
          <w:ilvl w:val="0"/>
          <w:numId w:val="0"/>
        </w:numPr>
        <w:kinsoku w:val="0"/>
        <w:overflowPunct w:val="0"/>
        <w:ind w:leftChars="0" w:right="0" w:rightChars="0"/>
        <w:rPr>
          <w:rFonts w:hint="eastAsia" w:ascii="仿宋" w:hAnsi="仿宋" w:eastAsia="仿宋" w:cs="仿宋"/>
          <w:color w:val="auto"/>
          <w:sz w:val="20"/>
          <w:szCs w:val="20"/>
        </w:rPr>
      </w:pPr>
    </w:p>
    <w:p>
      <w:pPr>
        <w:pStyle w:val="9"/>
        <w:numPr>
          <w:ilvl w:val="0"/>
          <w:numId w:val="0"/>
        </w:numPr>
        <w:kinsoku w:val="0"/>
        <w:overflowPunct w:val="0"/>
        <w:spacing w:before="7"/>
        <w:ind w:leftChars="0" w:right="0" w:rightChars="0"/>
        <w:rPr>
          <w:rFonts w:hint="eastAsia" w:ascii="仿宋" w:hAnsi="仿宋" w:eastAsia="仿宋" w:cs="仿宋"/>
          <w:color w:val="auto"/>
          <w:sz w:val="25"/>
          <w:szCs w:val="25"/>
        </w:rPr>
      </w:pPr>
    </w:p>
    <w:p>
      <w:pPr>
        <w:pStyle w:val="9"/>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0" t="0" r="47625" b="2984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任意多边形 15"/>
                        <wps:cNvSpPr/>
                        <wps:spPr>
                          <a:xfrm>
                            <a:off x="24" y="28"/>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6" name="任意多边形 16"/>
                        <wps:cNvSpPr/>
                        <wps:spPr>
                          <a:xfrm>
                            <a:off x="24" y="2267"/>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7" name="任意多边形 17"/>
                        <wps:cNvSpPr/>
                        <wps:spPr>
                          <a:xfrm>
                            <a:off x="4" y="2286"/>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9" name="任意多边形 19"/>
                        <wps:cNvSpPr/>
                        <wps:spPr>
                          <a:xfrm>
                            <a:off x="9" y="4"/>
                            <a:ext cx="20" cy="2287"/>
                          </a:xfrm>
                          <a:custGeom>
                            <a:avLst/>
                            <a:gdLst/>
                            <a:ahLst/>
                            <a:cxnLst/>
                            <a:pathLst>
                              <a:path w="20" h="2287">
                                <a:moveTo>
                                  <a:pt x="0" y="0"/>
                                </a:moveTo>
                                <a:lnTo>
                                  <a:pt x="0" y="2286"/>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 name="任意多边形 20"/>
                        <wps:cNvSpPr/>
                        <wps:spPr>
                          <a:xfrm>
                            <a:off x="28" y="24"/>
                            <a:ext cx="20" cy="2249"/>
                          </a:xfrm>
                          <a:custGeom>
                            <a:avLst/>
                            <a:gdLst/>
                            <a:ahLst/>
                            <a:cxnLst/>
                            <a:pathLst>
                              <a:path w="20" h="2249">
                                <a:moveTo>
                                  <a:pt x="0" y="0"/>
                                </a:moveTo>
                                <a:lnTo>
                                  <a:pt x="0" y="224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1" name="任意多边形 21"/>
                        <wps:cNvSpPr/>
                        <wps:spPr>
                          <a:xfrm>
                            <a:off x="4034"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2" name="任意多边形 22"/>
                        <wps:cNvSpPr/>
                        <wps:spPr>
                          <a:xfrm>
                            <a:off x="4053"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3" name="任意多边形 23"/>
                        <wps:cNvSpPr/>
                        <wps:spPr>
                          <a:xfrm>
                            <a:off x="8059" y="33"/>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4" name="任意多边形 24"/>
                        <wps:cNvSpPr/>
                        <wps:spPr>
                          <a:xfrm>
                            <a:off x="8078" y="14"/>
                            <a:ext cx="20" cy="2278"/>
                          </a:xfrm>
                          <a:custGeom>
                            <a:avLst/>
                            <a:gdLst/>
                            <a:ahLst/>
                            <a:cxnLst/>
                            <a:pathLst>
                              <a:path w="20" h="2278">
                                <a:moveTo>
                                  <a:pt x="0" y="0"/>
                                </a:moveTo>
                                <a:lnTo>
                                  <a:pt x="0" y="2277"/>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7" name="文本框 27"/>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l/l9z9YAAAAFAQAADwAAAAAAAAABACAAAAAiAAAAZHJzL2Rvd25yZXYueG1sUEsBAhQA&#10;FAAAAAgAh07iQELswcrZBAAAiyMAAA4AAAAAAAAAAQAgAAAAJQEAAGRycy9lMm9Eb2MueG1sUEsF&#10;BgAAAAAGAAYAWQEAAHAIAAAAAA==&#10;">
                <o:lock v:ext="edit" rotation="t" aspectratio="f"/>
                <v:shape id="_x0000_s1026" o:spid="_x0000_s1026" o:spt="100" style="position:absolute;left:4;top:9;height:20;width:8079;" fillcolor="#FFFFFF [3201]" filled="t" stroked="f" coordsize="8079,20" o:gfxdata="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9VF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24;top:28;height:20;width:8041;" fillcolor="#FFFFFF [3201]" filled="t" stroked="f" coordsize="8041,20" o:gfxdata="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PPbsAAADb&#10;AAAADwAAAAAAAAABACAAAAAiAAAAZHJzL2Rvd25yZXYueG1sUEsBAhQAFAAAAAgAh07iQDMvBZ47&#10;AAAAOQAAABAAAAAAAAAAAQAgAAAACgEAAGRycy9zaGFwZXhtbC54bWxQSwUGAAAAAAYABgBbAQAA&#10;tAMAAAAA&#10;" path="m0,0l8040,0e">
                  <v:fill on="t" focussize="0,0"/>
                  <v:stroke on="f" weight="1pt" miterlimit="8" joinstyle="miter"/>
                  <v:imagedata o:title=""/>
                  <o:lock v:ext="edit" aspectratio="f"/>
                </v:shape>
                <v:shape id="_x0000_s1026" o:spid="_x0000_s1026" o:spt="100" style="position:absolute;left:24;top:2267;height:20;width:8041;" fillcolor="#FFFFFF [3201]" filled="t" stroked="f" coordsize="8041,20" o:gfxdata="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pFKugAAANsA&#10;AAAPAAAAAAAAAAEAIAAAACIAAABkcnMvZG93bnJldi54bWxQSwECFAAUAAAACACHTuJAMy8FnjsA&#10;AAA5AAAAEAAAAAAAAAABACAAAAAJAQAAZHJzL3NoYXBleG1sLnhtbFBLBQYAAAAABgAGAFsBAACz&#10;AwAAAAA=&#10;" path="m0,0l8040,0e">
                  <v:fill on="t" focussize="0,0"/>
                  <v:stroke on="f" weight="1pt" miterlimit="8" joinstyle="miter"/>
                  <v:imagedata o:title=""/>
                  <o:lock v:ext="edit" aspectratio="f"/>
                </v:shape>
                <v:shape id="_x0000_s1026" o:spid="_x0000_s1026" o:spt="100" style="position:absolute;left:4;top:2286;height:20;width:8079;" fillcolor="#FFFFFF [3201]" filled="t" stroked="f" coordsize="8079,20" o:gfxdata="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LUsy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9;top:4;height:2287;width:20;" fillcolor="#FFFFFF [3201]" filled="t" stroked="f" coordsize="20,2287" o:gfxdata="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5e25AAAA2wAA&#10;AA8AAAAAAAAAAQAgAAAAIgAAAGRycy9kb3ducmV2LnhtbFBLAQIUABQAAAAIAIdO4kAzLwWeOwAA&#10;ADkAAAAQAAAAAAAAAAEAIAAAAAgBAABkcnMvc2hhcGV4bWwueG1sUEsFBgAAAAAGAAYAWwEAALID&#10;AAAAAA==&#10;" path="m0,0l0,2286e">
                  <v:fill on="t" focussize="0,0"/>
                  <v:stroke on="f" weight="1pt" miterlimit="8" joinstyle="miter"/>
                  <v:imagedata o:title=""/>
                  <o:lock v:ext="edit" aspectratio="f"/>
                </v:shape>
                <v:shape id="_x0000_s1026" o:spid="_x0000_s1026" o:spt="100" style="position:absolute;left:28;top:24;height:2249;width:20;" fillcolor="#FFFFFF [3201]" filled="t" stroked="f" coordsize="20,2249" o:gfxdata="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nZC5AAAA2wAA&#10;AA8AAAAAAAAAAQAgAAAAIgAAAGRycy9kb3ducmV2LnhtbFBLAQIUABQAAAAIAIdO4kAzLwWeOwAA&#10;ADkAAAAQAAAAAAAAAAEAIAAAAAgBAABkcnMvc2hhcGV4bWwueG1sUEsFBgAAAAAGAAYAWwEAALID&#10;AAAAAA==&#10;" path="m0,0l0,2248e">
                  <v:fill on="t" focussize="0,0"/>
                  <v:stroke on="f" weight="1pt" miterlimit="8" joinstyle="miter"/>
                  <v:imagedata o:title=""/>
                  <o:lock v:ext="edit" aspectratio="f"/>
                </v:shape>
                <v:shape id="_x0000_s1026" o:spid="_x0000_s1026" o:spt="100" style="position:absolute;left:4034;top:24;height:2239;width:20;" fillcolor="#FFFFFF [3201]" filled="t" stroked="f" coordsize="20,2239" o:gfxdata="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nwu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4053;top:24;height:2239;width:20;" fillcolor="#FFFFFF [3201]" filled="t" stroked="f" coordsize="20,2239" o:gfxdata="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4BfLsAAADb&#10;AAAADwAAAAAAAAABACAAAAAiAAAAZHJzL2Rvd25yZXYueG1sUEsBAhQAFAAAAAgAh07iQDMvBZ47&#10;AAAAOQAAABAAAAAAAAAAAQAgAAAACgEAAGRycy9zaGFwZXhtbC54bWxQSwUGAAAAAAYABgBbAQAA&#10;tAMAAAAA&#10;" path="m0,0l0,2238e">
                  <v:fill on="t" focussize="0,0"/>
                  <v:stroke on="f" weight="1pt" miterlimit="8" joinstyle="miter"/>
                  <v:imagedata o:title=""/>
                  <o:lock v:ext="edit" aspectratio="f"/>
                </v:shape>
                <v:shape id="_x0000_s1026" o:spid="_x0000_s1026" o:spt="100" style="position:absolute;left:8059;top:33;height:2239;width:20;" fillcolor="#FFFFFF [3201]" filled="t" stroked="f" coordsize="20,2239" o:gfxdata="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CpOe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8078;top:14;height:2278;width:20;" fillcolor="#FFFFFF [3201]" filled="t" stroked="f" coordsize="20,2278" o:gfxdata="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FRt7sAAADb&#10;AAAADwAAAAAAAAABACAAAAAiAAAAZHJzL2Rvd25yZXYueG1sUEsBAhQAFAAAAAgAh07iQDMvBZ47&#10;AAAAOQAAABAAAAAAAAAAAQAgAAAACgEAAGRycy9zaGFwZXhtbC54bWxQSwUGAAAAAAYABgBbAQAA&#10;tAMAAAAA&#10;" path="m0,0l0,2277e">
                  <v:fill on="t" focussize="0,0"/>
                  <v:stroke on="f" weight="1pt" miterlimit="8" joinstyle="miter"/>
                  <v:imagedata o:title=""/>
                  <o:lock v:ext="edit" aspectratio="f"/>
                </v:shape>
                <v:shape id="_x0000_s1026" o:spid="_x0000_s1026" o:spt="202" type="#_x0000_t202" style="position:absolute;left:19;top:19;height:2258;width:4025;"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txRdbwAAADb&#10;AAAADwAAAGRycy9kb3ducmV2LnhtbEWP3WrCQBSE7wXfYTlC73STFEWiq6C0YKlQ/x7gkD0mwezZ&#10;sLuN8e27gtDLYWa+YZbr3jSiI+drywrSSQKCuLC65lLB5fw5noPwAVljY5kUPMjDejUcLDHX9s5H&#10;6k6hFBHCPkcFVQhtLqUvKjLoJ7Yljt7VOoMhSldK7fAe4aaRWZLMpMGa40KFLW0rKm6nX6Pgw+8e&#10;GV2mm1l32Lsf/J7u0/5LqbdRmixABOrDf/jV3mkF7xk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UXW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90" w:firstLineChars="200"/>
        <w:jc w:val="right"/>
        <w:rPr>
          <w:rFonts w:hint="eastAsia" w:ascii="仿宋" w:hAnsi="仿宋" w:eastAsia="仿宋" w:cs="仿宋"/>
          <w:color w:val="auto"/>
          <w:kern w:val="0"/>
          <w:sz w:val="24"/>
        </w:rPr>
      </w:pPr>
    </w:p>
    <w:p>
      <w:pPr>
        <w:spacing w:line="420" w:lineRule="exact"/>
        <w:ind w:firstLine="490" w:firstLineChars="200"/>
        <w:jc w:val="right"/>
        <w:rPr>
          <w:rFonts w:hint="eastAsia" w:ascii="仿宋" w:hAnsi="仿宋" w:eastAsia="仿宋" w:cs="仿宋"/>
          <w:color w:val="auto"/>
          <w:kern w:val="0"/>
          <w:sz w:val="24"/>
        </w:rPr>
      </w:pPr>
    </w:p>
    <w:p>
      <w:pPr>
        <w:pStyle w:val="16"/>
        <w:rPr>
          <w:rFonts w:hint="eastAsia" w:ascii="仿宋" w:hAnsi="仿宋" w:eastAsia="仿宋" w:cs="仿宋"/>
          <w:color w:val="auto"/>
          <w:kern w:val="0"/>
          <w:sz w:val="24"/>
        </w:rPr>
      </w:pPr>
    </w:p>
    <w:p>
      <w:pPr>
        <w:pStyle w:val="16"/>
        <w:rPr>
          <w:rFonts w:hint="eastAsia" w:ascii="仿宋" w:hAnsi="仿宋" w:eastAsia="仿宋" w:cs="仿宋"/>
          <w:color w:val="auto"/>
          <w:kern w:val="0"/>
          <w:sz w:val="24"/>
        </w:rPr>
      </w:pPr>
    </w:p>
    <w:p>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9"/>
        <w:tabs>
          <w:tab w:val="left" w:pos="780"/>
        </w:tabs>
        <w:kinsoku w:val="0"/>
        <w:overflowPunct w:val="0"/>
        <w:adjustRightInd w:val="0"/>
        <w:snapToGrid w:val="0"/>
        <w:spacing w:before="12"/>
        <w:rPr>
          <w:rFonts w:hint="eastAsia" w:ascii="仿宋" w:hAnsi="仿宋" w:eastAsia="仿宋" w:cs="仿宋"/>
          <w:color w:val="auto"/>
          <w:sz w:val="4"/>
          <w:szCs w:val="4"/>
        </w:rPr>
      </w:pPr>
    </w:p>
    <w:p>
      <w:pPr>
        <w:pStyle w:val="9"/>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0" t="0" r="50800" b="330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9"/>
                                <w:numPr>
                                  <w:ilvl w:val="0"/>
                                  <w:numId w:val="0"/>
                                </w:numPr>
                                <w:kinsoku w:val="0"/>
                                <w:overflowPunct w:val="0"/>
                                <w:ind w:right="0" w:rightChars="0"/>
                                <w:jc w:val="center"/>
                                <w:rPr>
                                  <w:rFonts w:hint="eastAsia" w:ascii="仿宋" w:hAnsi="仿宋" w:eastAsia="仿宋" w:cs="仿宋"/>
                                </w:rPr>
                              </w:pPr>
                            </w:p>
                            <w:p>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wps:txbx>
                        <wps:bodyPr lIns="0" tIns="0" rIns="0" bIns="0" upright="1"/>
                      </wps:wsp>
                      <wps:wsp>
                        <wps:cNvPr id="12" name="文本框 1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shd w:val="clear" w:color="auto" w:fill="auto"/>
                                <w:kinsoku w:val="0"/>
                                <w:overflowPunct w:val="0"/>
                                <w:ind w:right="0" w:rightChars="0"/>
                                <w:jc w:val="center"/>
                                <w:rPr>
                                  <w:rFonts w:hint="eastAsia" w:ascii="仿宋" w:hAnsi="仿宋" w:eastAsia="仿宋" w:cs="仿宋"/>
                                </w:rPr>
                              </w:pPr>
                            </w:p>
                            <w:p>
                              <w:pPr>
                                <w:pStyle w:val="9"/>
                                <w:numPr>
                                  <w:ilvl w:val="0"/>
                                  <w:numId w:val="0"/>
                                </w:numPr>
                                <w:shd w:val="clear" w:color="auto" w:fill="auto"/>
                                <w:kinsoku w:val="0"/>
                                <w:overflowPunct w:val="0"/>
                                <w:ind w:right="0" w:rightChars="0"/>
                                <w:jc w:val="center"/>
                                <w:rPr>
                                  <w:rFonts w:hint="eastAsia" w:ascii="仿宋" w:hAnsi="仿宋" w:eastAsia="仿宋" w:cs="仿宋"/>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l/l9z9YAAAAFAQAADwAAAAAAAAABACAAAAAiAAAAZHJzL2Rvd25yZXYueG1sUEsBAhQAFAAAAAgA&#10;h07iQP+fyNPTBAAAHCIAAA4AAAAAAAAAAQAgAAAAJQEAAGRycy9lMm9Eb2MueG1sUEsFBgAAAAAG&#10;AAYAWQEAAGoI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buTYrkAAADb&#10;AAAADwAAAGRycy9kb3ducmV2LnhtbEVP24rCMBB9F/Yfwiz4pmkFRbpGwWUFRWG1+gFDM9sWm0lJ&#10;Yq1/bwRh3+ZwrrNY9aYRHTlfW1aQjhMQxIXVNZcKLufNaA7CB2SNjWVS8CAPq+XHYIGZtnc+UZeH&#10;UsQQ9hkqqEJoMyl9UZFBP7YtceT+rDMYInSl1A7vMdw0cpIkM2mw5thQYUvfFRXX/GYU/PjtY0KX&#10;6XrWHQ/uF/fTQ9rvlBp+pskXiEB9+Be/3Vsd56fw+iUe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7k2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9"/>
                          <w:numPr>
                            <w:ilvl w:val="0"/>
                            <w:numId w:val="0"/>
                          </w:numPr>
                          <w:kinsoku w:val="0"/>
                          <w:overflowPunct w:val="0"/>
                          <w:ind w:right="0" w:rightChars="0"/>
                          <w:jc w:val="center"/>
                          <w:rPr>
                            <w:rFonts w:hint="eastAsia" w:ascii="仿宋" w:hAnsi="仿宋" w:eastAsia="仿宋" w:cs="仿宋"/>
                          </w:rPr>
                        </w:pPr>
                      </w:p>
                      <w:p>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sWkNFbkAAADb&#10;AAAADwAAAGRycy9kb3ducmV2LnhtbEVP24rCMBB9X/Afwgi+rWkLylKNguKCsoLr5QOGZmyLzaQk&#10;2Vr/fiMIvs3hXGe+7E0jOnK+tqwgHScgiAuray4VXM7fn18gfEDW2FgmBQ/ysFwMPuaYa3vnI3Wn&#10;UIoYwj5HBVUIbS6lLyoy6Me2JY7c1TqDIUJXSu3wHsNNI7MkmUqDNceGCltaV1TcTn9GwcZvHxld&#10;Jqtp97t3B/yZ7NN+p9RomCYzEIH68Ba/3Fsd52fw/CUe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RW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9"/>
                          <w:numPr>
                            <w:ilvl w:val="0"/>
                            <w:numId w:val="0"/>
                          </w:numPr>
                          <w:shd w:val="clear" w:color="auto" w:fill="auto"/>
                          <w:kinsoku w:val="0"/>
                          <w:overflowPunct w:val="0"/>
                          <w:ind w:right="0" w:rightChars="0"/>
                          <w:jc w:val="center"/>
                          <w:rPr>
                            <w:rFonts w:hint="eastAsia" w:ascii="仿宋" w:hAnsi="仿宋" w:eastAsia="仿宋" w:cs="仿宋"/>
                          </w:rPr>
                        </w:pPr>
                      </w:p>
                      <w:p>
                        <w:pPr>
                          <w:pStyle w:val="9"/>
                          <w:numPr>
                            <w:ilvl w:val="0"/>
                            <w:numId w:val="0"/>
                          </w:numPr>
                          <w:shd w:val="clear" w:color="auto" w:fill="auto"/>
                          <w:kinsoku w:val="0"/>
                          <w:overflowPunct w:val="0"/>
                          <w:ind w:right="0" w:rightChars="0"/>
                          <w:jc w:val="center"/>
                          <w:rPr>
                            <w:rFonts w:hint="eastAsia" w:ascii="仿宋" w:hAnsi="仿宋" w:eastAsia="仿宋" w:cs="仿宋"/>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0" t="0" r="53340" b="4953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kinsoku w:val="0"/>
                                <w:overflowPunct w:val="0"/>
                                <w:ind w:right="0" w:rightChars="0"/>
                                <w:rPr>
                                  <w:rFonts w:hint="eastAsia"/>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9"/>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9"/>
                                <w:numPr>
                                  <w:ilvl w:val="0"/>
                                  <w:numId w:val="0"/>
                                </w:numPr>
                                <w:kinsoku w:val="0"/>
                                <w:overflowPunct w:val="0"/>
                                <w:ind w:right="0" w:rightChars="0"/>
                                <w:rPr>
                                  <w:rFonts w:hint="eastAsia"/>
                                </w:rPr>
                              </w:pPr>
                            </w:p>
                            <w:p>
                              <w:pPr>
                                <w:pStyle w:val="9"/>
                                <w:numPr>
                                  <w:ilvl w:val="0"/>
                                  <w:numId w:val="0"/>
                                </w:numPr>
                                <w:shd w:val="clear" w:color="auto" w:fill="auto"/>
                                <w:kinsoku w:val="0"/>
                                <w:overflowPunct w:val="0"/>
                                <w:ind w:right="0" w:rightChars="0"/>
                                <w:rPr>
                                  <w:rFonts w:hint="eastAsia" w:ascii="仿宋" w:hAnsi="仿宋" w:eastAsia="仿宋" w:cs="仿宋"/>
                                  <w:sz w:val="24"/>
                                  <w:szCs w:val="24"/>
                                </w:rPr>
                              </w:pPr>
                            </w:p>
                            <w:p>
                              <w:pPr>
                                <w:pStyle w:val="9"/>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PCHxSPVAAAABQEAAA8AAAAAAAAAAQAgAAAAIgAAAGRycy9kb3ducmV2LnhtbFBLAQIUABQAAAAI&#10;AIdO4kDOLr+S1QQAAC0iAAAOAAAAAAAAAAEAIAAAACQBAABkcnMvZTJvRG9jLnhtbFBLBQYAAAAA&#10;BgAGAFkBAABr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sq2BkL0AAADb&#10;AAAADwAAAGRycy9kb3ducmV2LnhtbEWP0WrCQBRE34X+w3ILvtVNRG1JsxFaKigKWusHXLK3SWj2&#10;bthdY/x7Vyj4OMzMGSZfDqYVPTnfWFaQThIQxKXVDVcKTj+rlzcQPiBrbC2Tgit5WBZPoxwzbS/8&#10;Tf0xVCJC2GeooA6hy6T0ZU0G/cR2xNH7tc5giNJVUju8RLhp5TRJFtJgw3Ghxo4+ayr/jmej4Muv&#10;r1M6zT8W/WHn9rid79Jho9T4OU3eQQQawiP8315rBbNXuH+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rYGQ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9"/>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wzIV4rkAAADb&#10;AAAADwAAAGRycy9kb3ducmV2LnhtbEVPzYrCMBC+C75DGMGbphUVqUZBcUFR2F31AYZmbIvNpCTZ&#10;Wt/eHIQ9fnz/q01natGS85VlBek4AUGcW11xoeB2/RotQPiArLG2TApe5GGz7vdWmGn75F9qL6EQ&#10;MYR9hgrKEJpMSp+XZNCPbUMcubt1BkOErpDa4TOGm1pOkmQuDVYcG0psaFdS/rj8GQV7f3hN6Dbb&#10;ztufs/vG0+ycdkelhoM0WYII1IV/8cd90AqmcWz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yFe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shd w:val="clear" w:color="auto" w:fill="auto"/>
                          <w:kinsoku w:val="0"/>
                          <w:overflowPunct w:val="0"/>
                          <w:ind w:right="0" w:rightChars="0"/>
                          <w:rPr>
                            <w:rFonts w:hint="eastAsia" w:ascii="仿宋" w:hAnsi="仿宋" w:eastAsia="仿宋" w:cs="仿宋"/>
                            <w:sz w:val="24"/>
                            <w:szCs w:val="24"/>
                          </w:rPr>
                        </w:pPr>
                      </w:p>
                      <w:p>
                        <w:pPr>
                          <w:pStyle w:val="9"/>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9"/>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9"/>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9"/>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pPr>
        <w:pStyle w:val="9"/>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pPr>
        <w:pStyle w:val="9"/>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460" w:firstLineChars="1200"/>
        <w:jc w:val="both"/>
        <w:rPr>
          <w:rFonts w:hint="eastAsia" w:ascii="仿宋" w:hAnsi="仿宋" w:eastAsia="仿宋" w:cs="仿宋"/>
          <w:color w:val="auto"/>
          <w:sz w:val="20"/>
        </w:rPr>
      </w:pPr>
      <w:r>
        <w:rPr>
          <w:rFonts w:hint="eastAsia" w:ascii="仿宋" w:hAnsi="仿宋" w:eastAsia="仿宋" w:cs="仿宋"/>
          <w:color w:val="auto"/>
          <w:sz w:val="20"/>
        </w:rPr>
        <w:t xml:space="preserve">              </w:t>
      </w:r>
    </w:p>
    <w:p>
      <w:pPr>
        <w:pStyle w:val="28"/>
        <w:ind w:left="0" w:leftChars="0" w:firstLine="0" w:firstLineChars="0"/>
        <w:rPr>
          <w:rFonts w:hint="default" w:ascii="仿宋" w:hAnsi="仿宋" w:eastAsia="仿宋" w:cs="仿宋"/>
          <w:b/>
          <w:bCs/>
          <w:color w:val="auto"/>
          <w:sz w:val="36"/>
          <w:szCs w:val="36"/>
          <w:lang w:val="en-US" w:eastAsia="zh-CN"/>
        </w:rPr>
      </w:pPr>
      <w:r>
        <w:rPr>
          <w:rFonts w:hint="eastAsia" w:ascii="仿宋" w:hAnsi="仿宋" w:eastAsia="仿宋" w:cs="仿宋"/>
          <w:b/>
          <w:bCs/>
          <w:color w:val="333333"/>
          <w:spacing w:val="0"/>
          <w:w w:val="100"/>
          <w:kern w:val="2"/>
          <w:position w:val="0"/>
          <w:sz w:val="21"/>
          <w:szCs w:val="21"/>
          <w:shd w:val="clear" w:color="auto" w:fill="auto"/>
          <w:lang w:val="en-US" w:eastAsia="zh-CN" w:bidi="ar"/>
        </w:rPr>
        <w:t>注：投标企业须提供投标人（被授权在职人员）近6个月有效的社保证明</w:t>
      </w:r>
    </w:p>
    <w:p>
      <w:pPr>
        <w:pStyle w:val="5"/>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36"/>
          <w:szCs w:val="24"/>
          <w:highlight w:val="none"/>
          <w:lang w:val="en-US" w:eastAsia="zh-CN"/>
        </w:rPr>
        <w:t>4、</w:t>
      </w:r>
      <w:r>
        <w:rPr>
          <w:rFonts w:hint="eastAsia" w:ascii="仿宋" w:hAnsi="仿宋" w:eastAsia="仿宋" w:cs="仿宋"/>
          <w:color w:val="auto"/>
          <w:sz w:val="36"/>
          <w:szCs w:val="24"/>
          <w:highlight w:val="none"/>
        </w:rPr>
        <w:t>参加政府采购活动前3年内</w:t>
      </w:r>
      <w:bookmarkStart w:id="67" w:name="_Toc1137"/>
      <w:bookmarkStart w:id="68" w:name="_Toc6008"/>
      <w:bookmarkStart w:id="69" w:name="_Toc515647812"/>
      <w:r>
        <w:rPr>
          <w:rFonts w:hint="eastAsia" w:ascii="仿宋" w:hAnsi="仿宋" w:eastAsia="仿宋" w:cs="仿宋"/>
          <w:color w:val="auto"/>
          <w:sz w:val="36"/>
          <w:szCs w:val="24"/>
          <w:highlight w:val="none"/>
        </w:rPr>
        <w:t>在经营活动中没有重大违法记录的书面声明</w:t>
      </w:r>
      <w:bookmarkEnd w:id="67"/>
      <w:bookmarkEnd w:id="68"/>
      <w:bookmarkEnd w:id="69"/>
    </w:p>
    <w:p>
      <w:pPr>
        <w:pStyle w:val="12"/>
        <w:shd w:val="clear" w:color="auto" w:fill="auto"/>
        <w:tabs>
          <w:tab w:val="left" w:pos="5580"/>
        </w:tabs>
        <w:spacing w:line="240" w:lineRule="atLeast"/>
        <w:ind w:left="1169" w:leftChars="257" w:hanging="540"/>
        <w:jc w:val="center"/>
        <w:rPr>
          <w:rFonts w:hint="eastAsia" w:ascii="仿宋" w:hAnsi="仿宋" w:eastAsia="仿宋" w:cs="仿宋"/>
          <w:b/>
          <w:color w:val="auto"/>
          <w:sz w:val="24"/>
          <w:highlight w:val="none"/>
        </w:rPr>
      </w:pPr>
    </w:p>
    <w:p>
      <w:pPr>
        <w:pStyle w:val="12"/>
        <w:shd w:val="clear" w:color="auto" w:fill="auto"/>
        <w:tabs>
          <w:tab w:val="left" w:pos="5580"/>
        </w:tabs>
        <w:spacing w:line="240" w:lineRule="atLeast"/>
        <w:ind w:left="1169" w:leftChars="257" w:hanging="540"/>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说明：1.投标人应按照相关法规规定如实作出说明。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1307" w:firstLineChars="534"/>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2．按照招标文件的规定加盖单位章。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pStyle w:val="6"/>
        <w:rPr>
          <w:rFonts w:hint="eastAsia" w:ascii="仿宋" w:hAnsi="仿宋" w:eastAsia="仿宋" w:cs="仿宋"/>
          <w:color w:val="auto"/>
          <w:spacing w:val="0"/>
          <w:w w:val="100"/>
          <w:kern w:val="0"/>
          <w:position w:val="0"/>
          <w:sz w:val="24"/>
          <w:szCs w:val="24"/>
          <w:highlight w:val="none"/>
          <w:u w:val="none"/>
          <w:shd w:val="clear" w:color="auto" w:fill="auto"/>
          <w:lang w:val="en-US" w:eastAsia="zh-CN" w:bidi="en-US"/>
        </w:rPr>
      </w:pPr>
    </w:p>
    <w:p>
      <w:pPr>
        <w:rPr>
          <w:rFonts w:hint="eastAsia" w:ascii="仿宋" w:hAnsi="仿宋" w:eastAsia="仿宋" w:cs="仿宋"/>
          <w:b/>
          <w:bCs/>
          <w:color w:val="auto"/>
          <w:sz w:val="36"/>
          <w:szCs w:val="36"/>
        </w:rPr>
      </w:pPr>
    </w:p>
    <w:p>
      <w:pPr>
        <w:pStyle w:val="6"/>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6"/>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6"/>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6"/>
        <w:rPr>
          <w:rFonts w:hint="eastAsia" w:ascii="仿宋" w:hAnsi="仿宋" w:eastAsia="仿宋" w:cs="仿宋"/>
          <w:b/>
          <w:bCs/>
          <w:color w:val="auto"/>
          <w:sz w:val="36"/>
          <w:szCs w:val="36"/>
        </w:rPr>
      </w:pPr>
    </w:p>
    <w:p>
      <w:pPr>
        <w:pStyle w:val="6"/>
        <w:rPr>
          <w:rFonts w:hint="eastAsia"/>
        </w:rPr>
      </w:pPr>
    </w:p>
    <w:p>
      <w:pPr>
        <w:rPr>
          <w:rFonts w:hint="eastAsia" w:ascii="仿宋" w:hAnsi="仿宋" w:eastAsia="仿宋" w:cs="仿宋"/>
          <w:b/>
          <w:bCs/>
          <w:color w:val="auto"/>
          <w:sz w:val="36"/>
          <w:szCs w:val="36"/>
        </w:rPr>
      </w:pPr>
    </w:p>
    <w:p>
      <w:pPr>
        <w:pStyle w:val="5"/>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5、</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pPr>
        <w:shd w:val="clear" w:color="auto" w:fill="auto"/>
        <w:ind w:firstLine="490" w:firstLineChars="200"/>
        <w:rPr>
          <w:rFonts w:hint="eastAsia" w:ascii="仿宋" w:hAnsi="仿宋" w:eastAsia="仿宋" w:cs="仿宋"/>
          <w:color w:val="auto"/>
          <w:sz w:val="24"/>
          <w:highlight w:val="none"/>
        </w:rPr>
      </w:pPr>
      <w:bookmarkStart w:id="70" w:name="_Toc494296665"/>
      <w:bookmarkStart w:id="71" w:name="_Toc494296991"/>
    </w:p>
    <w:bookmarkEnd w:id="70"/>
    <w:bookmarkEnd w:id="71"/>
    <w:p>
      <w:pPr>
        <w:pStyle w:val="7"/>
        <w:shd w:val="clear" w:color="auto" w:fill="auto"/>
        <w:rPr>
          <w:rFonts w:hint="eastAsia" w:ascii="仿宋" w:hAnsi="仿宋" w:eastAsia="仿宋" w:cs="仿宋"/>
          <w:color w:val="auto"/>
          <w:highlight w:val="none"/>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pPr>
        <w:pStyle w:val="7"/>
        <w:shd w:val="clear" w:color="auto" w:fill="auto"/>
        <w:rPr>
          <w:rFonts w:hint="eastAsia" w:ascii="仿宋" w:hAnsi="仿宋" w:eastAsia="仿宋" w:cs="仿宋"/>
          <w:color w:val="auto"/>
          <w:highlight w:val="none"/>
        </w:rPr>
      </w:pPr>
    </w:p>
    <w:p>
      <w:pPr>
        <w:shd w:val="clear" w:color="auto" w:fill="auto"/>
        <w:spacing w:line="240" w:lineRule="atLeast"/>
        <w:ind w:left="1169" w:leftChars="257" w:hanging="540"/>
        <w:jc w:val="center"/>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8"/>
          <w:szCs w:val="28"/>
          <w:highlight w:val="none"/>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pPr>
        <w:pStyle w:val="7"/>
        <w:shd w:val="clear" w:color="auto" w:fill="auto"/>
        <w:rPr>
          <w:rFonts w:hint="eastAsia" w:ascii="仿宋" w:hAnsi="仿宋" w:eastAsia="仿宋" w:cs="仿宋"/>
          <w:color w:val="auto"/>
          <w:highlight w:val="none"/>
        </w:rPr>
      </w:pPr>
    </w:p>
    <w:p>
      <w:pPr>
        <w:pStyle w:val="7"/>
        <w:shd w:val="clear" w:color="auto" w:fill="auto"/>
        <w:rPr>
          <w:rFonts w:hint="eastAsia" w:ascii="仿宋" w:hAnsi="仿宋" w:eastAsia="仿宋" w:cs="仿宋"/>
          <w:color w:val="auto"/>
          <w:highlight w:val="none"/>
        </w:rPr>
      </w:pPr>
    </w:p>
    <w:p>
      <w:pPr>
        <w:pStyle w:val="7"/>
        <w:shd w:val="clear" w:color="auto" w:fill="auto"/>
        <w:rPr>
          <w:rFonts w:hint="eastAsia" w:ascii="仿宋" w:hAnsi="仿宋" w:eastAsia="仿宋" w:cs="仿宋"/>
          <w:color w:val="auto"/>
          <w:highlight w:val="none"/>
        </w:rPr>
      </w:pPr>
    </w:p>
    <w:p>
      <w:pPr>
        <w:pStyle w:val="7"/>
        <w:shd w:val="clear" w:color="auto" w:fill="auto"/>
        <w:rPr>
          <w:rFonts w:hint="eastAsia" w:ascii="仿宋" w:hAnsi="仿宋" w:eastAsia="仿宋" w:cs="仿宋"/>
          <w:color w:val="auto"/>
          <w:highlight w:val="none"/>
        </w:rPr>
      </w:pPr>
    </w:p>
    <w:p>
      <w:pPr>
        <w:pStyle w:val="7"/>
        <w:shd w:val="clear" w:color="auto" w:fill="auto"/>
        <w:rPr>
          <w:rFonts w:hint="eastAsia" w:ascii="仿宋" w:hAnsi="仿宋" w:eastAsia="仿宋" w:cs="仿宋"/>
          <w:color w:val="auto"/>
          <w:highlight w:val="none"/>
        </w:rPr>
      </w:pPr>
    </w:p>
    <w:p>
      <w:pPr>
        <w:pStyle w:val="7"/>
        <w:shd w:val="clear" w:color="auto" w:fill="auto"/>
        <w:rPr>
          <w:rFonts w:hint="eastAsia" w:ascii="仿宋" w:hAnsi="仿宋" w:eastAsia="仿宋" w:cs="仿宋"/>
          <w:color w:val="auto"/>
          <w:highlight w:val="none"/>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both"/>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6、投标单位（供应商）针对本次采购项目《反商业贿赂承诺书》</w:t>
      </w:r>
    </w:p>
    <w:p>
      <w:pPr>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8、投标人须知资料表要求的其他资格证明文件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rPr>
          <w:rFonts w:hint="eastAsia" w:ascii="仿宋" w:hAnsi="仿宋" w:eastAsia="仿宋" w:cs="仿宋"/>
          <w:b/>
          <w:bCs/>
          <w:color w:val="auto"/>
        </w:rPr>
      </w:pPr>
    </w:p>
    <w:p>
      <w:pPr>
        <w:pStyle w:val="6"/>
        <w:rPr>
          <w:rFonts w:hint="eastAsia" w:ascii="仿宋" w:hAnsi="仿宋" w:eastAsia="仿宋" w:cs="仿宋"/>
          <w:b/>
          <w:bCs/>
          <w:color w:val="auto"/>
        </w:rPr>
      </w:pPr>
    </w:p>
    <w:p>
      <w:pPr>
        <w:rPr>
          <w:rFonts w:hint="eastAsia" w:ascii="仿宋" w:hAnsi="仿宋" w:eastAsia="仿宋" w:cs="仿宋"/>
          <w:b/>
          <w:bCs/>
          <w:color w:val="auto"/>
        </w:rPr>
      </w:pPr>
    </w:p>
    <w:p>
      <w:pPr>
        <w:pStyle w:val="6"/>
        <w:rPr>
          <w:rFonts w:hint="eastAsia" w:ascii="仿宋" w:hAnsi="仿宋" w:eastAsia="仿宋" w:cs="仿宋"/>
          <w:b/>
          <w:bCs/>
          <w:color w:val="auto"/>
        </w:rPr>
      </w:pPr>
    </w:p>
    <w:p>
      <w:pPr>
        <w:rPr>
          <w:rFonts w:hint="eastAsia" w:ascii="仿宋" w:hAnsi="仿宋" w:eastAsia="仿宋" w:cs="仿宋"/>
          <w:b/>
          <w:bCs/>
          <w:color w:val="auto"/>
        </w:rPr>
      </w:pPr>
    </w:p>
    <w:p>
      <w:pPr>
        <w:rPr>
          <w:rFonts w:hint="eastAsia" w:ascii="仿宋" w:hAnsi="仿宋" w:eastAsia="仿宋" w:cs="仿宋"/>
          <w:b/>
          <w:bCs/>
          <w:color w:val="auto"/>
        </w:rPr>
      </w:pPr>
    </w:p>
    <w:p>
      <w:pPr>
        <w:pStyle w:val="12"/>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p>
    <w:p>
      <w:pPr>
        <w:pStyle w:val="13"/>
        <w:rPr>
          <w:rFonts w:hint="eastAsia"/>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72" w:name="_Toc515647816"/>
      <w:bookmarkStart w:id="73" w:name="_Toc5695"/>
      <w:bookmarkStart w:id="74" w:name="_Toc11180"/>
      <w:bookmarkStart w:id="75" w:name="_Toc22967"/>
      <w:r>
        <w:rPr>
          <w:rFonts w:hint="eastAsia" w:ascii="仿宋" w:hAnsi="仿宋" w:eastAsia="仿宋" w:cs="仿宋"/>
          <w:color w:val="auto"/>
          <w:sz w:val="32"/>
          <w:szCs w:val="32"/>
          <w:highlight w:val="none"/>
        </w:rPr>
        <w:t>第二部分  商务及技术文件</w:t>
      </w:r>
      <w:bookmarkEnd w:id="72"/>
      <w:bookmarkEnd w:id="73"/>
      <w:bookmarkEnd w:id="74"/>
      <w:bookmarkEnd w:id="75"/>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1、投标函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2、开标一览表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3、货物说明一览表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4、投标分项报价表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5、技术规格偏离表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6、商务条款偏离表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7、投标人基本情况表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8、近三年（2020年1月1日至今）类似项目业绩表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9、中小企业声明函(货物)</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10、《残疾人福利性单位声明函》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11、评分标准和细则中技术部分证明材料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12、评分标准和细则中技术部分证明材料（格式自拟）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13、投标人认为有必要提供的其他证明材料（格式自拟）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br w:type="page"/>
      </w: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（一）按招标文件提供的全部货物与相关服务的投标总价详见《报价一览表》。</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pStyle w:val="28"/>
        <w:rPr>
          <w:rFonts w:hint="eastAsia" w:ascii="仿宋" w:hAnsi="仿宋" w:eastAsia="仿宋" w:cs="仿宋"/>
          <w:color w:val="auto"/>
          <w:sz w:val="24"/>
          <w:highlight w:val="none"/>
        </w:rPr>
      </w:pPr>
      <w:r>
        <w:rPr>
          <w:rFonts w:hint="eastAsia" w:ascii="仿宋" w:hAnsi="仿宋" w:eastAsia="仿宋" w:cs="仿宋"/>
          <w:color w:val="auto"/>
        </w:rPr>
        <w:br w:type="page"/>
      </w:r>
    </w:p>
    <w:p>
      <w:pPr>
        <w:pStyle w:val="7"/>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w:t>
            </w:r>
            <w:r>
              <w:rPr>
                <w:rFonts w:hint="eastAsia" w:ascii="仿宋" w:hAnsi="仿宋" w:eastAsia="仿宋" w:cs="仿宋"/>
                <w:color w:val="auto"/>
                <w:szCs w:val="21"/>
                <w:highlight w:val="none"/>
                <w:lang w:val="en-US" w:eastAsia="zh-CN"/>
              </w:rPr>
              <w:t>及安装</w:t>
            </w:r>
            <w:r>
              <w:rPr>
                <w:rFonts w:hint="eastAsia" w:ascii="仿宋" w:hAnsi="仿宋" w:eastAsia="仿宋" w:cs="仿宋"/>
                <w:color w:val="auto"/>
                <w:szCs w:val="21"/>
                <w:highlight w:val="none"/>
              </w:rPr>
              <w:t>期</w:t>
            </w:r>
            <w:r>
              <w:rPr>
                <w:rFonts w:hint="eastAsia" w:ascii="仿宋" w:hAnsi="仿宋" w:eastAsia="仿宋" w:cs="仿宋"/>
                <w:color w:val="auto"/>
                <w:szCs w:val="21"/>
                <w:highlight w:val="none"/>
                <w:lang w:val="en-US" w:eastAsia="zh-CN"/>
              </w:rPr>
              <w:t>限</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5"/>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30"/>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pPr>
        <w:pStyle w:val="12"/>
        <w:shd w:val="clear" w:color="auto" w:fill="auto"/>
        <w:spacing w:line="240" w:lineRule="atLeast"/>
        <w:ind w:left="1169" w:leftChars="257" w:hanging="540"/>
        <w:rPr>
          <w:rFonts w:hint="eastAsia" w:ascii="仿宋" w:hAnsi="仿宋" w:eastAsia="仿宋" w:cs="仿宋"/>
          <w:color w:val="auto"/>
          <w:sz w:val="24"/>
          <w:highlight w:val="none"/>
        </w:rPr>
      </w:pPr>
    </w:p>
    <w:p>
      <w:pPr>
        <w:pStyle w:val="12"/>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2"/>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2"/>
        <w:shd w:val="clear" w:color="auto" w:fill="auto"/>
        <w:spacing w:line="240" w:lineRule="atLeast"/>
        <w:ind w:left="1169" w:leftChars="257" w:hanging="540"/>
        <w:rPr>
          <w:rFonts w:hint="eastAsia" w:ascii="仿宋" w:hAnsi="仿宋" w:eastAsia="仿宋" w:cs="仿宋"/>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2"/>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pPr>
        <w:pStyle w:val="12"/>
        <w:shd w:val="clear" w:color="auto" w:fill="auto"/>
        <w:spacing w:line="240" w:lineRule="atLeast"/>
        <w:ind w:left="1169" w:leftChars="257" w:hanging="540"/>
        <w:rPr>
          <w:rFonts w:hint="eastAsia" w:ascii="仿宋" w:hAnsi="仿宋" w:eastAsia="仿宋" w:cs="仿宋"/>
          <w:color w:val="auto"/>
          <w:sz w:val="24"/>
          <w:highlight w:val="none"/>
        </w:rPr>
      </w:pPr>
    </w:p>
    <w:p>
      <w:pPr>
        <w:pStyle w:val="12"/>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2"/>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pPr>
        <w:pStyle w:val="12"/>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2"/>
        <w:shd w:val="clear" w:color="auto" w:fill="auto"/>
        <w:spacing w:line="240" w:lineRule="atLeast"/>
        <w:ind w:left="1169" w:leftChars="257" w:hanging="540"/>
        <w:rPr>
          <w:rFonts w:hint="eastAsia" w:ascii="仿宋" w:hAnsi="仿宋" w:eastAsia="仿宋" w:cs="仿宋"/>
          <w:color w:val="auto"/>
          <w:sz w:val="24"/>
          <w:highlight w:val="none"/>
        </w:rPr>
      </w:pPr>
    </w:p>
    <w:p>
      <w:pPr>
        <w:pStyle w:val="12"/>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12"/>
        <w:shd w:val="clear" w:color="auto" w:fill="auto"/>
        <w:spacing w:line="240" w:lineRule="atLeast"/>
        <w:ind w:left="1169" w:leftChars="257" w:hanging="540"/>
        <w:jc w:val="center"/>
        <w:rPr>
          <w:rFonts w:hint="eastAsia" w:ascii="仿宋" w:hAnsi="仿宋" w:eastAsia="仿宋" w:cs="仿宋"/>
          <w:color w:val="auto"/>
          <w:sz w:val="24"/>
          <w:highlight w:val="none"/>
        </w:rPr>
      </w:pPr>
    </w:p>
    <w:p>
      <w:pPr>
        <w:pStyle w:val="12"/>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11" w:type="default"/>
          <w:pgSz w:w="11905" w:h="16838"/>
          <w:pgMar w:top="1440" w:right="1417" w:bottom="1440" w:left="1417" w:header="850" w:footer="992" w:gutter="0"/>
          <w:pgNumType w:fmt="decimal"/>
          <w:cols w:space="0" w:num="1"/>
          <w:rtlGutter w:val="0"/>
          <w:docGrid w:type="linesAndChars" w:linePitch="332" w:charSpace="1057"/>
        </w:sectPr>
      </w:pPr>
    </w:p>
    <w:p>
      <w:pPr>
        <w:pStyle w:val="30"/>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pPr>
        <w:pStyle w:val="30"/>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30"/>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pPr>
        <w:pStyle w:val="12"/>
        <w:shd w:val="clear" w:color="auto" w:fill="auto"/>
        <w:spacing w:line="240" w:lineRule="atLeast"/>
        <w:ind w:left="116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1"/>
        <w:tblW w:w="93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310"/>
        <w:gridCol w:w="929"/>
        <w:gridCol w:w="1166"/>
        <w:gridCol w:w="974"/>
        <w:gridCol w:w="1221"/>
        <w:gridCol w:w="825"/>
        <w:gridCol w:w="782"/>
        <w:gridCol w:w="739"/>
        <w:gridCol w:w="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70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131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名称</w:t>
            </w:r>
          </w:p>
        </w:tc>
        <w:tc>
          <w:tcPr>
            <w:tcW w:w="92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品牌</w:t>
            </w:r>
          </w:p>
        </w:tc>
        <w:tc>
          <w:tcPr>
            <w:tcW w:w="116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规格要求</w:t>
            </w:r>
          </w:p>
        </w:tc>
        <w:tc>
          <w:tcPr>
            <w:tcW w:w="974"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单位</w:t>
            </w:r>
          </w:p>
        </w:tc>
        <w:tc>
          <w:tcPr>
            <w:tcW w:w="1221"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数量</w:t>
            </w:r>
          </w:p>
        </w:tc>
        <w:tc>
          <w:tcPr>
            <w:tcW w:w="82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单价</w:t>
            </w:r>
          </w:p>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（元）</w:t>
            </w:r>
          </w:p>
        </w:tc>
        <w:tc>
          <w:tcPr>
            <w:tcW w:w="78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总价</w:t>
            </w:r>
          </w:p>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lang w:eastAsia="zh-CN"/>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（元）</w:t>
            </w:r>
          </w:p>
        </w:tc>
        <w:tc>
          <w:tcPr>
            <w:tcW w:w="73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备注</w:t>
            </w:r>
          </w:p>
        </w:tc>
        <w:tc>
          <w:tcPr>
            <w:tcW w:w="722"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bl>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pPr>
        <w:pStyle w:val="34"/>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pPr>
        <w:pStyle w:val="34"/>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pPr>
        <w:pStyle w:val="34"/>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35"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pPr>
        <w:pStyle w:val="34"/>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pPr>
        <w:pStyle w:val="34"/>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b/>
          <w:bCs/>
          <w:color w:val="auto"/>
          <w:sz w:val="36"/>
          <w:szCs w:val="36"/>
          <w:lang w:eastAsia="zh-CN"/>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0"/>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2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招标文件条目号</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bl>
    <w:p>
      <w:pPr>
        <w:spacing w:line="360" w:lineRule="auto"/>
        <w:ind w:firstLine="484"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85" w:firstLineChars="1300"/>
        <w:rPr>
          <w:rFonts w:hint="eastAsia" w:ascii="仿宋" w:hAnsi="仿宋" w:eastAsia="仿宋" w:cs="仿宋"/>
          <w:color w:val="auto"/>
          <w:sz w:val="24"/>
        </w:rPr>
      </w:pPr>
    </w:p>
    <w:p>
      <w:pPr>
        <w:pStyle w:val="12"/>
        <w:tabs>
          <w:tab w:val="left" w:pos="5580"/>
        </w:tabs>
        <w:spacing w:line="360" w:lineRule="auto"/>
        <w:ind w:firstLine="3185"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pStyle w:val="12"/>
        <w:tabs>
          <w:tab w:val="left" w:pos="5580"/>
        </w:tabs>
        <w:spacing w:line="360" w:lineRule="auto"/>
        <w:ind w:firstLine="3185"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85"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6"/>
        <w:rPr>
          <w:rFonts w:hint="eastAsia" w:ascii="仿宋" w:hAnsi="仿宋" w:eastAsia="仿宋" w:cs="仿宋"/>
          <w:b/>
          <w:bCs/>
          <w:color w:val="auto"/>
          <w:sz w:val="36"/>
          <w:szCs w:val="36"/>
        </w:rPr>
      </w:pPr>
    </w:p>
    <w:p>
      <w:pPr>
        <w:rPr>
          <w:rFonts w:hint="eastAsia" w:ascii="仿宋" w:hAnsi="仿宋" w:eastAsia="仿宋" w:cs="仿宋"/>
          <w:color w:val="auto"/>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pPr>
        <w:pStyle w:val="32"/>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2"/>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pPr>
        <w:pStyle w:val="9"/>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4"/>
              <w:rPr>
                <w:rFonts w:hint="eastAsia" w:ascii="仿宋" w:hAnsi="仿宋" w:eastAsia="仿宋" w:cs="仿宋"/>
                <w:b/>
                <w:bCs/>
                <w:color w:val="auto"/>
                <w:sz w:val="20"/>
                <w:szCs w:val="20"/>
              </w:rPr>
            </w:pPr>
          </w:p>
          <w:p>
            <w:pPr>
              <w:pStyle w:val="35"/>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4"/>
              <w:rPr>
                <w:rFonts w:hint="eastAsia" w:ascii="仿宋" w:hAnsi="仿宋" w:eastAsia="仿宋" w:cs="仿宋"/>
                <w:b/>
                <w:bCs/>
                <w:color w:val="auto"/>
                <w:sz w:val="20"/>
                <w:szCs w:val="20"/>
              </w:rPr>
            </w:pPr>
          </w:p>
          <w:p>
            <w:pPr>
              <w:pStyle w:val="35"/>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rPr>
                <w:rFonts w:hint="eastAsia" w:ascii="仿宋" w:hAnsi="仿宋" w:eastAsia="仿宋" w:cs="仿宋"/>
                <w:b/>
                <w:bCs/>
                <w:color w:val="auto"/>
              </w:rPr>
            </w:pPr>
          </w:p>
          <w:p>
            <w:pPr>
              <w:pStyle w:val="35"/>
              <w:kinsoku w:val="0"/>
              <w:overflowPunct w:val="0"/>
              <w:rPr>
                <w:rFonts w:hint="eastAsia" w:ascii="仿宋" w:hAnsi="仿宋" w:eastAsia="仿宋" w:cs="仿宋"/>
                <w:b/>
                <w:bCs/>
                <w:color w:val="auto"/>
              </w:rPr>
            </w:pPr>
          </w:p>
          <w:p>
            <w:pPr>
              <w:pStyle w:val="35"/>
              <w:kinsoku w:val="0"/>
              <w:overflowPunct w:val="0"/>
              <w:rPr>
                <w:rFonts w:hint="eastAsia" w:ascii="仿宋" w:hAnsi="仿宋" w:eastAsia="仿宋" w:cs="仿宋"/>
                <w:b/>
                <w:bCs/>
                <w:color w:val="auto"/>
              </w:rPr>
            </w:pPr>
          </w:p>
          <w:p>
            <w:pPr>
              <w:pStyle w:val="35"/>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5"/>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5"/>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5"/>
              <w:kinsoku w:val="0"/>
              <w:overflowPunct w:val="0"/>
              <w:spacing w:before="1"/>
              <w:rPr>
                <w:rFonts w:hint="eastAsia" w:ascii="仿宋" w:hAnsi="仿宋" w:eastAsia="仿宋" w:cs="仿宋"/>
                <w:b/>
                <w:bCs/>
                <w:color w:val="auto"/>
                <w:sz w:val="23"/>
                <w:szCs w:val="23"/>
              </w:rPr>
            </w:pPr>
          </w:p>
          <w:p>
            <w:pPr>
              <w:pStyle w:val="35"/>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bl>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近三年（20</w:t>
      </w:r>
      <w:r>
        <w:rPr>
          <w:rFonts w:hint="eastAsia" w:ascii="仿宋" w:hAnsi="仿宋" w:eastAsia="仿宋" w:cs="仿宋"/>
          <w:b/>
          <w:bCs/>
          <w:color w:val="auto"/>
          <w:w w:val="90"/>
          <w:sz w:val="36"/>
          <w:szCs w:val="36"/>
          <w:lang w:val="en-US" w:eastAsia="zh-CN"/>
        </w:rPr>
        <w:t>20</w:t>
      </w:r>
      <w:r>
        <w:rPr>
          <w:rFonts w:hint="eastAsia" w:ascii="仿宋" w:hAnsi="仿宋" w:eastAsia="仿宋" w:cs="仿宋"/>
          <w:b/>
          <w:bCs/>
          <w:color w:val="auto"/>
          <w:w w:val="90"/>
          <w:sz w:val="36"/>
          <w:szCs w:val="36"/>
        </w:rPr>
        <w:t>年1月1日至今）类似项目业绩</w:t>
      </w:r>
      <w:r>
        <w:rPr>
          <w:rFonts w:hint="eastAsia" w:ascii="仿宋" w:hAnsi="仿宋" w:eastAsia="仿宋" w:cs="仿宋"/>
          <w:b/>
          <w:bCs/>
          <w:color w:val="auto"/>
          <w:w w:val="90"/>
          <w:sz w:val="36"/>
          <w:szCs w:val="36"/>
          <w:lang w:eastAsia="zh-CN"/>
        </w:rPr>
        <w:t>表</w:t>
      </w:r>
    </w:p>
    <w:p>
      <w:pPr>
        <w:pStyle w:val="9"/>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1"/>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center"/>
          </w:tcPr>
          <w:p>
            <w:pPr>
              <w:pStyle w:val="33"/>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3"/>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合同和中标通知书</w:t>
      </w:r>
      <w:r>
        <w:rPr>
          <w:rFonts w:hint="eastAsia" w:ascii="仿宋" w:hAnsi="仿宋" w:eastAsia="仿宋" w:cs="仿宋"/>
          <w:color w:val="auto"/>
          <w:spacing w:val="-1"/>
          <w:kern w:val="0"/>
          <w:sz w:val="24"/>
        </w:rPr>
        <w:t>相关证明材料，否则专家在评审时将不予采信。</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9"/>
        <w:numPr>
          <w:ilvl w:val="0"/>
          <w:numId w:val="0"/>
        </w:numPr>
        <w:tabs>
          <w:tab w:val="left" w:pos="5551"/>
          <w:tab w:val="left" w:pos="6511"/>
          <w:tab w:val="left" w:pos="7111"/>
          <w:tab w:val="left" w:pos="7711"/>
        </w:tabs>
        <w:kinsoku w:val="0"/>
        <w:overflowPunct w:val="0"/>
        <w:spacing w:before="46"/>
        <w:ind w:right="0" w:rightChars="0" w:firstLine="4410" w:firstLineChars="18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1"/>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both"/>
        <w:rPr>
          <w:rFonts w:hint="default"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pPr>
        <w:ind w:left="1280"/>
        <w:rPr>
          <w:rFonts w:hint="eastAsia" w:ascii="仿宋" w:hAnsi="仿宋" w:eastAsia="仿宋" w:cs="仿宋"/>
          <w:color w:val="auto"/>
          <w:sz w:val="32"/>
          <w:szCs w:val="32"/>
        </w:rPr>
      </w:pP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w:t>
      </w:r>
      <w:r>
        <w:rPr>
          <w:rFonts w:hint="eastAsia" w:ascii="仿宋" w:hAnsi="仿宋" w:eastAsia="仿宋" w:cs="仿宋"/>
          <w:color w:val="auto"/>
          <w:kern w:val="0"/>
          <w:sz w:val="24"/>
          <w:szCs w:val="24"/>
          <w:lang w:eastAsia="zh-CN"/>
        </w:rPr>
        <w:t>（财库[2020]46号）和（财库[2020]19号）</w:t>
      </w:r>
      <w:r>
        <w:rPr>
          <w:rFonts w:hint="eastAsia" w:ascii="仿宋" w:hAnsi="仿宋" w:eastAsia="仿宋" w:cs="仿宋"/>
          <w:color w:val="auto"/>
          <w:kern w:val="0"/>
          <w:sz w:val="24"/>
          <w:szCs w:val="24"/>
        </w:rPr>
        <w:t>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90" w:firstLineChars="200"/>
        <w:rPr>
          <w:rFonts w:hint="eastAsia" w:ascii="仿宋" w:hAnsi="仿宋" w:eastAsia="仿宋" w:cs="仿宋"/>
          <w:color w:val="auto"/>
          <w:kern w:val="0"/>
          <w:sz w:val="24"/>
          <w:szCs w:val="24"/>
        </w:rPr>
      </w:pP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shd w:val="clear" w:color="auto" w:fill="auto"/>
        <w:spacing w:line="360" w:lineRule="auto"/>
        <w:ind w:firstLine="490" w:firstLineChars="200"/>
        <w:rPr>
          <w:rFonts w:hint="eastAsia" w:ascii="仿宋" w:hAnsi="仿宋" w:eastAsia="仿宋" w:cs="仿宋"/>
          <w:color w:val="auto"/>
          <w:kern w:val="0"/>
          <w:sz w:val="24"/>
          <w:szCs w:val="24"/>
        </w:rPr>
      </w:pPr>
    </w:p>
    <w:p>
      <w:pPr>
        <w:shd w:val="clear" w:color="auto" w:fill="auto"/>
        <w:spacing w:line="360" w:lineRule="auto"/>
        <w:ind w:firstLine="4655"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pPr>
        <w:shd w:val="clear" w:color="auto" w:fill="auto"/>
        <w:spacing w:line="360" w:lineRule="auto"/>
        <w:ind w:firstLine="49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pPr>
        <w:widowControl/>
        <w:adjustRightInd w:val="0"/>
        <w:snapToGrid w:val="0"/>
        <w:spacing w:line="440" w:lineRule="exact"/>
        <w:ind w:firstLine="565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pPr>
        <w:widowControl/>
        <w:adjustRightInd w:val="0"/>
        <w:snapToGrid w:val="0"/>
        <w:spacing w:line="440" w:lineRule="exact"/>
        <w:ind w:firstLine="51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28"/>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11、评分标准和细则中技术部分证明材料（格式自拟</w:t>
      </w:r>
      <w:r>
        <w:rPr>
          <w:rFonts w:hint="eastAsia" w:ascii="仿宋" w:hAnsi="仿宋" w:eastAsia="仿宋" w:cs="仿宋"/>
          <w:color w:val="auto"/>
          <w:spacing w:val="0"/>
          <w:w w:val="100"/>
          <w:position w:val="0"/>
          <w:sz w:val="36"/>
          <w:szCs w:val="36"/>
          <w:lang w:val="en-US" w:eastAsia="zh-CN"/>
        </w:rPr>
        <w:t>）</w:t>
      </w:r>
    </w:p>
    <w:p>
      <w:pPr>
        <w:pStyle w:val="5"/>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left="1169"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（主要包括：技术指标、参数；项目实施方案；供货方案；交货期等）</w:t>
      </w:r>
      <w:r>
        <w:rPr>
          <w:rFonts w:hint="eastAsia" w:ascii="仿宋" w:hAnsi="仿宋" w:eastAsia="仿宋" w:cs="仿宋"/>
          <w:color w:val="auto"/>
          <w:sz w:val="24"/>
          <w:highlight w:val="none"/>
        </w:rPr>
        <w:t>。</w:t>
      </w:r>
    </w:p>
    <w:p>
      <w:pPr>
        <w:pStyle w:val="12"/>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7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w:t>
      </w:r>
    </w:p>
    <w:p>
      <w:pPr>
        <w:pStyle w:val="6"/>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color w:val="auto"/>
          <w:lang w:val="en-US" w:eastAsia="zh-CN"/>
        </w:rPr>
      </w:pPr>
    </w:p>
    <w:p>
      <w:pPr>
        <w:pStyle w:val="5"/>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12、评分标准和细则中商务部分证明材料（格式自拟）</w:t>
      </w:r>
    </w:p>
    <w:p>
      <w:pPr>
        <w:pStyle w:val="12"/>
        <w:shd w:val="clear" w:color="auto" w:fill="auto"/>
        <w:tabs>
          <w:tab w:val="left" w:pos="5580"/>
        </w:tabs>
        <w:spacing w:line="240" w:lineRule="atLeast"/>
        <w:rPr>
          <w:rFonts w:hint="eastAsia" w:ascii="仿宋" w:hAnsi="仿宋" w:eastAsia="仿宋" w:cs="仿宋"/>
          <w:color w:val="auto"/>
          <w:sz w:val="24"/>
          <w:highlight w:val="none"/>
        </w:rPr>
      </w:pPr>
    </w:p>
    <w:p>
      <w:pPr>
        <w:pStyle w:val="12"/>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169"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pPr>
        <w:pStyle w:val="12"/>
        <w:keepNext w:val="0"/>
        <w:keepLines w:val="0"/>
        <w:pageBreakBefore w:val="0"/>
        <w:widowControl w:val="0"/>
        <w:shd w:val="clear" w:color="auto" w:fill="auto"/>
        <w:tabs>
          <w:tab w:val="left" w:pos="5580"/>
        </w:tabs>
        <w:kinsoku/>
        <w:wordWrap/>
        <w:overflowPunct/>
        <w:topLinePunct w:val="0"/>
        <w:autoSpaceDE/>
        <w:autoSpaceDN/>
        <w:bidi w:val="0"/>
        <w:spacing w:line="360" w:lineRule="auto"/>
        <w:ind w:firstLine="147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w:t>
      </w:r>
    </w:p>
    <w:p>
      <w:pPr>
        <w:pStyle w:val="5"/>
        <w:keepNext w:val="0"/>
        <w:keepLines w:val="0"/>
        <w:pageBreakBefore w:val="0"/>
        <w:widowControl w:val="0"/>
        <w:numPr>
          <w:ilvl w:val="1"/>
          <w:numId w:val="0"/>
        </w:numPr>
        <w:shd w:val="clear" w:color="auto" w:fill="auto"/>
        <w:kinsoku/>
        <w:wordWrap/>
        <w:overflowPunct/>
        <w:topLinePunct w:val="0"/>
        <w:autoSpaceDE/>
        <w:autoSpaceDN/>
        <w:bidi w:val="0"/>
        <w:spacing w:before="0" w:line="360" w:lineRule="auto"/>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color w:val="auto"/>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13、</w:t>
      </w:r>
      <w:r>
        <w:rPr>
          <w:rFonts w:hint="eastAsia" w:ascii="仿宋" w:hAnsi="仿宋" w:eastAsia="仿宋" w:cs="仿宋"/>
          <w:b/>
          <w:bCs/>
          <w:color w:val="auto"/>
          <w:spacing w:val="0"/>
          <w:w w:val="90"/>
          <w:position w:val="0"/>
          <w:sz w:val="36"/>
          <w:szCs w:val="36"/>
          <w:lang w:val="en-US" w:eastAsia="zh-CN"/>
        </w:rPr>
        <w:t>投标人认为有必要提供的其他证明材料（格式自拟）</w:t>
      </w:r>
    </w:p>
    <w:p>
      <w:pPr>
        <w:pStyle w:val="12"/>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p>
    <w:p>
      <w:pPr>
        <w:pStyle w:val="12"/>
        <w:shd w:val="clear" w:color="auto" w:fill="auto"/>
        <w:tabs>
          <w:tab w:val="left" w:pos="5580"/>
        </w:tabs>
        <w:spacing w:line="240" w:lineRule="atLeast"/>
        <w:ind w:firstLine="49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pPr>
        <w:pStyle w:val="13"/>
        <w:rPr>
          <w:rFonts w:hint="eastAsia"/>
          <w:color w:val="auto"/>
        </w:rPr>
      </w:pPr>
    </w:p>
    <w:sectPr>
      <w:headerReference r:id="rId12" w:type="default"/>
      <w:footerReference r:id="rId13" w:type="default"/>
      <w:pgSz w:w="11905" w:h="16838"/>
      <w:pgMar w:top="1440" w:right="1417" w:bottom="1440" w:left="1417" w:header="850" w:footer="992" w:gutter="0"/>
      <w:pgNumType w:fmt="decimal"/>
      <w:cols w:space="0" w:num="1"/>
      <w:rtlGutter w:val="0"/>
      <w:docGrid w:type="linesAndChars" w:linePitch="332"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lang w:val="en-US"/>
      </w:rPr>
    </w:pPr>
    <w:r>
      <w:rPr>
        <w:sz w:val="16"/>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ukA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yrpANAIAAGUEAAAOAAAAAAAAAAEAIAAAAB8BAABkcnMvZTJvRG9jLnhtbFBL&#10;BQYAAAAABgAGAFkBAADF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E8QMsBAACd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OWbV5Q4bnHk558/zr/+nH9/&#10;J9mJEvUBasy8DZibhnd+wMWZ/YDOzHxQ0eYvciIYR4FPF4HlkIjIj1bL1arCkMDYfEF8dvc8REjv&#10;pbckGw2NOMEiLD9+hDSmzim5mvM32pgyReP+cyBm9rDc+9hjttKwGyZCO9+ekE+Pw2+ow12nxHxw&#10;qG3ek9mIs7GbjUOIet+VRcr1ILw9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GBPEDLAQAAnQ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eastAsia="宋体"/>
        <w:sz w:val="16"/>
        <w:szCs w:val="16"/>
        <w:lang w:val="en-US" w:eastAsia="zh-CN"/>
      </w:rPr>
      <w:t>地址：新疆克州乌恰县天源市政7楼</w:t>
    </w:r>
    <w:r>
      <w:rPr>
        <w:rFonts w:hint="eastAsia"/>
        <w:color w:val="800000"/>
        <w:sz w:val="16"/>
        <w:szCs w:val="20"/>
        <w:lang w:val="en-US" w:eastAsia="zh-CN"/>
      </w:rPr>
      <w:t xml:space="preserve">           电话：0908-4230011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16"/>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2JN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O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HYk3DUCAABlBAAADgAAAAAAAAABACAAAAAfAQAAZHJzL2Uyb0RvYy54bWxQ&#10;SwUGAAAAAAYABgBZAQAAx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r>
      <w:rPr>
        <w:rFonts w:hint="eastAsia" w:eastAsia="宋体"/>
        <w:sz w:val="16"/>
        <w:szCs w:val="16"/>
        <w:lang w:val="en-US" w:eastAsia="zh-CN"/>
      </w:rPr>
      <w:t>地址：新疆克州乌恰县天源市政7楼</w:t>
    </w:r>
    <w:r>
      <w:rPr>
        <w:rFonts w:hint="eastAsia"/>
        <w:color w:val="800000"/>
        <w:sz w:val="16"/>
        <w:szCs w:val="20"/>
        <w:lang w:val="en-US" w:eastAsia="zh-CN"/>
      </w:rPr>
      <w:t xml:space="preserve">           电话：0908-4230011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r>
      <w:rPr>
        <w:rFonts w:hint="eastAsia" w:eastAsia="宋体"/>
        <w:sz w:val="16"/>
        <w:szCs w:val="16"/>
        <w:lang w:val="en-US" w:eastAsia="zh-CN"/>
      </w:rPr>
      <w:t>地址：新疆克州乌恰县天源市政7楼</w:t>
    </w:r>
    <w:r>
      <w:rPr>
        <w:rFonts w:hint="eastAsia"/>
        <w:color w:val="800000"/>
        <w:sz w:val="16"/>
        <w:szCs w:val="20"/>
        <w:lang w:val="en-US" w:eastAsia="zh-CN"/>
      </w:rPr>
      <w:t xml:space="preserve">           电话：0908-4610011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1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4"/>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4"/>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clear" w:pos="4153"/>
        <w:tab w:val="clear" w:pos="8306"/>
      </w:tabs>
      <w:rPr>
        <w:rFonts w:hint="eastAsia" w:eastAsia="宋体"/>
        <w:lang w:eastAsia="zh-CN"/>
      </w:rPr>
    </w:pPr>
    <w:r>
      <w:rPr>
        <w:rFonts w:hint="eastAsia" w:eastAsia="宋体"/>
        <w:lang w:eastAsia="zh-CN"/>
      </w:rPr>
      <w:drawing>
        <wp:inline distT="0" distB="0" distL="114300" distR="114300">
          <wp:extent cx="258445" cy="367665"/>
          <wp:effectExtent l="0" t="0" r="8255" b="13335"/>
          <wp:docPr id="394" name="图片 394" descr="16644456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1664445654615"/>
                  <pic:cNvPicPr>
                    <a:picLocks noChangeAspect="1"/>
                  </pic:cNvPicPr>
                </pic:nvPicPr>
                <pic:blipFill>
                  <a:blip r:embed="rId1"/>
                  <a:stretch>
                    <a:fillRect/>
                  </a:stretch>
                </pic:blipFill>
                <pic:spPr>
                  <a:xfrm>
                    <a:off x="0" y="0"/>
                    <a:ext cx="258445" cy="367665"/>
                  </a:xfrm>
                  <a:prstGeom prst="rect">
                    <a:avLst/>
                  </a:prstGeom>
                </pic:spPr>
              </pic:pic>
            </a:graphicData>
          </a:graphic>
        </wp:inline>
      </w:drawing>
    </w:r>
    <w:r>
      <w:rPr>
        <w:rFonts w:hint="eastAsia" w:ascii="仿宋" w:hAnsi="仿宋" w:eastAsia="仿宋" w:cs="仿宋"/>
        <w:b/>
        <w:bCs/>
        <w:color w:val="auto"/>
        <w:sz w:val="24"/>
        <w:szCs w:val="24"/>
        <w:lang w:eastAsia="zh-CN"/>
      </w:rPr>
      <w:t>新疆宏力源工程项目管理有限公司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293B7"/>
    <w:multiLevelType w:val="singleLevel"/>
    <w:tmpl w:val="FAF293B7"/>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3105F6B5"/>
    <w:multiLevelType w:val="singleLevel"/>
    <w:tmpl w:val="3105F6B5"/>
    <w:lvl w:ilvl="0" w:tentative="0">
      <w:start w:val="1"/>
      <w:numFmt w:val="decimal"/>
      <w:suff w:val="nothing"/>
      <w:lvlText w:val="%1、"/>
      <w:lvlJc w:val="left"/>
      <w:pPr>
        <w:ind w:left="320" w:leftChars="0" w:firstLine="0" w:firstLineChars="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HorizontalSpacing w:val="123"/>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JjOTJmMWI1OTI0YjcwZGY4NTAxZDU4ZDg4ZGMifQ=="/>
  </w:docVars>
  <w:rsids>
    <w:rsidRoot w:val="430832B2"/>
    <w:rsid w:val="00036274"/>
    <w:rsid w:val="001E33B2"/>
    <w:rsid w:val="00DF3300"/>
    <w:rsid w:val="0123584C"/>
    <w:rsid w:val="018F2A1A"/>
    <w:rsid w:val="01D408F4"/>
    <w:rsid w:val="01DA6404"/>
    <w:rsid w:val="01DC4CAE"/>
    <w:rsid w:val="01E44B68"/>
    <w:rsid w:val="023C35FE"/>
    <w:rsid w:val="03120DC1"/>
    <w:rsid w:val="0312238C"/>
    <w:rsid w:val="038329E4"/>
    <w:rsid w:val="03AD6B3B"/>
    <w:rsid w:val="03B46B2C"/>
    <w:rsid w:val="04020AD7"/>
    <w:rsid w:val="042A106A"/>
    <w:rsid w:val="04511EA2"/>
    <w:rsid w:val="04DF1D99"/>
    <w:rsid w:val="05CE725F"/>
    <w:rsid w:val="05DB6711"/>
    <w:rsid w:val="05E31007"/>
    <w:rsid w:val="06141E47"/>
    <w:rsid w:val="063B7194"/>
    <w:rsid w:val="068E19BA"/>
    <w:rsid w:val="06E33B5C"/>
    <w:rsid w:val="08323FEC"/>
    <w:rsid w:val="085D5AE7"/>
    <w:rsid w:val="08D0181D"/>
    <w:rsid w:val="08D10DBA"/>
    <w:rsid w:val="091D420B"/>
    <w:rsid w:val="09231976"/>
    <w:rsid w:val="09260F52"/>
    <w:rsid w:val="093F2ABC"/>
    <w:rsid w:val="0A1E3055"/>
    <w:rsid w:val="0A742C74"/>
    <w:rsid w:val="0A8A6A4D"/>
    <w:rsid w:val="0A982D0F"/>
    <w:rsid w:val="0AEC1713"/>
    <w:rsid w:val="0AFF4C34"/>
    <w:rsid w:val="0B213EE8"/>
    <w:rsid w:val="0B2F3756"/>
    <w:rsid w:val="0B9E39F1"/>
    <w:rsid w:val="0BF26C44"/>
    <w:rsid w:val="0C3A5E6D"/>
    <w:rsid w:val="0C6E7ED8"/>
    <w:rsid w:val="0D2B33CB"/>
    <w:rsid w:val="0DE85E53"/>
    <w:rsid w:val="0DE97ED5"/>
    <w:rsid w:val="0E512943"/>
    <w:rsid w:val="0FD54405"/>
    <w:rsid w:val="10685029"/>
    <w:rsid w:val="107847B5"/>
    <w:rsid w:val="10CF2FC5"/>
    <w:rsid w:val="110E25D3"/>
    <w:rsid w:val="11A227BD"/>
    <w:rsid w:val="130308CA"/>
    <w:rsid w:val="134B4C7E"/>
    <w:rsid w:val="13516249"/>
    <w:rsid w:val="135B3A09"/>
    <w:rsid w:val="13725EDE"/>
    <w:rsid w:val="14726477"/>
    <w:rsid w:val="147F77B9"/>
    <w:rsid w:val="15164F4C"/>
    <w:rsid w:val="15250C2F"/>
    <w:rsid w:val="1525173B"/>
    <w:rsid w:val="153C6A85"/>
    <w:rsid w:val="15AE1060"/>
    <w:rsid w:val="15E839EB"/>
    <w:rsid w:val="167B61DA"/>
    <w:rsid w:val="16897AA8"/>
    <w:rsid w:val="169054C1"/>
    <w:rsid w:val="171F0B4E"/>
    <w:rsid w:val="17A50DB2"/>
    <w:rsid w:val="17EB3771"/>
    <w:rsid w:val="182C2DE0"/>
    <w:rsid w:val="18333FC9"/>
    <w:rsid w:val="183F1C44"/>
    <w:rsid w:val="18DC572E"/>
    <w:rsid w:val="18FE29CF"/>
    <w:rsid w:val="1910625E"/>
    <w:rsid w:val="19791440"/>
    <w:rsid w:val="198D3D53"/>
    <w:rsid w:val="199A5C11"/>
    <w:rsid w:val="1A3C3B56"/>
    <w:rsid w:val="1AA14F3E"/>
    <w:rsid w:val="1AFA15B8"/>
    <w:rsid w:val="1B5C39DD"/>
    <w:rsid w:val="1BE65325"/>
    <w:rsid w:val="1C6F6962"/>
    <w:rsid w:val="1D5E416D"/>
    <w:rsid w:val="1E6813A9"/>
    <w:rsid w:val="1E864215"/>
    <w:rsid w:val="1EA62FF8"/>
    <w:rsid w:val="1ECE4F82"/>
    <w:rsid w:val="1EE5064C"/>
    <w:rsid w:val="1EE64021"/>
    <w:rsid w:val="1F232690"/>
    <w:rsid w:val="1F5B26D6"/>
    <w:rsid w:val="1F6007D8"/>
    <w:rsid w:val="1F7313AF"/>
    <w:rsid w:val="1FBF7012"/>
    <w:rsid w:val="2080160F"/>
    <w:rsid w:val="20A63B35"/>
    <w:rsid w:val="21C10A3D"/>
    <w:rsid w:val="22965E6B"/>
    <w:rsid w:val="22F917C9"/>
    <w:rsid w:val="23874BA3"/>
    <w:rsid w:val="23D277F4"/>
    <w:rsid w:val="24D004EB"/>
    <w:rsid w:val="24D80E4E"/>
    <w:rsid w:val="25002F8D"/>
    <w:rsid w:val="25546BA5"/>
    <w:rsid w:val="25550156"/>
    <w:rsid w:val="26127F70"/>
    <w:rsid w:val="26437C73"/>
    <w:rsid w:val="267D2FA7"/>
    <w:rsid w:val="26D37563"/>
    <w:rsid w:val="26E45926"/>
    <w:rsid w:val="27161DF2"/>
    <w:rsid w:val="272D2C04"/>
    <w:rsid w:val="27D72414"/>
    <w:rsid w:val="28041684"/>
    <w:rsid w:val="2819185B"/>
    <w:rsid w:val="283D072F"/>
    <w:rsid w:val="285C7E68"/>
    <w:rsid w:val="286B44D3"/>
    <w:rsid w:val="28D472A8"/>
    <w:rsid w:val="29093E7B"/>
    <w:rsid w:val="291C049E"/>
    <w:rsid w:val="299F2BD7"/>
    <w:rsid w:val="29EC750E"/>
    <w:rsid w:val="2A2953D2"/>
    <w:rsid w:val="2A403E4C"/>
    <w:rsid w:val="2A6F2C28"/>
    <w:rsid w:val="2AB303AA"/>
    <w:rsid w:val="2AF552B4"/>
    <w:rsid w:val="2B7102E5"/>
    <w:rsid w:val="2B762634"/>
    <w:rsid w:val="2BF67536"/>
    <w:rsid w:val="2C047AD0"/>
    <w:rsid w:val="2C3F6925"/>
    <w:rsid w:val="2C4C731E"/>
    <w:rsid w:val="2C662DEC"/>
    <w:rsid w:val="2C7C4FC9"/>
    <w:rsid w:val="2C840FA8"/>
    <w:rsid w:val="2D1B0C53"/>
    <w:rsid w:val="2DF06B27"/>
    <w:rsid w:val="2DF1140A"/>
    <w:rsid w:val="2E1B0C2F"/>
    <w:rsid w:val="2E764B34"/>
    <w:rsid w:val="2FA50B1C"/>
    <w:rsid w:val="2FF002CE"/>
    <w:rsid w:val="31286C3D"/>
    <w:rsid w:val="31C54436"/>
    <w:rsid w:val="31CA43CC"/>
    <w:rsid w:val="328722D8"/>
    <w:rsid w:val="32F4471A"/>
    <w:rsid w:val="335C76C1"/>
    <w:rsid w:val="33974E7C"/>
    <w:rsid w:val="3464452F"/>
    <w:rsid w:val="34AC63E7"/>
    <w:rsid w:val="35427B0F"/>
    <w:rsid w:val="35634C55"/>
    <w:rsid w:val="35C66178"/>
    <w:rsid w:val="363027C5"/>
    <w:rsid w:val="3689653D"/>
    <w:rsid w:val="36AA5E0A"/>
    <w:rsid w:val="36D81F7F"/>
    <w:rsid w:val="37616A0D"/>
    <w:rsid w:val="379A2B7B"/>
    <w:rsid w:val="379F4F25"/>
    <w:rsid w:val="37B403D1"/>
    <w:rsid w:val="37D44BCF"/>
    <w:rsid w:val="38083993"/>
    <w:rsid w:val="38C56C0D"/>
    <w:rsid w:val="39951BD0"/>
    <w:rsid w:val="3A1273C6"/>
    <w:rsid w:val="3AA05170"/>
    <w:rsid w:val="3AE06945"/>
    <w:rsid w:val="3BC33109"/>
    <w:rsid w:val="3BD071CA"/>
    <w:rsid w:val="3C544530"/>
    <w:rsid w:val="3C664C7A"/>
    <w:rsid w:val="3CA827C1"/>
    <w:rsid w:val="3CAD59EE"/>
    <w:rsid w:val="3D3710F7"/>
    <w:rsid w:val="3D5F178A"/>
    <w:rsid w:val="3D681E63"/>
    <w:rsid w:val="3D751F42"/>
    <w:rsid w:val="3D780746"/>
    <w:rsid w:val="3ED26025"/>
    <w:rsid w:val="3FF20A38"/>
    <w:rsid w:val="40706583"/>
    <w:rsid w:val="408E72C3"/>
    <w:rsid w:val="408E7BCF"/>
    <w:rsid w:val="40B26236"/>
    <w:rsid w:val="40BC115C"/>
    <w:rsid w:val="413A315B"/>
    <w:rsid w:val="41597EF3"/>
    <w:rsid w:val="41681350"/>
    <w:rsid w:val="416F668A"/>
    <w:rsid w:val="419F6662"/>
    <w:rsid w:val="41A72D03"/>
    <w:rsid w:val="41B765E4"/>
    <w:rsid w:val="41BC55E0"/>
    <w:rsid w:val="420B7389"/>
    <w:rsid w:val="423563C7"/>
    <w:rsid w:val="42C57370"/>
    <w:rsid w:val="430832B2"/>
    <w:rsid w:val="433C340C"/>
    <w:rsid w:val="44444E8A"/>
    <w:rsid w:val="44520810"/>
    <w:rsid w:val="445769C9"/>
    <w:rsid w:val="44740DA7"/>
    <w:rsid w:val="447633DE"/>
    <w:rsid w:val="44951B21"/>
    <w:rsid w:val="454815E5"/>
    <w:rsid w:val="457C2033"/>
    <w:rsid w:val="469505DD"/>
    <w:rsid w:val="46A95479"/>
    <w:rsid w:val="46BA43CC"/>
    <w:rsid w:val="46F77B89"/>
    <w:rsid w:val="4706296E"/>
    <w:rsid w:val="4743767B"/>
    <w:rsid w:val="4785077D"/>
    <w:rsid w:val="478B367B"/>
    <w:rsid w:val="47CD0146"/>
    <w:rsid w:val="485C1B1F"/>
    <w:rsid w:val="49726A4B"/>
    <w:rsid w:val="4A0D2D7D"/>
    <w:rsid w:val="4A43687F"/>
    <w:rsid w:val="4A4B2CCE"/>
    <w:rsid w:val="4B697B8F"/>
    <w:rsid w:val="4BB73B85"/>
    <w:rsid w:val="4BE15206"/>
    <w:rsid w:val="4BF478AD"/>
    <w:rsid w:val="4BF50141"/>
    <w:rsid w:val="4C17384D"/>
    <w:rsid w:val="4C257A37"/>
    <w:rsid w:val="4C967FBD"/>
    <w:rsid w:val="4CF5766A"/>
    <w:rsid w:val="4DE615D3"/>
    <w:rsid w:val="4DF50B78"/>
    <w:rsid w:val="4E6938E7"/>
    <w:rsid w:val="4E701DC0"/>
    <w:rsid w:val="4EC47EFE"/>
    <w:rsid w:val="4F006719"/>
    <w:rsid w:val="4F2E489B"/>
    <w:rsid w:val="4F5166AD"/>
    <w:rsid w:val="4F5D25FD"/>
    <w:rsid w:val="4FB41D44"/>
    <w:rsid w:val="50395ABF"/>
    <w:rsid w:val="50BF6E81"/>
    <w:rsid w:val="50D70E34"/>
    <w:rsid w:val="513F080C"/>
    <w:rsid w:val="515C3A4F"/>
    <w:rsid w:val="523B2375"/>
    <w:rsid w:val="52654DCD"/>
    <w:rsid w:val="5306542C"/>
    <w:rsid w:val="533662E6"/>
    <w:rsid w:val="53390376"/>
    <w:rsid w:val="53746819"/>
    <w:rsid w:val="53786F73"/>
    <w:rsid w:val="53940122"/>
    <w:rsid w:val="54006C82"/>
    <w:rsid w:val="5536450D"/>
    <w:rsid w:val="553813F1"/>
    <w:rsid w:val="55CF657E"/>
    <w:rsid w:val="56493792"/>
    <w:rsid w:val="57710879"/>
    <w:rsid w:val="58A83ABB"/>
    <w:rsid w:val="59811315"/>
    <w:rsid w:val="59BD150F"/>
    <w:rsid w:val="5A012B26"/>
    <w:rsid w:val="5A04337A"/>
    <w:rsid w:val="5A7E608A"/>
    <w:rsid w:val="5AE0581C"/>
    <w:rsid w:val="5BE43388"/>
    <w:rsid w:val="5C337866"/>
    <w:rsid w:val="5CD53D28"/>
    <w:rsid w:val="5CD658F1"/>
    <w:rsid w:val="5CDF2064"/>
    <w:rsid w:val="5D2366CB"/>
    <w:rsid w:val="5D3331A6"/>
    <w:rsid w:val="5D533B73"/>
    <w:rsid w:val="5E0B0134"/>
    <w:rsid w:val="5E135BA1"/>
    <w:rsid w:val="5E1D1079"/>
    <w:rsid w:val="5EDA6373"/>
    <w:rsid w:val="5F0C00BF"/>
    <w:rsid w:val="5F125B3F"/>
    <w:rsid w:val="5F1D0C71"/>
    <w:rsid w:val="5F2C67EF"/>
    <w:rsid w:val="601F4136"/>
    <w:rsid w:val="6031773D"/>
    <w:rsid w:val="60365D26"/>
    <w:rsid w:val="61652CF4"/>
    <w:rsid w:val="62001FFF"/>
    <w:rsid w:val="62123B3B"/>
    <w:rsid w:val="62233CD3"/>
    <w:rsid w:val="622D3D77"/>
    <w:rsid w:val="63307788"/>
    <w:rsid w:val="634A483E"/>
    <w:rsid w:val="642B45E0"/>
    <w:rsid w:val="643007E6"/>
    <w:rsid w:val="644545DB"/>
    <w:rsid w:val="64604EAC"/>
    <w:rsid w:val="64740A1C"/>
    <w:rsid w:val="647C3EF8"/>
    <w:rsid w:val="64DF79CD"/>
    <w:rsid w:val="651E6BDA"/>
    <w:rsid w:val="65A128EC"/>
    <w:rsid w:val="663B5E5E"/>
    <w:rsid w:val="66457796"/>
    <w:rsid w:val="66A5387A"/>
    <w:rsid w:val="66DB1226"/>
    <w:rsid w:val="66F069F8"/>
    <w:rsid w:val="67656B1B"/>
    <w:rsid w:val="67AE419D"/>
    <w:rsid w:val="67B22635"/>
    <w:rsid w:val="683769EB"/>
    <w:rsid w:val="698C50B9"/>
    <w:rsid w:val="69B75707"/>
    <w:rsid w:val="69D47128"/>
    <w:rsid w:val="6ADE7537"/>
    <w:rsid w:val="6B221B0E"/>
    <w:rsid w:val="6B237BBE"/>
    <w:rsid w:val="6B506044"/>
    <w:rsid w:val="6C527E9B"/>
    <w:rsid w:val="6C7543E1"/>
    <w:rsid w:val="6C963B87"/>
    <w:rsid w:val="6CA34594"/>
    <w:rsid w:val="6CA96079"/>
    <w:rsid w:val="6CAC1F8A"/>
    <w:rsid w:val="6CBA7978"/>
    <w:rsid w:val="6CC81EA4"/>
    <w:rsid w:val="6CE72502"/>
    <w:rsid w:val="6D3756D1"/>
    <w:rsid w:val="6D37776E"/>
    <w:rsid w:val="6D3B79B9"/>
    <w:rsid w:val="6DBD66CF"/>
    <w:rsid w:val="6DD37F37"/>
    <w:rsid w:val="6EE6594A"/>
    <w:rsid w:val="6F3F2C86"/>
    <w:rsid w:val="6FFC5967"/>
    <w:rsid w:val="701E297D"/>
    <w:rsid w:val="704838FD"/>
    <w:rsid w:val="709119F6"/>
    <w:rsid w:val="71F7318A"/>
    <w:rsid w:val="721A3870"/>
    <w:rsid w:val="72AB5F51"/>
    <w:rsid w:val="72DB435C"/>
    <w:rsid w:val="739641CD"/>
    <w:rsid w:val="74574EBF"/>
    <w:rsid w:val="746335E0"/>
    <w:rsid w:val="74B1717B"/>
    <w:rsid w:val="751E0D04"/>
    <w:rsid w:val="752249F0"/>
    <w:rsid w:val="754C749B"/>
    <w:rsid w:val="75AB1C93"/>
    <w:rsid w:val="761B163F"/>
    <w:rsid w:val="76810114"/>
    <w:rsid w:val="76E41762"/>
    <w:rsid w:val="76F13850"/>
    <w:rsid w:val="7717316E"/>
    <w:rsid w:val="772E7150"/>
    <w:rsid w:val="77603777"/>
    <w:rsid w:val="77901BB9"/>
    <w:rsid w:val="77A829DC"/>
    <w:rsid w:val="77C7479C"/>
    <w:rsid w:val="78460399"/>
    <w:rsid w:val="788E3223"/>
    <w:rsid w:val="78B10039"/>
    <w:rsid w:val="78E06AB0"/>
    <w:rsid w:val="791F1447"/>
    <w:rsid w:val="798E0318"/>
    <w:rsid w:val="7A630025"/>
    <w:rsid w:val="7A767C71"/>
    <w:rsid w:val="7AA32CA1"/>
    <w:rsid w:val="7ABC1D2D"/>
    <w:rsid w:val="7AD93877"/>
    <w:rsid w:val="7BA67370"/>
    <w:rsid w:val="7BD96D64"/>
    <w:rsid w:val="7BFC0690"/>
    <w:rsid w:val="7CC540BD"/>
    <w:rsid w:val="7CEE4788"/>
    <w:rsid w:val="7D423759"/>
    <w:rsid w:val="7D695F1A"/>
    <w:rsid w:val="7DA30807"/>
    <w:rsid w:val="7DD956AA"/>
    <w:rsid w:val="7E2D5B39"/>
    <w:rsid w:val="7E3239CA"/>
    <w:rsid w:val="7ED160D1"/>
    <w:rsid w:val="7EFF672B"/>
    <w:rsid w:val="7F8738A2"/>
    <w:rsid w:val="7FD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0"/>
    </w:rPr>
  </w:style>
  <w:style w:type="paragraph" w:styleId="9">
    <w:name w:val="Body Text"/>
    <w:basedOn w:val="1"/>
    <w:next w:val="1"/>
    <w:qFormat/>
    <w:uiPriority w:val="99"/>
    <w:pPr>
      <w:numPr>
        <w:ilvl w:val="0"/>
        <w:numId w:val="2"/>
      </w:numPr>
      <w:tabs>
        <w:tab w:val="clear" w:pos="780"/>
      </w:tabs>
      <w:ind w:left="0" w:firstLine="0"/>
    </w:pPr>
    <w:rPr>
      <w:rFonts w:ascii="黑体" w:eastAsia="黑体"/>
      <w:sz w:val="22"/>
    </w:rPr>
  </w:style>
  <w:style w:type="paragraph" w:styleId="10">
    <w:name w:val="Body Text Indent"/>
    <w:basedOn w:val="1"/>
    <w:next w:val="11"/>
    <w:qFormat/>
    <w:uiPriority w:val="0"/>
    <w:pPr>
      <w:spacing w:after="120"/>
      <w:ind w:left="200" w:left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next w:val="13"/>
    <w:qFormat/>
    <w:uiPriority w:val="0"/>
    <w:rPr>
      <w:rFonts w:ascii="宋体"/>
      <w:color w:val="000000"/>
      <w:szCs w:val="20"/>
      <w:u w:val="none" w:color="000000"/>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semiHidden/>
    <w:unhideWhenUsed/>
    <w:qFormat/>
    <w:uiPriority w:val="99"/>
    <w:pPr>
      <w:snapToGrid w:val="0"/>
      <w:jc w:val="left"/>
    </w:pPr>
    <w:rPr>
      <w:sz w:val="18"/>
      <w:szCs w:val="18"/>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next w:val="19"/>
    <w:qFormat/>
    <w:uiPriority w:val="99"/>
    <w:pPr>
      <w:widowControl/>
      <w:jc w:val="left"/>
    </w:pPr>
    <w:rPr>
      <w:rFonts w:ascii="宋体" w:hAnsi="宋体" w:eastAsia="宋体" w:cs="宋体"/>
      <w:kern w:val="0"/>
      <w:sz w:val="24"/>
      <w:szCs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First Indent 2"/>
    <w:basedOn w:val="10"/>
    <w:semiHidden/>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Hyperlink"/>
    <w:qFormat/>
    <w:uiPriority w:val="99"/>
    <w:rPr>
      <w:color w:val="0000FF"/>
      <w:u w:val="single"/>
    </w:rPr>
  </w:style>
  <w:style w:type="character" w:styleId="26">
    <w:name w:val="footnote reference"/>
    <w:basedOn w:val="23"/>
    <w:semiHidden/>
    <w:unhideWhenUsed/>
    <w:qFormat/>
    <w:uiPriority w:val="99"/>
    <w:rPr>
      <w:vertAlign w:val="superscript"/>
    </w:rPr>
  </w:style>
  <w:style w:type="paragraph" w:customStyle="1" w:styleId="27">
    <w:name w:val="_Style 2"/>
    <w:basedOn w:val="4"/>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9">
    <w:name w:val="文档正文"/>
    <w:basedOn w:val="7"/>
    <w:qFormat/>
    <w:uiPriority w:val="0"/>
    <w:pPr>
      <w:spacing w:line="360" w:lineRule="auto"/>
    </w:pPr>
    <w:rPr>
      <w:rFonts w:ascii="宋体" w:hAnsi="宋体"/>
      <w:b/>
      <w:bCs/>
    </w:rPr>
  </w:style>
  <w:style w:type="paragraph" w:customStyle="1" w:styleId="30">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1">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2">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3">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5">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7">
    <w:name w:val="图例"/>
    <w:basedOn w:val="1"/>
    <w:qFormat/>
    <w:uiPriority w:val="0"/>
    <w:pPr>
      <w:spacing w:before="120" w:beforeLines="0" w:after="120" w:afterLines="0" w:line="360" w:lineRule="auto"/>
      <w:jc w:val="center"/>
    </w:pPr>
    <w:rPr>
      <w:rFonts w:eastAsia="仿宋_GB2312"/>
      <w:b/>
      <w:sz w:val="24"/>
    </w:rPr>
  </w:style>
  <w:style w:type="paragraph" w:customStyle="1" w:styleId="38">
    <w:name w:val="WPS Plain"/>
    <w:qFormat/>
    <w:uiPriority w:val="0"/>
    <w:rPr>
      <w:rFonts w:ascii="Times New Roman" w:hAnsi="Times New Roman" w:eastAsia="宋体" w:cs="Times New Roman"/>
      <w:lang w:val="en-US" w:eastAsia="zh-CN" w:bidi="ar-SA"/>
    </w:rPr>
  </w:style>
  <w:style w:type="paragraph" w:customStyle="1" w:styleId="39">
    <w:name w:val="样式 左侧:  0 厘米 悬挂缩进: 2.5 字符"/>
    <w:basedOn w:val="1"/>
    <w:qFormat/>
    <w:uiPriority w:val="0"/>
    <w:pPr>
      <w:ind w:left="525" w:hanging="525" w:hangingChars="250"/>
    </w:pPr>
    <w:rPr>
      <w:szCs w:val="20"/>
    </w:rPr>
  </w:style>
  <w:style w:type="character" w:customStyle="1" w:styleId="40">
    <w:name w:val="font11"/>
    <w:basedOn w:val="23"/>
    <w:qFormat/>
    <w:uiPriority w:val="0"/>
    <w:rPr>
      <w:rFonts w:ascii="Calibri" w:hAnsi="Calibri" w:cs="Calibri"/>
      <w:color w:val="000000"/>
      <w:sz w:val="20"/>
      <w:szCs w:val="20"/>
      <w:u w:val="none"/>
    </w:rPr>
  </w:style>
  <w:style w:type="paragraph" w:customStyle="1" w:styleId="41">
    <w:name w:val="Normal"/>
    <w:qFormat/>
    <w:uiPriority w:val="0"/>
    <w:rPr>
      <w:rFonts w:ascii="Times New Roman" w:hAnsi="Times New Roman" w:eastAsia="Times New Roman" w:cs="Times New Roman"/>
      <w:sz w:val="24"/>
      <w:szCs w:val="24"/>
      <w:lang w:bidi="ar-SA"/>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43">
    <w:name w:val="font31"/>
    <w:basedOn w:val="23"/>
    <w:qFormat/>
    <w:uiPriority w:val="0"/>
    <w:rPr>
      <w:rFonts w:hint="eastAsia" w:ascii="宋体" w:hAnsi="宋体" w:eastAsia="宋体" w:cs="宋体"/>
      <w:color w:val="000000"/>
      <w:sz w:val="12"/>
      <w:szCs w:val="12"/>
      <w:u w:val="none"/>
    </w:rPr>
  </w:style>
  <w:style w:type="character" w:customStyle="1" w:styleId="44">
    <w:name w:val="font131"/>
    <w:basedOn w:val="23"/>
    <w:qFormat/>
    <w:uiPriority w:val="0"/>
    <w:rPr>
      <w:rFonts w:hint="eastAsia" w:ascii="宋体" w:hAnsi="宋体" w:eastAsia="宋体" w:cs="宋体"/>
      <w:color w:val="FF0000"/>
      <w:sz w:val="12"/>
      <w:szCs w:val="12"/>
      <w:u w:val="none"/>
    </w:rPr>
  </w:style>
  <w:style w:type="character" w:customStyle="1" w:styleId="45">
    <w:name w:val="font51"/>
    <w:basedOn w:val="23"/>
    <w:qFormat/>
    <w:uiPriority w:val="0"/>
    <w:rPr>
      <w:rFonts w:hint="eastAsia" w:ascii="宋体" w:hAnsi="宋体" w:eastAsia="宋体" w:cs="宋体"/>
      <w:color w:val="000000"/>
      <w:sz w:val="12"/>
      <w:szCs w:val="12"/>
      <w:u w:val="none"/>
    </w:rPr>
  </w:style>
  <w:style w:type="character" w:customStyle="1" w:styleId="46">
    <w:name w:val="font171"/>
    <w:basedOn w:val="23"/>
    <w:qFormat/>
    <w:uiPriority w:val="0"/>
    <w:rPr>
      <w:rFonts w:hint="eastAsia" w:ascii="宋体" w:hAnsi="宋体" w:eastAsia="宋体" w:cs="宋体"/>
      <w:color w:val="FF0000"/>
      <w:sz w:val="12"/>
      <w:szCs w:val="12"/>
      <w:u w:val="none"/>
    </w:rPr>
  </w:style>
  <w:style w:type="character" w:customStyle="1" w:styleId="47">
    <w:name w:val="font41"/>
    <w:basedOn w:val="23"/>
    <w:qFormat/>
    <w:uiPriority w:val="0"/>
    <w:rPr>
      <w:rFonts w:hint="eastAsia" w:ascii="宋体" w:hAnsi="宋体" w:eastAsia="宋体" w:cs="宋体"/>
      <w:b/>
      <w:bCs/>
      <w:color w:val="0D0D0D"/>
      <w:sz w:val="18"/>
      <w:szCs w:val="18"/>
      <w:u w:val="none"/>
    </w:rPr>
  </w:style>
  <w:style w:type="character" w:customStyle="1" w:styleId="48">
    <w:name w:val="font71"/>
    <w:basedOn w:val="23"/>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45144</Words>
  <Characters>48340</Characters>
  <Lines>0</Lines>
  <Paragraphs>0</Paragraphs>
  <TotalTime>0</TotalTime>
  <ScaleCrop>false</ScaleCrop>
  <LinksUpToDate>false</LinksUpToDate>
  <CharactersWithSpaces>52179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 么么时光</cp:lastModifiedBy>
  <cp:lastPrinted>2023-02-01T09:45:00Z</cp:lastPrinted>
  <dcterms:modified xsi:type="dcterms:W3CDTF">2023-02-02T05:40:01Z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DEC63E6696464C9394C13ADC17C5580A</vt:lpwstr>
  </property>
</Properties>
</file>