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仿宋" w:hAnsi="仿宋" w:eastAsia="仿宋" w:cs="仿宋"/>
          <w:bCs/>
          <w:color w:val="auto"/>
          <w:sz w:val="28"/>
          <w:szCs w:val="28"/>
        </w:rPr>
      </w:pPr>
      <w:r>
        <w:rPr>
          <w:rFonts w:hint="eastAsia" w:ascii="仿宋" w:hAnsi="仿宋" w:eastAsia="仿宋" w:cs="仿宋"/>
          <w:bCs/>
          <w:color w:val="auto"/>
          <w:sz w:val="28"/>
          <w:szCs w:val="28"/>
        </w:rPr>
        <w:t xml:space="preserve">                   </w:t>
      </w:r>
    </w:p>
    <w:p>
      <w:pPr>
        <w:spacing w:line="240" w:lineRule="atLeast"/>
        <w:jc w:val="left"/>
        <w:rPr>
          <w:rFonts w:ascii="仿宋" w:hAnsi="仿宋" w:eastAsia="仿宋" w:cs="仿宋"/>
          <w:b/>
          <w:color w:val="auto"/>
          <w:sz w:val="52"/>
          <w:szCs w:val="52"/>
        </w:rPr>
      </w:pPr>
    </w:p>
    <w:p>
      <w:pPr>
        <w:widowControl/>
        <w:jc w:val="center"/>
        <w:rPr>
          <w:rFonts w:hint="eastAsia" w:ascii="仿宋" w:hAnsi="仿宋" w:eastAsia="仿宋" w:cs="仿宋"/>
          <w:b/>
          <w:color w:val="auto"/>
          <w:sz w:val="40"/>
          <w:szCs w:val="40"/>
        </w:rPr>
      </w:pPr>
      <w:r>
        <w:rPr>
          <w:rFonts w:hint="eastAsia" w:ascii="仿宋" w:hAnsi="仿宋" w:eastAsia="仿宋" w:cs="仿宋"/>
          <w:b/>
          <w:color w:val="auto"/>
          <w:sz w:val="40"/>
          <w:szCs w:val="40"/>
        </w:rPr>
        <w:t>喀什地区2023年地质灾害防治体系建设项目</w:t>
      </w:r>
    </w:p>
    <w:p>
      <w:pPr>
        <w:widowControl/>
        <w:jc w:val="center"/>
        <w:rPr>
          <w:rFonts w:hint="default" w:ascii="仿宋" w:hAnsi="仿宋" w:eastAsia="仿宋" w:cs="仿宋"/>
          <w:b/>
          <w:color w:val="auto"/>
          <w:sz w:val="40"/>
          <w:szCs w:val="40"/>
          <w:lang w:val="en-US" w:eastAsia="zh-CN"/>
        </w:rPr>
      </w:pPr>
      <w:r>
        <w:rPr>
          <w:rFonts w:hint="eastAsia" w:ascii="仿宋" w:hAnsi="仿宋" w:eastAsia="仿宋" w:cs="仿宋"/>
          <w:b/>
          <w:color w:val="auto"/>
          <w:sz w:val="40"/>
          <w:szCs w:val="40"/>
          <w:lang w:val="en-US" w:eastAsia="zh-CN"/>
        </w:rPr>
        <w:t>2023年自然资源领域（第一批）专项资金项目</w:t>
      </w:r>
    </w:p>
    <w:p>
      <w:pPr>
        <w:widowControl/>
        <w:jc w:val="left"/>
        <w:rPr>
          <w:rFonts w:ascii="仿宋" w:hAnsi="仿宋" w:eastAsia="仿宋" w:cs="仿宋"/>
          <w:color w:val="auto"/>
        </w:rPr>
      </w:pPr>
    </w:p>
    <w:p>
      <w:pPr>
        <w:pStyle w:val="36"/>
        <w:ind w:firstLine="480"/>
        <w:rPr>
          <w:color w:val="auto"/>
        </w:rPr>
      </w:pPr>
    </w:p>
    <w:p>
      <w:pPr>
        <w:pStyle w:val="35"/>
        <w:rPr>
          <w:color w:val="auto"/>
        </w:rPr>
      </w:pPr>
    </w:p>
    <w:p>
      <w:pPr>
        <w:spacing w:line="240" w:lineRule="atLeast"/>
        <w:jc w:val="center"/>
        <w:rPr>
          <w:rFonts w:ascii="仿宋" w:hAnsi="仿宋" w:eastAsia="仿宋" w:cs="仿宋"/>
          <w:bCs/>
          <w:color w:val="auto"/>
          <w:sz w:val="52"/>
          <w:szCs w:val="52"/>
        </w:rPr>
      </w:pPr>
      <w:r>
        <w:rPr>
          <w:rFonts w:hint="eastAsia" w:ascii="仿宋" w:hAnsi="仿宋" w:eastAsia="仿宋" w:cs="仿宋"/>
          <w:bCs/>
          <w:color w:val="auto"/>
          <w:sz w:val="52"/>
          <w:szCs w:val="52"/>
        </w:rPr>
        <w:t xml:space="preserve"> </w:t>
      </w:r>
      <w:r>
        <w:rPr>
          <w:rFonts w:hint="eastAsia" w:ascii="仿宋" w:hAnsi="仿宋" w:eastAsia="仿宋" w:cs="仿宋"/>
          <w:b/>
          <w:color w:val="auto"/>
          <w:sz w:val="52"/>
          <w:szCs w:val="52"/>
        </w:rPr>
        <w:t>采购文件</w:t>
      </w:r>
    </w:p>
    <w:p>
      <w:pPr>
        <w:spacing w:line="240" w:lineRule="atLeast"/>
        <w:ind w:left="1079" w:leftChars="257" w:hanging="540"/>
        <w:jc w:val="center"/>
        <w:rPr>
          <w:rFonts w:ascii="仿宋" w:hAnsi="仿宋" w:eastAsia="仿宋" w:cs="仿宋"/>
          <w:bCs/>
          <w:color w:val="auto"/>
          <w:sz w:val="52"/>
          <w:szCs w:val="52"/>
        </w:rPr>
      </w:pPr>
    </w:p>
    <w:p>
      <w:pPr>
        <w:spacing w:line="240" w:lineRule="atLeast"/>
        <w:ind w:left="1079" w:leftChars="257" w:hanging="540"/>
        <w:jc w:val="center"/>
        <w:rPr>
          <w:rFonts w:ascii="仿宋" w:hAnsi="仿宋" w:eastAsia="仿宋" w:cs="仿宋"/>
          <w:bCs/>
          <w:color w:val="auto"/>
          <w:sz w:val="32"/>
          <w:szCs w:val="32"/>
        </w:rPr>
      </w:pPr>
      <w:r>
        <w:rPr>
          <w:rFonts w:hint="eastAsia" w:ascii="仿宋" w:hAnsi="仿宋" w:eastAsia="仿宋" w:cs="仿宋"/>
          <w:bCs/>
          <w:color w:val="auto"/>
          <w:sz w:val="32"/>
          <w:szCs w:val="32"/>
        </w:rPr>
        <w:t>（项目编号：GYZB-KSDZFZ2023）</w:t>
      </w:r>
    </w:p>
    <w:p>
      <w:pPr>
        <w:spacing w:line="240" w:lineRule="atLeast"/>
        <w:ind w:left="1079" w:leftChars="257" w:hanging="540"/>
        <w:jc w:val="center"/>
        <w:rPr>
          <w:rFonts w:ascii="仿宋" w:hAnsi="仿宋" w:eastAsia="仿宋" w:cs="仿宋"/>
          <w:b/>
          <w:color w:val="auto"/>
          <w:sz w:val="32"/>
          <w:szCs w:val="32"/>
        </w:rPr>
      </w:pPr>
    </w:p>
    <w:p>
      <w:pPr>
        <w:pStyle w:val="2"/>
        <w:rPr>
          <w:color w:val="auto"/>
        </w:rPr>
      </w:pPr>
    </w:p>
    <w:p>
      <w:pPr>
        <w:spacing w:line="240" w:lineRule="atLeast"/>
        <w:ind w:left="1078" w:leftChars="257" w:hanging="539"/>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第一册</w:t>
      </w:r>
    </w:p>
    <w:p>
      <w:pPr>
        <w:spacing w:line="240" w:lineRule="atLeast"/>
        <w:ind w:left="1079" w:leftChars="257" w:hanging="540"/>
        <w:jc w:val="center"/>
        <w:rPr>
          <w:rFonts w:ascii="仿宋" w:hAnsi="仿宋" w:eastAsia="仿宋" w:cs="仿宋"/>
          <w:b/>
          <w:color w:val="auto"/>
          <w:sz w:val="52"/>
        </w:rPr>
      </w:pPr>
    </w:p>
    <w:p>
      <w:pPr>
        <w:spacing w:line="360" w:lineRule="auto"/>
        <w:ind w:firstLine="837" w:firstLineChars="299"/>
        <w:jc w:val="left"/>
        <w:rPr>
          <w:rFonts w:ascii="仿宋" w:hAnsi="仿宋" w:eastAsia="仿宋" w:cs="仿宋"/>
          <w:color w:val="auto"/>
          <w:sz w:val="28"/>
          <w:szCs w:val="28"/>
          <w:u w:val="single"/>
        </w:rPr>
      </w:pPr>
      <w:r>
        <w:rPr>
          <w:rFonts w:hint="eastAsia" w:ascii="仿宋" w:hAnsi="仿宋" w:eastAsia="仿宋" w:cs="仿宋"/>
          <w:color w:val="auto"/>
          <w:sz w:val="28"/>
          <w:szCs w:val="28"/>
        </w:rPr>
        <w:t>采 购 人：</w:t>
      </w:r>
      <w:r>
        <w:rPr>
          <w:rFonts w:hint="eastAsia" w:ascii="仿宋" w:hAnsi="仿宋" w:eastAsia="仿宋" w:cs="仿宋"/>
          <w:color w:val="auto"/>
          <w:sz w:val="28"/>
          <w:szCs w:val="28"/>
          <w:u w:val="single"/>
        </w:rPr>
        <w:t>喀什地区自然资源局</w:t>
      </w:r>
    </w:p>
    <w:p>
      <w:pPr>
        <w:spacing w:line="600" w:lineRule="exact"/>
        <w:ind w:firstLine="837" w:firstLineChars="299"/>
        <w:rPr>
          <w:rFonts w:ascii="仿宋" w:hAnsi="仿宋" w:eastAsia="仿宋" w:cs="仿宋"/>
          <w:color w:val="auto"/>
          <w:sz w:val="28"/>
          <w:szCs w:val="28"/>
        </w:rPr>
      </w:pP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新疆国源土地矿产资源交易中心（有限公司）</w:t>
      </w:r>
      <w:r>
        <w:rPr>
          <w:rFonts w:hint="eastAsia" w:ascii="仿宋" w:hAnsi="仿宋" w:eastAsia="仿宋" w:cs="仿宋"/>
          <w:color w:val="auto"/>
          <w:sz w:val="28"/>
          <w:szCs w:val="28"/>
        </w:rPr>
        <w:t xml:space="preserve"> </w:t>
      </w:r>
    </w:p>
    <w:p>
      <w:pPr>
        <w:spacing w:line="600" w:lineRule="exact"/>
        <w:ind w:firstLine="837" w:firstLineChars="299"/>
        <w:rPr>
          <w:rFonts w:ascii="仿宋" w:hAnsi="仿宋" w:eastAsia="仿宋" w:cs="仿宋"/>
          <w:b/>
          <w:color w:val="auto"/>
          <w:sz w:val="28"/>
          <w:szCs w:val="28"/>
        </w:rPr>
      </w:pPr>
      <w:r>
        <w:rPr>
          <w:rFonts w:hint="eastAsia" w:ascii="仿宋" w:hAnsi="仿宋" w:eastAsia="仿宋" w:cs="仿宋"/>
          <w:color w:val="auto"/>
          <w:sz w:val="28"/>
          <w:szCs w:val="28"/>
        </w:rPr>
        <w:t>发出日期：</w:t>
      </w:r>
      <w:r>
        <w:rPr>
          <w:rFonts w:hint="eastAsia" w:ascii="仿宋" w:hAnsi="仿宋" w:eastAsia="仿宋" w:cs="仿宋"/>
          <w:color w:val="auto"/>
          <w:sz w:val="28"/>
          <w:szCs w:val="28"/>
          <w:u w:val="single"/>
        </w:rPr>
        <w:t>2023年2月</w:t>
      </w:r>
    </w:p>
    <w:p>
      <w:pPr>
        <w:spacing w:line="240" w:lineRule="atLeast"/>
        <w:ind w:left="1079" w:leftChars="257" w:hanging="540"/>
        <w:rPr>
          <w:rFonts w:ascii="仿宋" w:hAnsi="仿宋" w:eastAsia="仿宋" w:cs="仿宋"/>
          <w:b/>
          <w:color w:val="auto"/>
          <w:szCs w:val="21"/>
        </w:rPr>
      </w:pPr>
    </w:p>
    <w:p>
      <w:pPr>
        <w:spacing w:line="240" w:lineRule="atLeast"/>
        <w:ind w:left="1079" w:leftChars="257" w:hanging="540"/>
        <w:jc w:val="center"/>
        <w:rPr>
          <w:rFonts w:ascii="仿宋" w:hAnsi="仿宋" w:eastAsia="仿宋" w:cs="仿宋"/>
          <w:b/>
          <w:color w:val="auto"/>
          <w:sz w:val="32"/>
        </w:rPr>
      </w:pPr>
      <w:r>
        <w:rPr>
          <w:rFonts w:hint="eastAsia" w:ascii="仿宋" w:hAnsi="仿宋" w:eastAsia="仿宋" w:cs="仿宋"/>
          <w:b/>
          <w:color w:val="auto"/>
          <w:sz w:val="52"/>
        </w:rPr>
        <w:br w:type="page"/>
      </w:r>
      <w:r>
        <w:rPr>
          <w:rFonts w:hint="eastAsia" w:ascii="仿宋" w:hAnsi="仿宋" w:eastAsia="仿宋" w:cs="仿宋"/>
          <w:b/>
          <w:color w:val="auto"/>
          <w:sz w:val="32"/>
        </w:rPr>
        <w:t>目  录</w:t>
      </w:r>
    </w:p>
    <w:p>
      <w:pPr>
        <w:pStyle w:val="23"/>
        <w:tabs>
          <w:tab w:val="right" w:leader="dot" w:pos="8312"/>
        </w:tabs>
        <w:rPr>
          <w:rFonts w:ascii="仿宋" w:hAnsi="仿宋" w:eastAsia="仿宋" w:cs="仿宋"/>
          <w:color w:val="auto"/>
          <w:sz w:val="24"/>
          <w:szCs w:val="32"/>
        </w:rPr>
      </w:pPr>
      <w:r>
        <w:rPr>
          <w:rFonts w:hint="eastAsia" w:ascii="仿宋" w:hAnsi="仿宋" w:eastAsia="仿宋" w:cs="仿宋"/>
          <w:color w:val="auto"/>
          <w:kern w:val="0"/>
          <w:szCs w:val="21"/>
        </w:rPr>
        <w:fldChar w:fldCharType="begin"/>
      </w:r>
      <w:r>
        <w:rPr>
          <w:rFonts w:hint="eastAsia" w:ascii="仿宋" w:hAnsi="仿宋" w:eastAsia="仿宋" w:cs="仿宋"/>
          <w:color w:val="auto"/>
          <w:kern w:val="0"/>
          <w:szCs w:val="21"/>
        </w:rPr>
        <w:instrText xml:space="preserve"> TOC \o "1-3" \h \z \u </w:instrText>
      </w:r>
      <w:r>
        <w:rPr>
          <w:rFonts w:hint="eastAsia" w:ascii="仿宋" w:hAnsi="仿宋" w:eastAsia="仿宋" w:cs="仿宋"/>
          <w:color w:val="auto"/>
          <w:kern w:val="0"/>
          <w:szCs w:val="21"/>
        </w:rPr>
        <w:fldChar w:fldCharType="separate"/>
      </w:r>
      <w:r>
        <w:rPr>
          <w:color w:val="auto"/>
        </w:rPr>
        <w:fldChar w:fldCharType="begin"/>
      </w:r>
      <w:r>
        <w:rPr>
          <w:color w:val="auto"/>
        </w:rPr>
        <w:instrText xml:space="preserve"> HYPERLINK \l "_Toc9228" </w:instrText>
      </w:r>
      <w:r>
        <w:rPr>
          <w:color w:val="auto"/>
        </w:rPr>
        <w:fldChar w:fldCharType="separate"/>
      </w:r>
      <w:r>
        <w:rPr>
          <w:rFonts w:hint="eastAsia" w:ascii="仿宋" w:hAnsi="仿宋" w:eastAsia="仿宋" w:cs="仿宋"/>
          <w:color w:val="auto"/>
          <w:sz w:val="24"/>
          <w:szCs w:val="32"/>
        </w:rPr>
        <w:t>第1章   供应商须知</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_Toc9228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4</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"_Toc9485" </w:instrText>
      </w:r>
      <w:r>
        <w:rPr>
          <w:color w:val="auto"/>
        </w:rPr>
        <w:fldChar w:fldCharType="separate"/>
      </w:r>
      <w:r>
        <w:rPr>
          <w:rFonts w:hint="eastAsia" w:ascii="仿宋" w:hAnsi="仿宋" w:eastAsia="仿宋" w:cs="仿宋"/>
          <w:color w:val="auto"/>
          <w:sz w:val="24"/>
          <w:szCs w:val="32"/>
        </w:rPr>
        <w:t>一   总  则</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_Toc9485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4</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"_Toc12013" </w:instrText>
      </w:r>
      <w:r>
        <w:rPr>
          <w:color w:val="auto"/>
        </w:rPr>
        <w:fldChar w:fldCharType="separate"/>
      </w:r>
      <w:r>
        <w:rPr>
          <w:rFonts w:hint="eastAsia" w:ascii="仿宋" w:hAnsi="仿宋" w:eastAsia="仿宋" w:cs="仿宋"/>
          <w:color w:val="auto"/>
          <w:sz w:val="24"/>
          <w:szCs w:val="32"/>
        </w:rPr>
        <w:t>1.采购人、采购代理机构及供应商</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_Toc12013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4</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"_Toc2643" </w:instrText>
      </w:r>
      <w:r>
        <w:rPr>
          <w:color w:val="auto"/>
        </w:rPr>
        <w:fldChar w:fldCharType="separate"/>
      </w:r>
      <w:r>
        <w:rPr>
          <w:rFonts w:hint="eastAsia" w:ascii="仿宋" w:hAnsi="仿宋" w:eastAsia="仿宋" w:cs="仿宋"/>
          <w:color w:val="auto"/>
          <w:sz w:val="24"/>
          <w:szCs w:val="32"/>
        </w:rPr>
        <w:t>2.资金来源</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_Toc2643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4</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"_Toc28166" </w:instrText>
      </w:r>
      <w:r>
        <w:rPr>
          <w:color w:val="auto"/>
        </w:rPr>
        <w:fldChar w:fldCharType="separate"/>
      </w:r>
      <w:r>
        <w:rPr>
          <w:rFonts w:hint="eastAsia" w:ascii="仿宋" w:hAnsi="仿宋" w:eastAsia="仿宋" w:cs="仿宋"/>
          <w:color w:val="auto"/>
          <w:sz w:val="24"/>
          <w:szCs w:val="32"/>
        </w:rPr>
        <w:t>3.投标费用</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_Toc28166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5</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"_Toc32365" </w:instrText>
      </w:r>
      <w:r>
        <w:rPr>
          <w:color w:val="auto"/>
        </w:rPr>
        <w:fldChar w:fldCharType="separate"/>
      </w:r>
      <w:r>
        <w:rPr>
          <w:rFonts w:hint="eastAsia" w:ascii="仿宋" w:hAnsi="仿宋" w:eastAsia="仿宋" w:cs="仿宋"/>
          <w:color w:val="auto"/>
          <w:sz w:val="24"/>
          <w:szCs w:val="32"/>
        </w:rPr>
        <w:t>4.适用法律</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_Toc32365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5</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"_Toc809" </w:instrText>
      </w:r>
      <w:r>
        <w:rPr>
          <w:color w:val="auto"/>
        </w:rPr>
        <w:fldChar w:fldCharType="separate"/>
      </w:r>
      <w:r>
        <w:rPr>
          <w:rFonts w:hint="eastAsia" w:ascii="仿宋" w:hAnsi="仿宋" w:eastAsia="仿宋" w:cs="仿宋"/>
          <w:color w:val="auto"/>
          <w:sz w:val="24"/>
          <w:szCs w:val="32"/>
        </w:rPr>
        <w:t>二   采购文件</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_Toc809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5</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"_Toc22990" </w:instrText>
      </w:r>
      <w:r>
        <w:rPr>
          <w:color w:val="auto"/>
        </w:rPr>
        <w:fldChar w:fldCharType="separate"/>
      </w:r>
      <w:r>
        <w:rPr>
          <w:rFonts w:hint="eastAsia" w:ascii="仿宋" w:hAnsi="仿宋" w:eastAsia="仿宋" w:cs="仿宋"/>
          <w:color w:val="auto"/>
          <w:sz w:val="24"/>
          <w:szCs w:val="32"/>
        </w:rPr>
        <w:t>5.采购文件构成</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_Toc22990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5</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"_Toc21314" </w:instrText>
      </w:r>
      <w:r>
        <w:rPr>
          <w:color w:val="auto"/>
        </w:rPr>
        <w:fldChar w:fldCharType="separate"/>
      </w:r>
      <w:r>
        <w:rPr>
          <w:rFonts w:hint="eastAsia" w:ascii="仿宋" w:hAnsi="仿宋" w:eastAsia="仿宋" w:cs="仿宋"/>
          <w:color w:val="auto"/>
          <w:sz w:val="24"/>
          <w:szCs w:val="32"/>
        </w:rPr>
        <w:t>6.采购文件的澄清与修改</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_Toc21314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5</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"_Toc10994" </w:instrText>
      </w:r>
      <w:r>
        <w:rPr>
          <w:color w:val="auto"/>
        </w:rPr>
        <w:fldChar w:fldCharType="separate"/>
      </w:r>
      <w:r>
        <w:rPr>
          <w:rFonts w:hint="eastAsia" w:ascii="仿宋" w:hAnsi="仿宋" w:eastAsia="仿宋" w:cs="仿宋"/>
          <w:color w:val="auto"/>
          <w:sz w:val="24"/>
          <w:szCs w:val="32"/>
        </w:rPr>
        <w:t>7.投标截止时间的顺延</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_Toc10994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5</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"_Toc25389" </w:instrText>
      </w:r>
      <w:r>
        <w:rPr>
          <w:color w:val="auto"/>
        </w:rPr>
        <w:fldChar w:fldCharType="separate"/>
      </w:r>
      <w:r>
        <w:rPr>
          <w:rFonts w:hint="eastAsia" w:ascii="仿宋" w:hAnsi="仿宋" w:eastAsia="仿宋" w:cs="仿宋"/>
          <w:color w:val="auto"/>
          <w:sz w:val="24"/>
          <w:szCs w:val="32"/>
        </w:rPr>
        <w:t>三   投标文件的编制</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_Toc25389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6</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pos="3600"/>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"_Toc6728" </w:instrText>
      </w:r>
      <w:r>
        <w:rPr>
          <w:color w:val="auto"/>
        </w:rPr>
        <w:fldChar w:fldCharType="separate"/>
      </w:r>
      <w:r>
        <w:rPr>
          <w:rFonts w:hint="eastAsia" w:ascii="仿宋" w:hAnsi="仿宋" w:eastAsia="仿宋" w:cs="仿宋"/>
          <w:color w:val="auto"/>
          <w:sz w:val="24"/>
          <w:szCs w:val="32"/>
        </w:rPr>
        <w:t>8.</w:t>
      </w:r>
      <w:r>
        <w:rPr>
          <w:rFonts w:hint="eastAsia" w:ascii="仿宋" w:hAnsi="仿宋" w:eastAsia="仿宋" w:cs="仿宋"/>
          <w:color w:val="auto"/>
          <w:sz w:val="24"/>
          <w:szCs w:val="32"/>
        </w:rPr>
        <w:tab/>
      </w:r>
      <w:r>
        <w:rPr>
          <w:rFonts w:hint="eastAsia" w:ascii="仿宋" w:hAnsi="仿宋" w:eastAsia="仿宋" w:cs="仿宋"/>
          <w:color w:val="auto"/>
          <w:sz w:val="24"/>
          <w:szCs w:val="32"/>
        </w:rPr>
        <w:t>投标范围及投标文件中标准和计量单位的使用</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_Toc6728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6</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"_Toc15487" </w:instrText>
      </w:r>
      <w:r>
        <w:rPr>
          <w:color w:val="auto"/>
        </w:rPr>
        <w:fldChar w:fldCharType="separate"/>
      </w:r>
      <w:r>
        <w:rPr>
          <w:rFonts w:hint="eastAsia" w:ascii="仿宋" w:hAnsi="仿宋" w:eastAsia="仿宋" w:cs="仿宋"/>
          <w:color w:val="auto"/>
          <w:sz w:val="24"/>
          <w:szCs w:val="32"/>
        </w:rPr>
        <w:t>9.投标文件构成</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_Toc15487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6</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pos="3600"/>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"_Toc2671" </w:instrText>
      </w:r>
      <w:r>
        <w:rPr>
          <w:color w:val="auto"/>
        </w:rPr>
        <w:fldChar w:fldCharType="separate"/>
      </w:r>
      <w:r>
        <w:rPr>
          <w:rFonts w:hint="eastAsia" w:ascii="仿宋" w:hAnsi="仿宋" w:eastAsia="仿宋" w:cs="仿宋"/>
          <w:color w:val="auto"/>
          <w:sz w:val="24"/>
          <w:szCs w:val="32"/>
        </w:rPr>
        <w:t>10.</w:t>
      </w:r>
      <w:r>
        <w:rPr>
          <w:rFonts w:hint="eastAsia" w:ascii="仿宋" w:hAnsi="仿宋" w:eastAsia="仿宋" w:cs="仿宋"/>
          <w:color w:val="auto"/>
          <w:sz w:val="24"/>
          <w:szCs w:val="32"/>
        </w:rPr>
        <w:tab/>
      </w:r>
      <w:r>
        <w:rPr>
          <w:rFonts w:hint="eastAsia" w:ascii="仿宋" w:hAnsi="仿宋" w:eastAsia="仿宋" w:cs="仿宋"/>
          <w:color w:val="auto"/>
          <w:sz w:val="24"/>
          <w:szCs w:val="32"/>
        </w:rPr>
        <w:t>证明投标标的的合格性和符合采购文件规定的投标文件</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_Toc2671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6</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"_Toc8529" </w:instrText>
      </w:r>
      <w:r>
        <w:rPr>
          <w:color w:val="auto"/>
        </w:rPr>
        <w:fldChar w:fldCharType="separate"/>
      </w:r>
      <w:r>
        <w:rPr>
          <w:rFonts w:hint="eastAsia" w:ascii="仿宋" w:hAnsi="仿宋" w:eastAsia="仿宋" w:cs="仿宋"/>
          <w:color w:val="auto"/>
          <w:sz w:val="24"/>
          <w:szCs w:val="32"/>
        </w:rPr>
        <w:t>11.投标报价</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_Toc8529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6</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"_Toc16199" </w:instrText>
      </w:r>
      <w:r>
        <w:rPr>
          <w:color w:val="auto"/>
        </w:rPr>
        <w:fldChar w:fldCharType="separate"/>
      </w:r>
      <w:r>
        <w:rPr>
          <w:rFonts w:hint="eastAsia" w:ascii="仿宋" w:hAnsi="仿宋" w:eastAsia="仿宋" w:cs="仿宋"/>
          <w:color w:val="auto"/>
          <w:sz w:val="24"/>
          <w:szCs w:val="32"/>
        </w:rPr>
        <w:t>12.投标保证金</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_Toc16199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6</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"_Toc20355" </w:instrText>
      </w:r>
      <w:r>
        <w:rPr>
          <w:color w:val="auto"/>
        </w:rPr>
        <w:fldChar w:fldCharType="separate"/>
      </w:r>
      <w:r>
        <w:rPr>
          <w:rFonts w:hint="eastAsia" w:ascii="仿宋" w:hAnsi="仿宋" w:eastAsia="仿宋" w:cs="仿宋"/>
          <w:color w:val="auto"/>
          <w:sz w:val="24"/>
          <w:szCs w:val="32"/>
        </w:rPr>
        <w:t>13.投标有效期</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_Toc20355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7</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"_Toc27303" </w:instrText>
      </w:r>
      <w:r>
        <w:rPr>
          <w:color w:val="auto"/>
        </w:rPr>
        <w:fldChar w:fldCharType="separate"/>
      </w:r>
      <w:r>
        <w:rPr>
          <w:rFonts w:hint="eastAsia" w:ascii="仿宋" w:hAnsi="仿宋" w:eastAsia="仿宋" w:cs="仿宋"/>
          <w:color w:val="auto"/>
          <w:sz w:val="24"/>
          <w:szCs w:val="32"/>
        </w:rPr>
        <w:t>14.投标文件的签署及规定</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_Toc27303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7</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"_Toc22303" </w:instrText>
      </w:r>
      <w:r>
        <w:rPr>
          <w:color w:val="auto"/>
        </w:rPr>
        <w:fldChar w:fldCharType="separate"/>
      </w:r>
      <w:r>
        <w:rPr>
          <w:rFonts w:hint="eastAsia" w:ascii="仿宋" w:hAnsi="仿宋" w:eastAsia="仿宋" w:cs="仿宋"/>
          <w:color w:val="auto"/>
          <w:sz w:val="24"/>
          <w:szCs w:val="32"/>
        </w:rPr>
        <w:t>四   投标文件的递交</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_Toc22303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7</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"_Toc13247" </w:instrText>
      </w:r>
      <w:r>
        <w:rPr>
          <w:color w:val="auto"/>
        </w:rPr>
        <w:fldChar w:fldCharType="separate"/>
      </w:r>
      <w:r>
        <w:rPr>
          <w:rFonts w:hint="eastAsia" w:ascii="仿宋" w:hAnsi="仿宋" w:eastAsia="仿宋" w:cs="仿宋"/>
          <w:color w:val="auto"/>
          <w:sz w:val="24"/>
          <w:szCs w:val="32"/>
        </w:rPr>
        <w:t>15.投标文件的密封和标记</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_Toc13247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7</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"_Toc25787" </w:instrText>
      </w:r>
      <w:r>
        <w:rPr>
          <w:color w:val="auto"/>
        </w:rPr>
        <w:fldChar w:fldCharType="separate"/>
      </w:r>
      <w:r>
        <w:rPr>
          <w:rFonts w:hint="eastAsia" w:ascii="仿宋" w:hAnsi="仿宋" w:eastAsia="仿宋" w:cs="仿宋"/>
          <w:color w:val="auto"/>
          <w:sz w:val="24"/>
          <w:szCs w:val="32"/>
        </w:rPr>
        <w:t>16.投标截止</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_Toc25787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7</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"_Toc13921" </w:instrText>
      </w:r>
      <w:r>
        <w:rPr>
          <w:color w:val="auto"/>
        </w:rPr>
        <w:fldChar w:fldCharType="separate"/>
      </w:r>
      <w:r>
        <w:rPr>
          <w:rFonts w:hint="eastAsia" w:ascii="仿宋" w:hAnsi="仿宋" w:eastAsia="仿宋" w:cs="仿宋"/>
          <w:color w:val="auto"/>
          <w:sz w:val="24"/>
          <w:szCs w:val="32"/>
        </w:rPr>
        <w:t>17.投标文件的接收、修改与撤回</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_Toc13921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8</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"_Toc10257" </w:instrText>
      </w:r>
      <w:r>
        <w:rPr>
          <w:color w:val="auto"/>
        </w:rPr>
        <w:fldChar w:fldCharType="separate"/>
      </w:r>
      <w:r>
        <w:rPr>
          <w:rFonts w:hint="eastAsia" w:ascii="仿宋" w:hAnsi="仿宋" w:eastAsia="仿宋" w:cs="仿宋"/>
          <w:color w:val="auto"/>
          <w:sz w:val="24"/>
          <w:szCs w:val="32"/>
        </w:rPr>
        <w:t>五   开标及评标</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_Toc10257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8</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"_Toc8653" </w:instrText>
      </w:r>
      <w:r>
        <w:rPr>
          <w:color w:val="auto"/>
        </w:rPr>
        <w:fldChar w:fldCharType="separate"/>
      </w:r>
      <w:r>
        <w:rPr>
          <w:rFonts w:hint="eastAsia" w:ascii="仿宋" w:hAnsi="仿宋" w:eastAsia="仿宋" w:cs="仿宋"/>
          <w:color w:val="auto"/>
          <w:sz w:val="24"/>
          <w:szCs w:val="32"/>
        </w:rPr>
        <w:t>18.开标</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_Toc8653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8</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"_Toc34" </w:instrText>
      </w:r>
      <w:r>
        <w:rPr>
          <w:color w:val="auto"/>
        </w:rPr>
        <w:fldChar w:fldCharType="separate"/>
      </w:r>
      <w:r>
        <w:rPr>
          <w:rFonts w:hint="eastAsia" w:ascii="仿宋" w:hAnsi="仿宋" w:eastAsia="仿宋" w:cs="仿宋"/>
          <w:color w:val="auto"/>
          <w:sz w:val="24"/>
          <w:szCs w:val="32"/>
        </w:rPr>
        <w:t>19.资格审查及组建评标委员会</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_Toc34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8</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"_Toc6842" </w:instrText>
      </w:r>
      <w:r>
        <w:rPr>
          <w:color w:val="auto"/>
        </w:rPr>
        <w:fldChar w:fldCharType="separate"/>
      </w:r>
      <w:r>
        <w:rPr>
          <w:rFonts w:hint="eastAsia" w:ascii="仿宋" w:hAnsi="仿宋" w:eastAsia="仿宋" w:cs="仿宋"/>
          <w:color w:val="auto"/>
          <w:sz w:val="24"/>
          <w:szCs w:val="32"/>
        </w:rPr>
        <w:t>20.投标文件的符合性审查与澄清</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_Toc6842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9</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"_Toc8603" </w:instrText>
      </w:r>
      <w:r>
        <w:rPr>
          <w:color w:val="auto"/>
        </w:rPr>
        <w:fldChar w:fldCharType="separate"/>
      </w:r>
      <w:r>
        <w:rPr>
          <w:rFonts w:hint="eastAsia" w:ascii="仿宋" w:hAnsi="仿宋" w:eastAsia="仿宋" w:cs="仿宋"/>
          <w:color w:val="auto"/>
          <w:sz w:val="24"/>
          <w:szCs w:val="32"/>
        </w:rPr>
        <w:t>21.投标偏离</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_Toc8603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9</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"_Toc25255" </w:instrText>
      </w:r>
      <w:r>
        <w:rPr>
          <w:color w:val="auto"/>
        </w:rPr>
        <w:fldChar w:fldCharType="separate"/>
      </w:r>
      <w:r>
        <w:rPr>
          <w:rFonts w:hint="eastAsia" w:ascii="仿宋" w:hAnsi="仿宋" w:eastAsia="仿宋" w:cs="仿宋"/>
          <w:color w:val="auto"/>
          <w:sz w:val="24"/>
          <w:szCs w:val="32"/>
        </w:rPr>
        <w:t>22.投标无效</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_Toc25255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9</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"_Toc20835" </w:instrText>
      </w:r>
      <w:r>
        <w:rPr>
          <w:color w:val="auto"/>
        </w:rPr>
        <w:fldChar w:fldCharType="separate"/>
      </w:r>
      <w:r>
        <w:rPr>
          <w:rFonts w:hint="eastAsia" w:ascii="仿宋" w:hAnsi="仿宋" w:eastAsia="仿宋" w:cs="仿宋"/>
          <w:color w:val="auto"/>
          <w:sz w:val="24"/>
          <w:szCs w:val="32"/>
        </w:rPr>
        <w:t>23.比较与评价</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_Toc20835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10</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"_Toc5823" </w:instrText>
      </w:r>
      <w:r>
        <w:rPr>
          <w:color w:val="auto"/>
        </w:rPr>
        <w:fldChar w:fldCharType="separate"/>
      </w:r>
      <w:r>
        <w:rPr>
          <w:rFonts w:hint="eastAsia" w:ascii="仿宋" w:hAnsi="仿宋" w:eastAsia="仿宋" w:cs="仿宋"/>
          <w:color w:val="auto"/>
          <w:sz w:val="24"/>
          <w:szCs w:val="32"/>
        </w:rPr>
        <w:t>24.废标</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_Toc5823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10</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"_Toc23660" </w:instrText>
      </w:r>
      <w:r>
        <w:rPr>
          <w:color w:val="auto"/>
        </w:rPr>
        <w:fldChar w:fldCharType="separate"/>
      </w:r>
      <w:r>
        <w:rPr>
          <w:rFonts w:hint="eastAsia" w:ascii="仿宋" w:hAnsi="仿宋" w:eastAsia="仿宋" w:cs="仿宋"/>
          <w:color w:val="auto"/>
          <w:sz w:val="24"/>
          <w:szCs w:val="32"/>
        </w:rPr>
        <w:t>25.保密原则</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_Toc23660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10</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"_Toc10964" </w:instrText>
      </w:r>
      <w:r>
        <w:rPr>
          <w:color w:val="auto"/>
        </w:rPr>
        <w:fldChar w:fldCharType="separate"/>
      </w:r>
      <w:r>
        <w:rPr>
          <w:rFonts w:hint="eastAsia" w:ascii="仿宋" w:hAnsi="仿宋" w:eastAsia="仿宋" w:cs="仿宋"/>
          <w:color w:val="auto"/>
          <w:sz w:val="24"/>
          <w:szCs w:val="32"/>
        </w:rPr>
        <w:t>六   确定中标</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_Toc10964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10</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"_Toc32578" </w:instrText>
      </w:r>
      <w:r>
        <w:rPr>
          <w:color w:val="auto"/>
        </w:rPr>
        <w:fldChar w:fldCharType="separate"/>
      </w:r>
      <w:r>
        <w:rPr>
          <w:rFonts w:hint="eastAsia" w:ascii="仿宋" w:hAnsi="仿宋" w:eastAsia="仿宋" w:cs="仿宋"/>
          <w:color w:val="auto"/>
          <w:sz w:val="24"/>
          <w:szCs w:val="32"/>
        </w:rPr>
        <w:t>26.中标候选人的确定原则及标准</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_Toc32578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10</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"_Toc10555" </w:instrText>
      </w:r>
      <w:r>
        <w:rPr>
          <w:color w:val="auto"/>
        </w:rPr>
        <w:fldChar w:fldCharType="separate"/>
      </w:r>
      <w:r>
        <w:rPr>
          <w:rFonts w:hint="eastAsia" w:ascii="仿宋" w:hAnsi="仿宋" w:eastAsia="仿宋" w:cs="仿宋"/>
          <w:color w:val="auto"/>
          <w:sz w:val="24"/>
          <w:szCs w:val="32"/>
        </w:rPr>
        <w:t>27.确定中标候选人和中标人</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_Toc10555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11</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"_Toc17138" </w:instrText>
      </w:r>
      <w:r>
        <w:rPr>
          <w:color w:val="auto"/>
        </w:rPr>
        <w:fldChar w:fldCharType="separate"/>
      </w:r>
      <w:r>
        <w:rPr>
          <w:rFonts w:hint="eastAsia" w:ascii="仿宋" w:hAnsi="仿宋" w:eastAsia="仿宋" w:cs="仿宋"/>
          <w:color w:val="auto"/>
          <w:sz w:val="24"/>
          <w:szCs w:val="32"/>
        </w:rPr>
        <w:t>28.采购任务取消</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_Toc17138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11</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"_Toc18072" </w:instrText>
      </w:r>
      <w:r>
        <w:rPr>
          <w:color w:val="auto"/>
        </w:rPr>
        <w:fldChar w:fldCharType="separate"/>
      </w:r>
      <w:r>
        <w:rPr>
          <w:rFonts w:hint="eastAsia" w:ascii="仿宋" w:hAnsi="仿宋" w:eastAsia="仿宋" w:cs="仿宋"/>
          <w:color w:val="auto"/>
          <w:sz w:val="24"/>
          <w:szCs w:val="32"/>
        </w:rPr>
        <w:t>29.中标通知书和招标结果通知书</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_Toc18072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11</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"_Toc16952" </w:instrText>
      </w:r>
      <w:r>
        <w:rPr>
          <w:color w:val="auto"/>
        </w:rPr>
        <w:fldChar w:fldCharType="separate"/>
      </w:r>
      <w:r>
        <w:rPr>
          <w:rFonts w:hint="eastAsia" w:ascii="仿宋" w:hAnsi="仿宋" w:eastAsia="仿宋" w:cs="仿宋"/>
          <w:color w:val="auto"/>
          <w:sz w:val="24"/>
          <w:szCs w:val="32"/>
        </w:rPr>
        <w:t>30.签订合同</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_Toc16952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11</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"_Toc4302" </w:instrText>
      </w:r>
      <w:r>
        <w:rPr>
          <w:color w:val="auto"/>
        </w:rPr>
        <w:fldChar w:fldCharType="separate"/>
      </w:r>
      <w:r>
        <w:rPr>
          <w:rFonts w:hint="eastAsia" w:ascii="仿宋" w:hAnsi="仿宋" w:eastAsia="仿宋" w:cs="仿宋"/>
          <w:color w:val="auto"/>
          <w:sz w:val="24"/>
          <w:szCs w:val="32"/>
        </w:rPr>
        <w:t>31.履约保证金</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_Toc4302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11</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"_Toc8476" </w:instrText>
      </w:r>
      <w:r>
        <w:rPr>
          <w:color w:val="auto"/>
        </w:rPr>
        <w:fldChar w:fldCharType="separate"/>
      </w:r>
      <w:r>
        <w:rPr>
          <w:rFonts w:hint="eastAsia" w:ascii="仿宋" w:hAnsi="仿宋" w:eastAsia="仿宋" w:cs="仿宋"/>
          <w:color w:val="auto"/>
          <w:sz w:val="24"/>
          <w:szCs w:val="32"/>
        </w:rPr>
        <w:t>32.中标服务费</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_Toc8476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11</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"_Toc31411" </w:instrText>
      </w:r>
      <w:r>
        <w:rPr>
          <w:color w:val="auto"/>
        </w:rPr>
        <w:fldChar w:fldCharType="separate"/>
      </w:r>
      <w:r>
        <w:rPr>
          <w:rFonts w:hint="eastAsia" w:ascii="仿宋" w:hAnsi="仿宋" w:eastAsia="仿宋" w:cs="仿宋"/>
          <w:color w:val="auto"/>
          <w:sz w:val="24"/>
          <w:szCs w:val="32"/>
        </w:rPr>
        <w:t>33.政府采购信用担保</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_Toc31411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11</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"_Toc4701" </w:instrText>
      </w:r>
      <w:r>
        <w:rPr>
          <w:color w:val="auto"/>
        </w:rPr>
        <w:fldChar w:fldCharType="separate"/>
      </w:r>
      <w:r>
        <w:rPr>
          <w:rFonts w:hint="eastAsia" w:ascii="仿宋" w:hAnsi="仿宋" w:eastAsia="仿宋" w:cs="仿宋"/>
          <w:color w:val="auto"/>
          <w:sz w:val="24"/>
          <w:szCs w:val="32"/>
        </w:rPr>
        <w:t>34.廉洁自律规定</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_Toc4701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12</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"_Toc21055" </w:instrText>
      </w:r>
      <w:r>
        <w:rPr>
          <w:color w:val="auto"/>
        </w:rPr>
        <w:fldChar w:fldCharType="separate"/>
      </w:r>
      <w:r>
        <w:rPr>
          <w:rFonts w:hint="eastAsia" w:ascii="仿宋" w:hAnsi="仿宋" w:eastAsia="仿宋" w:cs="仿宋"/>
          <w:color w:val="auto"/>
          <w:sz w:val="24"/>
          <w:szCs w:val="32"/>
        </w:rPr>
        <w:t>35.人员回避</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_Toc21055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12</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14"/>
        <w:tabs>
          <w:tab w:val="right" w:leader="dot" w:pos="8312"/>
          <w:tab w:val="clear" w:pos="1260"/>
          <w:tab w:val="clear" w:pos="8630"/>
        </w:tabs>
        <w:rPr>
          <w:rFonts w:ascii="仿宋" w:hAnsi="仿宋" w:eastAsia="仿宋" w:cs="仿宋"/>
          <w:color w:val="auto"/>
          <w:sz w:val="24"/>
          <w:szCs w:val="32"/>
        </w:rPr>
      </w:pPr>
      <w:r>
        <w:rPr>
          <w:color w:val="auto"/>
        </w:rPr>
        <w:fldChar w:fldCharType="begin"/>
      </w:r>
      <w:r>
        <w:rPr>
          <w:color w:val="auto"/>
        </w:rPr>
        <w:instrText xml:space="preserve"> HYPERLINK \l "_Toc24931" </w:instrText>
      </w:r>
      <w:r>
        <w:rPr>
          <w:color w:val="auto"/>
        </w:rPr>
        <w:fldChar w:fldCharType="separate"/>
      </w:r>
      <w:r>
        <w:rPr>
          <w:rFonts w:hint="eastAsia" w:ascii="仿宋" w:hAnsi="仿宋" w:eastAsia="仿宋" w:cs="仿宋"/>
          <w:color w:val="auto"/>
          <w:sz w:val="24"/>
          <w:szCs w:val="32"/>
        </w:rPr>
        <w:t>36.质疑与接收</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_Toc24931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12</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"_Toc23883" </w:instrText>
      </w:r>
      <w:r>
        <w:rPr>
          <w:color w:val="auto"/>
        </w:rPr>
        <w:fldChar w:fldCharType="separate"/>
      </w:r>
      <w:r>
        <w:rPr>
          <w:rFonts w:hint="eastAsia" w:ascii="仿宋" w:hAnsi="仿宋" w:eastAsia="仿宋" w:cs="仿宋"/>
          <w:color w:val="auto"/>
          <w:sz w:val="24"/>
          <w:szCs w:val="32"/>
        </w:rPr>
        <w:t>附件1：履约保证金保函（格式）</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_Toc23883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17</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"_Toc27788" </w:instrText>
      </w:r>
      <w:r>
        <w:rPr>
          <w:color w:val="auto"/>
        </w:rPr>
        <w:fldChar w:fldCharType="separate"/>
      </w:r>
      <w:r>
        <w:rPr>
          <w:rFonts w:hint="eastAsia" w:ascii="仿宋" w:hAnsi="仿宋" w:eastAsia="仿宋" w:cs="仿宋"/>
          <w:color w:val="auto"/>
          <w:sz w:val="24"/>
          <w:szCs w:val="32"/>
        </w:rPr>
        <w:t>附件2：履约担保函格式</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_Toc27788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12</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"_Toc30995" </w:instrText>
      </w:r>
      <w:r>
        <w:rPr>
          <w:color w:val="auto"/>
        </w:rPr>
        <w:fldChar w:fldCharType="separate"/>
      </w:r>
      <w:r>
        <w:rPr>
          <w:rFonts w:hint="eastAsia" w:ascii="仿宋" w:hAnsi="仿宋" w:eastAsia="仿宋" w:cs="仿宋"/>
          <w:color w:val="auto"/>
          <w:sz w:val="24"/>
          <w:szCs w:val="32"/>
        </w:rPr>
        <w:t>（采用政府采购信用担保形式时使用）</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_Toc30995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12</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3"/>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"_Toc6923" </w:instrText>
      </w:r>
      <w:r>
        <w:rPr>
          <w:color w:val="auto"/>
        </w:rPr>
        <w:fldChar w:fldCharType="separate"/>
      </w:r>
      <w:r>
        <w:rPr>
          <w:rFonts w:hint="eastAsia" w:ascii="仿宋" w:hAnsi="仿宋" w:eastAsia="仿宋" w:cs="仿宋"/>
          <w:color w:val="auto"/>
          <w:sz w:val="24"/>
          <w:szCs w:val="32"/>
        </w:rPr>
        <w:t>第2章 投标文件格式</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_Toc6923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14</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"_Toc15142" </w:instrText>
      </w:r>
      <w:r>
        <w:rPr>
          <w:color w:val="auto"/>
        </w:rPr>
        <w:fldChar w:fldCharType="separate"/>
      </w:r>
      <w:r>
        <w:rPr>
          <w:rFonts w:hint="eastAsia" w:ascii="仿宋" w:hAnsi="仿宋" w:eastAsia="仿宋" w:cs="仿宋"/>
          <w:color w:val="auto"/>
          <w:sz w:val="24"/>
          <w:szCs w:val="32"/>
        </w:rPr>
        <w:t>第一部分 报价单</w:t>
      </w:r>
      <w:r>
        <w:rPr>
          <w:rFonts w:hint="eastAsia" w:ascii="仿宋" w:hAnsi="仿宋" w:eastAsia="仿宋" w:cs="仿宋"/>
          <w:color w:val="auto"/>
          <w:sz w:val="24"/>
          <w:szCs w:val="32"/>
        </w:rPr>
        <w:tab/>
      </w:r>
      <w:r>
        <w:rPr>
          <w:rFonts w:hint="eastAsia" w:ascii="仿宋" w:hAnsi="仿宋" w:eastAsia="仿宋" w:cs="仿宋"/>
          <w:color w:val="auto"/>
          <w:sz w:val="24"/>
          <w:szCs w:val="32"/>
        </w:rPr>
        <w:t>1</w:t>
      </w:r>
      <w:r>
        <w:rPr>
          <w:rFonts w:hint="eastAsia" w:ascii="仿宋" w:hAnsi="仿宋" w:eastAsia="仿宋" w:cs="仿宋"/>
          <w:color w:val="auto"/>
          <w:sz w:val="24"/>
          <w:szCs w:val="32"/>
        </w:rPr>
        <w:fldChar w:fldCharType="end"/>
      </w:r>
      <w:r>
        <w:rPr>
          <w:rFonts w:hint="eastAsia" w:ascii="仿宋" w:hAnsi="仿宋" w:eastAsia="仿宋" w:cs="仿宋"/>
          <w:color w:val="auto"/>
          <w:kern w:val="0"/>
          <w:sz w:val="24"/>
        </w:rPr>
        <w:t>8</w:t>
      </w:r>
    </w:p>
    <w:p>
      <w:pPr>
        <w:pStyle w:val="29"/>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"_Toc16844" </w:instrText>
      </w:r>
      <w:r>
        <w:rPr>
          <w:color w:val="auto"/>
        </w:rPr>
        <w:fldChar w:fldCharType="separate"/>
      </w:r>
      <w:r>
        <w:rPr>
          <w:rFonts w:hint="eastAsia" w:ascii="仿宋" w:hAnsi="仿宋" w:eastAsia="仿宋" w:cs="仿宋"/>
          <w:color w:val="auto"/>
          <w:sz w:val="24"/>
          <w:szCs w:val="32"/>
        </w:rPr>
        <w:t>第二部分 商务及技术文件</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_Toc16844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17</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3"/>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"_Toc9913" </w:instrText>
      </w:r>
      <w:r>
        <w:rPr>
          <w:color w:val="auto"/>
        </w:rPr>
        <w:fldChar w:fldCharType="separate"/>
      </w:r>
      <w:r>
        <w:rPr>
          <w:rFonts w:hint="eastAsia" w:ascii="仿宋" w:hAnsi="仿宋" w:eastAsia="仿宋" w:cs="仿宋"/>
          <w:color w:val="auto"/>
          <w:sz w:val="24"/>
          <w:szCs w:val="32"/>
        </w:rPr>
        <w:t>第3章 招标公告</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_Toc9913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27</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3"/>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"_Toc28647" </w:instrText>
      </w:r>
      <w:r>
        <w:rPr>
          <w:color w:val="auto"/>
        </w:rPr>
        <w:fldChar w:fldCharType="separate"/>
      </w:r>
      <w:r>
        <w:rPr>
          <w:rFonts w:hint="eastAsia" w:ascii="仿宋" w:hAnsi="仿宋" w:eastAsia="仿宋" w:cs="仿宋"/>
          <w:color w:val="auto"/>
          <w:sz w:val="24"/>
          <w:szCs w:val="40"/>
        </w:rPr>
        <w:t xml:space="preserve">第4章 </w:t>
      </w:r>
      <w:r>
        <w:rPr>
          <w:rFonts w:hint="eastAsia" w:ascii="仿宋" w:hAnsi="仿宋" w:eastAsia="仿宋" w:cs="仿宋"/>
          <w:color w:val="auto"/>
          <w:sz w:val="24"/>
          <w:szCs w:val="32"/>
        </w:rPr>
        <w:t>供应商须知资料表</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_Toc28647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30</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3"/>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"_Toc7112" </w:instrText>
      </w:r>
      <w:r>
        <w:rPr>
          <w:color w:val="auto"/>
        </w:rPr>
        <w:fldChar w:fldCharType="separate"/>
      </w:r>
      <w:r>
        <w:rPr>
          <w:rFonts w:hint="eastAsia" w:ascii="仿宋" w:hAnsi="仿宋" w:eastAsia="仿宋" w:cs="仿宋"/>
          <w:color w:val="auto"/>
          <w:sz w:val="24"/>
          <w:szCs w:val="32"/>
        </w:rPr>
        <w:t>第5章 采购需求</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_Toc7112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33</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3"/>
        <w:tabs>
          <w:tab w:val="right" w:leader="dot" w:pos="8312"/>
        </w:tabs>
        <w:rPr>
          <w:rFonts w:ascii="仿宋" w:hAnsi="仿宋" w:eastAsia="仿宋" w:cs="仿宋"/>
          <w:color w:val="auto"/>
          <w:sz w:val="24"/>
          <w:szCs w:val="32"/>
        </w:rPr>
      </w:pPr>
      <w:r>
        <w:rPr>
          <w:color w:val="auto"/>
        </w:rPr>
        <w:fldChar w:fldCharType="begin"/>
      </w:r>
      <w:r>
        <w:rPr>
          <w:color w:val="auto"/>
        </w:rPr>
        <w:instrText xml:space="preserve"> HYPERLINK \l "_Toc10220" </w:instrText>
      </w:r>
      <w:r>
        <w:rPr>
          <w:color w:val="auto"/>
        </w:rPr>
        <w:fldChar w:fldCharType="separate"/>
      </w:r>
      <w:r>
        <w:rPr>
          <w:rFonts w:hint="eastAsia" w:ascii="仿宋" w:hAnsi="仿宋" w:eastAsia="仿宋" w:cs="仿宋"/>
          <w:color w:val="auto"/>
          <w:sz w:val="24"/>
          <w:szCs w:val="32"/>
        </w:rPr>
        <w:t>第6章 评标方法和标准</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_Toc10220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97</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pStyle w:val="23"/>
        <w:tabs>
          <w:tab w:val="right" w:leader="dot" w:pos="8312"/>
        </w:tabs>
        <w:rPr>
          <w:rFonts w:ascii="仿宋" w:hAnsi="仿宋" w:eastAsia="仿宋" w:cs="仿宋"/>
          <w:color w:val="auto"/>
          <w:kern w:val="0"/>
          <w:szCs w:val="21"/>
        </w:rPr>
      </w:pPr>
      <w:r>
        <w:rPr>
          <w:color w:val="auto"/>
        </w:rPr>
        <w:fldChar w:fldCharType="begin"/>
      </w:r>
      <w:r>
        <w:rPr>
          <w:color w:val="auto"/>
        </w:rPr>
        <w:instrText xml:space="preserve"> HYPERLINK \l "_Toc23018" </w:instrText>
      </w:r>
      <w:r>
        <w:rPr>
          <w:color w:val="auto"/>
        </w:rPr>
        <w:fldChar w:fldCharType="separate"/>
      </w:r>
      <w:r>
        <w:rPr>
          <w:rFonts w:hint="eastAsia" w:ascii="仿宋" w:hAnsi="仿宋" w:eastAsia="仿宋" w:cs="仿宋"/>
          <w:color w:val="auto"/>
          <w:sz w:val="24"/>
          <w:szCs w:val="32"/>
        </w:rPr>
        <w:t>第7章 政府采购合同标准文本</w:t>
      </w:r>
      <w:r>
        <w:rPr>
          <w:rFonts w:hint="eastAsia" w:ascii="仿宋" w:hAnsi="仿宋" w:eastAsia="仿宋" w:cs="仿宋"/>
          <w:color w:val="auto"/>
          <w:sz w:val="24"/>
          <w:szCs w:val="32"/>
        </w:rPr>
        <w:tab/>
      </w:r>
      <w:r>
        <w:rPr>
          <w:rFonts w:hint="eastAsia" w:ascii="仿宋" w:hAnsi="仿宋" w:eastAsia="仿宋" w:cs="仿宋"/>
          <w:color w:val="auto"/>
          <w:sz w:val="24"/>
          <w:szCs w:val="32"/>
        </w:rPr>
        <w:fldChar w:fldCharType="begin"/>
      </w:r>
      <w:r>
        <w:rPr>
          <w:rFonts w:hint="eastAsia" w:ascii="仿宋" w:hAnsi="仿宋" w:eastAsia="仿宋" w:cs="仿宋"/>
          <w:color w:val="auto"/>
          <w:sz w:val="24"/>
          <w:szCs w:val="32"/>
        </w:rPr>
        <w:instrText xml:space="preserve"> PAGEREF _Toc23018 </w:instrText>
      </w:r>
      <w:r>
        <w:rPr>
          <w:rFonts w:hint="eastAsia" w:ascii="仿宋" w:hAnsi="仿宋" w:eastAsia="仿宋" w:cs="仿宋"/>
          <w:color w:val="auto"/>
          <w:sz w:val="24"/>
          <w:szCs w:val="32"/>
        </w:rPr>
        <w:fldChar w:fldCharType="separate"/>
      </w:r>
      <w:r>
        <w:rPr>
          <w:rFonts w:hint="eastAsia" w:ascii="仿宋" w:hAnsi="仿宋" w:eastAsia="仿宋" w:cs="仿宋"/>
          <w:color w:val="auto"/>
          <w:sz w:val="24"/>
          <w:szCs w:val="32"/>
        </w:rPr>
        <w:t>120</w:t>
      </w:r>
      <w:r>
        <w:rPr>
          <w:rFonts w:hint="eastAsia" w:ascii="仿宋" w:hAnsi="仿宋" w:eastAsia="仿宋" w:cs="仿宋"/>
          <w:color w:val="auto"/>
          <w:sz w:val="24"/>
          <w:szCs w:val="32"/>
        </w:rPr>
        <w:fldChar w:fldCharType="end"/>
      </w:r>
      <w:r>
        <w:rPr>
          <w:rFonts w:hint="eastAsia" w:ascii="仿宋" w:hAnsi="仿宋" w:eastAsia="仿宋" w:cs="仿宋"/>
          <w:color w:val="auto"/>
          <w:sz w:val="24"/>
          <w:szCs w:val="32"/>
        </w:rPr>
        <w:fldChar w:fldCharType="end"/>
      </w:r>
    </w:p>
    <w:p>
      <w:pPr>
        <w:rPr>
          <w:rFonts w:ascii="仿宋" w:hAnsi="仿宋" w:eastAsia="仿宋" w:cs="仿宋"/>
          <w:color w:val="auto"/>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p>
    <w:p>
      <w:pPr>
        <w:rPr>
          <w:rFonts w:ascii="仿宋" w:hAnsi="仿宋" w:eastAsia="仿宋" w:cs="仿宋"/>
          <w:color w:val="auto"/>
        </w:rPr>
      </w:pPr>
    </w:p>
    <w:p>
      <w:pPr>
        <w:pStyle w:val="4"/>
        <w:tabs>
          <w:tab w:val="left" w:pos="0"/>
        </w:tabs>
        <w:spacing w:before="0" w:after="0" w:line="240" w:lineRule="atLeast"/>
        <w:rPr>
          <w:rFonts w:ascii="仿宋" w:hAnsi="仿宋" w:eastAsia="仿宋" w:cs="仿宋"/>
          <w:color w:val="auto"/>
        </w:rPr>
      </w:pPr>
      <w:r>
        <w:rPr>
          <w:rFonts w:hint="eastAsia" w:ascii="仿宋" w:hAnsi="仿宋" w:eastAsia="仿宋" w:cs="仿宋"/>
          <w:color w:val="auto"/>
          <w:kern w:val="0"/>
          <w:szCs w:val="21"/>
        </w:rPr>
        <w:fldChar w:fldCharType="end"/>
      </w:r>
      <w:bookmarkStart w:id="0" w:name="_Toc216582804"/>
      <w:bookmarkStart w:id="1" w:name="_Toc9228"/>
      <w:r>
        <w:rPr>
          <w:rFonts w:hint="eastAsia" w:ascii="仿宋" w:hAnsi="仿宋" w:eastAsia="仿宋" w:cs="仿宋"/>
          <w:color w:val="auto"/>
        </w:rPr>
        <w:t xml:space="preserve">第1章 </w:t>
      </w:r>
      <w:bookmarkStart w:id="2" w:name="_Toc518923059"/>
      <w:r>
        <w:rPr>
          <w:rFonts w:hint="eastAsia" w:ascii="仿宋" w:hAnsi="仿宋" w:eastAsia="仿宋" w:cs="仿宋"/>
          <w:color w:val="auto"/>
        </w:rPr>
        <w:t>供应商须知</w:t>
      </w:r>
      <w:bookmarkEnd w:id="0"/>
      <w:bookmarkEnd w:id="1"/>
      <w:bookmarkEnd w:id="2"/>
    </w:p>
    <w:p>
      <w:pPr>
        <w:rPr>
          <w:rFonts w:ascii="仿宋" w:hAnsi="仿宋" w:eastAsia="仿宋" w:cs="仿宋"/>
          <w:color w:val="auto"/>
        </w:rPr>
      </w:pPr>
    </w:p>
    <w:p>
      <w:pPr>
        <w:pStyle w:val="5"/>
        <w:spacing w:before="0" w:line="240" w:lineRule="atLeast"/>
        <w:ind w:left="1080" w:leftChars="257" w:hanging="540"/>
        <w:rPr>
          <w:rFonts w:ascii="仿宋" w:hAnsi="仿宋" w:eastAsia="仿宋" w:cs="仿宋"/>
          <w:color w:val="auto"/>
          <w:sz w:val="28"/>
        </w:rPr>
      </w:pPr>
      <w:bookmarkStart w:id="3" w:name="_Toc216582805"/>
      <w:bookmarkStart w:id="4" w:name="_Toc520356143"/>
      <w:bookmarkStart w:id="5" w:name="_Toc518923060"/>
      <w:bookmarkStart w:id="6" w:name="_Toc9485"/>
      <w:r>
        <w:rPr>
          <w:rFonts w:hint="eastAsia" w:ascii="仿宋" w:hAnsi="仿宋" w:eastAsia="仿宋" w:cs="仿宋"/>
          <w:color w:val="auto"/>
          <w:sz w:val="28"/>
        </w:rPr>
        <w:t xml:space="preserve">一   </w:t>
      </w:r>
      <w:bookmarkEnd w:id="3"/>
      <w:bookmarkEnd w:id="4"/>
      <w:r>
        <w:rPr>
          <w:rFonts w:hint="eastAsia" w:ascii="仿宋" w:hAnsi="仿宋" w:eastAsia="仿宋" w:cs="仿宋"/>
          <w:color w:val="auto"/>
          <w:sz w:val="28"/>
        </w:rPr>
        <w:t>总  则</w:t>
      </w:r>
      <w:bookmarkEnd w:id="5"/>
      <w:bookmarkEnd w:id="6"/>
    </w:p>
    <w:p>
      <w:pPr>
        <w:pStyle w:val="2"/>
        <w:rPr>
          <w:rFonts w:ascii="仿宋" w:hAnsi="仿宋" w:eastAsia="仿宋" w:cs="仿宋"/>
          <w:color w:val="auto"/>
        </w:rPr>
      </w:pPr>
    </w:p>
    <w:p>
      <w:pPr>
        <w:pStyle w:val="6"/>
        <w:spacing w:before="0" w:after="0" w:line="240" w:lineRule="atLeast"/>
        <w:rPr>
          <w:rFonts w:ascii="仿宋" w:hAnsi="仿宋" w:eastAsia="仿宋" w:cs="仿宋"/>
          <w:color w:val="auto"/>
          <w:u w:val="none"/>
        </w:rPr>
      </w:pPr>
      <w:bookmarkStart w:id="7" w:name="_Toc520356144"/>
      <w:bookmarkStart w:id="8" w:name="_Toc518923061"/>
      <w:bookmarkStart w:id="9" w:name="_Toc12013"/>
      <w:r>
        <w:rPr>
          <w:rFonts w:hint="eastAsia" w:ascii="仿宋" w:hAnsi="仿宋" w:eastAsia="仿宋" w:cs="仿宋"/>
          <w:color w:val="auto"/>
          <w:u w:val="none"/>
        </w:rPr>
        <w:t>1.采购人、采购代理机构及</w:t>
      </w:r>
      <w:bookmarkEnd w:id="7"/>
      <w:bookmarkEnd w:id="8"/>
      <w:bookmarkEnd w:id="9"/>
      <w:r>
        <w:rPr>
          <w:rFonts w:hint="eastAsia" w:ascii="仿宋" w:hAnsi="仿宋" w:eastAsia="仿宋" w:cs="仿宋"/>
          <w:color w:val="auto"/>
          <w:u w:val="none"/>
        </w:rPr>
        <w:t>供应商</w:t>
      </w:r>
    </w:p>
    <w:p>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采购人：是指依法开展政府采购活动的国家机关、事业单位、团体组织。</w:t>
      </w:r>
    </w:p>
    <w:p>
      <w:pPr>
        <w:tabs>
          <w:tab w:val="left" w:pos="0"/>
        </w:tabs>
        <w:spacing w:line="240" w:lineRule="atLeast"/>
        <w:ind w:left="900"/>
        <w:rPr>
          <w:rFonts w:ascii="仿宋" w:hAnsi="仿宋" w:eastAsia="仿宋" w:cs="仿宋"/>
          <w:color w:val="auto"/>
          <w:sz w:val="24"/>
        </w:rPr>
      </w:pPr>
      <w:r>
        <w:rPr>
          <w:rFonts w:hint="eastAsia" w:ascii="仿宋" w:hAnsi="仿宋" w:eastAsia="仿宋" w:cs="仿宋"/>
          <w:color w:val="auto"/>
          <w:sz w:val="24"/>
        </w:rPr>
        <w:t>本项目的采购人见</w:t>
      </w:r>
      <w:r>
        <w:rPr>
          <w:rFonts w:hint="eastAsia" w:ascii="仿宋" w:hAnsi="仿宋" w:eastAsia="仿宋" w:cs="仿宋"/>
          <w:b/>
          <w:bCs/>
          <w:color w:val="auto"/>
          <w:sz w:val="24"/>
          <w:u w:val="single"/>
        </w:rPr>
        <w:t>供应商须知资料表</w:t>
      </w:r>
      <w:r>
        <w:rPr>
          <w:rFonts w:hint="eastAsia" w:ascii="仿宋" w:hAnsi="仿宋" w:eastAsia="仿宋" w:cs="仿宋"/>
          <w:color w:val="auto"/>
          <w:sz w:val="24"/>
        </w:rPr>
        <w:t>。</w:t>
      </w:r>
    </w:p>
    <w:p>
      <w:pPr>
        <w:numPr>
          <w:ilvl w:val="1"/>
          <w:numId w:val="2"/>
        </w:numPr>
        <w:tabs>
          <w:tab w:val="left" w:pos="0"/>
          <w:tab w:val="clear" w:pos="900"/>
        </w:tabs>
        <w:spacing w:line="240" w:lineRule="atLeast"/>
        <w:ind w:hanging="898"/>
        <w:rPr>
          <w:rFonts w:ascii="仿宋" w:hAnsi="仿宋" w:eastAsia="仿宋" w:cs="仿宋"/>
          <w:color w:val="auto"/>
          <w:sz w:val="24"/>
        </w:rPr>
      </w:pPr>
      <w:r>
        <w:rPr>
          <w:rFonts w:hint="eastAsia" w:ascii="仿宋" w:hAnsi="仿宋" w:eastAsia="仿宋" w:cs="仿宋"/>
          <w:color w:val="auto"/>
          <w:sz w:val="24"/>
        </w:rPr>
        <w:t>采购代理机构：是指集中</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或从事采购代理业务的社会中介机构。本项目的采购代理机构见</w:t>
      </w:r>
      <w:r>
        <w:rPr>
          <w:rFonts w:hint="eastAsia" w:ascii="仿宋" w:hAnsi="仿宋" w:eastAsia="仿宋" w:cs="仿宋"/>
          <w:b/>
          <w:bCs/>
          <w:color w:val="auto"/>
          <w:sz w:val="24"/>
          <w:u w:val="single"/>
        </w:rPr>
        <w:t>供应商须知资料表</w:t>
      </w:r>
      <w:r>
        <w:rPr>
          <w:rFonts w:hint="eastAsia" w:ascii="仿宋" w:hAnsi="仿宋" w:eastAsia="仿宋" w:cs="仿宋"/>
          <w:color w:val="auto"/>
          <w:sz w:val="24"/>
        </w:rPr>
        <w:t>。</w:t>
      </w:r>
    </w:p>
    <w:p>
      <w:pPr>
        <w:numPr>
          <w:ilvl w:val="1"/>
          <w:numId w:val="2"/>
        </w:numPr>
        <w:spacing w:line="240" w:lineRule="atLeast"/>
        <w:ind w:hangingChars="375"/>
        <w:rPr>
          <w:rFonts w:ascii="仿宋" w:hAnsi="仿宋" w:eastAsia="仿宋" w:cs="仿宋"/>
          <w:color w:val="auto"/>
          <w:sz w:val="24"/>
        </w:rPr>
      </w:pPr>
      <w:r>
        <w:rPr>
          <w:rFonts w:hint="eastAsia" w:ascii="仿宋" w:hAnsi="仿宋" w:eastAsia="仿宋" w:cs="仿宋"/>
          <w:color w:val="auto"/>
          <w:sz w:val="24"/>
        </w:rPr>
        <w:t>供应商：是指向采购人提供货物、工程或者服务的法人、非法人组织或者自然人。本项目的供应商须满足以下条件：</w:t>
      </w:r>
    </w:p>
    <w:p>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在中华人民共和国境内注册，能够独立承担民事责任，有生产或供应能力的本国供应商。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1.3.3   以采购代理机构认可的方式获得了本项目的采购文件。</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1.3.4   符合</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中规定的其他要求。</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1.3.5   若</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中写明专门面向中小企业采购的，如供应商为非中小企业，其投标将被认定为投标无效</w:t>
      </w:r>
      <w:r>
        <w:rPr>
          <w:rFonts w:hint="eastAsia" w:ascii="仿宋" w:hAnsi="仿宋" w:eastAsia="仿宋" w:cs="仿宋"/>
          <w:color w:val="auto"/>
          <w:sz w:val="24"/>
          <w:lang w:eastAsia="zh-CN"/>
        </w:rPr>
        <w:t>，</w:t>
      </w:r>
      <w:r>
        <w:rPr>
          <w:rFonts w:hint="eastAsia" w:ascii="仿宋" w:hAnsi="仿宋" w:eastAsia="仿宋" w:cs="仿宋"/>
          <w:color w:val="auto"/>
          <w:sz w:val="24"/>
        </w:rPr>
        <w:t>以联合体形式参加政府采购活动，联合体各方均为中小企业的，联合体视同中小企业。其中，联合体各方均为小微企业的，联合体视同小微企业。</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     如</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中允许联合体投标，对联合体规定如下：</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1.4.1   两个以上供应商可以组成一个投标联合体，以一个供应商的身份投标。</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1.4.2   联合体各方均应符合《中华人民共和国政府采购法》第二十二条规定的条件。</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1.4.3   采购人根据采购项目对供应商的特殊要求，联合体中至少应当有一方符合相关规定。</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1.4.6  联合体中有同类资质的供应商按照联合体分工承担相同工作的，按照资质等级较低的供应商确定资质等级。</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1.4.8   对联合体投标的其他资格要求见</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1.5    单位负责人为同一人或者存在直接控股、管理关系的不同供应商，其相关投标将被认定为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w:t>
      </w:r>
      <w:r>
        <w:rPr>
          <w:rFonts w:hint="eastAsia" w:ascii="仿宋" w:hAnsi="仿宋" w:eastAsia="仿宋" w:cs="仿宋"/>
          <w:color w:val="auto"/>
          <w:sz w:val="24"/>
        </w:rPr>
        <w:tab/>
      </w:r>
      <w:r>
        <w:rPr>
          <w:rFonts w:hint="eastAsia" w:ascii="仿宋" w:hAnsi="仿宋" w:eastAsia="仿宋" w:cs="仿宋"/>
          <w:color w:val="auto"/>
          <w:sz w:val="24"/>
        </w:rPr>
        <w:t>供应商在投标过程中不得向采购人提供或给予影响其正常决策行为的任何有价值物品或服务。一经发现，其投标将被认定为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pPr>
        <w:pStyle w:val="6"/>
        <w:spacing w:before="0" w:after="0" w:line="240" w:lineRule="atLeast"/>
        <w:rPr>
          <w:rFonts w:ascii="仿宋" w:hAnsi="仿宋" w:eastAsia="仿宋" w:cs="仿宋"/>
          <w:color w:val="auto"/>
          <w:u w:val="none"/>
        </w:rPr>
      </w:pPr>
      <w:bookmarkStart w:id="10" w:name="_Toc2643"/>
      <w:bookmarkStart w:id="11" w:name="_Toc518923062"/>
      <w:r>
        <w:rPr>
          <w:rFonts w:hint="eastAsia" w:ascii="仿宋" w:hAnsi="仿宋" w:eastAsia="仿宋" w:cs="仿宋"/>
          <w:color w:val="auto"/>
          <w:u w:val="none"/>
        </w:rPr>
        <w:t>2.资金来源</w:t>
      </w:r>
      <w:bookmarkEnd w:id="10"/>
      <w:bookmarkEnd w:id="11"/>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rPr>
        <w:tab/>
      </w:r>
      <w:r>
        <w:rPr>
          <w:rFonts w:hint="eastAsia" w:ascii="仿宋" w:hAnsi="仿宋" w:eastAsia="仿宋" w:cs="仿宋"/>
          <w:color w:val="auto"/>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    项目预算金额和分项或分包最高限价</w:t>
      </w:r>
      <w:r>
        <w:rPr>
          <w:rFonts w:hint="eastAsia" w:ascii="仿宋" w:hAnsi="仿宋" w:eastAsia="仿宋" w:cs="仿宋"/>
          <w:b/>
          <w:bCs/>
          <w:color w:val="auto"/>
          <w:sz w:val="24"/>
          <w:u w:val="single"/>
        </w:rPr>
        <w:t>见供应商须知资料表</w:t>
      </w:r>
      <w:r>
        <w:rPr>
          <w:rFonts w:hint="eastAsia" w:ascii="仿宋" w:hAnsi="仿宋" w:eastAsia="仿宋" w:cs="仿宋"/>
          <w:color w:val="auto"/>
          <w:sz w:val="24"/>
        </w:rPr>
        <w:t>。</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    供应商报价超过采购文件规定的预算金额或者分项、分包最高限价的，其投标将被认定为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pPr>
        <w:pStyle w:val="6"/>
        <w:spacing w:before="0" w:after="0" w:line="240" w:lineRule="atLeast"/>
        <w:rPr>
          <w:rFonts w:ascii="仿宋" w:hAnsi="仿宋" w:eastAsia="仿宋" w:cs="仿宋"/>
          <w:color w:val="auto"/>
          <w:u w:val="none"/>
        </w:rPr>
      </w:pPr>
      <w:bookmarkStart w:id="12" w:name="_Toc520356145"/>
      <w:bookmarkStart w:id="13" w:name="_Toc28166"/>
      <w:bookmarkStart w:id="14" w:name="_Toc518923063"/>
      <w:r>
        <w:rPr>
          <w:rFonts w:hint="eastAsia" w:ascii="仿宋" w:hAnsi="仿宋" w:eastAsia="仿宋" w:cs="仿宋"/>
          <w:color w:val="auto"/>
          <w:u w:val="none"/>
        </w:rPr>
        <w:t>3.投标费用</w:t>
      </w:r>
      <w:bookmarkEnd w:id="12"/>
      <w:bookmarkEnd w:id="13"/>
      <w:bookmarkEnd w:id="14"/>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不论投标的结果如何，供应商应承担所有与准备和参加投标有关的费用。</w:t>
      </w:r>
    </w:p>
    <w:p>
      <w:pPr>
        <w:pStyle w:val="6"/>
        <w:spacing w:before="0" w:after="0" w:line="240" w:lineRule="atLeast"/>
        <w:rPr>
          <w:rFonts w:ascii="仿宋" w:hAnsi="仿宋" w:eastAsia="仿宋" w:cs="仿宋"/>
          <w:color w:val="auto"/>
          <w:u w:val="none"/>
        </w:rPr>
      </w:pPr>
      <w:bookmarkStart w:id="15" w:name="_Toc32365"/>
      <w:bookmarkStart w:id="16" w:name="_Toc518923064"/>
      <w:r>
        <w:rPr>
          <w:rFonts w:hint="eastAsia" w:ascii="仿宋" w:hAnsi="仿宋" w:eastAsia="仿宋" w:cs="仿宋"/>
          <w:color w:val="auto"/>
          <w:u w:val="none"/>
        </w:rPr>
        <w:t>4.适用法律</w:t>
      </w:r>
      <w:bookmarkEnd w:id="15"/>
      <w:bookmarkEnd w:id="16"/>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ascii="仿宋" w:hAnsi="仿宋" w:eastAsia="仿宋" w:cs="仿宋"/>
          <w:color w:val="auto"/>
          <w:sz w:val="24"/>
        </w:rPr>
      </w:pPr>
    </w:p>
    <w:p>
      <w:pPr>
        <w:pStyle w:val="5"/>
        <w:spacing w:before="0" w:line="240" w:lineRule="atLeast"/>
        <w:ind w:left="1080" w:leftChars="257" w:hanging="540"/>
        <w:rPr>
          <w:rFonts w:ascii="仿宋" w:hAnsi="仿宋" w:eastAsia="仿宋" w:cs="仿宋"/>
          <w:color w:val="auto"/>
          <w:sz w:val="28"/>
        </w:rPr>
      </w:pPr>
      <w:bookmarkStart w:id="17" w:name="_Toc520356146"/>
      <w:bookmarkStart w:id="18" w:name="_Toc518923065"/>
      <w:bookmarkStart w:id="19" w:name="_Toc809"/>
      <w:bookmarkStart w:id="20" w:name="_Toc216582806"/>
      <w:r>
        <w:rPr>
          <w:rFonts w:hint="eastAsia" w:ascii="仿宋" w:hAnsi="仿宋" w:eastAsia="仿宋" w:cs="仿宋"/>
          <w:color w:val="auto"/>
          <w:sz w:val="28"/>
        </w:rPr>
        <w:t xml:space="preserve">二   </w:t>
      </w:r>
      <w:bookmarkEnd w:id="17"/>
      <w:bookmarkEnd w:id="18"/>
      <w:bookmarkEnd w:id="19"/>
      <w:bookmarkEnd w:id="20"/>
      <w:r>
        <w:rPr>
          <w:rFonts w:hint="eastAsia" w:ascii="仿宋" w:hAnsi="仿宋" w:eastAsia="仿宋" w:cs="仿宋"/>
          <w:color w:val="auto"/>
          <w:sz w:val="28"/>
        </w:rPr>
        <w:t>采购文件</w:t>
      </w:r>
    </w:p>
    <w:p>
      <w:pPr>
        <w:pStyle w:val="2"/>
        <w:rPr>
          <w:rFonts w:ascii="仿宋" w:hAnsi="仿宋" w:eastAsia="仿宋" w:cs="仿宋"/>
          <w:color w:val="auto"/>
        </w:rPr>
      </w:pPr>
    </w:p>
    <w:p>
      <w:pPr>
        <w:pStyle w:val="6"/>
        <w:spacing w:before="0" w:after="0" w:line="240" w:lineRule="atLeast"/>
        <w:rPr>
          <w:rFonts w:ascii="仿宋" w:hAnsi="仿宋" w:eastAsia="仿宋" w:cs="仿宋"/>
          <w:color w:val="auto"/>
          <w:u w:val="none"/>
        </w:rPr>
      </w:pPr>
      <w:bookmarkStart w:id="21" w:name="_Toc22990"/>
      <w:bookmarkStart w:id="22" w:name="_Toc518923066"/>
      <w:bookmarkStart w:id="23" w:name="_Toc520356147"/>
      <w:r>
        <w:rPr>
          <w:rFonts w:hint="eastAsia" w:ascii="仿宋" w:hAnsi="仿宋" w:eastAsia="仿宋" w:cs="仿宋"/>
          <w:color w:val="auto"/>
          <w:u w:val="none"/>
        </w:rPr>
        <w:t>5.采购文件构成</w:t>
      </w:r>
      <w:bookmarkEnd w:id="21"/>
      <w:bookmarkEnd w:id="22"/>
      <w:bookmarkEnd w:id="23"/>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5.1</w:t>
      </w:r>
      <w:r>
        <w:rPr>
          <w:rFonts w:hint="eastAsia" w:ascii="仿宋" w:hAnsi="仿宋" w:eastAsia="仿宋" w:cs="仿宋"/>
          <w:color w:val="auto"/>
          <w:sz w:val="24"/>
        </w:rPr>
        <w:tab/>
      </w:r>
      <w:r>
        <w:rPr>
          <w:rFonts w:hint="eastAsia" w:ascii="仿宋" w:hAnsi="仿宋" w:eastAsia="仿宋" w:cs="仿宋"/>
          <w:color w:val="auto"/>
          <w:sz w:val="24"/>
        </w:rPr>
        <w:t>采购文件分为三册共7章，内容如下：</w:t>
      </w:r>
    </w:p>
    <w:p>
      <w:pPr>
        <w:spacing w:line="240" w:lineRule="atLeast"/>
        <w:ind w:left="1079" w:leftChars="428" w:hanging="180" w:hangingChars="75"/>
        <w:rPr>
          <w:rFonts w:ascii="仿宋" w:hAnsi="仿宋" w:eastAsia="仿宋" w:cs="仿宋"/>
          <w:color w:val="auto"/>
          <w:sz w:val="24"/>
        </w:rPr>
      </w:pPr>
      <w:r>
        <w:rPr>
          <w:rFonts w:hint="eastAsia" w:ascii="仿宋" w:hAnsi="仿宋" w:eastAsia="仿宋" w:cs="仿宋"/>
          <w:color w:val="auto"/>
          <w:sz w:val="24"/>
        </w:rPr>
        <w:t xml:space="preserve">第一册 </w:t>
      </w:r>
    </w:p>
    <w:p>
      <w:pPr>
        <w:spacing w:line="240" w:lineRule="atLeast"/>
        <w:ind w:left="1079" w:leftChars="428" w:hanging="180" w:hangingChars="75"/>
        <w:rPr>
          <w:rFonts w:ascii="仿宋" w:hAnsi="仿宋" w:eastAsia="仿宋" w:cs="仿宋"/>
          <w:color w:val="auto"/>
          <w:sz w:val="24"/>
        </w:rPr>
      </w:pPr>
      <w:r>
        <w:rPr>
          <w:rFonts w:hint="eastAsia" w:ascii="仿宋" w:hAnsi="仿宋" w:eastAsia="仿宋" w:cs="仿宋"/>
          <w:color w:val="auto"/>
          <w:sz w:val="24"/>
        </w:rPr>
        <w:t>第1章  供应商须知</w:t>
      </w:r>
    </w:p>
    <w:p>
      <w:pPr>
        <w:spacing w:line="240" w:lineRule="atLeast"/>
        <w:ind w:left="901"/>
        <w:rPr>
          <w:rFonts w:ascii="仿宋" w:hAnsi="仿宋" w:eastAsia="仿宋" w:cs="仿宋"/>
          <w:color w:val="auto"/>
          <w:sz w:val="24"/>
        </w:rPr>
      </w:pPr>
      <w:r>
        <w:rPr>
          <w:rFonts w:hint="eastAsia" w:ascii="仿宋" w:hAnsi="仿宋" w:eastAsia="仿宋" w:cs="仿宋"/>
          <w:color w:val="auto"/>
          <w:sz w:val="24"/>
        </w:rPr>
        <w:t>第2章　投标文件格式</w:t>
      </w:r>
    </w:p>
    <w:p>
      <w:pPr>
        <w:spacing w:line="240" w:lineRule="atLeast"/>
        <w:ind w:left="1081" w:leftChars="429" w:hanging="180"/>
        <w:rPr>
          <w:rFonts w:ascii="仿宋" w:hAnsi="仿宋" w:eastAsia="仿宋" w:cs="仿宋"/>
          <w:color w:val="auto"/>
          <w:sz w:val="24"/>
        </w:rPr>
      </w:pPr>
      <w:r>
        <w:rPr>
          <w:rFonts w:hint="eastAsia" w:ascii="仿宋" w:hAnsi="仿宋" w:eastAsia="仿宋" w:cs="仿宋"/>
          <w:color w:val="auto"/>
          <w:sz w:val="24"/>
        </w:rPr>
        <w:t>第二册</w:t>
      </w:r>
    </w:p>
    <w:p>
      <w:pPr>
        <w:spacing w:line="240" w:lineRule="atLeast"/>
        <w:ind w:left="901" w:leftChars="429"/>
        <w:rPr>
          <w:rFonts w:ascii="仿宋" w:hAnsi="仿宋" w:eastAsia="仿宋" w:cs="仿宋"/>
          <w:color w:val="auto"/>
          <w:sz w:val="24"/>
        </w:rPr>
      </w:pPr>
      <w:r>
        <w:rPr>
          <w:rFonts w:hint="eastAsia" w:ascii="仿宋" w:hAnsi="仿宋" w:eastAsia="仿宋" w:cs="仿宋"/>
          <w:color w:val="auto"/>
          <w:sz w:val="24"/>
        </w:rPr>
        <w:t>第3章  招标公告</w:t>
      </w:r>
    </w:p>
    <w:p>
      <w:pPr>
        <w:spacing w:line="240" w:lineRule="atLeast"/>
        <w:ind w:left="901" w:leftChars="429"/>
        <w:rPr>
          <w:rFonts w:ascii="仿宋" w:hAnsi="仿宋" w:eastAsia="仿宋" w:cs="仿宋"/>
          <w:color w:val="auto"/>
          <w:sz w:val="24"/>
        </w:rPr>
      </w:pPr>
      <w:r>
        <w:rPr>
          <w:rFonts w:hint="eastAsia" w:ascii="仿宋" w:hAnsi="仿宋" w:eastAsia="仿宋" w:cs="仿宋"/>
          <w:color w:val="auto"/>
          <w:sz w:val="24"/>
        </w:rPr>
        <w:t>第4章  供应商须知资料表</w:t>
      </w:r>
    </w:p>
    <w:p>
      <w:pPr>
        <w:spacing w:line="240" w:lineRule="atLeast"/>
        <w:ind w:left="901" w:leftChars="429"/>
        <w:rPr>
          <w:rFonts w:ascii="仿宋" w:hAnsi="仿宋" w:eastAsia="仿宋" w:cs="仿宋"/>
          <w:color w:val="auto"/>
          <w:sz w:val="24"/>
        </w:rPr>
      </w:pPr>
      <w:r>
        <w:rPr>
          <w:rFonts w:hint="eastAsia" w:ascii="仿宋" w:hAnsi="仿宋" w:eastAsia="仿宋" w:cs="仿宋"/>
          <w:color w:val="auto"/>
          <w:sz w:val="24"/>
        </w:rPr>
        <w:t>第5章  采购需求</w:t>
      </w:r>
    </w:p>
    <w:p>
      <w:pPr>
        <w:spacing w:line="240" w:lineRule="atLeast"/>
        <w:ind w:left="901" w:leftChars="429"/>
        <w:rPr>
          <w:rFonts w:ascii="仿宋" w:hAnsi="仿宋" w:eastAsia="仿宋" w:cs="仿宋"/>
          <w:color w:val="auto"/>
          <w:sz w:val="24"/>
        </w:rPr>
      </w:pPr>
      <w:r>
        <w:rPr>
          <w:rFonts w:hint="eastAsia" w:ascii="仿宋" w:hAnsi="仿宋" w:eastAsia="仿宋" w:cs="仿宋"/>
          <w:color w:val="auto"/>
          <w:sz w:val="24"/>
        </w:rPr>
        <w:t>第6章  评标方法和标准</w:t>
      </w:r>
    </w:p>
    <w:p>
      <w:pPr>
        <w:spacing w:line="240" w:lineRule="atLeast"/>
        <w:ind w:left="901"/>
        <w:rPr>
          <w:rFonts w:ascii="仿宋" w:hAnsi="仿宋" w:eastAsia="仿宋" w:cs="仿宋"/>
          <w:color w:val="auto"/>
          <w:sz w:val="24"/>
        </w:rPr>
      </w:pPr>
      <w:r>
        <w:rPr>
          <w:rFonts w:hint="eastAsia" w:ascii="仿宋" w:hAnsi="仿宋" w:eastAsia="仿宋" w:cs="仿宋"/>
          <w:color w:val="auto"/>
          <w:sz w:val="24"/>
        </w:rPr>
        <w:t>第三册</w:t>
      </w:r>
    </w:p>
    <w:p>
      <w:pPr>
        <w:spacing w:line="240" w:lineRule="atLeast"/>
        <w:ind w:left="901" w:leftChars="429"/>
        <w:rPr>
          <w:rFonts w:ascii="仿宋" w:hAnsi="仿宋" w:eastAsia="仿宋" w:cs="仿宋"/>
          <w:color w:val="auto"/>
          <w:sz w:val="24"/>
        </w:rPr>
      </w:pPr>
      <w:r>
        <w:rPr>
          <w:rFonts w:hint="eastAsia" w:ascii="仿宋" w:hAnsi="仿宋" w:eastAsia="仿宋" w:cs="仿宋"/>
          <w:color w:val="auto"/>
          <w:sz w:val="24"/>
        </w:rPr>
        <w:t>第7章  政府采购合同</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5.2</w:t>
      </w:r>
      <w:r>
        <w:rPr>
          <w:rFonts w:hint="eastAsia" w:ascii="仿宋" w:hAnsi="仿宋" w:eastAsia="仿宋" w:cs="仿宋"/>
          <w:color w:val="auto"/>
          <w:sz w:val="24"/>
        </w:rPr>
        <w:tab/>
      </w:r>
      <w:r>
        <w:rPr>
          <w:rFonts w:hint="eastAsia" w:ascii="仿宋" w:hAnsi="仿宋" w:eastAsia="仿宋" w:cs="仿宋"/>
          <w:color w:val="auto"/>
          <w:sz w:val="24"/>
        </w:rPr>
        <w:t>如本文件的前后内容不一致，以最后描述为准。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5.3    供应商应认真阅读采购文件所有的事项、格式、条款和技术规范等。如供应商没有按照采购文件要求提交全部资料，或者投标文件没有对采购文件在各方面都做出实质性响应，可能导致其投标被认定为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pPr>
        <w:pStyle w:val="6"/>
        <w:spacing w:before="0" w:after="0" w:line="240" w:lineRule="atLeast"/>
        <w:rPr>
          <w:rFonts w:ascii="仿宋" w:hAnsi="仿宋" w:eastAsia="仿宋" w:cs="仿宋"/>
          <w:b w:val="0"/>
          <w:color w:val="auto"/>
          <w:u w:val="none"/>
        </w:rPr>
      </w:pPr>
      <w:bookmarkStart w:id="24" w:name="_Toc520356148"/>
      <w:bookmarkStart w:id="25" w:name="_Toc518923067"/>
      <w:bookmarkStart w:id="26" w:name="_Toc21314"/>
      <w:r>
        <w:rPr>
          <w:rFonts w:hint="eastAsia" w:ascii="仿宋" w:hAnsi="仿宋" w:eastAsia="仿宋" w:cs="仿宋"/>
          <w:color w:val="auto"/>
          <w:u w:val="none"/>
        </w:rPr>
        <w:t>6.采购文件的澄清</w:t>
      </w:r>
      <w:bookmarkEnd w:id="24"/>
      <w:r>
        <w:rPr>
          <w:rFonts w:hint="eastAsia" w:ascii="仿宋" w:hAnsi="仿宋" w:eastAsia="仿宋" w:cs="仿宋"/>
          <w:color w:val="auto"/>
          <w:u w:val="none"/>
        </w:rPr>
        <w:t>与修改</w:t>
      </w:r>
      <w:bookmarkEnd w:id="25"/>
      <w:bookmarkEnd w:id="26"/>
    </w:p>
    <w:p>
      <w:pPr>
        <w:pStyle w:val="2"/>
        <w:ind w:left="840" w:hanging="840" w:hangingChars="350"/>
        <w:rPr>
          <w:rFonts w:ascii="仿宋" w:hAnsi="仿宋" w:eastAsia="仿宋" w:cs="仿宋"/>
          <w:color w:val="auto"/>
          <w:szCs w:val="24"/>
        </w:rPr>
      </w:pPr>
      <w:r>
        <w:rPr>
          <w:rFonts w:hint="eastAsia" w:ascii="仿宋" w:hAnsi="仿宋" w:eastAsia="仿宋" w:cs="仿宋"/>
          <w:color w:val="auto"/>
          <w:szCs w:val="24"/>
        </w:rPr>
        <w:t>6.1    为了保证对采购文件的澄清和修改满足法律的时限要求，任何要求对采购文件进行澄清的供应商，均应在投标截止期十五日前，以书面形式将澄清要求通知采购人或采购代理机构。</w:t>
      </w:r>
    </w:p>
    <w:p>
      <w:pPr>
        <w:pStyle w:val="2"/>
        <w:ind w:left="840" w:hanging="840" w:hangingChars="350"/>
        <w:rPr>
          <w:rFonts w:ascii="仿宋" w:hAnsi="仿宋" w:eastAsia="仿宋" w:cs="仿宋"/>
          <w:color w:val="auto"/>
          <w:szCs w:val="24"/>
        </w:rPr>
      </w:pPr>
      <w:bookmarkStart w:id="27" w:name="_Toc520356149"/>
      <w:bookmarkStart w:id="28" w:name="_Ref467378678"/>
      <w:r>
        <w:rPr>
          <w:rFonts w:hint="eastAsia" w:ascii="仿宋" w:hAnsi="仿宋" w:eastAsia="仿宋" w:cs="仿宋"/>
          <w:color w:val="auto"/>
          <w:szCs w:val="24"/>
        </w:rPr>
        <w:t>6.2</w:t>
      </w:r>
      <w:r>
        <w:rPr>
          <w:rFonts w:hint="eastAsia" w:ascii="仿宋" w:hAnsi="仿宋" w:eastAsia="仿宋" w:cs="仿宋"/>
          <w:color w:val="auto"/>
          <w:szCs w:val="24"/>
        </w:rPr>
        <w:tab/>
      </w:r>
      <w:r>
        <w:rPr>
          <w:rFonts w:hint="eastAsia" w:ascii="仿宋" w:hAnsi="仿宋" w:eastAsia="仿宋" w:cs="仿宋"/>
          <w:color w:val="auto"/>
          <w:szCs w:val="24"/>
        </w:rPr>
        <w:t>采购人可主动地或在解答供应商提出的澄清问题时对采购文件澄清或修改。采购代理机构将以发布澄清（更正）公告的方式，澄清或修改采购文件，澄清或修改内容作为采购文件的组成部分。</w:t>
      </w:r>
    </w:p>
    <w:p>
      <w:pPr>
        <w:pStyle w:val="2"/>
        <w:ind w:left="840" w:hanging="840" w:hangingChars="350"/>
        <w:rPr>
          <w:rFonts w:ascii="仿宋" w:hAnsi="仿宋" w:eastAsia="仿宋" w:cs="仿宋"/>
          <w:color w:val="auto"/>
          <w:szCs w:val="24"/>
        </w:rPr>
      </w:pPr>
      <w:r>
        <w:rPr>
          <w:rFonts w:hint="eastAsia" w:ascii="仿宋" w:hAnsi="仿宋" w:eastAsia="仿宋" w:cs="仿宋"/>
          <w:color w:val="auto"/>
          <w:szCs w:val="24"/>
        </w:rPr>
        <w:t>6.3</w:t>
      </w:r>
      <w:r>
        <w:rPr>
          <w:rFonts w:hint="eastAsia" w:ascii="仿宋" w:hAnsi="仿宋" w:eastAsia="仿宋" w:cs="仿宋"/>
          <w:color w:val="auto"/>
          <w:szCs w:val="24"/>
        </w:rPr>
        <w:tab/>
      </w:r>
      <w:r>
        <w:rPr>
          <w:rFonts w:hint="eastAsia" w:ascii="仿宋" w:hAnsi="仿宋" w:eastAsia="仿宋" w:cs="仿宋"/>
          <w:color w:val="auto"/>
          <w:szCs w:val="24"/>
        </w:rPr>
        <w:t>澄清或者修改的内容可能影响投标文件编制的，采购代理机构将以发布澄清（更正）公告的方式告知所有潜在供应商，并对其具有约束力。</w:t>
      </w:r>
    </w:p>
    <w:p>
      <w:pPr>
        <w:pStyle w:val="6"/>
        <w:tabs>
          <w:tab w:val="left" w:pos="900"/>
        </w:tabs>
        <w:spacing w:before="0" w:after="0" w:line="240" w:lineRule="atLeast"/>
        <w:rPr>
          <w:rFonts w:ascii="仿宋" w:hAnsi="仿宋" w:eastAsia="仿宋" w:cs="仿宋"/>
          <w:color w:val="auto"/>
          <w:u w:val="none"/>
        </w:rPr>
      </w:pPr>
      <w:bookmarkStart w:id="29" w:name="_Toc10994"/>
      <w:bookmarkStart w:id="30" w:name="_Toc518923068"/>
      <w:r>
        <w:rPr>
          <w:rFonts w:hint="eastAsia" w:ascii="仿宋" w:hAnsi="仿宋" w:eastAsia="仿宋" w:cs="仿宋"/>
          <w:color w:val="auto"/>
          <w:u w:val="none"/>
        </w:rPr>
        <w:t>7</w:t>
      </w:r>
      <w:bookmarkEnd w:id="27"/>
      <w:bookmarkEnd w:id="28"/>
      <w:r>
        <w:rPr>
          <w:rFonts w:hint="eastAsia" w:ascii="仿宋" w:hAnsi="仿宋" w:eastAsia="仿宋" w:cs="仿宋"/>
          <w:color w:val="auto"/>
          <w:u w:val="none"/>
        </w:rPr>
        <w:t>.投标截止时间的顺延</w:t>
      </w:r>
      <w:bookmarkEnd w:id="29"/>
      <w:bookmarkEnd w:id="30"/>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为使供应商准备投标时有足够的时间对采购文件的澄清或者修改部分进行研究，采购人将依法决定是否顺延投标截止时间。</w:t>
      </w:r>
    </w:p>
    <w:p>
      <w:pPr>
        <w:spacing w:line="240" w:lineRule="atLeast"/>
        <w:ind w:left="900" w:hanging="900" w:hangingChars="375"/>
        <w:rPr>
          <w:rFonts w:ascii="仿宋" w:hAnsi="仿宋" w:eastAsia="仿宋" w:cs="仿宋"/>
          <w:color w:val="auto"/>
          <w:sz w:val="24"/>
        </w:rPr>
      </w:pPr>
    </w:p>
    <w:p>
      <w:pPr>
        <w:pStyle w:val="5"/>
        <w:tabs>
          <w:tab w:val="left" w:pos="900"/>
        </w:tabs>
        <w:spacing w:before="0" w:line="240" w:lineRule="atLeast"/>
        <w:ind w:left="1080" w:leftChars="257" w:hanging="540"/>
        <w:rPr>
          <w:rFonts w:ascii="仿宋" w:hAnsi="仿宋" w:eastAsia="仿宋" w:cs="仿宋"/>
          <w:color w:val="auto"/>
          <w:sz w:val="28"/>
        </w:rPr>
      </w:pPr>
      <w:bookmarkStart w:id="31" w:name="_Toc516367020"/>
      <w:bookmarkStart w:id="32" w:name="_Toc25389"/>
      <w:bookmarkStart w:id="33" w:name="_Toc520356150"/>
      <w:bookmarkStart w:id="34" w:name="_Toc518923069"/>
      <w:bookmarkStart w:id="35" w:name="_Toc216582807"/>
      <w:r>
        <w:rPr>
          <w:rFonts w:hint="eastAsia" w:ascii="仿宋" w:hAnsi="仿宋" w:eastAsia="仿宋" w:cs="仿宋"/>
          <w:color w:val="auto"/>
          <w:sz w:val="28"/>
        </w:rPr>
        <w:t>三   投标文件</w:t>
      </w:r>
      <w:bookmarkEnd w:id="31"/>
      <w:r>
        <w:rPr>
          <w:rFonts w:hint="eastAsia" w:ascii="仿宋" w:hAnsi="仿宋" w:eastAsia="仿宋" w:cs="仿宋"/>
          <w:color w:val="auto"/>
          <w:sz w:val="28"/>
        </w:rPr>
        <w:t>的编制</w:t>
      </w:r>
      <w:bookmarkEnd w:id="32"/>
      <w:bookmarkEnd w:id="33"/>
      <w:bookmarkEnd w:id="34"/>
      <w:bookmarkEnd w:id="35"/>
    </w:p>
    <w:p>
      <w:pPr>
        <w:pStyle w:val="2"/>
        <w:rPr>
          <w:rFonts w:ascii="仿宋" w:hAnsi="仿宋" w:eastAsia="仿宋" w:cs="仿宋"/>
          <w:color w:val="auto"/>
        </w:rPr>
      </w:pPr>
    </w:p>
    <w:p>
      <w:pPr>
        <w:pStyle w:val="6"/>
        <w:tabs>
          <w:tab w:val="left" w:pos="900"/>
        </w:tabs>
        <w:spacing w:before="0" w:after="0" w:line="240" w:lineRule="atLeast"/>
        <w:rPr>
          <w:rFonts w:ascii="仿宋" w:hAnsi="仿宋" w:eastAsia="仿宋" w:cs="仿宋"/>
          <w:color w:val="auto"/>
          <w:u w:val="none"/>
        </w:rPr>
      </w:pPr>
      <w:bookmarkStart w:id="36" w:name="_Toc518923070"/>
      <w:bookmarkStart w:id="37" w:name="_Toc6728"/>
      <w:bookmarkStart w:id="38" w:name="_Toc516367021"/>
      <w:bookmarkStart w:id="39" w:name="_Toc520356151"/>
      <w:r>
        <w:rPr>
          <w:rFonts w:hint="eastAsia" w:ascii="仿宋" w:hAnsi="仿宋" w:eastAsia="仿宋" w:cs="仿宋"/>
          <w:color w:val="auto"/>
          <w:u w:val="none"/>
        </w:rPr>
        <w:t>8.投标范围及投标文件中标准和计量单位的使用</w:t>
      </w:r>
      <w:bookmarkEnd w:id="36"/>
      <w:bookmarkEnd w:id="37"/>
      <w:bookmarkEnd w:id="38"/>
      <w:bookmarkEnd w:id="39"/>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8.1</w:t>
      </w:r>
      <w:r>
        <w:rPr>
          <w:rFonts w:hint="eastAsia" w:ascii="仿宋" w:hAnsi="仿宋" w:eastAsia="仿宋" w:cs="仿宋"/>
          <w:color w:val="auto"/>
          <w:sz w:val="24"/>
        </w:rPr>
        <w:tab/>
      </w:r>
      <w:r>
        <w:rPr>
          <w:rFonts w:hint="eastAsia" w:ascii="仿宋" w:hAnsi="仿宋" w:eastAsia="仿宋" w:cs="仿宋"/>
          <w:color w:val="auto"/>
          <w:sz w:val="24"/>
        </w:rPr>
        <w:t>项目有分包的，供应商可对采购文件其中一个或几个分包进行投标，除非在</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中另有规定。</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8.2    供应商应当对所投分包采购文件中“采购需求”所列的所有服务内容进行投标，如仅响应分包中的部分内容，其投标将被认定为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8.3     无论采购文件第5章采购需求中是否要求，供应商所投服务均应符合国家强制性标准。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8.4     除采购文件中有特殊要求外，投标文件中所使用的计量单位，应采用中华人民共和国法定计量单位。</w:t>
      </w:r>
    </w:p>
    <w:p>
      <w:pPr>
        <w:pStyle w:val="6"/>
        <w:tabs>
          <w:tab w:val="left" w:pos="900"/>
        </w:tabs>
        <w:spacing w:before="0" w:after="0" w:line="240" w:lineRule="atLeast"/>
        <w:rPr>
          <w:rFonts w:ascii="仿宋" w:hAnsi="仿宋" w:eastAsia="仿宋" w:cs="仿宋"/>
          <w:color w:val="auto"/>
          <w:u w:val="none"/>
        </w:rPr>
      </w:pPr>
      <w:bookmarkStart w:id="40" w:name="_Ref467306195"/>
      <w:bookmarkStart w:id="41" w:name="_Toc516367022"/>
      <w:bookmarkStart w:id="42" w:name="_Ref467306676"/>
      <w:bookmarkStart w:id="43" w:name="_Toc518923071"/>
      <w:bookmarkStart w:id="44" w:name="_Toc15487"/>
      <w:bookmarkStart w:id="45" w:name="_Toc520356152"/>
      <w:r>
        <w:rPr>
          <w:rFonts w:hint="eastAsia" w:ascii="仿宋" w:hAnsi="仿宋" w:eastAsia="仿宋" w:cs="仿宋"/>
          <w:color w:val="auto"/>
          <w:u w:val="none"/>
        </w:rPr>
        <w:t>9.投标文件</w:t>
      </w:r>
      <w:bookmarkEnd w:id="40"/>
      <w:bookmarkEnd w:id="41"/>
      <w:bookmarkEnd w:id="42"/>
      <w:r>
        <w:rPr>
          <w:rFonts w:hint="eastAsia" w:ascii="仿宋" w:hAnsi="仿宋" w:eastAsia="仿宋" w:cs="仿宋"/>
          <w:color w:val="auto"/>
          <w:u w:val="none"/>
        </w:rPr>
        <w:t>构成</w:t>
      </w:r>
      <w:bookmarkEnd w:id="43"/>
      <w:bookmarkEnd w:id="44"/>
      <w:bookmarkEnd w:id="45"/>
    </w:p>
    <w:p>
      <w:pPr>
        <w:tabs>
          <w:tab w:val="left" w:pos="900"/>
          <w:tab w:val="left" w:pos="5580"/>
        </w:tabs>
        <w:spacing w:line="240" w:lineRule="atLeast"/>
        <w:ind w:left="960" w:hanging="960" w:hangingChars="400"/>
        <w:jc w:val="left"/>
        <w:rPr>
          <w:rFonts w:ascii="仿宋" w:hAnsi="仿宋" w:eastAsia="仿宋" w:cs="仿宋"/>
          <w:color w:val="auto"/>
          <w:sz w:val="24"/>
          <w:u w:val="single"/>
        </w:rPr>
      </w:pPr>
      <w:bookmarkStart w:id="46" w:name="_Ref467052588"/>
      <w:r>
        <w:rPr>
          <w:rFonts w:hint="eastAsia" w:ascii="仿宋" w:hAnsi="仿宋" w:eastAsia="仿宋" w:cs="仿宋"/>
          <w:color w:val="auto"/>
          <w:sz w:val="24"/>
        </w:rPr>
        <w:t xml:space="preserve">9.1    </w:t>
      </w:r>
      <w:r>
        <w:rPr>
          <w:rFonts w:hint="eastAsia" w:ascii="仿宋" w:hAnsi="仿宋" w:eastAsia="仿宋" w:cs="仿宋"/>
          <w:color w:val="auto"/>
          <w:sz w:val="24"/>
          <w:u w:val="single"/>
        </w:rPr>
        <w:t xml:space="preserve"> </w:t>
      </w:r>
      <w:r>
        <w:rPr>
          <w:rFonts w:hint="eastAsia" w:ascii="仿宋" w:hAnsi="仿宋" w:eastAsia="仿宋" w:cs="仿宋"/>
          <w:b/>
          <w:bCs/>
          <w:color w:val="auto"/>
          <w:sz w:val="24"/>
          <w:u w:val="single"/>
        </w:rPr>
        <w:t>供应商应完整地按采购文件提供的投标文件格式及要求编写投标文件，投标文件应包括</w:t>
      </w:r>
      <w:bookmarkEnd w:id="46"/>
      <w:r>
        <w:rPr>
          <w:rFonts w:hint="eastAsia" w:ascii="仿宋" w:hAnsi="仿宋" w:eastAsia="仿宋" w:cs="仿宋"/>
          <w:b/>
          <w:bCs/>
          <w:color w:val="auto"/>
          <w:sz w:val="24"/>
          <w:u w:val="single"/>
        </w:rPr>
        <w:t>“报价单”、“商务资信投标文件”和“技术投标方案”三部分。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9.2    上述文件应按照采购文件规定的格式填写、签署和盖章。若供应商未依照要求制作投标文件的，则视为不响应采购文件编制投标文件的要求，</w:t>
      </w:r>
      <w:r>
        <w:rPr>
          <w:rFonts w:hint="eastAsia" w:ascii="仿宋" w:hAnsi="仿宋" w:eastAsia="仿宋" w:cs="仿宋"/>
          <w:b/>
          <w:bCs/>
          <w:color w:val="auto"/>
          <w:sz w:val="24"/>
        </w:rPr>
        <w:t>为无效投标。</w:t>
      </w:r>
    </w:p>
    <w:p>
      <w:pPr>
        <w:pStyle w:val="6"/>
        <w:tabs>
          <w:tab w:val="left" w:pos="900"/>
        </w:tabs>
        <w:spacing w:before="0" w:after="0" w:line="240" w:lineRule="atLeast"/>
        <w:rPr>
          <w:rFonts w:ascii="仿宋" w:hAnsi="仿宋" w:eastAsia="仿宋" w:cs="仿宋"/>
          <w:bCs/>
          <w:color w:val="auto"/>
          <w:kern w:val="2"/>
          <w:szCs w:val="24"/>
          <w:u w:val="none"/>
        </w:rPr>
      </w:pPr>
      <w:bookmarkStart w:id="47" w:name="_Toc2671"/>
      <w:bookmarkStart w:id="48" w:name="_Toc520356153"/>
      <w:bookmarkStart w:id="49" w:name="_Toc518923072"/>
      <w:bookmarkStart w:id="50" w:name="_Toc508185920"/>
      <w:bookmarkStart w:id="51" w:name="_Toc516367023"/>
      <w:bookmarkStart w:id="52" w:name="_Toc520356155"/>
      <w:r>
        <w:rPr>
          <w:rFonts w:hint="eastAsia" w:ascii="仿宋" w:hAnsi="仿宋" w:eastAsia="仿宋" w:cs="仿宋"/>
          <w:color w:val="auto"/>
          <w:u w:val="none"/>
        </w:rPr>
        <w:t>10.</w:t>
      </w:r>
      <w:bookmarkEnd w:id="47"/>
      <w:bookmarkEnd w:id="48"/>
      <w:bookmarkEnd w:id="49"/>
      <w:bookmarkEnd w:id="50"/>
      <w:bookmarkEnd w:id="51"/>
      <w:r>
        <w:rPr>
          <w:rFonts w:hint="eastAsia" w:ascii="仿宋" w:hAnsi="仿宋" w:eastAsia="仿宋" w:cs="仿宋"/>
          <w:bCs/>
          <w:color w:val="auto"/>
          <w:kern w:val="2"/>
          <w:szCs w:val="24"/>
          <w:u w:val="none"/>
        </w:rPr>
        <w:t>证明投标标的的合格性和符合采购文件规定的技术文件</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10.1</w:t>
      </w:r>
      <w:r>
        <w:rPr>
          <w:rFonts w:hint="eastAsia" w:ascii="仿宋" w:hAnsi="仿宋" w:eastAsia="仿宋" w:cs="仿宋"/>
          <w:color w:val="auto"/>
          <w:sz w:val="24"/>
        </w:rPr>
        <w:tab/>
      </w:r>
      <w:r>
        <w:rPr>
          <w:rFonts w:hint="eastAsia" w:ascii="仿宋" w:hAnsi="仿宋" w:eastAsia="仿宋" w:cs="仿宋"/>
          <w:color w:val="auto"/>
          <w:sz w:val="24"/>
        </w:rPr>
        <w:t>供应商应提交证明文件，证明其投标内容符合采购文件规定。该证明文件是投标文件的一部分。</w:t>
      </w:r>
    </w:p>
    <w:p>
      <w:pPr>
        <w:spacing w:line="240" w:lineRule="atLeast"/>
        <w:ind w:left="900" w:hanging="900" w:hangingChars="375"/>
        <w:rPr>
          <w:rFonts w:ascii="仿宋" w:hAnsi="仿宋" w:eastAsia="仿宋" w:cs="仿宋"/>
          <w:color w:val="auto"/>
          <w:sz w:val="24"/>
        </w:rPr>
      </w:pPr>
      <w:bookmarkStart w:id="53" w:name="_Ref467306244"/>
      <w:r>
        <w:rPr>
          <w:rFonts w:hint="eastAsia" w:ascii="仿宋" w:hAnsi="仿宋" w:eastAsia="仿宋" w:cs="仿宋"/>
          <w:color w:val="auto"/>
          <w:sz w:val="24"/>
        </w:rPr>
        <w:t>10.2</w:t>
      </w:r>
      <w:r>
        <w:rPr>
          <w:rFonts w:hint="eastAsia" w:ascii="仿宋" w:hAnsi="仿宋" w:eastAsia="仿宋" w:cs="仿宋"/>
          <w:color w:val="auto"/>
          <w:sz w:val="24"/>
        </w:rPr>
        <w:tab/>
      </w:r>
      <w:r>
        <w:rPr>
          <w:rFonts w:hint="eastAsia" w:ascii="仿宋" w:hAnsi="仿宋" w:eastAsia="仿宋" w:cs="仿宋"/>
          <w:color w:val="auto"/>
          <w:sz w:val="24"/>
        </w:rPr>
        <w:t>上款所述的证明文件，可以是文字资料、图纸和数据</w:t>
      </w:r>
      <w:bookmarkEnd w:id="53"/>
      <w:r>
        <w:rPr>
          <w:rFonts w:hint="eastAsia" w:ascii="仿宋" w:hAnsi="仿宋" w:eastAsia="仿宋" w:cs="仿宋"/>
          <w:color w:val="auto"/>
          <w:sz w:val="24"/>
        </w:rPr>
        <w:t>。</w:t>
      </w:r>
    </w:p>
    <w:p>
      <w:pPr>
        <w:pStyle w:val="6"/>
        <w:spacing w:before="0" w:after="0" w:line="240" w:lineRule="atLeast"/>
        <w:rPr>
          <w:rFonts w:ascii="仿宋" w:hAnsi="仿宋" w:eastAsia="仿宋" w:cs="仿宋"/>
          <w:color w:val="auto"/>
          <w:u w:val="none"/>
        </w:rPr>
      </w:pPr>
      <w:bookmarkStart w:id="54" w:name="_Toc8529"/>
      <w:bookmarkStart w:id="55" w:name="_Toc518923073"/>
      <w:r>
        <w:rPr>
          <w:rFonts w:hint="eastAsia" w:ascii="仿宋" w:hAnsi="仿宋" w:eastAsia="仿宋" w:cs="仿宋"/>
          <w:color w:val="auto"/>
          <w:u w:val="none"/>
        </w:rPr>
        <w:t>11.投标报价</w:t>
      </w:r>
      <w:bookmarkEnd w:id="52"/>
      <w:bookmarkEnd w:id="54"/>
      <w:bookmarkEnd w:id="55"/>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color w:val="auto"/>
          <w:sz w:val="24"/>
        </w:rPr>
        <w:tab/>
      </w:r>
      <w:r>
        <w:rPr>
          <w:rFonts w:hint="eastAsia" w:ascii="仿宋" w:hAnsi="仿宋" w:eastAsia="仿宋" w:cs="仿宋"/>
          <w:color w:val="auto"/>
          <w:sz w:val="24"/>
        </w:rPr>
        <w:t>所有投标均以人民币报价。供应商的投标报价应遵守《中华人民共和国价格法》。同时，根据《中华人民共和国政府采购法》第二条的规定，为保证公平竞争，如有主体投标标的的赠与行为，其投标将被认定为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11.2</w:t>
      </w:r>
      <w:r>
        <w:rPr>
          <w:rFonts w:hint="eastAsia" w:ascii="仿宋" w:hAnsi="仿宋" w:eastAsia="仿宋" w:cs="仿宋"/>
          <w:color w:val="auto"/>
          <w:sz w:val="24"/>
        </w:rPr>
        <w:tab/>
      </w:r>
      <w:r>
        <w:rPr>
          <w:rFonts w:hint="eastAsia" w:ascii="仿宋" w:hAnsi="仿宋" w:eastAsia="仿宋" w:cs="仿宋"/>
          <w:color w:val="auto"/>
          <w:sz w:val="24"/>
        </w:rPr>
        <w:t>供应商应在投标分项报价表上标明招标项目的总价，并由法定代表人或其委托代理人签署。</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11.3</w:t>
      </w:r>
      <w:r>
        <w:rPr>
          <w:rFonts w:hint="eastAsia" w:ascii="仿宋" w:hAnsi="仿宋" w:eastAsia="仿宋" w:cs="仿宋"/>
          <w:color w:val="auto"/>
          <w:sz w:val="24"/>
        </w:rPr>
        <w:tab/>
      </w:r>
      <w:r>
        <w:rPr>
          <w:rFonts w:hint="eastAsia" w:ascii="仿宋" w:hAnsi="仿宋" w:eastAsia="仿宋" w:cs="仿宋"/>
          <w:color w:val="auto"/>
          <w:sz w:val="24"/>
        </w:rPr>
        <w:t>采购人不接受具有附加条件的报价。</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11.4</w:t>
      </w:r>
      <w:r>
        <w:rPr>
          <w:rFonts w:hint="eastAsia" w:ascii="仿宋" w:hAnsi="仿宋" w:eastAsia="仿宋" w:cs="仿宋"/>
          <w:color w:val="auto"/>
          <w:sz w:val="24"/>
        </w:rPr>
        <w:tab/>
      </w:r>
      <w:r>
        <w:rPr>
          <w:rFonts w:hint="eastAsia" w:ascii="仿宋" w:hAnsi="仿宋" w:eastAsia="仿宋" w:cs="仿宋"/>
          <w:color w:val="auto"/>
          <w:sz w:val="24"/>
        </w:rPr>
        <w:t>供应商所报的投标报价在合同履行过程中是固定不变的，不得以任何理由予以变更。任何包含价格调整要求的投标，将被认定为投标无效。</w:t>
      </w:r>
    </w:p>
    <w:p>
      <w:pPr>
        <w:pStyle w:val="6"/>
        <w:spacing w:before="0" w:after="0" w:line="240" w:lineRule="atLeast"/>
        <w:rPr>
          <w:rFonts w:ascii="仿宋" w:hAnsi="仿宋" w:eastAsia="仿宋" w:cs="仿宋"/>
          <w:color w:val="auto"/>
          <w:u w:val="none"/>
        </w:rPr>
      </w:pPr>
      <w:bookmarkStart w:id="56" w:name="_Ref467306513"/>
      <w:bookmarkStart w:id="57" w:name="_Toc520356156"/>
      <w:bookmarkStart w:id="58" w:name="_Toc16199"/>
      <w:bookmarkStart w:id="59" w:name="_Toc518923074"/>
      <w:r>
        <w:rPr>
          <w:rFonts w:hint="eastAsia" w:ascii="仿宋" w:hAnsi="仿宋" w:eastAsia="仿宋" w:cs="仿宋"/>
          <w:color w:val="auto"/>
          <w:u w:val="none"/>
        </w:rPr>
        <w:t>12.投标保证金</w:t>
      </w:r>
      <w:bookmarkEnd w:id="56"/>
      <w:bookmarkEnd w:id="57"/>
      <w:bookmarkEnd w:id="58"/>
      <w:bookmarkEnd w:id="59"/>
    </w:p>
    <w:p>
      <w:pPr>
        <w:spacing w:line="240" w:lineRule="atLeast"/>
        <w:ind w:left="900" w:hanging="900" w:hangingChars="375"/>
        <w:rPr>
          <w:rFonts w:ascii="仿宋" w:hAnsi="仿宋" w:eastAsia="仿宋" w:cs="仿宋"/>
          <w:color w:val="auto"/>
          <w:sz w:val="24"/>
        </w:rPr>
      </w:pPr>
      <w:bookmarkStart w:id="60" w:name="_Ref467306302"/>
      <w:r>
        <w:rPr>
          <w:rFonts w:hint="eastAsia" w:ascii="仿宋" w:hAnsi="仿宋" w:eastAsia="仿宋" w:cs="仿宋"/>
          <w:color w:val="auto"/>
          <w:sz w:val="24"/>
        </w:rPr>
        <w:t>12.1</w:t>
      </w:r>
      <w:r>
        <w:rPr>
          <w:rFonts w:hint="eastAsia" w:ascii="仿宋" w:hAnsi="仿宋" w:eastAsia="仿宋" w:cs="仿宋"/>
          <w:color w:val="auto"/>
          <w:sz w:val="24"/>
        </w:rPr>
        <w:tab/>
      </w:r>
      <w:r>
        <w:rPr>
          <w:rFonts w:hint="eastAsia" w:ascii="仿宋" w:hAnsi="仿宋" w:eastAsia="仿宋" w:cs="仿宋"/>
          <w:color w:val="auto"/>
          <w:sz w:val="24"/>
        </w:rPr>
        <w:t>供应商应提交</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中规定的投标保证金</w:t>
      </w:r>
      <w:bookmarkEnd w:id="60"/>
      <w:r>
        <w:rPr>
          <w:rFonts w:hint="eastAsia" w:ascii="仿宋" w:hAnsi="仿宋" w:eastAsia="仿宋" w:cs="仿宋"/>
          <w:color w:val="auto"/>
          <w:sz w:val="24"/>
        </w:rPr>
        <w:t>，并作为其投标的一部分。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12.2</w:t>
      </w:r>
      <w:r>
        <w:rPr>
          <w:rFonts w:hint="eastAsia" w:ascii="仿宋" w:hAnsi="仿宋" w:eastAsia="仿宋" w:cs="仿宋"/>
          <w:color w:val="auto"/>
          <w:sz w:val="24"/>
        </w:rPr>
        <w:tab/>
      </w:r>
      <w:r>
        <w:rPr>
          <w:rFonts w:hint="eastAsia" w:ascii="仿宋" w:hAnsi="仿宋" w:eastAsia="仿宋" w:cs="仿宋"/>
          <w:color w:val="auto"/>
          <w:sz w:val="24"/>
        </w:rPr>
        <w:t>供应商存在下列情形的，投标保证金不予退还：</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（1）在投标有效期内，撤销投标的；</w:t>
      </w:r>
    </w:p>
    <w:p>
      <w:pPr>
        <w:pStyle w:val="15"/>
        <w:tabs>
          <w:tab w:val="left" w:pos="2240"/>
        </w:tabs>
        <w:spacing w:line="240" w:lineRule="atLeast"/>
        <w:ind w:left="1079" w:leftChars="371" w:hanging="300" w:hangingChars="125"/>
        <w:rPr>
          <w:rFonts w:ascii="仿宋" w:hAnsi="仿宋" w:eastAsia="仿宋" w:cs="仿宋"/>
          <w:color w:val="auto"/>
          <w:sz w:val="24"/>
        </w:rPr>
      </w:pPr>
      <w:r>
        <w:rPr>
          <w:rFonts w:hint="eastAsia" w:ascii="仿宋" w:hAnsi="仿宋" w:eastAsia="仿宋" w:cs="仿宋"/>
          <w:color w:val="auto"/>
          <w:sz w:val="24"/>
        </w:rPr>
        <w:t>（2）中标后不按本须知第30条的规定与采购人签订合同的；</w:t>
      </w:r>
    </w:p>
    <w:p>
      <w:pPr>
        <w:pStyle w:val="15"/>
        <w:tabs>
          <w:tab w:val="left" w:pos="2240"/>
        </w:tabs>
        <w:spacing w:line="240" w:lineRule="atLeast"/>
        <w:ind w:left="1079" w:leftChars="371" w:hanging="300" w:hangingChars="125"/>
        <w:rPr>
          <w:rFonts w:ascii="仿宋" w:hAnsi="仿宋" w:eastAsia="仿宋" w:cs="仿宋"/>
          <w:color w:val="auto"/>
          <w:sz w:val="24"/>
        </w:rPr>
      </w:pPr>
      <w:r>
        <w:rPr>
          <w:rFonts w:hint="eastAsia" w:ascii="仿宋" w:hAnsi="仿宋" w:eastAsia="仿宋" w:cs="仿宋"/>
          <w:color w:val="auto"/>
          <w:sz w:val="24"/>
        </w:rPr>
        <w:t>（3）中标后不按本须知第31条的规定提交履约保证金的；</w:t>
      </w:r>
    </w:p>
    <w:p>
      <w:pPr>
        <w:pStyle w:val="15"/>
        <w:tabs>
          <w:tab w:val="left" w:pos="2240"/>
        </w:tabs>
        <w:spacing w:line="240" w:lineRule="atLeast"/>
        <w:ind w:left="1079" w:leftChars="371" w:hanging="300" w:hangingChars="125"/>
        <w:rPr>
          <w:rFonts w:ascii="仿宋" w:hAnsi="仿宋" w:eastAsia="仿宋" w:cs="仿宋"/>
          <w:color w:val="auto"/>
          <w:sz w:val="24"/>
        </w:rPr>
      </w:pPr>
      <w:r>
        <w:rPr>
          <w:rFonts w:hint="eastAsia" w:ascii="仿宋" w:hAnsi="仿宋" w:eastAsia="仿宋" w:cs="仿宋"/>
          <w:color w:val="auto"/>
          <w:sz w:val="24"/>
        </w:rPr>
        <w:t>（4）中标后不按本须知第32条的规定缴纳中标服务费的；</w:t>
      </w:r>
    </w:p>
    <w:p>
      <w:pPr>
        <w:pStyle w:val="15"/>
        <w:tabs>
          <w:tab w:val="left" w:pos="2240"/>
        </w:tabs>
        <w:spacing w:line="240" w:lineRule="atLeast"/>
        <w:ind w:left="1079" w:leftChars="371" w:hanging="300" w:hangingChars="125"/>
        <w:rPr>
          <w:rFonts w:ascii="仿宋" w:hAnsi="仿宋" w:eastAsia="仿宋" w:cs="仿宋"/>
          <w:color w:val="auto"/>
          <w:sz w:val="24"/>
        </w:rPr>
      </w:pPr>
      <w:r>
        <w:rPr>
          <w:rFonts w:hint="eastAsia" w:ascii="仿宋" w:hAnsi="仿宋" w:eastAsia="仿宋" w:cs="仿宋"/>
          <w:color w:val="auto"/>
          <w:sz w:val="24"/>
        </w:rPr>
        <w:t>（5）存在其他违法违规行为的。</w:t>
      </w:r>
    </w:p>
    <w:p>
      <w:pPr>
        <w:spacing w:line="240" w:lineRule="atLeast"/>
        <w:ind w:left="900" w:hanging="900" w:hangingChars="375"/>
        <w:rPr>
          <w:rFonts w:ascii="仿宋" w:hAnsi="仿宋" w:eastAsia="仿宋" w:cs="仿宋"/>
          <w:color w:val="auto"/>
          <w:sz w:val="24"/>
        </w:rPr>
      </w:pPr>
      <w:bookmarkStart w:id="61" w:name="_Ref467306336"/>
      <w:r>
        <w:rPr>
          <w:rFonts w:hint="eastAsia" w:ascii="仿宋" w:hAnsi="仿宋" w:eastAsia="仿宋" w:cs="仿宋"/>
          <w:color w:val="auto"/>
          <w:sz w:val="24"/>
        </w:rPr>
        <w:t>12.3</w:t>
      </w:r>
      <w:r>
        <w:rPr>
          <w:rFonts w:hint="eastAsia" w:ascii="仿宋" w:hAnsi="仿宋" w:eastAsia="仿宋" w:cs="仿宋"/>
          <w:color w:val="auto"/>
          <w:sz w:val="24"/>
        </w:rPr>
        <w:tab/>
      </w:r>
      <w:bookmarkEnd w:id="61"/>
      <w:r>
        <w:rPr>
          <w:rFonts w:hint="eastAsia" w:ascii="仿宋" w:hAnsi="仿宋" w:eastAsia="仿宋" w:cs="仿宋"/>
          <w:color w:val="auto"/>
          <w:sz w:val="24"/>
        </w:rPr>
        <w:t>政府采购信用担保试点范围内的项目，接受符合财政部门规定的政府采购投标担保函原件。</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12.4</w:t>
      </w:r>
      <w:r>
        <w:rPr>
          <w:rFonts w:hint="eastAsia" w:ascii="仿宋" w:hAnsi="仿宋" w:eastAsia="仿宋" w:cs="仿宋"/>
          <w:color w:val="auto"/>
          <w:sz w:val="24"/>
        </w:rPr>
        <w:tab/>
      </w:r>
      <w:r>
        <w:rPr>
          <w:rFonts w:hint="eastAsia" w:ascii="仿宋" w:hAnsi="仿宋" w:eastAsia="仿宋" w:cs="仿宋"/>
          <w:color w:val="auto"/>
          <w:sz w:val="24"/>
        </w:rPr>
        <w:t>供应商未按本须知第12.1和12.3条规定提交投标保证金的，其投标将被认定为</w:t>
      </w:r>
      <w:r>
        <w:rPr>
          <w:rFonts w:hint="eastAsia" w:ascii="仿宋" w:hAnsi="仿宋" w:eastAsia="仿宋" w:cs="仿宋"/>
          <w:b/>
          <w:color w:val="auto"/>
          <w:sz w:val="24"/>
        </w:rPr>
        <w:t>投标无效</w:t>
      </w:r>
      <w:r>
        <w:rPr>
          <w:rFonts w:hint="eastAsia" w:ascii="仿宋" w:hAnsi="仿宋" w:eastAsia="仿宋" w:cs="仿宋"/>
          <w:color w:val="auto"/>
          <w:sz w:val="24"/>
        </w:rPr>
        <w:t>。</w:t>
      </w:r>
    </w:p>
    <w:p>
      <w:pPr>
        <w:spacing w:line="240" w:lineRule="atLeast"/>
        <w:rPr>
          <w:rFonts w:ascii="仿宋" w:hAnsi="仿宋" w:eastAsia="仿宋" w:cs="仿宋"/>
          <w:color w:val="auto"/>
          <w:sz w:val="24"/>
        </w:rPr>
      </w:pPr>
      <w:r>
        <w:rPr>
          <w:rFonts w:hint="eastAsia" w:ascii="仿宋" w:hAnsi="仿宋" w:eastAsia="仿宋" w:cs="仿宋"/>
          <w:color w:val="auto"/>
          <w:sz w:val="24"/>
        </w:rPr>
        <w:t>12.4.1  采用电汇、对公转账形式的，一般可以实时入账；</w:t>
      </w:r>
    </w:p>
    <w:p>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采购文件的第22.2条相关规定处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12.6</w:t>
      </w:r>
      <w:r>
        <w:rPr>
          <w:rFonts w:hint="eastAsia" w:ascii="仿宋" w:hAnsi="仿宋" w:eastAsia="仿宋" w:cs="仿宋"/>
          <w:color w:val="auto"/>
          <w:sz w:val="24"/>
        </w:rPr>
        <w:tab/>
      </w:r>
      <w:r>
        <w:rPr>
          <w:rFonts w:hint="eastAsia" w:ascii="仿宋" w:hAnsi="仿宋" w:eastAsia="仿宋" w:cs="仿宋"/>
          <w:color w:val="auto"/>
          <w:sz w:val="24"/>
        </w:rPr>
        <w:t xml:space="preserve"> </w:t>
      </w:r>
      <w:r>
        <w:rPr>
          <w:rFonts w:hint="eastAsia" w:ascii="仿宋" w:hAnsi="仿宋" w:eastAsia="仿宋" w:cs="仿宋"/>
          <w:b/>
          <w:color w:val="auto"/>
          <w:sz w:val="24"/>
        </w:rPr>
        <w:t>投标保证金的退还</w:t>
      </w:r>
    </w:p>
    <w:p>
      <w:pPr>
        <w:spacing w:line="240" w:lineRule="atLeast"/>
        <w:ind w:left="1020" w:hanging="1020" w:hangingChars="425"/>
        <w:rPr>
          <w:rFonts w:ascii="仿宋" w:hAnsi="仿宋" w:eastAsia="仿宋" w:cs="仿宋"/>
          <w:color w:val="auto"/>
          <w:sz w:val="24"/>
        </w:rPr>
      </w:pPr>
      <w:r>
        <w:rPr>
          <w:rFonts w:hint="eastAsia" w:ascii="仿宋" w:hAnsi="仿宋" w:eastAsia="仿宋" w:cs="仿宋"/>
          <w:color w:val="auto"/>
          <w:sz w:val="24"/>
        </w:rPr>
        <w:t>12.6.1  中标人应在与采购人签订合同之日起5个工作日内，及时联系保证金收受机构办理投标保证金无息退还手续。</w:t>
      </w:r>
    </w:p>
    <w:p>
      <w:pPr>
        <w:ind w:left="1020" w:hanging="1020" w:hangingChars="425"/>
        <w:rPr>
          <w:rFonts w:ascii="仿宋" w:hAnsi="仿宋" w:eastAsia="仿宋" w:cs="仿宋"/>
          <w:color w:val="auto"/>
          <w:sz w:val="24"/>
        </w:rPr>
      </w:pPr>
      <w:r>
        <w:rPr>
          <w:rFonts w:hint="eastAsia" w:ascii="仿宋" w:hAnsi="仿宋" w:eastAsia="仿宋" w:cs="仿宋"/>
          <w:color w:val="auto"/>
          <w:sz w:val="24"/>
        </w:rPr>
        <w:t>12.6.2  未中标供应商的投标保证金将在中标通知书发出之日暨中标结果公告公布之日起5个工作日内无息退还。供应商及时联系保证金收受机构办理退还投标保证金手续。</w:t>
      </w:r>
      <w:bookmarkStart w:id="62" w:name="_Toc518923075"/>
    </w:p>
    <w:p>
      <w:pPr>
        <w:ind w:left="1020" w:hanging="1020" w:hangingChars="425"/>
        <w:rPr>
          <w:rFonts w:ascii="仿宋" w:hAnsi="仿宋" w:eastAsia="仿宋" w:cs="仿宋"/>
          <w:color w:val="auto"/>
          <w:sz w:val="24"/>
        </w:rPr>
      </w:pPr>
      <w:r>
        <w:rPr>
          <w:rFonts w:hint="eastAsia" w:ascii="仿宋" w:hAnsi="仿宋" w:eastAsia="仿宋" w:cs="仿宋"/>
          <w:color w:val="auto"/>
          <w:sz w:val="24"/>
        </w:rPr>
        <w:t>12.6.3  政府采购投标担保函不予退回。</w:t>
      </w:r>
      <w:bookmarkEnd w:id="62"/>
    </w:p>
    <w:p>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12.7    因供应商自身原因导致无法及时退还的，采购人或采购代理机构将不承担相应责任。</w:t>
      </w:r>
    </w:p>
    <w:p>
      <w:pPr>
        <w:pStyle w:val="6"/>
        <w:spacing w:before="0" w:after="0" w:line="240" w:lineRule="atLeast"/>
        <w:rPr>
          <w:rFonts w:ascii="仿宋" w:hAnsi="仿宋" w:eastAsia="仿宋" w:cs="仿宋"/>
          <w:color w:val="auto"/>
          <w:u w:val="none"/>
        </w:rPr>
      </w:pPr>
      <w:bookmarkStart w:id="63" w:name="_Toc518923076"/>
      <w:bookmarkStart w:id="64" w:name="_Toc20355"/>
      <w:bookmarkStart w:id="65" w:name="_Toc520356157"/>
      <w:r>
        <w:rPr>
          <w:rFonts w:hint="eastAsia" w:ascii="仿宋" w:hAnsi="仿宋" w:eastAsia="仿宋" w:cs="仿宋"/>
          <w:color w:val="auto"/>
          <w:u w:val="none"/>
        </w:rPr>
        <w:t>13.投标有效期</w:t>
      </w:r>
      <w:bookmarkEnd w:id="63"/>
      <w:bookmarkEnd w:id="64"/>
      <w:bookmarkEnd w:id="65"/>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sz w:val="24"/>
        </w:rPr>
        <w:tab/>
      </w:r>
      <w:r>
        <w:rPr>
          <w:rFonts w:hint="eastAsia" w:ascii="仿宋" w:hAnsi="仿宋" w:eastAsia="仿宋" w:cs="仿宋"/>
          <w:color w:val="auto"/>
          <w:sz w:val="24"/>
        </w:rPr>
        <w:t>投标应在</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中规定时间内保持有效。投标有效期不满足要求的投标，其投标将被认定为</w:t>
      </w:r>
      <w:r>
        <w:rPr>
          <w:rFonts w:hint="eastAsia" w:ascii="仿宋" w:hAnsi="仿宋" w:eastAsia="仿宋" w:cs="仿宋"/>
          <w:b/>
          <w:color w:val="auto"/>
          <w:sz w:val="24"/>
        </w:rPr>
        <w:t>投标无效</w:t>
      </w:r>
      <w:r>
        <w:rPr>
          <w:rFonts w:hint="eastAsia" w:ascii="仿宋" w:hAnsi="仿宋" w:eastAsia="仿宋" w:cs="仿宋"/>
          <w:color w:val="auto"/>
          <w:sz w:val="24"/>
        </w:rPr>
        <w:t>。</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13.2</w:t>
      </w:r>
      <w:r>
        <w:rPr>
          <w:rFonts w:hint="eastAsia" w:ascii="仿宋" w:hAnsi="仿宋" w:eastAsia="仿宋" w:cs="仿宋"/>
          <w:color w:val="auto"/>
          <w:sz w:val="24"/>
        </w:rPr>
        <w:tab/>
      </w:r>
      <w:r>
        <w:rPr>
          <w:rFonts w:hint="eastAsia" w:ascii="仿宋" w:hAnsi="仿宋" w:eastAsia="仿宋" w:cs="仿宋"/>
          <w:color w:val="auto"/>
          <w:sz w:val="24"/>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按规定无息退还。上述要求和答复都应以书面形式提交。</w:t>
      </w:r>
    </w:p>
    <w:p>
      <w:pPr>
        <w:pStyle w:val="6"/>
        <w:spacing w:before="0" w:after="0" w:line="240" w:lineRule="atLeast"/>
        <w:rPr>
          <w:rFonts w:ascii="仿宋" w:hAnsi="仿宋" w:eastAsia="仿宋" w:cs="仿宋"/>
          <w:color w:val="auto"/>
          <w:u w:val="none"/>
        </w:rPr>
      </w:pPr>
      <w:bookmarkStart w:id="66" w:name="_Toc520356158"/>
      <w:bookmarkStart w:id="67" w:name="_Toc518923077"/>
      <w:bookmarkStart w:id="68" w:name="_Toc27303"/>
      <w:r>
        <w:rPr>
          <w:rFonts w:hint="eastAsia" w:ascii="仿宋" w:hAnsi="仿宋" w:eastAsia="仿宋" w:cs="仿宋"/>
          <w:color w:val="auto"/>
          <w:u w:val="none"/>
        </w:rPr>
        <w:t>14.投标文件的签署</w:t>
      </w:r>
      <w:bookmarkEnd w:id="66"/>
      <w:r>
        <w:rPr>
          <w:rFonts w:hint="eastAsia" w:ascii="仿宋" w:hAnsi="仿宋" w:eastAsia="仿宋" w:cs="仿宋"/>
          <w:color w:val="auto"/>
          <w:u w:val="none"/>
        </w:rPr>
        <w:t>及规定</w:t>
      </w:r>
      <w:bookmarkEnd w:id="67"/>
      <w:bookmarkEnd w:id="68"/>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14.1</w:t>
      </w:r>
      <w:r>
        <w:rPr>
          <w:rFonts w:hint="eastAsia" w:ascii="仿宋" w:hAnsi="仿宋" w:eastAsia="仿宋" w:cs="仿宋"/>
          <w:color w:val="auto"/>
          <w:sz w:val="24"/>
        </w:rPr>
        <w:tab/>
      </w:r>
      <w:r>
        <w:rPr>
          <w:rFonts w:hint="eastAsia" w:ascii="仿宋" w:hAnsi="仿宋" w:eastAsia="仿宋" w:cs="仿宋"/>
          <w:color w:val="auto"/>
          <w:sz w:val="24"/>
        </w:rPr>
        <w:t>供应商应按</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中的规定，准备和上传投标文件（包括资格证明文件、商务和技术文件）。</w:t>
      </w:r>
    </w:p>
    <w:p>
      <w:pPr>
        <w:spacing w:line="240" w:lineRule="atLeast"/>
        <w:ind w:left="900" w:hanging="900" w:hangingChars="375"/>
        <w:rPr>
          <w:rFonts w:ascii="仿宋" w:hAnsi="仿宋" w:eastAsia="仿宋" w:cs="仿宋"/>
          <w:b/>
          <w:bCs/>
          <w:color w:val="auto"/>
          <w:sz w:val="24"/>
        </w:rPr>
      </w:pPr>
      <w:r>
        <w:rPr>
          <w:rFonts w:hint="eastAsia" w:ascii="仿宋" w:hAnsi="仿宋" w:eastAsia="仿宋" w:cs="仿宋"/>
          <w:color w:val="auto"/>
          <w:sz w:val="24"/>
        </w:rPr>
        <w:t>14.2</w:t>
      </w:r>
      <w:r>
        <w:rPr>
          <w:rFonts w:hint="eastAsia" w:ascii="仿宋" w:hAnsi="仿宋" w:eastAsia="仿宋" w:cs="仿宋"/>
          <w:color w:val="auto"/>
          <w:sz w:val="24"/>
        </w:rPr>
        <w:tab/>
      </w:r>
      <w:r>
        <w:rPr>
          <w:rFonts w:hint="eastAsia" w:ascii="仿宋" w:hAnsi="仿宋" w:eastAsia="仿宋" w:cs="仿宋"/>
          <w:b/>
          <w:bCs/>
          <w:color w:val="auto"/>
          <w:sz w:val="24"/>
        </w:rPr>
        <w:t>投标文件由供应商的法定代表人或其委托代理人按采购文件规定在投标文件上签字并加盖单位印章。</w:t>
      </w:r>
    </w:p>
    <w:p>
      <w:pPr>
        <w:spacing w:line="240" w:lineRule="atLeast"/>
        <w:ind w:left="900" w:hanging="900" w:hangingChars="375"/>
        <w:rPr>
          <w:rFonts w:ascii="仿宋" w:hAnsi="仿宋" w:eastAsia="仿宋" w:cs="仿宋"/>
          <w:color w:val="auto"/>
          <w:sz w:val="24"/>
        </w:rPr>
      </w:pPr>
    </w:p>
    <w:p>
      <w:pPr>
        <w:pStyle w:val="5"/>
        <w:spacing w:before="0" w:line="240" w:lineRule="atLeast"/>
        <w:ind w:left="1080" w:leftChars="257" w:hanging="540"/>
        <w:rPr>
          <w:rFonts w:ascii="仿宋" w:hAnsi="仿宋" w:eastAsia="仿宋" w:cs="仿宋"/>
          <w:color w:val="auto"/>
          <w:sz w:val="24"/>
        </w:rPr>
      </w:pPr>
      <w:bookmarkStart w:id="69" w:name="_Toc518923078"/>
      <w:bookmarkStart w:id="70" w:name="_Toc216582808"/>
      <w:bookmarkStart w:id="71" w:name="_Toc520356159"/>
      <w:bookmarkStart w:id="72" w:name="_Toc22303"/>
      <w:r>
        <w:rPr>
          <w:rFonts w:hint="eastAsia" w:ascii="仿宋" w:hAnsi="仿宋" w:eastAsia="仿宋" w:cs="仿宋"/>
          <w:color w:val="auto"/>
          <w:sz w:val="24"/>
        </w:rPr>
        <w:t>四   投标文件的递交</w:t>
      </w:r>
      <w:bookmarkEnd w:id="69"/>
      <w:bookmarkEnd w:id="70"/>
      <w:bookmarkEnd w:id="71"/>
      <w:bookmarkEnd w:id="72"/>
    </w:p>
    <w:p>
      <w:pPr>
        <w:pStyle w:val="2"/>
        <w:rPr>
          <w:rFonts w:ascii="仿宋" w:hAnsi="仿宋" w:eastAsia="仿宋" w:cs="仿宋"/>
          <w:color w:val="auto"/>
        </w:rPr>
      </w:pPr>
    </w:p>
    <w:p>
      <w:pPr>
        <w:pStyle w:val="6"/>
        <w:spacing w:before="0" w:after="0" w:line="240" w:lineRule="atLeast"/>
        <w:rPr>
          <w:rFonts w:ascii="仿宋" w:hAnsi="仿宋" w:eastAsia="仿宋" w:cs="仿宋"/>
          <w:color w:val="auto"/>
          <w:u w:val="none"/>
        </w:rPr>
      </w:pPr>
      <w:bookmarkStart w:id="73" w:name="_Toc13247"/>
      <w:bookmarkStart w:id="74" w:name="_Toc520356160"/>
      <w:bookmarkStart w:id="75" w:name="_Toc518923079"/>
      <w:r>
        <w:rPr>
          <w:rFonts w:hint="eastAsia" w:ascii="仿宋" w:hAnsi="仿宋" w:eastAsia="仿宋" w:cs="仿宋"/>
          <w:color w:val="auto"/>
          <w:u w:val="none"/>
        </w:rPr>
        <w:t>15.投标文件的</w:t>
      </w:r>
      <w:bookmarkEnd w:id="73"/>
      <w:bookmarkEnd w:id="74"/>
      <w:bookmarkEnd w:id="75"/>
      <w:r>
        <w:rPr>
          <w:rFonts w:hint="eastAsia" w:ascii="仿宋" w:hAnsi="仿宋" w:eastAsia="仿宋" w:cs="仿宋"/>
          <w:color w:val="auto"/>
          <w:u w:val="none"/>
        </w:rPr>
        <w:t>编制</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15.1   投标文件三部分内容分别拟编。</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15.2   所有封面上均应：按照投标文件格式进行编制。</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15.3   如果供应商未按上述要求编制，其投标文件将被认定为</w:t>
      </w:r>
      <w:r>
        <w:rPr>
          <w:rFonts w:hint="eastAsia" w:ascii="仿宋" w:hAnsi="仿宋" w:eastAsia="仿宋" w:cs="仿宋"/>
          <w:b/>
          <w:bCs/>
          <w:color w:val="auto"/>
          <w:sz w:val="24"/>
        </w:rPr>
        <w:t>投标无效。</w:t>
      </w:r>
    </w:p>
    <w:p>
      <w:pPr>
        <w:pStyle w:val="6"/>
        <w:spacing w:before="0" w:after="0" w:line="240" w:lineRule="atLeast"/>
        <w:rPr>
          <w:rFonts w:ascii="仿宋" w:hAnsi="仿宋" w:eastAsia="仿宋" w:cs="仿宋"/>
          <w:color w:val="auto"/>
          <w:u w:val="none"/>
        </w:rPr>
      </w:pPr>
      <w:bookmarkStart w:id="76" w:name="_Toc25787"/>
      <w:bookmarkStart w:id="77" w:name="_Toc518923080"/>
      <w:bookmarkStart w:id="78" w:name="_Toc520356161"/>
      <w:r>
        <w:rPr>
          <w:rFonts w:hint="eastAsia" w:ascii="仿宋" w:hAnsi="仿宋" w:eastAsia="仿宋" w:cs="仿宋"/>
          <w:color w:val="auto"/>
          <w:u w:val="none"/>
        </w:rPr>
        <w:t>16.投标截止</w:t>
      </w:r>
      <w:bookmarkEnd w:id="76"/>
      <w:bookmarkEnd w:id="77"/>
      <w:bookmarkEnd w:id="78"/>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16.1</w:t>
      </w:r>
      <w:r>
        <w:rPr>
          <w:rFonts w:hint="eastAsia" w:ascii="仿宋" w:hAnsi="仿宋" w:eastAsia="仿宋" w:cs="仿宋"/>
          <w:color w:val="auto"/>
          <w:sz w:val="24"/>
        </w:rPr>
        <w:tab/>
      </w:r>
      <w:r>
        <w:rPr>
          <w:rFonts w:hint="eastAsia" w:ascii="仿宋" w:hAnsi="仿宋" w:eastAsia="仿宋" w:cs="仿宋"/>
          <w:color w:val="auto"/>
          <w:sz w:val="24"/>
        </w:rPr>
        <w:t>供应商应在</w:t>
      </w:r>
      <w:r>
        <w:rPr>
          <w:rFonts w:hint="eastAsia" w:ascii="仿宋" w:hAnsi="仿宋" w:eastAsia="仿宋" w:cs="仿宋"/>
          <w:b/>
          <w:bCs/>
          <w:color w:val="auto"/>
          <w:sz w:val="24"/>
          <w:u w:val="single"/>
        </w:rPr>
        <w:t>供应商须知资料表</w:t>
      </w:r>
      <w:r>
        <w:rPr>
          <w:rFonts w:hint="eastAsia" w:ascii="仿宋" w:hAnsi="仿宋" w:eastAsia="仿宋" w:cs="仿宋"/>
          <w:color w:val="auto"/>
          <w:sz w:val="24"/>
        </w:rPr>
        <w:t>中规定的截止时间前，将投标文件上传至招标公告中规定的平台中。</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16.2</w:t>
      </w:r>
      <w:r>
        <w:rPr>
          <w:rFonts w:hint="eastAsia" w:ascii="仿宋" w:hAnsi="仿宋" w:eastAsia="仿宋" w:cs="仿宋"/>
          <w:color w:val="auto"/>
          <w:sz w:val="24"/>
        </w:rPr>
        <w:tab/>
      </w:r>
      <w:r>
        <w:rPr>
          <w:rFonts w:hint="eastAsia" w:ascii="仿宋" w:hAnsi="仿宋" w:eastAsia="仿宋" w:cs="仿宋"/>
          <w:color w:val="auto"/>
          <w:sz w:val="24"/>
        </w:rPr>
        <w:t>采购人和采购代理机构有权按本须知的规定，延迟投标截止时间。在此情况下，采购人、采购代理机构和供应商受投标截止时间制约的所有权利和义务均应延长至新的截止时间。</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16.3</w:t>
      </w:r>
      <w:r>
        <w:rPr>
          <w:rFonts w:hint="eastAsia" w:ascii="仿宋" w:hAnsi="仿宋" w:eastAsia="仿宋" w:cs="仿宋"/>
          <w:color w:val="auto"/>
          <w:sz w:val="24"/>
        </w:rPr>
        <w:tab/>
      </w:r>
      <w:r>
        <w:rPr>
          <w:rFonts w:hint="eastAsia" w:ascii="仿宋" w:hAnsi="仿宋" w:eastAsia="仿宋" w:cs="仿宋"/>
          <w:color w:val="auto"/>
          <w:sz w:val="24"/>
        </w:rPr>
        <w:t>未按照公告时间内完成投标文件的上传，采购人和采购代理机构将拒绝接收在截止时间后的投标文件。</w:t>
      </w:r>
    </w:p>
    <w:p>
      <w:pPr>
        <w:pStyle w:val="6"/>
        <w:spacing w:before="0" w:after="0" w:line="240" w:lineRule="atLeast"/>
        <w:rPr>
          <w:rFonts w:ascii="仿宋" w:hAnsi="仿宋" w:eastAsia="仿宋" w:cs="仿宋"/>
          <w:color w:val="auto"/>
          <w:u w:val="none"/>
        </w:rPr>
      </w:pPr>
      <w:bookmarkStart w:id="79" w:name="_Toc13921"/>
      <w:bookmarkStart w:id="80" w:name="_Toc520356162"/>
      <w:bookmarkStart w:id="81" w:name="_Toc518923081"/>
      <w:r>
        <w:rPr>
          <w:rFonts w:hint="eastAsia" w:ascii="仿宋" w:hAnsi="仿宋" w:eastAsia="仿宋" w:cs="仿宋"/>
          <w:color w:val="auto"/>
          <w:u w:val="none"/>
        </w:rPr>
        <w:t>17.投标文件的接收、修改与撤回</w:t>
      </w:r>
      <w:bookmarkEnd w:id="79"/>
      <w:bookmarkEnd w:id="80"/>
      <w:bookmarkEnd w:id="81"/>
    </w:p>
    <w:p>
      <w:pPr>
        <w:spacing w:line="240" w:lineRule="atLeast"/>
        <w:ind w:left="900" w:hanging="900" w:hangingChars="375"/>
        <w:rPr>
          <w:rFonts w:ascii="仿宋" w:hAnsi="仿宋" w:eastAsia="仿宋" w:cs="仿宋"/>
          <w:b/>
          <w:color w:val="auto"/>
        </w:rPr>
      </w:pPr>
      <w:r>
        <w:rPr>
          <w:rFonts w:hint="eastAsia" w:ascii="仿宋" w:hAnsi="仿宋" w:eastAsia="仿宋" w:cs="仿宋"/>
          <w:color w:val="auto"/>
          <w:sz w:val="24"/>
        </w:rPr>
        <w:t>17.1   在解密时间截止后解密投标文件的，采购人和采购代理机构将拒绝接收。</w:t>
      </w:r>
    </w:p>
    <w:p>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17.2   在投标截止期之后，采购人和采购代理机构不接受供应商主动对其投标文件做任何修改。</w:t>
      </w:r>
    </w:p>
    <w:p>
      <w:pPr>
        <w:spacing w:line="240" w:lineRule="atLeast"/>
        <w:ind w:left="1080" w:leftChars="257" w:hanging="540"/>
        <w:rPr>
          <w:rFonts w:ascii="仿宋" w:hAnsi="仿宋" w:eastAsia="仿宋" w:cs="仿宋"/>
          <w:color w:val="auto"/>
          <w:sz w:val="24"/>
        </w:rPr>
      </w:pPr>
    </w:p>
    <w:p>
      <w:pPr>
        <w:pStyle w:val="5"/>
        <w:spacing w:before="0" w:line="240" w:lineRule="atLeast"/>
        <w:ind w:left="1080" w:leftChars="257" w:hanging="540"/>
        <w:rPr>
          <w:rFonts w:ascii="仿宋" w:hAnsi="仿宋" w:eastAsia="仿宋" w:cs="仿宋"/>
          <w:color w:val="auto"/>
          <w:sz w:val="24"/>
        </w:rPr>
      </w:pPr>
      <w:bookmarkStart w:id="82" w:name="_Toc520356163"/>
      <w:bookmarkStart w:id="83" w:name="_Toc10257"/>
      <w:bookmarkStart w:id="84" w:name="_Toc216582809"/>
      <w:bookmarkStart w:id="85" w:name="_Toc518923082"/>
      <w:r>
        <w:rPr>
          <w:rFonts w:hint="eastAsia" w:ascii="仿宋" w:hAnsi="仿宋" w:eastAsia="仿宋" w:cs="仿宋"/>
          <w:color w:val="auto"/>
          <w:sz w:val="24"/>
        </w:rPr>
        <w:t>五   开标及评标</w:t>
      </w:r>
      <w:bookmarkEnd w:id="82"/>
      <w:bookmarkEnd w:id="83"/>
      <w:bookmarkEnd w:id="84"/>
      <w:bookmarkEnd w:id="85"/>
    </w:p>
    <w:p>
      <w:pPr>
        <w:pStyle w:val="2"/>
        <w:rPr>
          <w:rFonts w:ascii="仿宋" w:hAnsi="仿宋" w:eastAsia="仿宋" w:cs="仿宋"/>
          <w:color w:val="auto"/>
        </w:rPr>
      </w:pPr>
    </w:p>
    <w:p>
      <w:pPr>
        <w:pStyle w:val="6"/>
        <w:spacing w:before="0" w:after="0" w:line="240" w:lineRule="atLeast"/>
        <w:rPr>
          <w:rFonts w:ascii="仿宋" w:hAnsi="仿宋" w:eastAsia="仿宋" w:cs="仿宋"/>
          <w:color w:val="auto"/>
          <w:u w:val="none"/>
        </w:rPr>
      </w:pPr>
      <w:bookmarkStart w:id="86" w:name="_Toc520356164"/>
      <w:bookmarkStart w:id="87" w:name="_Toc518923083"/>
      <w:bookmarkStart w:id="88" w:name="_Toc8653"/>
      <w:r>
        <w:rPr>
          <w:rFonts w:hint="eastAsia" w:ascii="仿宋" w:hAnsi="仿宋" w:eastAsia="仿宋" w:cs="仿宋"/>
          <w:color w:val="auto"/>
          <w:u w:val="none"/>
        </w:rPr>
        <w:t>18.开标</w:t>
      </w:r>
      <w:bookmarkEnd w:id="86"/>
      <w:bookmarkEnd w:id="87"/>
      <w:bookmarkEnd w:id="88"/>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18.1</w:t>
      </w:r>
      <w:r>
        <w:rPr>
          <w:rFonts w:hint="eastAsia" w:ascii="仿宋" w:hAnsi="仿宋" w:eastAsia="仿宋" w:cs="仿宋"/>
          <w:color w:val="auto"/>
          <w:sz w:val="24"/>
        </w:rPr>
        <w:tab/>
      </w:r>
      <w:r>
        <w:rPr>
          <w:rFonts w:hint="eastAsia" w:ascii="仿宋" w:hAnsi="仿宋" w:eastAsia="仿宋" w:cs="仿宋"/>
          <w:color w:val="auto"/>
          <w:sz w:val="24"/>
        </w:rPr>
        <w:t>采购人和采购代理机构将按</w:t>
      </w:r>
      <w:r>
        <w:rPr>
          <w:rFonts w:hint="eastAsia" w:ascii="仿宋" w:hAnsi="仿宋" w:eastAsia="仿宋" w:cs="仿宋"/>
          <w:b/>
          <w:bCs/>
          <w:color w:val="auto"/>
          <w:sz w:val="24"/>
          <w:u w:val="single"/>
        </w:rPr>
        <w:t>供应商须知资料表</w:t>
      </w:r>
      <w:r>
        <w:rPr>
          <w:rFonts w:hint="eastAsia" w:ascii="仿宋" w:hAnsi="仿宋" w:eastAsia="仿宋" w:cs="仿宋"/>
          <w:color w:val="auto"/>
          <w:sz w:val="24"/>
        </w:rPr>
        <w:t xml:space="preserve">中规定的开标时间和地点组织公开开标活动。  </w:t>
      </w:r>
    </w:p>
    <w:p>
      <w:pPr>
        <w:spacing w:line="240" w:lineRule="atLeast"/>
        <w:ind w:firstLine="960" w:firstLineChars="400"/>
        <w:rPr>
          <w:rFonts w:ascii="仿宋" w:hAnsi="仿宋" w:eastAsia="仿宋" w:cs="仿宋"/>
          <w:color w:val="auto"/>
          <w:sz w:val="24"/>
        </w:rPr>
      </w:pPr>
      <w:r>
        <w:rPr>
          <w:rFonts w:hint="eastAsia" w:ascii="仿宋" w:hAnsi="仿宋" w:eastAsia="仿宋" w:cs="仿宋"/>
          <w:color w:val="auto"/>
          <w:sz w:val="24"/>
        </w:rPr>
        <w:t>供应商不足3家的，不得开标。</w:t>
      </w:r>
    </w:p>
    <w:p>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18.2    开标时，由采购人或采购代理机构当众宣读供应商名称、投标价格。</w:t>
      </w:r>
    </w:p>
    <w:p>
      <w:pPr>
        <w:spacing w:line="240" w:lineRule="atLeast"/>
        <w:ind w:left="1079" w:leftChars="428" w:hanging="180" w:hangingChars="75"/>
        <w:rPr>
          <w:rFonts w:ascii="仿宋" w:hAnsi="仿宋" w:eastAsia="仿宋" w:cs="仿宋"/>
          <w:color w:val="auto"/>
          <w:sz w:val="24"/>
        </w:rPr>
      </w:pPr>
      <w:r>
        <w:rPr>
          <w:rFonts w:hint="eastAsia" w:ascii="仿宋" w:hAnsi="仿宋" w:eastAsia="仿宋" w:cs="仿宋"/>
          <w:color w:val="auto"/>
          <w:sz w:val="24"/>
        </w:rPr>
        <w:t>未宣读投标价格等实质内容，评标时不予承认。</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18.3    采购人或采购代理机构将对开标过程进行记录</w:t>
      </w:r>
      <w:bookmarkStart w:id="89" w:name="_Toc520356165"/>
      <w:r>
        <w:rPr>
          <w:rFonts w:hint="eastAsia" w:ascii="仿宋" w:hAnsi="仿宋" w:eastAsia="仿宋" w:cs="仿宋"/>
          <w:color w:val="auto"/>
          <w:sz w:val="24"/>
        </w:rPr>
        <w:t>，由参加开标的采购人代表或监督人员和相关工作人员签字确认，并存档备查。</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18.4    供应商代表</w:t>
      </w:r>
      <w:r>
        <w:rPr>
          <w:rFonts w:hint="eastAsia" w:ascii="仿宋" w:hAnsi="仿宋" w:eastAsia="仿宋" w:cs="仿宋"/>
          <w:color w:val="auto"/>
          <w:kern w:val="0"/>
          <w:sz w:val="24"/>
        </w:rPr>
        <w:t>对开标记录有疑义，应在线上提出询问。</w:t>
      </w:r>
    </w:p>
    <w:p>
      <w:pPr>
        <w:pStyle w:val="6"/>
        <w:spacing w:before="0" w:after="0" w:line="240" w:lineRule="atLeast"/>
        <w:rPr>
          <w:rFonts w:ascii="仿宋" w:hAnsi="仿宋" w:eastAsia="仿宋" w:cs="仿宋"/>
          <w:color w:val="auto"/>
          <w:u w:val="none"/>
        </w:rPr>
      </w:pPr>
      <w:bookmarkStart w:id="90" w:name="_Toc518923084"/>
      <w:bookmarkStart w:id="91" w:name="_Toc34"/>
      <w:r>
        <w:rPr>
          <w:rFonts w:hint="eastAsia" w:ascii="仿宋" w:hAnsi="仿宋" w:eastAsia="仿宋" w:cs="仿宋"/>
          <w:color w:val="auto"/>
          <w:u w:val="none"/>
        </w:rPr>
        <w:t>19</w:t>
      </w:r>
      <w:bookmarkEnd w:id="89"/>
      <w:r>
        <w:rPr>
          <w:rFonts w:hint="eastAsia" w:ascii="仿宋" w:hAnsi="仿宋" w:eastAsia="仿宋" w:cs="仿宋"/>
          <w:color w:val="auto"/>
          <w:u w:val="none"/>
        </w:rPr>
        <w:t>.资格审查及组建评标委员会</w:t>
      </w:r>
      <w:bookmarkEnd w:id="90"/>
      <w:bookmarkEnd w:id="91"/>
    </w:p>
    <w:p>
      <w:pPr>
        <w:spacing w:line="240" w:lineRule="atLeast"/>
        <w:ind w:left="960" w:hanging="960" w:hangingChars="400"/>
        <w:rPr>
          <w:rFonts w:ascii="仿宋" w:hAnsi="仿宋" w:eastAsia="仿宋" w:cs="仿宋"/>
          <w:color w:val="auto"/>
          <w:sz w:val="24"/>
        </w:rPr>
      </w:pPr>
      <w:r>
        <w:rPr>
          <w:rFonts w:hint="eastAsia" w:ascii="仿宋" w:hAnsi="仿宋" w:eastAsia="仿宋" w:cs="仿宋"/>
          <w:color w:val="auto"/>
          <w:sz w:val="24"/>
        </w:rPr>
        <w:t>19.1    评标委员会依据法律法规和采购文件中规定的内容，对供应商的资格进行审查。未通过资格审查的供应商不进入评标；进入评标的供应商不足3家的，不得评标。</w:t>
      </w:r>
    </w:p>
    <w:p>
      <w:pPr>
        <w:spacing w:line="240" w:lineRule="atLeast"/>
        <w:ind w:firstLine="790" w:firstLineChars="328"/>
        <w:rPr>
          <w:rFonts w:ascii="仿宋" w:hAnsi="仿宋" w:eastAsia="仿宋" w:cs="仿宋"/>
          <w:color w:val="auto"/>
          <w:sz w:val="24"/>
        </w:rPr>
      </w:pPr>
      <w:r>
        <w:rPr>
          <w:rFonts w:hint="eastAsia" w:ascii="仿宋" w:hAnsi="仿宋" w:eastAsia="仿宋" w:cs="仿宋"/>
          <w:b/>
          <w:iCs/>
          <w:color w:val="auto"/>
          <w:sz w:val="24"/>
        </w:rPr>
        <w:t>通过资格审查的供应商不足三家的，不得评标。</w:t>
      </w:r>
    </w:p>
    <w:p>
      <w:pPr>
        <w:spacing w:line="240" w:lineRule="atLeast"/>
        <w:ind w:left="720" w:hanging="720" w:hangingChars="300"/>
        <w:rPr>
          <w:rFonts w:ascii="仿宋" w:hAnsi="仿宋" w:eastAsia="仿宋" w:cs="仿宋"/>
          <w:color w:val="auto"/>
          <w:sz w:val="24"/>
        </w:rPr>
      </w:pPr>
      <w:r>
        <w:rPr>
          <w:rFonts w:hint="eastAsia" w:ascii="仿宋" w:hAnsi="仿宋" w:eastAsia="仿宋" w:cs="仿宋"/>
          <w:color w:val="auto"/>
          <w:sz w:val="24"/>
        </w:rPr>
        <w:t>19.2  采购人或采购代理机构将在开标前1个工作日至投标截止后1小时的期间内查询供应商的信用记录。供应商存在不良信用记录的，其投标将被认定为投标无效。</w:t>
      </w:r>
    </w:p>
    <w:p>
      <w:pPr>
        <w:spacing w:line="240" w:lineRule="atLeast"/>
        <w:ind w:left="720" w:hanging="720" w:hangingChars="300"/>
        <w:rPr>
          <w:rFonts w:ascii="仿宋" w:hAnsi="仿宋" w:eastAsia="仿宋" w:cs="仿宋"/>
          <w:color w:val="auto"/>
          <w:sz w:val="24"/>
        </w:rPr>
      </w:pPr>
      <w:r>
        <w:rPr>
          <w:rFonts w:hint="eastAsia" w:ascii="仿宋" w:hAnsi="仿宋" w:eastAsia="仿宋" w:cs="仿宋"/>
          <w:color w:val="auto"/>
          <w:sz w:val="24"/>
        </w:rPr>
        <w:t>19.2.1  不良信用记录指：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不得参加本项目（查询结果以代理公司开标现场核查为准）</w:t>
      </w:r>
    </w:p>
    <w:p>
      <w:pPr>
        <w:spacing w:line="240" w:lineRule="atLeast"/>
        <w:ind w:left="718" w:leftChars="342"/>
        <w:rPr>
          <w:rFonts w:ascii="仿宋" w:hAnsi="仿宋" w:eastAsia="仿宋" w:cs="仿宋"/>
          <w:color w:val="auto"/>
          <w:sz w:val="24"/>
        </w:rPr>
      </w:pPr>
      <w:r>
        <w:rPr>
          <w:rFonts w:hint="eastAsia" w:ascii="仿宋" w:hAnsi="仿宋" w:eastAsia="仿宋" w:cs="仿宋"/>
          <w:color w:val="auto"/>
          <w:sz w:val="24"/>
        </w:rPr>
        <w:t>以联合体形式参加投标的，联合体任何成员存在以上不良信用记录的，联合体投标将被认定为</w:t>
      </w:r>
      <w:r>
        <w:rPr>
          <w:rFonts w:hint="eastAsia" w:ascii="仿宋" w:hAnsi="仿宋" w:eastAsia="仿宋" w:cs="仿宋"/>
          <w:b/>
          <w:bCs/>
          <w:color w:val="auto"/>
          <w:sz w:val="24"/>
        </w:rPr>
        <w:t>投标无效</w:t>
      </w:r>
      <w:r>
        <w:rPr>
          <w:rFonts w:hint="eastAsia" w:ascii="仿宋" w:hAnsi="仿宋" w:eastAsia="仿宋" w:cs="仿宋"/>
          <w:color w:val="auto"/>
          <w:sz w:val="24"/>
        </w:rPr>
        <w:t>。</w:t>
      </w:r>
    </w:p>
    <w:p>
      <w:pPr>
        <w:pStyle w:val="2"/>
        <w:spacing w:line="240" w:lineRule="atLeast"/>
        <w:ind w:left="850" w:hanging="849" w:hangingChars="354"/>
        <w:jc w:val="both"/>
        <w:rPr>
          <w:rFonts w:ascii="仿宋" w:hAnsi="仿宋" w:eastAsia="仿宋" w:cs="仿宋"/>
          <w:color w:val="auto"/>
          <w:kern w:val="2"/>
          <w:szCs w:val="24"/>
        </w:rPr>
      </w:pPr>
      <w:r>
        <w:rPr>
          <w:rFonts w:hint="eastAsia" w:ascii="仿宋" w:hAnsi="仿宋" w:eastAsia="仿宋" w:cs="仿宋"/>
          <w:color w:val="auto"/>
        </w:rPr>
        <w:t xml:space="preserve">19.2.2 </w:t>
      </w:r>
      <w:r>
        <w:rPr>
          <w:rFonts w:hint="eastAsia" w:ascii="仿宋" w:hAnsi="仿宋" w:eastAsia="仿宋" w:cs="仿宋"/>
          <w:color w:val="auto"/>
          <w:kern w:val="2"/>
          <w:szCs w:val="24"/>
        </w:rPr>
        <w:t>查询及记录方式：采购人或采购代理机构经办人将查询网页打印、签字并存档备查。供应商不良信用记录以采购人或采购代理机构查询结果为准。</w:t>
      </w:r>
    </w:p>
    <w:p>
      <w:pPr>
        <w:pStyle w:val="2"/>
        <w:spacing w:line="240" w:lineRule="atLeast"/>
        <w:ind w:left="850" w:leftChars="405" w:firstLine="0"/>
        <w:jc w:val="both"/>
        <w:rPr>
          <w:rFonts w:ascii="仿宋" w:hAnsi="仿宋" w:eastAsia="仿宋" w:cs="仿宋"/>
          <w:color w:val="auto"/>
          <w:kern w:val="2"/>
          <w:szCs w:val="24"/>
        </w:rPr>
      </w:pPr>
      <w:r>
        <w:rPr>
          <w:rFonts w:hint="eastAsia" w:ascii="仿宋" w:hAnsi="仿宋" w:eastAsia="仿宋" w:cs="仿宋"/>
          <w:color w:val="auto"/>
          <w:kern w:val="2"/>
          <w:szCs w:val="24"/>
        </w:rPr>
        <w:t>在本采购文件规定的查询时间之后，网站信息发生的任何变更均不再作为评标依据。</w:t>
      </w:r>
    </w:p>
    <w:p>
      <w:pPr>
        <w:pStyle w:val="2"/>
        <w:spacing w:line="240" w:lineRule="atLeast"/>
        <w:ind w:left="850" w:leftChars="405" w:firstLine="0"/>
        <w:jc w:val="both"/>
        <w:rPr>
          <w:rFonts w:ascii="仿宋" w:hAnsi="仿宋" w:eastAsia="仿宋" w:cs="仿宋"/>
          <w:color w:val="auto"/>
        </w:rPr>
      </w:pPr>
      <w:r>
        <w:rPr>
          <w:rFonts w:hint="eastAsia" w:ascii="仿宋" w:hAnsi="仿宋" w:eastAsia="仿宋" w:cs="仿宋"/>
          <w:color w:val="auto"/>
          <w:kern w:val="2"/>
          <w:szCs w:val="24"/>
        </w:rPr>
        <w:t>供应商自行提供的与网站信</w:t>
      </w:r>
      <w:r>
        <w:rPr>
          <w:rFonts w:hint="eastAsia" w:ascii="仿宋" w:hAnsi="仿宋" w:eastAsia="仿宋" w:cs="仿宋"/>
          <w:color w:val="auto"/>
        </w:rPr>
        <w:t>息不一致的其他证明材料亦不作为资格审查的依据。</w:t>
      </w:r>
    </w:p>
    <w:p>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19.3   按照《中华人民共和国政府采购法》、《中华人民共和国政府采购法实施条例》及本项目本级和上级财政部门的有关规定依法组建的评标委员会，负责本项目评标工作。</w:t>
      </w:r>
      <w:bookmarkStart w:id="92" w:name="_Toc520356166"/>
      <w:r>
        <w:rPr>
          <w:rFonts w:hint="eastAsia" w:ascii="仿宋" w:hAnsi="仿宋" w:eastAsia="仿宋" w:cs="仿宋"/>
          <w:b/>
          <w:bCs/>
          <w:color w:val="auto"/>
          <w:sz w:val="24"/>
          <w:u w:val="single"/>
        </w:rPr>
        <w:t>本项目评标委员会成员7名，在政府采购网自行组建按3:1比例随机抽取。</w:t>
      </w:r>
    </w:p>
    <w:p>
      <w:pPr>
        <w:pStyle w:val="6"/>
        <w:spacing w:before="0" w:after="0" w:line="240" w:lineRule="atLeast"/>
        <w:rPr>
          <w:rFonts w:ascii="仿宋" w:hAnsi="仿宋" w:eastAsia="仿宋" w:cs="仿宋"/>
          <w:b w:val="0"/>
          <w:bCs/>
          <w:color w:val="auto"/>
          <w:bdr w:val="single" w:color="auto" w:sz="4" w:space="0"/>
        </w:rPr>
      </w:pPr>
      <w:bookmarkStart w:id="93" w:name="_Toc518923085"/>
      <w:bookmarkStart w:id="94" w:name="_Toc6842"/>
      <w:r>
        <w:rPr>
          <w:rFonts w:hint="eastAsia" w:ascii="仿宋" w:hAnsi="仿宋" w:eastAsia="仿宋" w:cs="仿宋"/>
          <w:color w:val="auto"/>
          <w:u w:val="none"/>
        </w:rPr>
        <w:t>20.投标文件的</w:t>
      </w:r>
      <w:bookmarkEnd w:id="92"/>
      <w:r>
        <w:rPr>
          <w:rFonts w:hint="eastAsia" w:ascii="仿宋" w:hAnsi="仿宋" w:eastAsia="仿宋" w:cs="仿宋"/>
          <w:color w:val="auto"/>
          <w:u w:val="none"/>
        </w:rPr>
        <w:t>符合性审查与澄清</w:t>
      </w:r>
      <w:bookmarkEnd w:id="93"/>
      <w:bookmarkEnd w:id="94"/>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20.1   符合性审查是指依据采购文件的规定，从投标文件的有效性和完整性对采购文件的响应程度进行审查，以确定是否对采购文件的实质性要求做出响应。</w:t>
      </w:r>
      <w:bookmarkStart w:id="95" w:name="_Hlt522424701"/>
      <w:bookmarkEnd w:id="95"/>
      <w:bookmarkStart w:id="96" w:name="_Toc520356167"/>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20.2</w:t>
      </w:r>
      <w:r>
        <w:rPr>
          <w:rFonts w:hint="eastAsia" w:ascii="仿宋" w:hAnsi="仿宋" w:eastAsia="仿宋" w:cs="仿宋"/>
          <w:color w:val="auto"/>
          <w:sz w:val="24"/>
        </w:rPr>
        <w:tab/>
      </w:r>
      <w:r>
        <w:rPr>
          <w:rFonts w:hint="eastAsia" w:ascii="仿宋" w:hAnsi="仿宋" w:eastAsia="仿宋" w:cs="仿宋"/>
          <w:color w:val="auto"/>
          <w:sz w:val="24"/>
        </w:rPr>
        <w:t>投标文件的澄清</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作必要的澄清、说明或补正。供应商澄清、说明或补正。应在评标委员会规定的时间内以书面方式进行，并不得超出投标文件范围或者改变投标文件的实质性内容。</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20.2.2  供应商的澄清、说明或补正将作为投标文件的一部分。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20.3   投标文件报价出现前后不一致的，按照下列规定修正：</w:t>
      </w:r>
    </w:p>
    <w:p>
      <w:pPr>
        <w:spacing w:line="240" w:lineRule="atLeast"/>
        <w:ind w:left="1020" w:hanging="1020" w:hangingChars="425"/>
        <w:rPr>
          <w:rFonts w:ascii="仿宋" w:hAnsi="仿宋" w:eastAsia="仿宋" w:cs="仿宋"/>
          <w:color w:val="auto"/>
          <w:sz w:val="24"/>
        </w:rPr>
      </w:pPr>
      <w:r>
        <w:rPr>
          <w:rFonts w:hint="eastAsia" w:ascii="仿宋" w:hAnsi="仿宋" w:eastAsia="仿宋" w:cs="仿宋"/>
          <w:color w:val="auto"/>
          <w:sz w:val="24"/>
        </w:rPr>
        <w:t>　　   （一）投标文件中报价表内容与投标文件中相应内容不一致的，以报价表为准；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（二）大写金额和小写金额不一致的，以大写金额为准；</w:t>
      </w:r>
    </w:p>
    <w:p>
      <w:pPr>
        <w:spacing w:line="240" w:lineRule="atLeast"/>
        <w:ind w:left="1020" w:hanging="1020" w:hangingChars="425"/>
        <w:rPr>
          <w:rFonts w:ascii="仿宋" w:hAnsi="仿宋" w:eastAsia="仿宋" w:cs="仿宋"/>
          <w:color w:val="auto"/>
          <w:sz w:val="24"/>
        </w:rPr>
      </w:pPr>
      <w:r>
        <w:rPr>
          <w:rFonts w:hint="eastAsia" w:ascii="仿宋" w:hAnsi="仿宋" w:eastAsia="仿宋" w:cs="仿宋"/>
          <w:color w:val="auto"/>
          <w:sz w:val="24"/>
        </w:rPr>
        <w:t>　   　（三）单价金额小数点或者百分比有明显错位的，以开标一览表的总价为准，并修改单价；</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（四）总价金额与按单价汇总金额不一致的，以单价金额计算结果为准。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同时出现两种以上不一致的，按照前款规定的顺序修正。修正后的报价按照第20.2条的规定经供应商确认后产生约束力，供应商不确认的，将被认定为投标无效。</w:t>
      </w:r>
    </w:p>
    <w:p>
      <w:pPr>
        <w:spacing w:line="240" w:lineRule="atLeast"/>
        <w:ind w:left="735" w:leftChars="350" w:firstLine="120" w:firstLineChars="50"/>
        <w:rPr>
          <w:rFonts w:ascii="仿宋" w:hAnsi="仿宋" w:eastAsia="仿宋" w:cs="仿宋"/>
          <w:color w:val="auto"/>
          <w:sz w:val="24"/>
        </w:rPr>
      </w:pPr>
      <w:r>
        <w:rPr>
          <w:rFonts w:hint="eastAsia" w:ascii="仿宋" w:hAnsi="仿宋" w:eastAsia="仿宋" w:cs="仿宋"/>
          <w:color w:val="auto"/>
          <w:sz w:val="24"/>
        </w:rPr>
        <w:t>对不同文字文本投标文件的解释发生异议的，以中文文本为准。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20.4   供应商为提供服务所伴随投标的产品如被列入财政部与国家主管部门颁发的节能产品目录或环境标志产品目录或无线局域网产品目录，应提供相关证明，在评标时予以优先采购，具体优先采购办法见第6章评标方法和标准。</w:t>
      </w:r>
    </w:p>
    <w:p>
      <w:pPr>
        <w:pStyle w:val="6"/>
        <w:spacing w:before="0" w:after="0" w:line="240" w:lineRule="atLeast"/>
        <w:rPr>
          <w:rFonts w:ascii="仿宋" w:hAnsi="仿宋" w:eastAsia="仿宋" w:cs="仿宋"/>
          <w:color w:val="auto"/>
          <w:u w:val="none"/>
        </w:rPr>
      </w:pPr>
      <w:bookmarkStart w:id="97" w:name="_Toc8603"/>
      <w:bookmarkStart w:id="98" w:name="_Toc518923086"/>
      <w:r>
        <w:rPr>
          <w:rFonts w:hint="eastAsia" w:ascii="仿宋" w:hAnsi="仿宋" w:eastAsia="仿宋" w:cs="仿宋"/>
          <w:color w:val="auto"/>
          <w:u w:val="none"/>
        </w:rPr>
        <w:t>21.投标偏离</w:t>
      </w:r>
      <w:bookmarkEnd w:id="97"/>
      <w:bookmarkEnd w:id="98"/>
    </w:p>
    <w:p>
      <w:pPr>
        <w:spacing w:line="240" w:lineRule="atLeast"/>
        <w:ind w:left="848" w:leftChars="99" w:hanging="640" w:hangingChars="267"/>
        <w:rPr>
          <w:rFonts w:ascii="仿宋" w:hAnsi="仿宋" w:eastAsia="仿宋" w:cs="仿宋"/>
          <w:color w:val="auto"/>
          <w:sz w:val="24"/>
        </w:rPr>
      </w:pPr>
      <w:r>
        <w:rPr>
          <w:rFonts w:hint="eastAsia" w:ascii="仿宋" w:hAnsi="仿宋" w:eastAsia="仿宋" w:cs="仿宋"/>
          <w:color w:val="auto"/>
          <w:sz w:val="24"/>
        </w:rPr>
        <w:t xml:space="preserve">     评标委员不接受投标文件中得负偏离。</w:t>
      </w:r>
    </w:p>
    <w:p>
      <w:pPr>
        <w:pStyle w:val="6"/>
        <w:spacing w:before="0" w:after="0" w:line="240" w:lineRule="atLeast"/>
        <w:rPr>
          <w:rFonts w:ascii="仿宋" w:hAnsi="仿宋" w:eastAsia="仿宋" w:cs="仿宋"/>
          <w:color w:val="auto"/>
          <w:u w:val="none"/>
        </w:rPr>
      </w:pPr>
      <w:bookmarkStart w:id="99" w:name="_Toc518923087"/>
      <w:bookmarkStart w:id="100" w:name="_Toc25255"/>
      <w:r>
        <w:rPr>
          <w:rFonts w:hint="eastAsia" w:ascii="仿宋" w:hAnsi="仿宋" w:eastAsia="仿宋" w:cs="仿宋"/>
          <w:color w:val="auto"/>
          <w:u w:val="none"/>
        </w:rPr>
        <w:t>22.投标无效</w:t>
      </w:r>
      <w:bookmarkEnd w:id="99"/>
      <w:bookmarkEnd w:id="100"/>
    </w:p>
    <w:p>
      <w:pPr>
        <w:spacing w:line="240" w:lineRule="atLeast"/>
        <w:ind w:left="852" w:leftChars="-23" w:hanging="900" w:hangingChars="375"/>
        <w:rPr>
          <w:rFonts w:ascii="仿宋" w:hAnsi="仿宋" w:eastAsia="仿宋" w:cs="仿宋"/>
          <w:color w:val="auto"/>
          <w:sz w:val="24"/>
        </w:rPr>
      </w:pPr>
      <w:r>
        <w:rPr>
          <w:rFonts w:hint="eastAsia" w:ascii="仿宋" w:hAnsi="仿宋" w:eastAsia="仿宋" w:cs="仿宋"/>
          <w:color w:val="auto"/>
          <w:sz w:val="24"/>
        </w:rPr>
        <w:t>22.1   在比较与评价之前，根据本须知的规定，评标委员会要审查每份投标文件是否实质上响应了采购文件的要求。实质上响应的投标应该是与采购文件要求的全部条款、条件和规格相符，没有偏离的投标。对招标条款的偏离，将被认定为</w:t>
      </w:r>
      <w:r>
        <w:rPr>
          <w:rFonts w:hint="eastAsia" w:ascii="仿宋" w:hAnsi="仿宋" w:eastAsia="仿宋" w:cs="仿宋"/>
          <w:b/>
          <w:bCs/>
          <w:color w:val="auto"/>
          <w:sz w:val="24"/>
        </w:rPr>
        <w:t>投标无效</w:t>
      </w:r>
      <w:r>
        <w:rPr>
          <w:rFonts w:hint="eastAsia" w:ascii="仿宋" w:hAnsi="仿宋" w:eastAsia="仿宋" w:cs="仿宋"/>
          <w:color w:val="auto"/>
          <w:sz w:val="24"/>
        </w:rPr>
        <w:t>。供应商不得通过修正或撤销不符合要求的偏离从而使其投标成为实质上响应的投标。</w:t>
      </w:r>
    </w:p>
    <w:p>
      <w:pPr>
        <w:spacing w:line="240" w:lineRule="atLeast"/>
        <w:ind w:left="792" w:leftChars="377"/>
        <w:rPr>
          <w:rFonts w:ascii="仿宋" w:hAnsi="仿宋" w:eastAsia="仿宋" w:cs="仿宋"/>
          <w:color w:val="auto"/>
          <w:sz w:val="24"/>
        </w:rPr>
      </w:pPr>
      <w:r>
        <w:rPr>
          <w:rFonts w:hint="eastAsia" w:ascii="仿宋" w:hAnsi="仿宋" w:eastAsia="仿宋" w:cs="仿宋"/>
          <w:color w:val="auto"/>
          <w:sz w:val="24"/>
        </w:rPr>
        <w:t>评标委员会决定投标的响应性只根据采购文件要求、投标文件内容及财政主管部门指定相关信息发布媒体。</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22.2</w:t>
      </w:r>
      <w:r>
        <w:rPr>
          <w:rFonts w:hint="eastAsia" w:ascii="仿宋" w:hAnsi="仿宋" w:eastAsia="仿宋" w:cs="仿宋"/>
          <w:color w:val="auto"/>
          <w:sz w:val="24"/>
        </w:rPr>
        <w:tab/>
      </w:r>
      <w:r>
        <w:rPr>
          <w:rFonts w:hint="eastAsia" w:ascii="仿宋" w:hAnsi="仿宋" w:eastAsia="仿宋" w:cs="仿宋"/>
          <w:color w:val="auto"/>
          <w:sz w:val="24"/>
        </w:rPr>
        <w:t>如发现下列情况之一的，其投标将被认定为投标无效：（</w:t>
      </w:r>
      <w:r>
        <w:rPr>
          <w:rFonts w:hint="eastAsia" w:ascii="仿宋" w:hAnsi="仿宋" w:eastAsia="仿宋" w:cs="仿宋"/>
          <w:b/>
          <w:color w:val="auto"/>
          <w:sz w:val="24"/>
        </w:rPr>
        <w:t>以下情形应当在采购文件中规定，并以醒目的方式标明</w:t>
      </w:r>
      <w:r>
        <w:rPr>
          <w:rFonts w:hint="eastAsia" w:ascii="仿宋" w:hAnsi="仿宋" w:eastAsia="仿宋" w:cs="仿宋"/>
          <w:color w:val="auto"/>
          <w:sz w:val="24"/>
        </w:rPr>
        <w:t>）</w:t>
      </w:r>
    </w:p>
    <w:p>
      <w:pPr>
        <w:numPr>
          <w:ilvl w:val="0"/>
          <w:numId w:val="3"/>
        </w:numPr>
        <w:spacing w:line="240" w:lineRule="atLeast"/>
        <w:ind w:left="1020" w:hanging="180"/>
        <w:rPr>
          <w:rFonts w:ascii="仿宋" w:hAnsi="仿宋" w:eastAsia="仿宋" w:cs="仿宋"/>
          <w:b/>
          <w:bCs/>
          <w:color w:val="auto"/>
          <w:sz w:val="24"/>
        </w:rPr>
      </w:pPr>
      <w:r>
        <w:rPr>
          <w:rFonts w:hint="eastAsia" w:ascii="仿宋" w:hAnsi="仿宋" w:eastAsia="仿宋" w:cs="仿宋"/>
          <w:b/>
          <w:bCs/>
          <w:color w:val="auto"/>
          <w:sz w:val="24"/>
        </w:rPr>
        <w:t>未按采购文件规定的形式和金额提交投标保证金的；</w:t>
      </w:r>
    </w:p>
    <w:p>
      <w:pPr>
        <w:numPr>
          <w:ilvl w:val="0"/>
          <w:numId w:val="3"/>
        </w:numPr>
        <w:spacing w:line="240" w:lineRule="atLeast"/>
        <w:ind w:left="1020" w:hanging="180"/>
        <w:rPr>
          <w:rFonts w:ascii="仿宋" w:hAnsi="仿宋" w:eastAsia="仿宋" w:cs="仿宋"/>
          <w:b/>
          <w:bCs/>
          <w:color w:val="auto"/>
          <w:sz w:val="24"/>
        </w:rPr>
      </w:pPr>
      <w:r>
        <w:rPr>
          <w:rFonts w:hint="eastAsia" w:ascii="仿宋" w:hAnsi="仿宋" w:eastAsia="仿宋" w:cs="仿宋"/>
          <w:b/>
          <w:bCs/>
          <w:color w:val="auto"/>
          <w:sz w:val="24"/>
        </w:rPr>
        <w:t>未按照采购文件规定要求签署、盖章的；</w:t>
      </w:r>
    </w:p>
    <w:p>
      <w:pPr>
        <w:numPr>
          <w:ilvl w:val="0"/>
          <w:numId w:val="3"/>
        </w:numPr>
        <w:spacing w:line="240" w:lineRule="atLeast"/>
        <w:ind w:left="1020" w:hanging="180"/>
        <w:rPr>
          <w:rFonts w:ascii="仿宋" w:hAnsi="仿宋" w:eastAsia="仿宋" w:cs="仿宋"/>
          <w:b/>
          <w:bCs/>
          <w:color w:val="auto"/>
          <w:sz w:val="24"/>
        </w:rPr>
      </w:pPr>
      <w:r>
        <w:rPr>
          <w:rFonts w:hint="eastAsia" w:ascii="仿宋" w:hAnsi="仿宋" w:eastAsia="仿宋" w:cs="仿宋"/>
          <w:b/>
          <w:bCs/>
          <w:color w:val="auto"/>
          <w:sz w:val="24"/>
        </w:rPr>
        <w:t>未满足采购文件中技术条款的实质性要求；</w:t>
      </w:r>
    </w:p>
    <w:p>
      <w:pPr>
        <w:numPr>
          <w:ilvl w:val="0"/>
          <w:numId w:val="3"/>
        </w:numPr>
        <w:spacing w:line="240" w:lineRule="atLeast"/>
        <w:ind w:left="1020" w:hanging="180"/>
        <w:rPr>
          <w:rFonts w:ascii="仿宋" w:hAnsi="仿宋" w:eastAsia="仿宋" w:cs="仿宋"/>
          <w:b/>
          <w:bCs/>
          <w:color w:val="auto"/>
          <w:sz w:val="24"/>
        </w:rPr>
      </w:pPr>
      <w:r>
        <w:rPr>
          <w:rFonts w:hint="eastAsia" w:ascii="仿宋" w:hAnsi="仿宋" w:eastAsia="仿宋" w:cs="仿宋"/>
          <w:b/>
          <w:bCs/>
          <w:color w:val="auto"/>
          <w:sz w:val="24"/>
        </w:rPr>
        <w:t>与其他供应商串通投标，或者与招标人串通投标；</w:t>
      </w:r>
    </w:p>
    <w:p>
      <w:pPr>
        <w:numPr>
          <w:ilvl w:val="0"/>
          <w:numId w:val="3"/>
        </w:numPr>
        <w:spacing w:line="240" w:lineRule="atLeast"/>
        <w:ind w:left="1020" w:hanging="180"/>
        <w:rPr>
          <w:rFonts w:ascii="仿宋" w:hAnsi="仿宋" w:eastAsia="仿宋" w:cs="仿宋"/>
          <w:b/>
          <w:bCs/>
          <w:color w:val="auto"/>
          <w:sz w:val="24"/>
        </w:rPr>
      </w:pPr>
      <w:r>
        <w:rPr>
          <w:rFonts w:hint="eastAsia" w:ascii="仿宋" w:hAnsi="仿宋" w:eastAsia="仿宋" w:cs="仿宋"/>
          <w:b/>
          <w:bCs/>
          <w:color w:val="auto"/>
          <w:sz w:val="24"/>
        </w:rPr>
        <w:t>属于采购文件规定的其他投标无效情形；</w:t>
      </w:r>
    </w:p>
    <w:p>
      <w:pPr>
        <w:numPr>
          <w:ilvl w:val="0"/>
          <w:numId w:val="3"/>
        </w:numPr>
        <w:spacing w:line="240" w:lineRule="atLeast"/>
        <w:ind w:left="1020" w:hanging="180"/>
        <w:rPr>
          <w:rFonts w:ascii="仿宋" w:hAnsi="仿宋" w:eastAsia="仿宋" w:cs="仿宋"/>
          <w:b/>
          <w:bCs/>
          <w:color w:val="auto"/>
          <w:sz w:val="24"/>
        </w:rPr>
      </w:pPr>
      <w:r>
        <w:rPr>
          <w:rFonts w:hint="eastAsia" w:ascii="仿宋" w:hAnsi="仿宋" w:eastAsia="仿宋" w:cs="仿宋"/>
          <w:b/>
          <w:bCs/>
          <w:color w:val="auto"/>
          <w:sz w:val="24"/>
        </w:rPr>
        <w:t>评标委员会认为供应商的报价明显低于其他通过符合性检查供应商的报价，有可能影响履约的，且供应商未按照规定证明其报价合理性的；</w:t>
      </w:r>
    </w:p>
    <w:p>
      <w:pPr>
        <w:numPr>
          <w:ilvl w:val="0"/>
          <w:numId w:val="3"/>
        </w:numPr>
        <w:spacing w:line="240" w:lineRule="atLeast"/>
        <w:ind w:left="1020" w:hanging="180"/>
        <w:rPr>
          <w:rFonts w:ascii="仿宋" w:hAnsi="仿宋" w:eastAsia="仿宋" w:cs="仿宋"/>
          <w:b/>
          <w:bCs/>
          <w:color w:val="auto"/>
          <w:sz w:val="24"/>
        </w:rPr>
      </w:pPr>
      <w:r>
        <w:rPr>
          <w:rFonts w:hint="eastAsia" w:ascii="仿宋" w:hAnsi="仿宋" w:eastAsia="仿宋" w:cs="仿宋"/>
          <w:b/>
          <w:bCs/>
          <w:color w:val="auto"/>
          <w:sz w:val="24"/>
        </w:rPr>
        <w:t>投标文件含有采购人不能接受的附加条件的；</w:t>
      </w:r>
    </w:p>
    <w:p>
      <w:pPr>
        <w:numPr>
          <w:ilvl w:val="0"/>
          <w:numId w:val="3"/>
        </w:numPr>
        <w:tabs>
          <w:tab w:val="left" w:pos="0"/>
        </w:tabs>
        <w:spacing w:line="240" w:lineRule="atLeast"/>
        <w:ind w:left="1020" w:hanging="180"/>
        <w:rPr>
          <w:rFonts w:ascii="仿宋" w:hAnsi="仿宋" w:eastAsia="仿宋" w:cs="仿宋"/>
          <w:b/>
          <w:bCs/>
          <w:color w:val="auto"/>
          <w:sz w:val="24"/>
        </w:rPr>
      </w:pPr>
      <w:r>
        <w:rPr>
          <w:rFonts w:hint="eastAsia" w:ascii="仿宋" w:hAnsi="仿宋" w:eastAsia="仿宋" w:cs="仿宋"/>
          <w:b/>
          <w:bCs/>
          <w:color w:val="auto"/>
          <w:sz w:val="24"/>
        </w:rPr>
        <w:t>不符合法规和采购文件中规定的其他实质性要求的。</w:t>
      </w:r>
    </w:p>
    <w:p>
      <w:pPr>
        <w:spacing w:line="240" w:lineRule="atLeast"/>
        <w:rPr>
          <w:rFonts w:ascii="仿宋" w:hAnsi="仿宋" w:eastAsia="仿宋" w:cs="仿宋"/>
          <w:color w:val="auto"/>
        </w:rPr>
      </w:pPr>
      <w:bookmarkStart w:id="101" w:name="_Toc20835"/>
      <w:bookmarkStart w:id="102" w:name="_Toc518923088"/>
      <w:r>
        <w:rPr>
          <w:rFonts w:hint="eastAsia" w:ascii="仿宋" w:hAnsi="仿宋" w:eastAsia="仿宋" w:cs="仿宋"/>
          <w:b/>
          <w:color w:val="auto"/>
          <w:kern w:val="0"/>
          <w:sz w:val="24"/>
          <w:szCs w:val="20"/>
        </w:rPr>
        <w:t>23</w:t>
      </w:r>
      <w:bookmarkEnd w:id="96"/>
      <w:r>
        <w:rPr>
          <w:rFonts w:hint="eastAsia" w:ascii="仿宋" w:hAnsi="仿宋" w:eastAsia="仿宋" w:cs="仿宋"/>
          <w:b/>
          <w:color w:val="auto"/>
          <w:kern w:val="0"/>
          <w:sz w:val="24"/>
          <w:szCs w:val="20"/>
        </w:rPr>
        <w:t>.比较与评价</w:t>
      </w:r>
      <w:bookmarkEnd w:id="101"/>
      <w:bookmarkEnd w:id="102"/>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23.1</w:t>
      </w:r>
      <w:r>
        <w:rPr>
          <w:rFonts w:hint="eastAsia" w:ascii="仿宋" w:hAnsi="仿宋" w:eastAsia="仿宋" w:cs="仿宋"/>
          <w:color w:val="auto"/>
          <w:sz w:val="24"/>
        </w:rPr>
        <w:tab/>
      </w:r>
      <w:r>
        <w:rPr>
          <w:rFonts w:hint="eastAsia" w:ascii="仿宋" w:hAnsi="仿宋" w:eastAsia="仿宋" w:cs="仿宋"/>
          <w:color w:val="auto"/>
          <w:sz w:val="24"/>
        </w:rPr>
        <w:t>经符合性审查合格的投标文件，评标委员会将根据采购文件确定的评标方法和标准，对其技术部分和商务部分作进一步的比较和评价。</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23.2  </w:t>
      </w:r>
      <w:r>
        <w:rPr>
          <w:rFonts w:hint="eastAsia" w:ascii="仿宋" w:hAnsi="仿宋" w:eastAsia="仿宋" w:cs="仿宋"/>
          <w:color w:val="auto"/>
          <w:sz w:val="24"/>
        </w:rPr>
        <w:tab/>
      </w:r>
      <w:r>
        <w:rPr>
          <w:rFonts w:hint="eastAsia" w:ascii="仿宋" w:hAnsi="仿宋" w:eastAsia="仿宋" w:cs="仿宋"/>
          <w:color w:val="auto"/>
          <w:sz w:val="24"/>
        </w:rPr>
        <w:t>评标严格按照采购文件的要求和条件进行。根据实际情况，在</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中规定采用下列一种评标方法，具体办法详见第6章评标方法和标准：</w:t>
      </w:r>
    </w:p>
    <w:p>
      <w:pPr>
        <w:pStyle w:val="15"/>
        <w:spacing w:line="240" w:lineRule="atLeast"/>
        <w:ind w:left="899" w:leftChars="342" w:hanging="181"/>
        <w:rPr>
          <w:rFonts w:ascii="仿宋" w:hAnsi="仿宋" w:eastAsia="仿宋" w:cs="仿宋"/>
          <w:color w:val="auto"/>
          <w:sz w:val="24"/>
          <w:szCs w:val="24"/>
        </w:rPr>
      </w:pPr>
      <w:r>
        <w:rPr>
          <w:rFonts w:hint="eastAsia" w:ascii="仿宋" w:hAnsi="仿宋" w:eastAsia="仿宋" w:cs="仿宋"/>
          <w:color w:val="auto"/>
          <w:sz w:val="24"/>
          <w:szCs w:val="24"/>
        </w:rPr>
        <w:t>（1） 最低评标价法，是指投标文件满足采购文件全部实质性要求，且投标报价最低的供应商为中标候选人的评标方法。</w:t>
      </w:r>
    </w:p>
    <w:p>
      <w:pPr>
        <w:pStyle w:val="15"/>
        <w:spacing w:line="240" w:lineRule="atLeast"/>
        <w:ind w:left="898" w:leftChars="342" w:hanging="180"/>
        <w:rPr>
          <w:rFonts w:ascii="仿宋" w:hAnsi="仿宋" w:eastAsia="仿宋" w:cs="仿宋"/>
          <w:color w:val="auto"/>
          <w:sz w:val="24"/>
          <w:szCs w:val="24"/>
        </w:rPr>
      </w:pPr>
      <w:r>
        <w:rPr>
          <w:rFonts w:hint="eastAsia" w:ascii="仿宋" w:hAnsi="仿宋" w:eastAsia="仿宋" w:cs="仿宋"/>
          <w:color w:val="auto"/>
          <w:sz w:val="24"/>
          <w:szCs w:val="24"/>
        </w:rPr>
        <w:t>（2） 综合评分法，是指投标文件满足采购文件全部实质性要求，且按照评审因素的量化指标评审得分最高的供应商为中标候选人的评标方法。</w:t>
      </w:r>
    </w:p>
    <w:p>
      <w:pPr>
        <w:pStyle w:val="15"/>
        <w:spacing w:line="240" w:lineRule="atLeast"/>
        <w:ind w:left="900" w:hanging="900" w:hangingChars="375"/>
        <w:rPr>
          <w:rFonts w:ascii="仿宋" w:hAnsi="仿宋" w:eastAsia="仿宋" w:cs="仿宋"/>
          <w:color w:val="auto"/>
          <w:sz w:val="24"/>
          <w:szCs w:val="24"/>
        </w:rPr>
      </w:pPr>
      <w:r>
        <w:rPr>
          <w:rFonts w:hint="eastAsia" w:ascii="仿宋" w:hAnsi="仿宋" w:eastAsia="仿宋" w:cs="仿宋"/>
          <w:color w:val="auto"/>
          <w:sz w:val="24"/>
          <w:szCs w:val="24"/>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03" w:name="sendNo"/>
      <w:r>
        <w:rPr>
          <w:rFonts w:hint="eastAsia" w:ascii="仿宋" w:hAnsi="仿宋" w:eastAsia="仿宋" w:cs="仿宋"/>
          <w:bCs/>
          <w:color w:val="auto"/>
          <w:sz w:val="24"/>
          <w:szCs w:val="24"/>
        </w:rPr>
        <w:t>财库〔</w:t>
      </w:r>
      <w:bookmarkEnd w:id="103"/>
      <w:r>
        <w:rPr>
          <w:rFonts w:hint="eastAsia" w:ascii="仿宋" w:hAnsi="仿宋" w:eastAsia="仿宋" w:cs="仿宋"/>
          <w:bCs/>
          <w:color w:val="auto"/>
          <w:sz w:val="24"/>
          <w:szCs w:val="24"/>
        </w:rPr>
        <w:t>2017〕141号</w:t>
      </w:r>
      <w:r>
        <w:rPr>
          <w:rFonts w:hint="eastAsia" w:ascii="仿宋" w:hAnsi="仿宋" w:eastAsia="仿宋" w:cs="仿宋"/>
          <w:color w:val="auto"/>
          <w:sz w:val="24"/>
          <w:szCs w:val="24"/>
        </w:rPr>
        <w:t>）的规定，对满足价格扣除条件且在投标文件中提交了《供应商企业类型声明函》或省级以上监狱管理局、戒毒管理局（含新疆生产建设兵团）出具的属于监狱企业的证明文件的供应商，其投标报价扣除6-10%后参与评审。具体办法详见采购文件</w:t>
      </w:r>
      <w:r>
        <w:rPr>
          <w:rFonts w:hint="eastAsia" w:ascii="仿宋" w:hAnsi="仿宋" w:eastAsia="仿宋" w:cs="仿宋"/>
          <w:color w:val="auto"/>
          <w:sz w:val="24"/>
        </w:rPr>
        <w:t>第6章评标方法和标准</w:t>
      </w:r>
      <w:r>
        <w:rPr>
          <w:rFonts w:hint="eastAsia" w:ascii="仿宋" w:hAnsi="仿宋" w:eastAsia="仿宋" w:cs="仿宋"/>
          <w:color w:val="auto"/>
          <w:sz w:val="24"/>
          <w:szCs w:val="24"/>
        </w:rPr>
        <w:t>。</w:t>
      </w:r>
    </w:p>
    <w:p>
      <w:pPr>
        <w:pStyle w:val="15"/>
        <w:spacing w:line="240" w:lineRule="atLeast"/>
        <w:ind w:left="900" w:hanging="900" w:hangingChars="375"/>
        <w:rPr>
          <w:rFonts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本项目采用招标方式：公开招标，评分方法：综合评分法</w:t>
      </w:r>
    </w:p>
    <w:p>
      <w:pPr>
        <w:pStyle w:val="6"/>
        <w:spacing w:before="0" w:after="0" w:line="240" w:lineRule="atLeast"/>
        <w:rPr>
          <w:rFonts w:ascii="仿宋" w:hAnsi="仿宋" w:eastAsia="仿宋" w:cs="仿宋"/>
          <w:color w:val="auto"/>
          <w:u w:val="none"/>
        </w:rPr>
      </w:pPr>
      <w:bookmarkStart w:id="104" w:name="_Toc520356168"/>
      <w:bookmarkStart w:id="105" w:name="_Toc5823"/>
      <w:bookmarkStart w:id="106" w:name="_Toc518923089"/>
      <w:r>
        <w:rPr>
          <w:rFonts w:hint="eastAsia" w:ascii="仿宋" w:hAnsi="仿宋" w:eastAsia="仿宋" w:cs="仿宋"/>
          <w:color w:val="auto"/>
          <w:u w:val="none"/>
        </w:rPr>
        <w:t>24</w:t>
      </w:r>
      <w:bookmarkEnd w:id="104"/>
      <w:r>
        <w:rPr>
          <w:rFonts w:hint="eastAsia" w:ascii="仿宋" w:hAnsi="仿宋" w:eastAsia="仿宋" w:cs="仿宋"/>
          <w:color w:val="auto"/>
          <w:u w:val="none"/>
        </w:rPr>
        <w:t>.废标</w:t>
      </w:r>
      <w:bookmarkEnd w:id="105"/>
      <w:bookmarkEnd w:id="106"/>
    </w:p>
    <w:p>
      <w:pPr>
        <w:spacing w:line="240" w:lineRule="atLeast"/>
        <w:ind w:left="898" w:leftChars="399" w:hanging="60" w:hangingChars="25"/>
        <w:rPr>
          <w:rFonts w:ascii="仿宋" w:hAnsi="仿宋" w:eastAsia="仿宋" w:cs="仿宋"/>
          <w:color w:val="auto"/>
          <w:sz w:val="24"/>
        </w:rPr>
      </w:pPr>
      <w:r>
        <w:rPr>
          <w:rFonts w:hint="eastAsia" w:ascii="仿宋" w:hAnsi="仿宋" w:eastAsia="仿宋" w:cs="仿宋"/>
          <w:color w:val="auto"/>
          <w:sz w:val="24"/>
        </w:rPr>
        <w:t xml:space="preserve">出现下列情形之一，将导致项目废标： </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（1）符合专业条件的供应商或者对采购文件做实质性响应的供应商不足三家；</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（2）出现影响采购公正的违法、违规行为的；</w:t>
      </w:r>
    </w:p>
    <w:p>
      <w:pPr>
        <w:spacing w:line="240" w:lineRule="atLeast"/>
        <w:ind w:firstLine="840" w:firstLineChars="350"/>
        <w:rPr>
          <w:rFonts w:ascii="仿宋" w:hAnsi="仿宋" w:eastAsia="仿宋" w:cs="仿宋"/>
          <w:color w:val="auto"/>
          <w:sz w:val="24"/>
        </w:rPr>
      </w:pPr>
      <w:r>
        <w:rPr>
          <w:rFonts w:hint="eastAsia" w:ascii="仿宋" w:hAnsi="仿宋" w:eastAsia="仿宋" w:cs="仿宋"/>
          <w:color w:val="auto"/>
          <w:sz w:val="24"/>
        </w:rPr>
        <w:t>（3）供应商的报价均超过了采购预算，采购人不能支付的；</w:t>
      </w:r>
    </w:p>
    <w:p>
      <w:pPr>
        <w:spacing w:line="240" w:lineRule="atLeast"/>
        <w:ind w:firstLine="840" w:firstLineChars="350"/>
        <w:rPr>
          <w:rFonts w:ascii="仿宋" w:hAnsi="仿宋" w:eastAsia="仿宋" w:cs="仿宋"/>
          <w:color w:val="auto"/>
          <w:sz w:val="24"/>
        </w:rPr>
      </w:pPr>
      <w:r>
        <w:rPr>
          <w:rFonts w:hint="eastAsia" w:ascii="仿宋" w:hAnsi="仿宋" w:eastAsia="仿宋" w:cs="仿宋"/>
          <w:color w:val="auto"/>
          <w:sz w:val="24"/>
        </w:rPr>
        <w:t xml:space="preserve">（4）因重大变故，采购任务取消的。   </w:t>
      </w:r>
    </w:p>
    <w:p>
      <w:pPr>
        <w:pStyle w:val="6"/>
        <w:spacing w:before="0" w:after="0" w:line="240" w:lineRule="atLeast"/>
        <w:rPr>
          <w:rFonts w:ascii="仿宋" w:hAnsi="仿宋" w:eastAsia="仿宋" w:cs="仿宋"/>
          <w:color w:val="auto"/>
          <w:u w:val="none"/>
        </w:rPr>
      </w:pPr>
      <w:bookmarkStart w:id="107" w:name="_Toc518923090"/>
      <w:bookmarkStart w:id="108" w:name="_Toc23660"/>
      <w:bookmarkStart w:id="109" w:name="_Toc520356169"/>
      <w:r>
        <w:rPr>
          <w:rFonts w:hint="eastAsia" w:ascii="仿宋" w:hAnsi="仿宋" w:eastAsia="仿宋" w:cs="仿宋"/>
          <w:color w:val="auto"/>
          <w:u w:val="none"/>
        </w:rPr>
        <w:t>25.保密原则</w:t>
      </w:r>
      <w:bookmarkEnd w:id="107"/>
      <w:bookmarkEnd w:id="108"/>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25.1</w:t>
      </w:r>
      <w:r>
        <w:rPr>
          <w:rFonts w:hint="eastAsia" w:ascii="仿宋" w:hAnsi="仿宋" w:eastAsia="仿宋" w:cs="仿宋"/>
          <w:color w:val="auto"/>
          <w:sz w:val="24"/>
        </w:rPr>
        <w:tab/>
      </w:r>
      <w:r>
        <w:rPr>
          <w:rFonts w:hint="eastAsia" w:ascii="仿宋" w:hAnsi="仿宋" w:eastAsia="仿宋" w:cs="仿宋"/>
          <w:color w:val="auto"/>
          <w:sz w:val="24"/>
        </w:rPr>
        <w:t>评标将在严格保密的情况下进行。</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25.2</w:t>
      </w:r>
      <w:r>
        <w:rPr>
          <w:rFonts w:hint="eastAsia" w:ascii="仿宋" w:hAnsi="仿宋" w:eastAsia="仿宋" w:cs="仿宋"/>
          <w:color w:val="auto"/>
          <w:sz w:val="24"/>
        </w:rPr>
        <w:tab/>
      </w:r>
      <w:r>
        <w:rPr>
          <w:rFonts w:hint="eastAsia" w:ascii="仿宋" w:hAnsi="仿宋" w:eastAsia="仿宋" w:cs="仿宋"/>
          <w:color w:val="auto"/>
          <w:sz w:val="24"/>
        </w:rPr>
        <w:t>政府采购评审专家应当遵守评审工作纪律，不得泄露评审文件、评审情况和评审中获悉的商业秘密。</w:t>
      </w:r>
    </w:p>
    <w:p>
      <w:pPr>
        <w:spacing w:line="240" w:lineRule="atLeast"/>
        <w:ind w:left="1080" w:leftChars="257" w:hanging="540"/>
        <w:rPr>
          <w:rFonts w:ascii="仿宋" w:hAnsi="仿宋" w:eastAsia="仿宋" w:cs="仿宋"/>
          <w:color w:val="auto"/>
          <w:sz w:val="24"/>
        </w:rPr>
      </w:pPr>
    </w:p>
    <w:p>
      <w:pPr>
        <w:pStyle w:val="5"/>
        <w:spacing w:before="0" w:line="240" w:lineRule="atLeast"/>
        <w:ind w:left="1080" w:leftChars="257" w:hanging="540"/>
        <w:rPr>
          <w:rFonts w:ascii="仿宋" w:hAnsi="仿宋" w:eastAsia="仿宋" w:cs="仿宋"/>
          <w:color w:val="auto"/>
          <w:sz w:val="24"/>
        </w:rPr>
      </w:pPr>
      <w:bookmarkStart w:id="110" w:name="_Toc518923091"/>
      <w:bookmarkStart w:id="111" w:name="_Toc10964"/>
      <w:bookmarkStart w:id="112" w:name="_Toc216582810"/>
      <w:r>
        <w:rPr>
          <w:rFonts w:hint="eastAsia" w:ascii="仿宋" w:hAnsi="仿宋" w:eastAsia="仿宋" w:cs="仿宋"/>
          <w:color w:val="auto"/>
          <w:sz w:val="24"/>
        </w:rPr>
        <w:t xml:space="preserve">六   </w:t>
      </w:r>
      <w:bookmarkEnd w:id="109"/>
      <w:r>
        <w:rPr>
          <w:rFonts w:hint="eastAsia" w:ascii="仿宋" w:hAnsi="仿宋" w:eastAsia="仿宋" w:cs="仿宋"/>
          <w:color w:val="auto"/>
          <w:sz w:val="24"/>
        </w:rPr>
        <w:t>确定中标</w:t>
      </w:r>
      <w:bookmarkEnd w:id="110"/>
      <w:bookmarkEnd w:id="111"/>
      <w:bookmarkEnd w:id="112"/>
    </w:p>
    <w:p>
      <w:pPr>
        <w:pStyle w:val="2"/>
        <w:rPr>
          <w:rFonts w:ascii="仿宋" w:hAnsi="仿宋" w:eastAsia="仿宋" w:cs="仿宋"/>
          <w:color w:val="auto"/>
        </w:rPr>
      </w:pPr>
    </w:p>
    <w:p>
      <w:pPr>
        <w:pStyle w:val="6"/>
        <w:spacing w:before="0" w:after="0" w:line="240" w:lineRule="atLeast"/>
        <w:rPr>
          <w:rFonts w:ascii="仿宋" w:hAnsi="仿宋" w:eastAsia="仿宋" w:cs="仿宋"/>
          <w:color w:val="auto"/>
          <w:u w:val="none"/>
        </w:rPr>
      </w:pPr>
      <w:bookmarkStart w:id="113" w:name="_Toc518923092"/>
      <w:bookmarkStart w:id="114" w:name="_Toc32578"/>
      <w:bookmarkStart w:id="115" w:name="_Ref467307010"/>
      <w:bookmarkStart w:id="116" w:name="_Toc520356170"/>
      <w:r>
        <w:rPr>
          <w:rFonts w:hint="eastAsia" w:ascii="仿宋" w:hAnsi="仿宋" w:eastAsia="仿宋" w:cs="仿宋"/>
          <w:color w:val="auto"/>
          <w:u w:val="none"/>
        </w:rPr>
        <w:t>26.中标候选人的确定原则及标准</w:t>
      </w:r>
      <w:bookmarkEnd w:id="113"/>
      <w:bookmarkEnd w:id="114"/>
      <w:bookmarkEnd w:id="115"/>
      <w:bookmarkEnd w:id="116"/>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除第28条规定外，对实质上响应采购文件的供应商按下列方法进行排序，确定中标候选人：</w:t>
      </w:r>
    </w:p>
    <w:p>
      <w:pPr>
        <w:spacing w:line="240" w:lineRule="atLeast"/>
        <w:ind w:left="898" w:leftChars="342" w:hanging="180" w:hangingChars="75"/>
        <w:rPr>
          <w:rFonts w:ascii="仿宋" w:hAnsi="仿宋" w:eastAsia="仿宋" w:cs="仿宋"/>
          <w:color w:val="auto"/>
          <w:sz w:val="24"/>
        </w:rPr>
      </w:pPr>
      <w:r>
        <w:rPr>
          <w:rFonts w:hint="eastAsia" w:ascii="仿宋" w:hAnsi="仿宋" w:eastAsia="仿宋" w:cs="仿宋"/>
          <w:color w:val="auto"/>
          <w:sz w:val="24"/>
        </w:rPr>
        <w:t>（1）采用最低评标价法的，除了算术修正和落实政府采购政策需进行的价格扣除外，不对供应商的投标价格进行任何调整。评标结果按修正和扣除后的投标报价由低到高顺序排列。报价相同的处理方式详见采购文件四、综合评分法评分标准。</w:t>
      </w:r>
    </w:p>
    <w:p>
      <w:pPr>
        <w:spacing w:line="240" w:lineRule="atLeast"/>
        <w:ind w:left="901"/>
        <w:rPr>
          <w:rFonts w:ascii="仿宋" w:hAnsi="仿宋" w:eastAsia="仿宋" w:cs="仿宋"/>
          <w:color w:val="auto"/>
          <w:sz w:val="24"/>
        </w:rPr>
      </w:pPr>
      <w:r>
        <w:rPr>
          <w:rFonts w:hint="eastAsia" w:ascii="仿宋" w:hAnsi="仿宋" w:eastAsia="仿宋" w:cs="仿宋"/>
          <w:color w:val="auto"/>
          <w:sz w:val="24"/>
        </w:rPr>
        <w:t>（2）采用综合评分法的，评标结果按评审后得分由高到低顺序排列。得分相同的，按修正和扣除后的投标报价由低到高顺序排列。得分与投标报价均相同的处理方式详见采购文件第6章评标方法和标准。</w:t>
      </w:r>
    </w:p>
    <w:p>
      <w:pPr>
        <w:spacing w:line="240" w:lineRule="atLeast"/>
        <w:ind w:left="901"/>
        <w:rPr>
          <w:rFonts w:ascii="仿宋" w:hAnsi="仿宋" w:eastAsia="仿宋" w:cs="仿宋"/>
          <w:color w:val="auto"/>
        </w:rPr>
      </w:pPr>
      <w:r>
        <w:rPr>
          <w:rFonts w:hint="eastAsia" w:ascii="仿宋" w:hAnsi="仿宋" w:eastAsia="仿宋" w:cs="仿宋"/>
          <w:b/>
          <w:bCs/>
          <w:color w:val="auto"/>
          <w:sz w:val="24"/>
        </w:rPr>
        <w:t>本项目采用综合评分法</w:t>
      </w:r>
    </w:p>
    <w:p>
      <w:pPr>
        <w:pStyle w:val="6"/>
        <w:spacing w:before="0" w:after="0" w:line="240" w:lineRule="atLeast"/>
        <w:rPr>
          <w:rFonts w:ascii="仿宋" w:hAnsi="仿宋" w:eastAsia="仿宋" w:cs="仿宋"/>
          <w:color w:val="auto"/>
          <w:u w:val="none"/>
        </w:rPr>
      </w:pPr>
      <w:bookmarkStart w:id="117" w:name="_Toc520356171"/>
      <w:bookmarkStart w:id="118" w:name="_Toc10555"/>
      <w:bookmarkStart w:id="119" w:name="_Toc518923093"/>
      <w:r>
        <w:rPr>
          <w:rFonts w:hint="eastAsia" w:ascii="仿宋" w:hAnsi="仿宋" w:eastAsia="仿宋" w:cs="仿宋"/>
          <w:color w:val="auto"/>
          <w:u w:val="none"/>
        </w:rPr>
        <w:t>27</w:t>
      </w:r>
      <w:bookmarkEnd w:id="117"/>
      <w:r>
        <w:rPr>
          <w:rFonts w:hint="eastAsia" w:ascii="仿宋" w:hAnsi="仿宋" w:eastAsia="仿宋" w:cs="仿宋"/>
          <w:color w:val="auto"/>
          <w:u w:val="none"/>
        </w:rPr>
        <w:t>.确定中标候选人和中标人</w:t>
      </w:r>
      <w:bookmarkEnd w:id="118"/>
      <w:bookmarkEnd w:id="119"/>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评标委员会将根据评标标准，按</w:t>
      </w:r>
      <w:r>
        <w:rPr>
          <w:rFonts w:hint="eastAsia" w:ascii="仿宋" w:hAnsi="仿宋" w:eastAsia="仿宋" w:cs="仿宋"/>
          <w:color w:val="auto"/>
          <w:sz w:val="24"/>
          <w:u w:val="single"/>
        </w:rPr>
        <w:t>供应商须知资料表中</w:t>
      </w:r>
      <w:r>
        <w:rPr>
          <w:rFonts w:hint="eastAsia" w:ascii="仿宋" w:hAnsi="仿宋" w:eastAsia="仿宋" w:cs="仿宋"/>
          <w:color w:val="auto"/>
          <w:sz w:val="24"/>
        </w:rPr>
        <w:t>规定数量推荐中标候选人；或根据采购人的委托，直接确定中标人。</w:t>
      </w:r>
    </w:p>
    <w:p>
      <w:pPr>
        <w:pStyle w:val="6"/>
        <w:tabs>
          <w:tab w:val="left" w:pos="900"/>
        </w:tabs>
        <w:spacing w:before="0" w:after="0" w:line="240" w:lineRule="atLeast"/>
        <w:rPr>
          <w:rFonts w:ascii="仿宋" w:hAnsi="仿宋" w:eastAsia="仿宋" w:cs="仿宋"/>
          <w:color w:val="auto"/>
          <w:u w:val="none"/>
        </w:rPr>
      </w:pPr>
      <w:bookmarkStart w:id="120" w:name="_Toc520356173"/>
      <w:bookmarkStart w:id="121" w:name="_Ref467306874"/>
      <w:bookmarkStart w:id="122" w:name="_Toc518923094"/>
      <w:bookmarkStart w:id="123" w:name="_Toc17138"/>
      <w:r>
        <w:rPr>
          <w:rFonts w:hint="eastAsia" w:ascii="仿宋" w:hAnsi="仿宋" w:eastAsia="仿宋" w:cs="仿宋"/>
          <w:color w:val="auto"/>
          <w:u w:val="none"/>
        </w:rPr>
        <w:t>28</w:t>
      </w:r>
      <w:bookmarkEnd w:id="120"/>
      <w:bookmarkEnd w:id="121"/>
      <w:r>
        <w:rPr>
          <w:rFonts w:hint="eastAsia" w:ascii="仿宋" w:hAnsi="仿宋" w:eastAsia="仿宋" w:cs="仿宋"/>
          <w:color w:val="auto"/>
          <w:u w:val="none"/>
        </w:rPr>
        <w:t>.采购任务取消</w:t>
      </w:r>
      <w:bookmarkEnd w:id="122"/>
      <w:bookmarkEnd w:id="123"/>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因重大变故采购任务取消时，采购人有权拒绝任何供应商中标，且对受影响的供应商不承担任何责任。</w:t>
      </w:r>
      <w:bookmarkStart w:id="124" w:name="_Toc520356174"/>
    </w:p>
    <w:p>
      <w:pPr>
        <w:pStyle w:val="6"/>
        <w:spacing w:before="0" w:after="0" w:line="240" w:lineRule="atLeast"/>
        <w:rPr>
          <w:rFonts w:ascii="仿宋" w:hAnsi="仿宋" w:eastAsia="仿宋" w:cs="仿宋"/>
          <w:color w:val="auto"/>
          <w:u w:val="none"/>
        </w:rPr>
      </w:pPr>
      <w:bookmarkStart w:id="125" w:name="_Toc518923095"/>
      <w:bookmarkStart w:id="126" w:name="_Toc18072"/>
      <w:r>
        <w:rPr>
          <w:rFonts w:hint="eastAsia" w:ascii="仿宋" w:hAnsi="仿宋" w:eastAsia="仿宋" w:cs="仿宋"/>
          <w:color w:val="auto"/>
          <w:u w:val="none"/>
        </w:rPr>
        <w:t>29.中标通知书</w:t>
      </w:r>
      <w:bookmarkEnd w:id="124"/>
      <w:r>
        <w:rPr>
          <w:rFonts w:hint="eastAsia" w:ascii="仿宋" w:hAnsi="仿宋" w:eastAsia="仿宋" w:cs="仿宋"/>
          <w:color w:val="auto"/>
          <w:u w:val="none"/>
        </w:rPr>
        <w:t>和招标结果</w:t>
      </w:r>
      <w:bookmarkEnd w:id="125"/>
      <w:bookmarkEnd w:id="126"/>
      <w:r>
        <w:rPr>
          <w:rFonts w:hint="eastAsia" w:ascii="仿宋" w:hAnsi="仿宋" w:eastAsia="仿宋" w:cs="仿宋"/>
          <w:color w:val="auto"/>
          <w:u w:val="none"/>
        </w:rPr>
        <w:t>公示</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29.1</w:t>
      </w:r>
      <w:r>
        <w:rPr>
          <w:rFonts w:hint="eastAsia" w:ascii="仿宋" w:hAnsi="仿宋" w:eastAsia="仿宋" w:cs="仿宋"/>
          <w:color w:val="auto"/>
          <w:sz w:val="24"/>
        </w:rPr>
        <w:tab/>
      </w:r>
      <w:r>
        <w:rPr>
          <w:rFonts w:hint="eastAsia" w:ascii="仿宋" w:hAnsi="仿宋" w:eastAsia="仿宋" w:cs="仿宋"/>
          <w:color w:val="auto"/>
          <w:sz w:val="24"/>
        </w:rPr>
        <w:t>在投标有效期内，中标人确定后，采购人或者采购代理机构发布中标公告，同时以书面形式向中标人发出中标通知书；</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29.2</w:t>
      </w:r>
      <w:r>
        <w:rPr>
          <w:rFonts w:hint="eastAsia" w:ascii="仿宋" w:hAnsi="仿宋" w:eastAsia="仿宋" w:cs="仿宋"/>
          <w:color w:val="auto"/>
          <w:sz w:val="24"/>
        </w:rPr>
        <w:tab/>
      </w:r>
      <w:r>
        <w:rPr>
          <w:rFonts w:hint="eastAsia" w:ascii="仿宋" w:hAnsi="仿宋" w:eastAsia="仿宋" w:cs="仿宋"/>
          <w:color w:val="auto"/>
          <w:sz w:val="24"/>
        </w:rPr>
        <w:t>中标通知书是合同的组成部分；</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29.3    招标结果公告和中标通知书同时发出。</w:t>
      </w:r>
    </w:p>
    <w:p>
      <w:pPr>
        <w:pStyle w:val="6"/>
        <w:spacing w:before="0" w:after="0" w:line="240" w:lineRule="atLeast"/>
        <w:rPr>
          <w:rFonts w:ascii="仿宋" w:hAnsi="仿宋" w:eastAsia="仿宋" w:cs="仿宋"/>
          <w:color w:val="auto"/>
          <w:u w:val="none"/>
        </w:rPr>
      </w:pPr>
      <w:bookmarkStart w:id="127" w:name="_Ref467306978"/>
      <w:bookmarkStart w:id="128" w:name="_Toc16952"/>
      <w:bookmarkStart w:id="129" w:name="_Toc518923096"/>
      <w:bookmarkStart w:id="130" w:name="_Toc520356175"/>
      <w:bookmarkStart w:id="131" w:name="_Ref467307204"/>
      <w:bookmarkStart w:id="132" w:name="_Ref467306377"/>
      <w:bookmarkStart w:id="133" w:name="_Ref467307062"/>
      <w:r>
        <w:rPr>
          <w:rFonts w:hint="eastAsia" w:ascii="仿宋" w:hAnsi="仿宋" w:eastAsia="仿宋" w:cs="仿宋"/>
          <w:color w:val="auto"/>
          <w:u w:val="none"/>
        </w:rPr>
        <w:t>30.签订合同</w:t>
      </w:r>
      <w:bookmarkEnd w:id="127"/>
      <w:bookmarkEnd w:id="128"/>
      <w:bookmarkEnd w:id="129"/>
      <w:bookmarkEnd w:id="130"/>
      <w:bookmarkEnd w:id="131"/>
      <w:bookmarkEnd w:id="132"/>
      <w:bookmarkEnd w:id="133"/>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30.1</w:t>
      </w:r>
      <w:r>
        <w:rPr>
          <w:rFonts w:hint="eastAsia" w:ascii="仿宋" w:hAnsi="仿宋" w:eastAsia="仿宋" w:cs="仿宋"/>
          <w:color w:val="auto"/>
          <w:sz w:val="24"/>
        </w:rPr>
        <w:tab/>
      </w:r>
      <w:r>
        <w:rPr>
          <w:rFonts w:hint="eastAsia" w:ascii="仿宋" w:hAnsi="仿宋" w:eastAsia="仿宋" w:cs="仿宋"/>
          <w:color w:val="auto"/>
          <w:sz w:val="24"/>
        </w:rPr>
        <w:t>中标人应当自发出中标通知书之日起30日内，与采购人签订合同。</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30.2</w:t>
      </w:r>
      <w:r>
        <w:rPr>
          <w:rFonts w:hint="eastAsia" w:ascii="仿宋" w:hAnsi="仿宋" w:eastAsia="仿宋" w:cs="仿宋"/>
          <w:color w:val="auto"/>
          <w:sz w:val="24"/>
        </w:rPr>
        <w:tab/>
      </w:r>
      <w:bookmarkStart w:id="134" w:name="_Ref467307090"/>
      <w:bookmarkStart w:id="135" w:name="_Toc520356176"/>
      <w:bookmarkStart w:id="136" w:name="_Ref467306425"/>
      <w:r>
        <w:rPr>
          <w:rFonts w:hint="eastAsia" w:ascii="仿宋" w:hAnsi="仿宋" w:eastAsia="仿宋" w:cs="仿宋"/>
          <w:color w:val="auto"/>
          <w:sz w:val="24"/>
        </w:rPr>
        <w:t>采购文件、中标人的投标文件及其澄清文件等，均为签订合同的依据。</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30.4   当出现法规规定的</w:t>
      </w:r>
      <w:r>
        <w:rPr>
          <w:rFonts w:hint="eastAsia" w:ascii="仿宋" w:hAnsi="仿宋" w:eastAsia="仿宋" w:cs="仿宋"/>
          <w:b/>
          <w:color w:val="auto"/>
          <w:sz w:val="24"/>
        </w:rPr>
        <w:t>中标无效或中标结果无效</w:t>
      </w:r>
      <w:r>
        <w:rPr>
          <w:rFonts w:hint="eastAsia" w:ascii="仿宋" w:hAnsi="仿宋" w:eastAsia="仿宋" w:cs="仿宋"/>
          <w:color w:val="auto"/>
          <w:sz w:val="24"/>
        </w:rPr>
        <w:t>情形时，采购人可与排名下一位的中标候选人另行签订合同，或依法重新开展采购活动。</w:t>
      </w:r>
    </w:p>
    <w:p>
      <w:pPr>
        <w:pStyle w:val="6"/>
        <w:spacing w:before="0" w:after="0" w:line="240" w:lineRule="atLeast"/>
        <w:rPr>
          <w:rFonts w:ascii="仿宋" w:hAnsi="仿宋" w:eastAsia="仿宋" w:cs="仿宋"/>
          <w:color w:val="auto"/>
          <w:u w:val="none"/>
        </w:rPr>
      </w:pPr>
      <w:bookmarkStart w:id="137" w:name="_Toc518923097"/>
      <w:bookmarkStart w:id="138" w:name="_Toc4302"/>
      <w:r>
        <w:rPr>
          <w:rFonts w:hint="eastAsia" w:ascii="仿宋" w:hAnsi="仿宋" w:eastAsia="仿宋" w:cs="仿宋"/>
          <w:color w:val="auto"/>
          <w:u w:val="none"/>
        </w:rPr>
        <w:t>31.履约保证金</w:t>
      </w:r>
      <w:bookmarkEnd w:id="134"/>
      <w:bookmarkEnd w:id="135"/>
      <w:bookmarkEnd w:id="136"/>
      <w:bookmarkEnd w:id="137"/>
      <w:bookmarkEnd w:id="138"/>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31.1</w:t>
      </w:r>
      <w:r>
        <w:rPr>
          <w:rFonts w:hint="eastAsia" w:ascii="仿宋" w:hAnsi="仿宋" w:eastAsia="仿宋" w:cs="仿宋"/>
          <w:color w:val="auto"/>
          <w:sz w:val="24"/>
        </w:rPr>
        <w:tab/>
      </w:r>
      <w:r>
        <w:rPr>
          <w:rFonts w:hint="eastAsia" w:ascii="仿宋" w:hAnsi="仿宋" w:eastAsia="仿宋" w:cs="仿宋"/>
          <w:color w:val="auto"/>
          <w:sz w:val="24"/>
        </w:rPr>
        <w:t>中标人应按照</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规定向采购人缴纳履约保证金（如采用保函形式，格式见本章附件1）。</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31.2</w:t>
      </w:r>
      <w:r>
        <w:rPr>
          <w:rFonts w:hint="eastAsia" w:ascii="仿宋" w:hAnsi="仿宋" w:eastAsia="仿宋" w:cs="仿宋"/>
          <w:color w:val="auto"/>
          <w:sz w:val="24"/>
        </w:rPr>
        <w:tab/>
      </w:r>
      <w:r>
        <w:rPr>
          <w:rFonts w:hint="eastAsia" w:ascii="仿宋" w:hAnsi="仿宋" w:eastAsia="仿宋" w:cs="仿宋"/>
          <w:color w:val="auto"/>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31.3   如果中标人没有按照上述履约保证金的规定执行，将视为放弃中标资格，中标人的投标保证金将不予退还。在此情况下，采购人可确定下一候选人为中标人，也可以重新开展采购活动。</w:t>
      </w:r>
    </w:p>
    <w:p>
      <w:pPr>
        <w:pStyle w:val="6"/>
        <w:spacing w:before="0" w:after="0" w:line="240" w:lineRule="atLeast"/>
        <w:rPr>
          <w:rFonts w:ascii="仿宋" w:hAnsi="仿宋" w:eastAsia="仿宋" w:cs="仿宋"/>
          <w:color w:val="auto"/>
          <w:u w:val="none"/>
        </w:rPr>
      </w:pPr>
      <w:bookmarkStart w:id="139" w:name="_Toc518923098"/>
      <w:bookmarkStart w:id="140" w:name="_Toc8476"/>
      <w:r>
        <w:rPr>
          <w:rFonts w:hint="eastAsia" w:ascii="仿宋" w:hAnsi="仿宋" w:eastAsia="仿宋" w:cs="仿宋"/>
          <w:color w:val="auto"/>
          <w:u w:val="none"/>
        </w:rPr>
        <w:t>32.中标服务费</w:t>
      </w:r>
      <w:bookmarkEnd w:id="139"/>
      <w:bookmarkEnd w:id="140"/>
    </w:p>
    <w:p>
      <w:pPr>
        <w:spacing w:line="240" w:lineRule="atLeast"/>
        <w:ind w:left="840" w:leftChars="200" w:hanging="420" w:hangingChars="175"/>
        <w:rPr>
          <w:rFonts w:ascii="仿宋" w:hAnsi="仿宋" w:eastAsia="仿宋" w:cs="仿宋"/>
          <w:color w:val="auto"/>
          <w:sz w:val="24"/>
        </w:rPr>
      </w:pPr>
      <w:r>
        <w:rPr>
          <w:rFonts w:hint="eastAsia" w:ascii="仿宋" w:hAnsi="仿宋" w:eastAsia="仿宋" w:cs="仿宋"/>
          <w:color w:val="auto"/>
          <w:sz w:val="24"/>
        </w:rPr>
        <w:t xml:space="preserve">    中标人须按照</w:t>
      </w:r>
      <w:r>
        <w:rPr>
          <w:rFonts w:hint="eastAsia" w:ascii="仿宋" w:hAnsi="仿宋" w:eastAsia="仿宋" w:cs="仿宋"/>
          <w:color w:val="auto"/>
          <w:sz w:val="24"/>
          <w:u w:val="single"/>
        </w:rPr>
        <w:t>投标须知资料表</w:t>
      </w:r>
      <w:r>
        <w:rPr>
          <w:rFonts w:hint="eastAsia" w:ascii="仿宋" w:hAnsi="仿宋" w:eastAsia="仿宋" w:cs="仿宋"/>
          <w:color w:val="auto"/>
          <w:sz w:val="24"/>
        </w:rPr>
        <w:t>规定，向采购代理机构支付中标服务费。</w:t>
      </w:r>
    </w:p>
    <w:p>
      <w:pPr>
        <w:pStyle w:val="6"/>
        <w:spacing w:before="0" w:after="0" w:line="240" w:lineRule="atLeast"/>
        <w:rPr>
          <w:rFonts w:ascii="仿宋" w:hAnsi="仿宋" w:eastAsia="仿宋" w:cs="仿宋"/>
          <w:color w:val="auto"/>
          <w:u w:val="none"/>
        </w:rPr>
      </w:pPr>
      <w:bookmarkStart w:id="141" w:name="_Toc31411"/>
      <w:bookmarkStart w:id="142" w:name="_Toc518923099"/>
      <w:r>
        <w:rPr>
          <w:rFonts w:hint="eastAsia" w:ascii="仿宋" w:hAnsi="仿宋" w:eastAsia="仿宋" w:cs="仿宋"/>
          <w:color w:val="auto"/>
          <w:u w:val="none"/>
        </w:rPr>
        <w:t>33.政府采购信用担保</w:t>
      </w:r>
      <w:bookmarkEnd w:id="141"/>
      <w:bookmarkEnd w:id="142"/>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33.1   本项目是否属于信用担保试点范围见</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w:t>
      </w:r>
    </w:p>
    <w:p>
      <w:pPr>
        <w:spacing w:line="240" w:lineRule="atLeast"/>
        <w:ind w:left="850" w:hanging="849" w:hangingChars="354"/>
        <w:rPr>
          <w:rFonts w:ascii="仿宋" w:hAnsi="仿宋" w:eastAsia="仿宋" w:cs="仿宋"/>
          <w:color w:val="auto"/>
          <w:sz w:val="24"/>
        </w:rPr>
      </w:pPr>
      <w:r>
        <w:rPr>
          <w:rFonts w:hint="eastAsia" w:ascii="仿宋" w:hAnsi="仿宋" w:eastAsia="仿宋" w:cs="仿宋"/>
          <w:color w:val="auto"/>
          <w:sz w:val="24"/>
        </w:rPr>
        <w:t>33.2   如属于政府采购信用担保试点范围内，中小型企业供应商可以自由按照财政部门的规定，采用投标担保、履约担保和融资担保。</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33.2.1 供应商递交的投标担保函和履约担保函应符合本采购文件的规定。</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33.2.2 中标人可以采取融资担保的形式为政府采购项目履约进行融资。</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33.2.3 合格的政府采购专业信用担保机构见</w:t>
      </w:r>
      <w:r>
        <w:rPr>
          <w:rFonts w:hint="eastAsia" w:ascii="仿宋" w:hAnsi="仿宋" w:eastAsia="仿宋" w:cs="仿宋"/>
          <w:color w:val="auto"/>
          <w:sz w:val="24"/>
          <w:u w:val="single"/>
        </w:rPr>
        <w:t>供应商须知资料表</w:t>
      </w:r>
      <w:r>
        <w:rPr>
          <w:rFonts w:hint="eastAsia" w:ascii="仿宋" w:hAnsi="仿宋" w:eastAsia="仿宋" w:cs="仿宋"/>
          <w:color w:val="auto"/>
          <w:sz w:val="24"/>
        </w:rPr>
        <w:t>。</w:t>
      </w:r>
    </w:p>
    <w:p>
      <w:pPr>
        <w:pStyle w:val="6"/>
        <w:spacing w:before="0" w:after="0" w:line="240" w:lineRule="atLeast"/>
        <w:rPr>
          <w:rFonts w:ascii="仿宋" w:hAnsi="仿宋" w:eastAsia="仿宋" w:cs="仿宋"/>
          <w:color w:val="auto"/>
          <w:u w:val="none"/>
        </w:rPr>
      </w:pPr>
      <w:bookmarkStart w:id="143" w:name="_Toc4701"/>
      <w:bookmarkStart w:id="144" w:name="_Toc518923100"/>
      <w:r>
        <w:rPr>
          <w:rFonts w:hint="eastAsia" w:ascii="仿宋" w:hAnsi="仿宋" w:eastAsia="仿宋" w:cs="仿宋"/>
          <w:color w:val="auto"/>
          <w:u w:val="none"/>
        </w:rPr>
        <w:t>34.廉洁自律规定</w:t>
      </w:r>
      <w:bookmarkEnd w:id="143"/>
      <w:bookmarkEnd w:id="144"/>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34.1   采购代理机构工作人员不得以不正当手段获取政府采购代理业务，不得与采购人、供应商恶意串通操纵政府采购活动。</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34.3   为强化采购代理机构内部监督机制，供应商可按</w:t>
      </w:r>
      <w:r>
        <w:rPr>
          <w:rFonts w:hint="eastAsia" w:ascii="仿宋" w:hAnsi="仿宋" w:eastAsia="仿宋" w:cs="仿宋"/>
          <w:color w:val="auto"/>
          <w:sz w:val="24"/>
          <w:u w:val="single"/>
        </w:rPr>
        <w:t>供应商须知资料表中的</w:t>
      </w:r>
      <w:r>
        <w:rPr>
          <w:rFonts w:hint="eastAsia" w:ascii="仿宋" w:hAnsi="仿宋" w:eastAsia="仿宋" w:cs="仿宋"/>
          <w:color w:val="auto"/>
          <w:sz w:val="24"/>
        </w:rPr>
        <w:t>监督电话和信箱，反映采购代理机构的廉洁自律等问题。</w:t>
      </w:r>
    </w:p>
    <w:p>
      <w:pPr>
        <w:pStyle w:val="6"/>
        <w:spacing w:before="0" w:after="0" w:line="240" w:lineRule="atLeast"/>
        <w:rPr>
          <w:rFonts w:ascii="仿宋" w:hAnsi="仿宋" w:eastAsia="仿宋" w:cs="仿宋"/>
          <w:color w:val="auto"/>
          <w:u w:val="none"/>
        </w:rPr>
      </w:pPr>
      <w:bookmarkStart w:id="145" w:name="_Toc518923101"/>
      <w:bookmarkStart w:id="146" w:name="_Toc21055"/>
      <w:r>
        <w:rPr>
          <w:rFonts w:hint="eastAsia" w:ascii="仿宋" w:hAnsi="仿宋" w:eastAsia="仿宋" w:cs="仿宋"/>
          <w:color w:val="auto"/>
          <w:u w:val="none"/>
        </w:rPr>
        <w:t>35.人员回避</w:t>
      </w:r>
      <w:bookmarkEnd w:id="145"/>
      <w:bookmarkEnd w:id="146"/>
    </w:p>
    <w:p>
      <w:pPr>
        <w:spacing w:line="240" w:lineRule="atLeast"/>
        <w:ind w:left="900" w:hanging="900" w:hangingChars="375"/>
        <w:rPr>
          <w:rFonts w:ascii="仿宋" w:hAnsi="仿宋" w:eastAsia="仿宋" w:cs="仿宋"/>
          <w:color w:val="auto"/>
          <w:sz w:val="24"/>
        </w:rPr>
      </w:pPr>
      <w:r>
        <w:rPr>
          <w:rFonts w:hint="eastAsia" w:ascii="仿宋" w:hAnsi="仿宋" w:eastAsia="仿宋" w:cs="仿宋"/>
          <w:color w:val="auto"/>
          <w:sz w:val="24"/>
        </w:rPr>
        <w:t xml:space="preserve">       供应商认为采购人员及其相关人员有法律法规所列与其他供应商有利害关系的，可以向采购人或采购代理机构书面提出回避申请，并说明理由。</w:t>
      </w:r>
    </w:p>
    <w:p>
      <w:pPr>
        <w:pStyle w:val="6"/>
        <w:spacing w:before="0" w:after="0" w:line="240" w:lineRule="atLeast"/>
        <w:rPr>
          <w:rFonts w:ascii="仿宋" w:hAnsi="仿宋" w:eastAsia="仿宋" w:cs="仿宋"/>
          <w:color w:val="auto"/>
          <w:u w:val="none"/>
        </w:rPr>
      </w:pPr>
      <w:bookmarkStart w:id="147" w:name="_Toc518923102"/>
      <w:bookmarkStart w:id="148" w:name="_Toc24931"/>
      <w:r>
        <w:rPr>
          <w:rFonts w:hint="eastAsia" w:ascii="仿宋" w:hAnsi="仿宋" w:eastAsia="仿宋" w:cs="仿宋"/>
          <w:color w:val="auto"/>
          <w:u w:val="none"/>
        </w:rPr>
        <w:t>36.质疑与接收</w:t>
      </w:r>
      <w:bookmarkEnd w:id="147"/>
      <w:bookmarkEnd w:id="148"/>
    </w:p>
    <w:p>
      <w:pPr>
        <w:spacing w:line="240" w:lineRule="atLeast"/>
        <w:ind w:left="851" w:leftChars="68" w:hanging="708" w:hangingChars="295"/>
        <w:rPr>
          <w:rFonts w:ascii="仿宋" w:hAnsi="仿宋" w:eastAsia="仿宋" w:cs="仿宋"/>
          <w:color w:val="auto"/>
          <w:sz w:val="24"/>
        </w:rPr>
      </w:pPr>
      <w:r>
        <w:rPr>
          <w:rFonts w:hint="eastAsia" w:ascii="仿宋" w:hAnsi="仿宋" w:eastAsia="仿宋" w:cs="仿宋"/>
          <w:color w:val="auto"/>
          <w:sz w:val="24"/>
        </w:rPr>
        <w:t>36.1  供应商认为采购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1" w:leftChars="68" w:hanging="708" w:hangingChars="295"/>
        <w:rPr>
          <w:rFonts w:ascii="仿宋" w:hAnsi="仿宋" w:eastAsia="仿宋" w:cs="仿宋"/>
          <w:color w:val="auto"/>
          <w:sz w:val="24"/>
        </w:rPr>
      </w:pPr>
      <w:r>
        <w:rPr>
          <w:rFonts w:hint="eastAsia" w:ascii="仿宋" w:hAnsi="仿宋" w:eastAsia="仿宋" w:cs="仿宋"/>
          <w:color w:val="auto"/>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ascii="仿宋" w:hAnsi="仿宋" w:eastAsia="仿宋" w:cs="仿宋"/>
          <w:color w:val="auto"/>
          <w:sz w:val="24"/>
        </w:rPr>
      </w:pPr>
      <w:r>
        <w:rPr>
          <w:rFonts w:hint="eastAsia" w:ascii="仿宋" w:hAnsi="仿宋" w:eastAsia="仿宋" w:cs="仿宋"/>
          <w:color w:val="auto"/>
          <w:sz w:val="24"/>
        </w:rPr>
        <w:t>超出法定质疑期的、重复提出的、分次提出的或内容、形式不符合《政府采购质疑和投诉办法》的，质疑供应商将依法承担不利后果。</w:t>
      </w:r>
    </w:p>
    <w:p>
      <w:pPr>
        <w:spacing w:line="240" w:lineRule="atLeast"/>
        <w:ind w:left="851" w:leftChars="68" w:hanging="708" w:hangingChars="295"/>
        <w:rPr>
          <w:rFonts w:ascii="仿宋" w:hAnsi="仿宋" w:eastAsia="仿宋" w:cs="仿宋"/>
          <w:color w:val="auto"/>
          <w:sz w:val="24"/>
        </w:rPr>
      </w:pPr>
      <w:r>
        <w:rPr>
          <w:rFonts w:hint="eastAsia" w:ascii="仿宋" w:hAnsi="仿宋" w:eastAsia="仿宋" w:cs="仿宋"/>
          <w:color w:val="auto"/>
          <w:sz w:val="24"/>
        </w:rPr>
        <w:t>36.3  采购代理机构质疑函接收部门、联系电话和通讯地址, 见</w:t>
      </w:r>
      <w:r>
        <w:rPr>
          <w:rFonts w:hint="eastAsia" w:ascii="仿宋" w:hAnsi="仿宋" w:eastAsia="仿宋" w:cs="仿宋"/>
          <w:color w:val="auto"/>
          <w:sz w:val="24"/>
          <w:u w:val="single"/>
        </w:rPr>
        <w:t>供应商须知资料表。</w:t>
      </w:r>
    </w:p>
    <w:p>
      <w:pPr>
        <w:spacing w:line="240" w:lineRule="atLeast"/>
        <w:ind w:left="900" w:hanging="900" w:hangingChars="375"/>
        <w:rPr>
          <w:rFonts w:ascii="仿宋" w:hAnsi="仿宋" w:eastAsia="仿宋" w:cs="仿宋"/>
          <w:color w:val="auto"/>
          <w:sz w:val="24"/>
        </w:rPr>
      </w:pPr>
    </w:p>
    <w:p>
      <w:pPr>
        <w:pStyle w:val="5"/>
        <w:spacing w:before="0" w:line="240" w:lineRule="atLeast"/>
        <w:ind w:left="1080" w:leftChars="257" w:hanging="540"/>
        <w:rPr>
          <w:rFonts w:ascii="仿宋" w:hAnsi="仿宋" w:eastAsia="仿宋" w:cs="仿宋"/>
          <w:color w:val="auto"/>
          <w:szCs w:val="24"/>
        </w:rPr>
      </w:pPr>
      <w:bookmarkStart w:id="149" w:name="_Toc27788"/>
      <w:bookmarkStart w:id="150" w:name="_Toc518923104"/>
      <w:r>
        <w:rPr>
          <w:rFonts w:hint="eastAsia" w:ascii="仿宋" w:hAnsi="仿宋" w:eastAsia="仿宋" w:cs="仿宋"/>
          <w:color w:val="auto"/>
          <w:szCs w:val="24"/>
        </w:rPr>
        <w:t>附件2：履约担保函格式</w:t>
      </w:r>
      <w:bookmarkEnd w:id="149"/>
      <w:bookmarkEnd w:id="150"/>
    </w:p>
    <w:p>
      <w:pPr>
        <w:keepNext/>
        <w:keepLines/>
        <w:autoSpaceDE w:val="0"/>
        <w:autoSpaceDN w:val="0"/>
        <w:adjustRightInd w:val="0"/>
        <w:spacing w:line="240" w:lineRule="atLeast"/>
        <w:ind w:left="1079" w:leftChars="257" w:hanging="539"/>
        <w:jc w:val="center"/>
        <w:rPr>
          <w:rFonts w:ascii="仿宋" w:hAnsi="仿宋" w:eastAsia="仿宋" w:cs="仿宋"/>
          <w:b/>
          <w:bCs/>
          <w:color w:val="auto"/>
          <w:sz w:val="28"/>
          <w:szCs w:val="36"/>
        </w:rPr>
      </w:pPr>
      <w:bookmarkStart w:id="151" w:name="_Toc515904842"/>
      <w:bookmarkStart w:id="152" w:name="_Toc518923105"/>
      <w:bookmarkStart w:id="153" w:name="_Toc30995"/>
      <w:r>
        <w:rPr>
          <w:rFonts w:hint="eastAsia" w:ascii="仿宋" w:hAnsi="仿宋" w:eastAsia="仿宋" w:cs="仿宋"/>
          <w:b/>
          <w:bCs/>
          <w:color w:val="auto"/>
          <w:sz w:val="28"/>
          <w:szCs w:val="36"/>
        </w:rPr>
        <w:t>（采用政府采购信用担保形式时使用）</w:t>
      </w:r>
      <w:bookmarkEnd w:id="151"/>
      <w:bookmarkEnd w:id="152"/>
      <w:bookmarkEnd w:id="153"/>
    </w:p>
    <w:p>
      <w:pPr>
        <w:spacing w:line="240" w:lineRule="atLeast"/>
        <w:ind w:left="1080" w:leftChars="257" w:hanging="540"/>
        <w:rPr>
          <w:rFonts w:ascii="仿宋" w:hAnsi="仿宋" w:eastAsia="仿宋" w:cs="仿宋"/>
          <w:b/>
          <w:color w:val="auto"/>
          <w:kern w:val="0"/>
          <w:sz w:val="24"/>
          <w:szCs w:val="20"/>
        </w:rPr>
      </w:pPr>
    </w:p>
    <w:p>
      <w:pPr>
        <w:jc w:val="center"/>
        <w:rPr>
          <w:rFonts w:ascii="仿宋" w:hAnsi="仿宋" w:eastAsia="仿宋" w:cs="仿宋"/>
          <w:color w:val="auto"/>
          <w:sz w:val="24"/>
        </w:rPr>
      </w:pPr>
      <w:r>
        <w:rPr>
          <w:rFonts w:hint="eastAsia" w:ascii="仿宋" w:hAnsi="仿宋" w:eastAsia="仿宋" w:cs="仿宋"/>
          <w:color w:val="auto"/>
          <w:sz w:val="24"/>
        </w:rPr>
        <w:t>政府采购履约担保函（项目用）</w:t>
      </w:r>
    </w:p>
    <w:p>
      <w:pPr>
        <w:rPr>
          <w:rFonts w:ascii="仿宋" w:hAnsi="仿宋" w:eastAsia="仿宋" w:cs="仿宋"/>
          <w:color w:val="auto"/>
          <w:sz w:val="24"/>
        </w:rPr>
      </w:pPr>
      <w:r>
        <w:rPr>
          <w:rFonts w:hint="eastAsia" w:ascii="仿宋" w:hAnsi="仿宋" w:eastAsia="仿宋" w:cs="仿宋"/>
          <w:color w:val="auto"/>
          <w:sz w:val="24"/>
        </w:rPr>
        <w:t xml:space="preserve">                                                   编号：</w:t>
      </w: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w:t>
      </w:r>
    </w:p>
    <w:p>
      <w:pPr>
        <w:rPr>
          <w:rFonts w:ascii="仿宋" w:hAnsi="仿宋" w:eastAsia="仿宋" w:cs="仿宋"/>
          <w:color w:val="auto"/>
          <w:sz w:val="24"/>
        </w:rPr>
      </w:pPr>
    </w:p>
    <w:p>
      <w:pPr>
        <w:ind w:firstLine="480" w:firstLineChars="200"/>
        <w:rPr>
          <w:rFonts w:ascii="仿宋" w:hAnsi="仿宋" w:eastAsia="仿宋" w:cs="仿宋"/>
          <w:color w:val="auto"/>
          <w:sz w:val="24"/>
        </w:rPr>
      </w:pPr>
      <w:r>
        <w:rPr>
          <w:rFonts w:hint="eastAsia" w:ascii="仿宋" w:hAnsi="仿宋" w:eastAsia="仿宋" w:cs="仿宋"/>
          <w:color w:val="auto"/>
          <w:sz w:val="24"/>
        </w:rPr>
        <w:t>鉴于你方与</w:t>
      </w:r>
      <w:r>
        <w:rPr>
          <w:rFonts w:hint="eastAsia" w:ascii="仿宋" w:hAnsi="仿宋" w:eastAsia="仿宋" w:cs="仿宋"/>
          <w:color w:val="auto"/>
          <w:sz w:val="24"/>
          <w:u w:val="single"/>
        </w:rPr>
        <w:t xml:space="preserve">                    </w:t>
      </w:r>
      <w:r>
        <w:rPr>
          <w:rFonts w:hint="eastAsia" w:ascii="仿宋" w:hAnsi="仿宋" w:eastAsia="仿宋" w:cs="仿宋"/>
          <w:color w:val="auto"/>
          <w:sz w:val="24"/>
        </w:rPr>
        <w:t>（以下简称供应商）于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日签定编号为   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政府采购合同》（以下简称主合同），且依据该合同的约定，供应商应在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日前向你方交纳履约保证金，且可以履约担保函的形式交纳履约保证金。应供应商的申请，我方以保证的方式向你方提供如下履约保证金担保：</w:t>
      </w:r>
    </w:p>
    <w:p>
      <w:pPr>
        <w:ind w:firstLine="480" w:firstLineChars="200"/>
        <w:rPr>
          <w:rFonts w:ascii="仿宋" w:hAnsi="仿宋" w:eastAsia="仿宋" w:cs="仿宋"/>
          <w:color w:val="auto"/>
          <w:sz w:val="24"/>
        </w:rPr>
      </w:pPr>
      <w:r>
        <w:rPr>
          <w:rFonts w:hint="eastAsia" w:ascii="仿宋" w:hAnsi="仿宋" w:eastAsia="仿宋" w:cs="仿宋"/>
          <w:color w:val="auto"/>
          <w:sz w:val="24"/>
        </w:rPr>
        <w:t>一、保证责任的情形及保证金额</w:t>
      </w:r>
    </w:p>
    <w:p>
      <w:pPr>
        <w:ind w:firstLine="480" w:firstLineChars="200"/>
        <w:rPr>
          <w:rFonts w:ascii="仿宋" w:hAnsi="仿宋" w:eastAsia="仿宋" w:cs="仿宋"/>
          <w:color w:val="auto"/>
          <w:sz w:val="24"/>
        </w:rPr>
      </w:pPr>
      <w:r>
        <w:rPr>
          <w:rFonts w:hint="eastAsia" w:ascii="仿宋" w:hAnsi="仿宋" w:eastAsia="仿宋" w:cs="仿宋"/>
          <w:color w:val="auto"/>
          <w:sz w:val="24"/>
        </w:rPr>
        <w:t>（一）在供应商出现下列情形之一时，我方承担保证责任：</w:t>
      </w:r>
    </w:p>
    <w:p>
      <w:pPr>
        <w:ind w:firstLine="480" w:firstLineChars="200"/>
        <w:rPr>
          <w:rFonts w:ascii="仿宋" w:hAnsi="仿宋" w:eastAsia="仿宋" w:cs="仿宋"/>
          <w:color w:val="auto"/>
          <w:sz w:val="24"/>
        </w:rPr>
      </w:pPr>
      <w:r>
        <w:rPr>
          <w:rFonts w:hint="eastAsia" w:ascii="仿宋" w:hAnsi="仿宋" w:eastAsia="仿宋" w:cs="仿宋"/>
          <w:color w:val="auto"/>
          <w:sz w:val="24"/>
        </w:rPr>
        <w:t>1．将中标项目转让给他人，或者在投标文件中未说明，且未经采购招标机构人同意，将中标项目分包给他人的；</w:t>
      </w:r>
    </w:p>
    <w:p>
      <w:pPr>
        <w:rPr>
          <w:rFonts w:ascii="仿宋" w:hAnsi="仿宋" w:eastAsia="仿宋" w:cs="仿宋"/>
          <w:color w:val="auto"/>
          <w:sz w:val="24"/>
        </w:rPr>
      </w:pPr>
      <w:r>
        <w:rPr>
          <w:rFonts w:hint="eastAsia" w:ascii="仿宋" w:hAnsi="仿宋" w:eastAsia="仿宋" w:cs="仿宋"/>
          <w:color w:val="auto"/>
          <w:sz w:val="24"/>
        </w:rPr>
        <w:t xml:space="preserve">　　2．主合同约定的应当缴纳履约保证金的情形: </w:t>
      </w:r>
    </w:p>
    <w:p>
      <w:pPr>
        <w:ind w:firstLine="480" w:firstLineChars="200"/>
        <w:rPr>
          <w:rFonts w:ascii="仿宋" w:hAnsi="仿宋" w:eastAsia="仿宋" w:cs="仿宋"/>
          <w:color w:val="auto"/>
          <w:sz w:val="24"/>
        </w:rPr>
      </w:pPr>
      <w:r>
        <w:rPr>
          <w:rFonts w:hint="eastAsia" w:ascii="仿宋" w:hAnsi="仿宋" w:eastAsia="仿宋" w:cs="仿宋"/>
          <w:color w:val="auto"/>
          <w:sz w:val="24"/>
        </w:rPr>
        <w:t>（1）未按主合同约定的质量、数量和期限供应货物/提供服务/完成工程的；</w:t>
      </w:r>
    </w:p>
    <w:p>
      <w:pPr>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ind w:firstLine="480" w:firstLineChars="200"/>
        <w:rPr>
          <w:rFonts w:ascii="仿宋" w:hAnsi="仿宋" w:eastAsia="仿宋" w:cs="仿宋"/>
          <w:color w:val="auto"/>
          <w:sz w:val="24"/>
        </w:rPr>
      </w:pPr>
      <w:r>
        <w:rPr>
          <w:rFonts w:hint="eastAsia" w:ascii="仿宋" w:hAnsi="仿宋" w:eastAsia="仿宋" w:cs="仿宋"/>
          <w:color w:val="auto"/>
          <w:sz w:val="24"/>
        </w:rPr>
        <w:t>（二）我方的保证范围是主合同约定的合同价款总额的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%数额为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），币种为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。（即主合同履约保证金金额）</w:t>
      </w:r>
    </w:p>
    <w:p>
      <w:pPr>
        <w:ind w:firstLine="480" w:firstLineChars="200"/>
        <w:rPr>
          <w:rFonts w:ascii="仿宋" w:hAnsi="仿宋" w:eastAsia="仿宋" w:cs="仿宋"/>
          <w:color w:val="auto"/>
          <w:sz w:val="24"/>
        </w:rPr>
      </w:pPr>
      <w:r>
        <w:rPr>
          <w:rFonts w:hint="eastAsia" w:ascii="仿宋" w:hAnsi="仿宋" w:eastAsia="仿宋" w:cs="仿宋"/>
          <w:color w:val="auto"/>
          <w:sz w:val="24"/>
        </w:rPr>
        <w:t>二、保证的方式及保证期间</w:t>
      </w:r>
    </w:p>
    <w:p>
      <w:pPr>
        <w:ind w:firstLine="480" w:firstLineChars="200"/>
        <w:rPr>
          <w:rFonts w:ascii="仿宋" w:hAnsi="仿宋" w:eastAsia="仿宋" w:cs="仿宋"/>
          <w:color w:val="auto"/>
          <w:sz w:val="24"/>
        </w:rPr>
      </w:pPr>
      <w:r>
        <w:rPr>
          <w:rFonts w:hint="eastAsia" w:ascii="仿宋" w:hAnsi="仿宋" w:eastAsia="仿宋" w:cs="仿宋"/>
          <w:color w:val="auto"/>
          <w:sz w:val="24"/>
        </w:rPr>
        <w:t>我方保证的方式为：连带责任保证。</w:t>
      </w:r>
    </w:p>
    <w:p>
      <w:pPr>
        <w:ind w:firstLine="480" w:firstLineChars="200"/>
        <w:rPr>
          <w:rFonts w:ascii="仿宋" w:hAnsi="仿宋" w:eastAsia="仿宋" w:cs="仿宋"/>
          <w:color w:val="auto"/>
          <w:sz w:val="24"/>
        </w:rPr>
      </w:pPr>
      <w:r>
        <w:rPr>
          <w:rFonts w:hint="eastAsia" w:ascii="仿宋" w:hAnsi="仿宋" w:eastAsia="仿宋" w:cs="仿宋"/>
          <w:color w:val="auto"/>
          <w:sz w:val="24"/>
        </w:rPr>
        <w:t>我方保证的期间为：自本合同生效之日起至供应商按照主合同约定的供货/完工期限届满后</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日内。</w:t>
      </w:r>
    </w:p>
    <w:p>
      <w:pPr>
        <w:ind w:firstLine="480" w:firstLineChars="200"/>
        <w:rPr>
          <w:rFonts w:ascii="仿宋" w:hAnsi="仿宋" w:eastAsia="仿宋" w:cs="仿宋"/>
          <w:color w:val="auto"/>
          <w:sz w:val="24"/>
        </w:rPr>
      </w:pPr>
      <w:r>
        <w:rPr>
          <w:rFonts w:hint="eastAsia" w:ascii="仿宋" w:hAnsi="仿宋" w:eastAsia="仿宋" w:cs="仿宋"/>
          <w:color w:val="auto"/>
          <w:sz w:val="24"/>
        </w:rPr>
        <w:t>如果供应商未按主合同约定向贵方供应货物/提供服务/完成工程的，由我方在保证金额内向你方支付上述款项。</w:t>
      </w:r>
    </w:p>
    <w:p>
      <w:pPr>
        <w:ind w:firstLine="480" w:firstLineChars="200"/>
        <w:rPr>
          <w:rFonts w:ascii="仿宋" w:hAnsi="仿宋" w:eastAsia="仿宋" w:cs="仿宋"/>
          <w:color w:val="auto"/>
          <w:sz w:val="24"/>
        </w:rPr>
      </w:pPr>
      <w:r>
        <w:rPr>
          <w:rFonts w:hint="eastAsia" w:ascii="仿宋" w:hAnsi="仿宋" w:eastAsia="仿宋" w:cs="仿宋"/>
          <w:color w:val="auto"/>
          <w:sz w:val="24"/>
        </w:rPr>
        <w:t>三、承担保证责任的程序</w:t>
      </w:r>
    </w:p>
    <w:p>
      <w:pPr>
        <w:ind w:firstLine="480" w:firstLineChars="200"/>
        <w:rPr>
          <w:rFonts w:ascii="仿宋" w:hAnsi="仿宋" w:eastAsia="仿宋" w:cs="仿宋"/>
          <w:color w:val="auto"/>
          <w:sz w:val="24"/>
        </w:rPr>
      </w:pPr>
      <w:r>
        <w:rPr>
          <w:rFonts w:hint="eastAsia" w:ascii="仿宋" w:hAnsi="仿宋" w:eastAsia="仿宋" w:cs="仿宋"/>
          <w:color w:val="auto"/>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ascii="仿宋" w:hAnsi="仿宋" w:eastAsia="仿宋" w:cs="仿宋"/>
          <w:color w:val="auto"/>
          <w:sz w:val="24"/>
        </w:rPr>
      </w:pPr>
      <w:r>
        <w:rPr>
          <w:rFonts w:hint="eastAsia" w:ascii="仿宋" w:hAnsi="仿宋" w:eastAsia="仿宋" w:cs="仿宋"/>
          <w:color w:val="auto"/>
          <w:sz w:val="24"/>
        </w:rPr>
        <w:t>如果你方与供应商因货物质量问题产生争议，你方还需同时提供</w:t>
      </w:r>
      <w:r>
        <w:rPr>
          <w:rFonts w:hint="eastAsia" w:ascii="仿宋" w:hAnsi="仿宋" w:eastAsia="仿宋" w:cs="仿宋"/>
          <w:color w:val="auto"/>
          <w:sz w:val="24"/>
          <w:u w:val="single"/>
        </w:rPr>
        <w:t xml:space="preserve">        </w:t>
      </w:r>
      <w:r>
        <w:rPr>
          <w:rFonts w:hint="eastAsia" w:ascii="仿宋" w:hAnsi="仿宋" w:eastAsia="仿宋" w:cs="仿宋"/>
          <w:color w:val="auto"/>
          <w:sz w:val="24"/>
        </w:rPr>
        <w:t>部门出具的质量检测报告，或经诉讼（仲裁）程序裁决后的裁决书、调解书，本保证人即按照检测结果或裁决书、调解书决定是否承担保证责任。</w:t>
      </w:r>
    </w:p>
    <w:p>
      <w:pPr>
        <w:ind w:firstLine="480" w:firstLineChars="200"/>
        <w:rPr>
          <w:rFonts w:ascii="仿宋" w:hAnsi="仿宋" w:eastAsia="仿宋" w:cs="仿宋"/>
          <w:color w:val="auto"/>
          <w:sz w:val="24"/>
        </w:rPr>
      </w:pPr>
      <w:r>
        <w:rPr>
          <w:rFonts w:hint="eastAsia" w:ascii="仿宋" w:hAnsi="仿宋" w:eastAsia="仿宋" w:cs="仿宋"/>
          <w:color w:val="auto"/>
          <w:sz w:val="24"/>
        </w:rPr>
        <w:t>2． 我方收到你方的书面索赔通知及相应证明材料，在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工作日内进行核定后按照本保函的承诺承担保证责任。</w:t>
      </w:r>
    </w:p>
    <w:p>
      <w:pPr>
        <w:ind w:firstLine="480" w:firstLineChars="200"/>
        <w:rPr>
          <w:rFonts w:ascii="仿宋" w:hAnsi="仿宋" w:eastAsia="仿宋" w:cs="仿宋"/>
          <w:color w:val="auto"/>
          <w:sz w:val="24"/>
        </w:rPr>
      </w:pPr>
      <w:r>
        <w:rPr>
          <w:rFonts w:hint="eastAsia" w:ascii="仿宋" w:hAnsi="仿宋" w:eastAsia="仿宋" w:cs="仿宋"/>
          <w:color w:val="auto"/>
          <w:sz w:val="24"/>
        </w:rPr>
        <w:t>四、保证责任的终止</w:t>
      </w:r>
    </w:p>
    <w:p>
      <w:pPr>
        <w:ind w:firstLine="480" w:firstLineChars="200"/>
        <w:rPr>
          <w:rFonts w:ascii="仿宋" w:hAnsi="仿宋" w:eastAsia="仿宋" w:cs="仿宋"/>
          <w:color w:val="auto"/>
          <w:sz w:val="24"/>
        </w:rPr>
      </w:pPr>
      <w:r>
        <w:rPr>
          <w:rFonts w:hint="eastAsia" w:ascii="仿宋" w:hAnsi="仿宋" w:eastAsia="仿宋" w:cs="仿宋"/>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ascii="仿宋" w:hAnsi="仿宋" w:eastAsia="仿宋" w:cs="仿宋"/>
          <w:color w:val="auto"/>
          <w:sz w:val="24"/>
        </w:rPr>
      </w:pPr>
      <w:r>
        <w:rPr>
          <w:rFonts w:hint="eastAsia" w:ascii="仿宋" w:hAnsi="仿宋" w:eastAsia="仿宋" w:cs="仿宋"/>
          <w:color w:val="auto"/>
          <w:sz w:val="24"/>
        </w:rPr>
        <w:t>2．我方按照本保函向你方履行了保证责任后，自我方向你方支付款项（支付款项从我方账户划出）之日起，保证责任即终止。</w:t>
      </w:r>
    </w:p>
    <w:p>
      <w:pPr>
        <w:ind w:firstLine="480" w:firstLineChars="200"/>
        <w:rPr>
          <w:rFonts w:ascii="仿宋" w:hAnsi="仿宋" w:eastAsia="仿宋" w:cs="仿宋"/>
          <w:color w:val="auto"/>
          <w:sz w:val="24"/>
        </w:rPr>
      </w:pPr>
      <w:r>
        <w:rPr>
          <w:rFonts w:hint="eastAsia" w:ascii="仿宋" w:hAnsi="仿宋" w:eastAsia="仿宋" w:cs="仿宋"/>
          <w:color w:val="auto"/>
          <w:sz w:val="24"/>
        </w:rPr>
        <w:t>3．按照法律法规的规定或出现应终止我方保证责任的其它情形的，我方在本保函项下的保证责任亦终止。</w:t>
      </w:r>
    </w:p>
    <w:p>
      <w:pPr>
        <w:ind w:firstLine="480" w:firstLineChars="200"/>
        <w:rPr>
          <w:rFonts w:ascii="仿宋" w:hAnsi="仿宋" w:eastAsia="仿宋" w:cs="仿宋"/>
          <w:color w:val="auto"/>
          <w:sz w:val="24"/>
        </w:rPr>
      </w:pPr>
      <w:r>
        <w:rPr>
          <w:rFonts w:hint="eastAsia" w:ascii="仿宋" w:hAnsi="仿宋" w:eastAsia="仿宋" w:cs="仿宋"/>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ascii="仿宋" w:hAnsi="仿宋" w:eastAsia="仿宋" w:cs="仿宋"/>
          <w:color w:val="auto"/>
          <w:sz w:val="24"/>
        </w:rPr>
      </w:pPr>
      <w:r>
        <w:rPr>
          <w:rFonts w:hint="eastAsia" w:ascii="仿宋" w:hAnsi="仿宋" w:eastAsia="仿宋" w:cs="仿宋"/>
          <w:color w:val="auto"/>
          <w:sz w:val="24"/>
        </w:rPr>
        <w:t>五、免责条款</w:t>
      </w:r>
    </w:p>
    <w:p>
      <w:pPr>
        <w:ind w:firstLine="480" w:firstLineChars="200"/>
        <w:rPr>
          <w:rFonts w:ascii="仿宋" w:hAnsi="仿宋" w:eastAsia="仿宋" w:cs="仿宋"/>
          <w:color w:val="auto"/>
          <w:sz w:val="24"/>
        </w:rPr>
      </w:pPr>
      <w:r>
        <w:rPr>
          <w:rFonts w:hint="eastAsia" w:ascii="仿宋" w:hAnsi="仿宋" w:eastAsia="仿宋" w:cs="仿宋"/>
          <w:color w:val="auto"/>
          <w:sz w:val="24"/>
        </w:rPr>
        <w:t>1．因你方违反主合同约定致使供应商不能履行义务的，我方不承担保证责任。</w:t>
      </w:r>
    </w:p>
    <w:p>
      <w:pPr>
        <w:ind w:firstLine="480" w:firstLineChars="200"/>
        <w:rPr>
          <w:rFonts w:ascii="仿宋" w:hAnsi="仿宋" w:eastAsia="仿宋" w:cs="仿宋"/>
          <w:color w:val="auto"/>
          <w:sz w:val="24"/>
        </w:rPr>
      </w:pPr>
      <w:r>
        <w:rPr>
          <w:rFonts w:hint="eastAsia" w:ascii="仿宋" w:hAnsi="仿宋" w:eastAsia="仿宋" w:cs="仿宋"/>
          <w:color w:val="auto"/>
          <w:sz w:val="24"/>
        </w:rPr>
        <w:t>2．依照法律法规的规定或你方与供应商的另行约定，全部或者部分免除供应商应缴纳的保证金义务的，我方亦免除相应的保证责任。</w:t>
      </w:r>
    </w:p>
    <w:p>
      <w:pPr>
        <w:ind w:firstLine="480" w:firstLineChars="200"/>
        <w:rPr>
          <w:rFonts w:ascii="仿宋" w:hAnsi="仿宋" w:eastAsia="仿宋" w:cs="仿宋"/>
          <w:color w:val="auto"/>
          <w:sz w:val="24"/>
        </w:rPr>
      </w:pPr>
      <w:r>
        <w:rPr>
          <w:rFonts w:hint="eastAsia" w:ascii="仿宋" w:hAnsi="仿宋" w:eastAsia="仿宋" w:cs="仿宋"/>
          <w:color w:val="auto"/>
          <w:sz w:val="24"/>
        </w:rPr>
        <w:t>3．因不可抗力造成供应商不能履行供货义务的，我方不承担保证责任。</w:t>
      </w:r>
    </w:p>
    <w:p>
      <w:pPr>
        <w:ind w:firstLine="480" w:firstLineChars="200"/>
        <w:rPr>
          <w:rFonts w:ascii="仿宋" w:hAnsi="仿宋" w:eastAsia="仿宋" w:cs="仿宋"/>
          <w:color w:val="auto"/>
          <w:sz w:val="24"/>
        </w:rPr>
      </w:pPr>
      <w:r>
        <w:rPr>
          <w:rFonts w:hint="eastAsia" w:ascii="仿宋" w:hAnsi="仿宋" w:eastAsia="仿宋" w:cs="仿宋"/>
          <w:color w:val="auto"/>
          <w:sz w:val="24"/>
        </w:rPr>
        <w:t>六、争议的解决</w:t>
      </w:r>
    </w:p>
    <w:p>
      <w:pPr>
        <w:ind w:firstLine="480" w:firstLineChars="200"/>
        <w:rPr>
          <w:rFonts w:ascii="仿宋" w:hAnsi="仿宋" w:eastAsia="仿宋" w:cs="仿宋"/>
          <w:color w:val="auto"/>
          <w:sz w:val="24"/>
        </w:rPr>
      </w:pPr>
      <w:r>
        <w:rPr>
          <w:rFonts w:hint="eastAsia" w:ascii="仿宋" w:hAnsi="仿宋" w:eastAsia="仿宋" w:cs="仿宋"/>
          <w:color w:val="auto"/>
          <w:sz w:val="24"/>
        </w:rPr>
        <w:t>因本保函发生的纠纷，由你我双方协商解决，协商不成的，通过诉讼程序解决，诉讼管辖地法院为</w:t>
      </w:r>
      <w:r>
        <w:rPr>
          <w:rFonts w:hint="eastAsia" w:ascii="仿宋" w:hAnsi="仿宋" w:eastAsia="仿宋" w:cs="仿宋"/>
          <w:color w:val="auto"/>
          <w:sz w:val="24"/>
          <w:u w:val="single"/>
        </w:rPr>
        <w:t xml:space="preserve">        </w:t>
      </w:r>
      <w:r>
        <w:rPr>
          <w:rFonts w:hint="eastAsia" w:ascii="仿宋" w:hAnsi="仿宋" w:eastAsia="仿宋" w:cs="仿宋"/>
          <w:color w:val="auto"/>
          <w:sz w:val="24"/>
        </w:rPr>
        <w:t>法院。</w:t>
      </w:r>
    </w:p>
    <w:p>
      <w:pPr>
        <w:ind w:firstLine="480" w:firstLineChars="200"/>
        <w:rPr>
          <w:rFonts w:ascii="仿宋" w:hAnsi="仿宋" w:eastAsia="仿宋" w:cs="仿宋"/>
          <w:color w:val="auto"/>
          <w:sz w:val="24"/>
        </w:rPr>
      </w:pPr>
      <w:r>
        <w:rPr>
          <w:rFonts w:hint="eastAsia" w:ascii="仿宋" w:hAnsi="仿宋" w:eastAsia="仿宋" w:cs="仿宋"/>
          <w:color w:val="auto"/>
          <w:sz w:val="24"/>
        </w:rPr>
        <w:t>七、保函的生效。</w:t>
      </w:r>
    </w:p>
    <w:p>
      <w:pPr>
        <w:ind w:firstLine="480" w:firstLineChars="200"/>
        <w:rPr>
          <w:rFonts w:ascii="仿宋" w:hAnsi="仿宋" w:eastAsia="仿宋" w:cs="仿宋"/>
          <w:color w:val="auto"/>
          <w:sz w:val="24"/>
        </w:rPr>
      </w:pPr>
      <w:r>
        <w:rPr>
          <w:rFonts w:hint="eastAsia" w:ascii="仿宋" w:hAnsi="仿宋" w:eastAsia="仿宋" w:cs="仿宋"/>
          <w:color w:val="auto"/>
          <w:sz w:val="24"/>
        </w:rPr>
        <w:t>本保函自我方加盖公章之日起生效。</w:t>
      </w:r>
    </w:p>
    <w:p>
      <w:pPr>
        <w:rPr>
          <w:rFonts w:ascii="仿宋" w:hAnsi="仿宋" w:eastAsia="仿宋" w:cs="仿宋"/>
          <w:color w:val="auto"/>
          <w:sz w:val="24"/>
        </w:rPr>
      </w:pPr>
      <w:r>
        <w:rPr>
          <w:rFonts w:hint="eastAsia" w:ascii="仿宋" w:hAnsi="仿宋" w:eastAsia="仿宋" w:cs="仿宋"/>
          <w:color w:val="auto"/>
          <w:sz w:val="24"/>
        </w:rPr>
        <w:t xml:space="preserve">                                      </w:t>
      </w:r>
    </w:p>
    <w:p>
      <w:pPr>
        <w:ind w:firstLine="5400" w:firstLineChars="2250"/>
        <w:rPr>
          <w:rFonts w:ascii="仿宋" w:hAnsi="仿宋" w:eastAsia="仿宋" w:cs="仿宋"/>
          <w:color w:val="auto"/>
          <w:sz w:val="24"/>
        </w:rPr>
      </w:pPr>
      <w:r>
        <w:rPr>
          <w:rFonts w:hint="eastAsia" w:ascii="仿宋" w:hAnsi="仿宋" w:eastAsia="仿宋" w:cs="仿宋"/>
          <w:color w:val="auto"/>
          <w:sz w:val="24"/>
        </w:rPr>
        <w:t>保证人：（公章）</w:t>
      </w:r>
    </w:p>
    <w:p>
      <w:pPr>
        <w:rPr>
          <w:rFonts w:ascii="仿宋" w:hAnsi="仿宋" w:eastAsia="仿宋" w:cs="仿宋"/>
          <w:color w:val="auto"/>
          <w:sz w:val="24"/>
        </w:rPr>
      </w:pPr>
      <w:r>
        <w:rPr>
          <w:rFonts w:hint="eastAsia" w:ascii="仿宋" w:hAnsi="仿宋" w:eastAsia="仿宋" w:cs="仿宋"/>
          <w:color w:val="auto"/>
          <w:sz w:val="24"/>
        </w:rPr>
        <w:t xml:space="preserve">                                                年     月      日</w:t>
      </w:r>
    </w:p>
    <w:p>
      <w:pPr>
        <w:numPr>
          <w:ilvl w:val="0"/>
          <w:numId w:val="4"/>
        </w:numPr>
        <w:spacing w:line="600" w:lineRule="exact"/>
        <w:jc w:val="center"/>
        <w:outlineLvl w:val="0"/>
        <w:rPr>
          <w:rFonts w:ascii="仿宋" w:hAnsi="仿宋" w:eastAsia="仿宋" w:cs="仿宋"/>
          <w:b/>
          <w:color w:val="auto"/>
          <w:kern w:val="44"/>
          <w:sz w:val="32"/>
          <w:szCs w:val="20"/>
        </w:rPr>
      </w:pPr>
      <w:bookmarkStart w:id="154" w:name="_Toc216582812"/>
      <w:bookmarkStart w:id="155" w:name="_Toc518923106"/>
      <w:bookmarkStart w:id="156" w:name="_Toc6923"/>
      <w:r>
        <w:rPr>
          <w:rFonts w:hint="eastAsia" w:ascii="仿宋" w:hAnsi="仿宋" w:eastAsia="仿宋" w:cs="仿宋"/>
          <w:b/>
          <w:color w:val="auto"/>
          <w:kern w:val="44"/>
          <w:sz w:val="32"/>
          <w:szCs w:val="20"/>
        </w:rPr>
        <w:t>投标文件格式</w:t>
      </w:r>
      <w:bookmarkEnd w:id="154"/>
      <w:bookmarkEnd w:id="155"/>
      <w:bookmarkEnd w:id="156"/>
    </w:p>
    <w:p>
      <w:pPr>
        <w:rPr>
          <w:color w:val="auto"/>
        </w:rPr>
      </w:pPr>
    </w:p>
    <w:p>
      <w:pPr>
        <w:pStyle w:val="5"/>
        <w:spacing w:before="0" w:line="240" w:lineRule="atLeast"/>
        <w:rPr>
          <w:rFonts w:ascii="仿宋" w:hAnsi="仿宋" w:eastAsia="仿宋" w:cs="仿宋"/>
          <w:color w:val="auto"/>
          <w:sz w:val="24"/>
        </w:rPr>
      </w:pPr>
      <w:r>
        <w:rPr>
          <w:rFonts w:hint="eastAsia" w:ascii="仿宋" w:hAnsi="仿宋" w:eastAsia="仿宋" w:cs="仿宋"/>
          <w:color w:val="auto"/>
          <w:sz w:val="24"/>
        </w:rPr>
        <w:t>第一部分 各部分封面格式</w:t>
      </w:r>
    </w:p>
    <w:p>
      <w:pPr>
        <w:shd w:val="clear" w:color="auto" w:fill="FFFFFF"/>
        <w:spacing w:line="440" w:lineRule="exact"/>
        <w:rPr>
          <w:rFonts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投标文件各部分封包</w:t>
      </w:r>
      <w:r>
        <w:rPr>
          <w:rFonts w:hint="eastAsia" w:ascii="仿宋" w:hAnsi="仿宋" w:eastAsia="仿宋" w:cs="仿宋"/>
          <w:color w:val="auto"/>
          <w:sz w:val="24"/>
          <w:lang w:val="zh-CN"/>
        </w:rPr>
        <w:t>示例）</w:t>
      </w:r>
    </w:p>
    <w:p>
      <w:pPr>
        <w:rPr>
          <w:color w:val="auto"/>
          <w:lang w:val="zh-CN"/>
        </w:rPr>
      </w:pPr>
    </w:p>
    <w:p>
      <w:pPr>
        <w:shd w:val="clear" w:color="auto" w:fill="FFFFFF"/>
        <w:spacing w:line="440" w:lineRule="exact"/>
        <w:ind w:firstLine="420"/>
        <w:jc w:val="center"/>
        <w:rPr>
          <w:rFonts w:ascii="仿宋" w:hAnsi="仿宋" w:eastAsia="仿宋" w:cs="仿宋"/>
          <w:bCs/>
          <w:color w:val="auto"/>
          <w:sz w:val="24"/>
          <w:lang w:val="zh-CN"/>
        </w:rPr>
      </w:pPr>
    </w:p>
    <w:p>
      <w:pPr>
        <w:rPr>
          <w:color w:val="auto"/>
          <w:lang w:val="zh-CN"/>
        </w:rPr>
      </w:pPr>
    </w:p>
    <w:p>
      <w:pPr>
        <w:pStyle w:val="15"/>
        <w:jc w:val="center"/>
        <w:rPr>
          <w:rFonts w:ascii="仿宋" w:hAnsi="仿宋" w:eastAsia="仿宋" w:cs="仿宋"/>
          <w:b/>
          <w:bCs/>
          <w:color w:val="auto"/>
          <w:sz w:val="36"/>
          <w:szCs w:val="44"/>
        </w:rPr>
      </w:pPr>
      <w:r>
        <w:rPr>
          <w:rFonts w:eastAsia="仿宋_GB2312"/>
          <w:b/>
          <w:bCs/>
          <w:color w:val="auto"/>
          <w:sz w:val="52"/>
        </w:rPr>
        <w:t>××××</w:t>
      </w:r>
      <w:r>
        <w:rPr>
          <w:rFonts w:hint="eastAsia" w:ascii="仿宋" w:hAnsi="仿宋" w:eastAsia="仿宋" w:cs="仿宋"/>
          <w:b/>
          <w:bCs/>
          <w:color w:val="auto"/>
          <w:sz w:val="36"/>
          <w:szCs w:val="44"/>
        </w:rPr>
        <w:t>项目</w:t>
      </w:r>
    </w:p>
    <w:p>
      <w:pPr>
        <w:jc w:val="center"/>
        <w:rPr>
          <w:rFonts w:ascii="仿宋" w:hAnsi="仿宋" w:eastAsia="仿宋" w:cs="仿宋"/>
          <w:b/>
          <w:bCs/>
          <w:color w:val="auto"/>
          <w:sz w:val="36"/>
          <w:szCs w:val="44"/>
          <w:lang w:val="zh-CN"/>
        </w:rPr>
      </w:pPr>
    </w:p>
    <w:p>
      <w:pPr>
        <w:rPr>
          <w:color w:val="auto"/>
        </w:rPr>
      </w:pPr>
    </w:p>
    <w:p>
      <w:pPr>
        <w:jc w:val="center"/>
        <w:rPr>
          <w:rFonts w:ascii="仿宋" w:hAnsi="仿宋" w:eastAsia="仿宋" w:cs="仿宋"/>
          <w:b/>
          <w:bCs/>
          <w:color w:val="auto"/>
          <w:sz w:val="32"/>
          <w:szCs w:val="40"/>
        </w:rPr>
      </w:pPr>
      <w:r>
        <w:rPr>
          <w:rFonts w:hint="eastAsia" w:ascii="仿宋" w:hAnsi="仿宋" w:eastAsia="仿宋" w:cs="仿宋"/>
          <w:b/>
          <w:bCs/>
          <w:color w:val="auto"/>
          <w:sz w:val="32"/>
          <w:szCs w:val="40"/>
        </w:rPr>
        <w:t>项目编号：GYZB-KSDZFZ2023-01……11</w:t>
      </w:r>
    </w:p>
    <w:p>
      <w:pPr>
        <w:jc w:val="center"/>
        <w:rPr>
          <w:rFonts w:ascii="仿宋" w:hAnsi="仿宋" w:eastAsia="仿宋" w:cs="仿宋"/>
          <w:b/>
          <w:bCs/>
          <w:color w:val="auto"/>
          <w:sz w:val="32"/>
          <w:szCs w:val="40"/>
        </w:rPr>
      </w:pPr>
    </w:p>
    <w:p>
      <w:pPr>
        <w:jc w:val="center"/>
        <w:rPr>
          <w:color w:val="auto"/>
          <w:lang w:val="zh-CN"/>
        </w:rPr>
      </w:pPr>
    </w:p>
    <w:p>
      <w:pPr>
        <w:pStyle w:val="11"/>
        <w:rPr>
          <w:rFonts w:ascii="仿宋" w:hAnsi="仿宋" w:eastAsia="仿宋" w:cs="仿宋"/>
          <w:b/>
          <w:color w:val="auto"/>
          <w:sz w:val="36"/>
          <w:szCs w:val="36"/>
          <w:lang w:val="zh-CN"/>
        </w:rPr>
      </w:pPr>
    </w:p>
    <w:p>
      <w:pPr>
        <w:pStyle w:val="35"/>
        <w:ind w:firstLine="723"/>
        <w:rPr>
          <w:rFonts w:ascii="仿宋" w:hAnsi="仿宋" w:eastAsia="仿宋" w:cs="仿宋"/>
          <w:b/>
          <w:color w:val="auto"/>
          <w:sz w:val="36"/>
          <w:szCs w:val="36"/>
          <w:lang w:val="zh-CN"/>
        </w:rPr>
      </w:pPr>
    </w:p>
    <w:p>
      <w:pPr>
        <w:jc w:val="center"/>
        <w:rPr>
          <w:rFonts w:ascii="仿宋" w:hAnsi="仿宋" w:eastAsia="仿宋" w:cs="仿宋"/>
          <w:b/>
          <w:color w:val="auto"/>
          <w:sz w:val="36"/>
          <w:szCs w:val="36"/>
        </w:rPr>
      </w:pPr>
      <w:r>
        <w:rPr>
          <w:rFonts w:hint="eastAsia" w:ascii="仿宋" w:hAnsi="仿宋" w:eastAsia="仿宋" w:cs="仿宋"/>
          <w:b/>
          <w:color w:val="auto"/>
          <w:sz w:val="36"/>
          <w:szCs w:val="36"/>
        </w:rPr>
        <w:t>技术投标文件</w:t>
      </w:r>
    </w:p>
    <w:p>
      <w:pPr>
        <w:jc w:val="center"/>
        <w:rPr>
          <w:rFonts w:ascii="仿宋" w:hAnsi="仿宋" w:eastAsia="仿宋" w:cs="仿宋"/>
          <w:b/>
          <w:color w:val="auto"/>
          <w:sz w:val="36"/>
          <w:szCs w:val="36"/>
        </w:rPr>
      </w:pPr>
      <w:r>
        <w:rPr>
          <w:rFonts w:hint="eastAsia" w:ascii="仿宋" w:hAnsi="仿宋" w:eastAsia="仿宋" w:cs="仿宋"/>
          <w:b/>
          <w:color w:val="auto"/>
          <w:sz w:val="36"/>
          <w:szCs w:val="36"/>
        </w:rPr>
        <w:t>(商务资信投标文件)</w:t>
      </w: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2023年2月</w:t>
      </w:r>
      <w:r>
        <w:rPr>
          <w:rFonts w:hint="eastAsia" w:ascii="仿宋" w:hAnsi="仿宋" w:eastAsia="仿宋" w:cs="仿宋"/>
          <w:b/>
          <w:bCs/>
          <w:color w:val="auto"/>
          <w:sz w:val="32"/>
          <w:szCs w:val="32"/>
        </w:rPr>
        <w:br w:type="page"/>
      </w:r>
      <w:r>
        <w:rPr>
          <w:rFonts w:hint="eastAsia" w:ascii="仿宋" w:hAnsi="仿宋" w:eastAsia="仿宋" w:cs="仿宋"/>
          <w:color w:val="auto"/>
          <w:sz w:val="24"/>
          <w:lang w:val="zh-CN"/>
        </w:rPr>
        <w:t>（</w:t>
      </w:r>
      <w:r>
        <w:rPr>
          <w:rFonts w:hint="eastAsia" w:ascii="仿宋" w:hAnsi="仿宋" w:eastAsia="仿宋" w:cs="仿宋"/>
          <w:color w:val="auto"/>
          <w:sz w:val="24"/>
        </w:rPr>
        <w:t>投标文件各部分封面</w:t>
      </w:r>
      <w:r>
        <w:rPr>
          <w:rFonts w:hint="eastAsia" w:ascii="仿宋" w:hAnsi="仿宋" w:eastAsia="仿宋" w:cs="仿宋"/>
          <w:color w:val="auto"/>
          <w:sz w:val="24"/>
          <w:lang w:val="zh-CN"/>
        </w:rPr>
        <w:t>示例）</w:t>
      </w:r>
    </w:p>
    <w:p>
      <w:pPr>
        <w:jc w:val="right"/>
        <w:rPr>
          <w:rFonts w:ascii="仿宋" w:hAnsi="仿宋" w:eastAsia="仿宋" w:cs="仿宋"/>
          <w:color w:val="auto"/>
          <w:sz w:val="24"/>
          <w:szCs w:val="32"/>
          <w:lang w:val="zh-CN"/>
        </w:rPr>
      </w:pPr>
    </w:p>
    <w:p>
      <w:pPr>
        <w:jc w:val="right"/>
        <w:rPr>
          <w:rFonts w:ascii="仿宋" w:hAnsi="仿宋" w:eastAsia="仿宋" w:cs="仿宋"/>
          <w:color w:val="auto"/>
          <w:sz w:val="24"/>
          <w:szCs w:val="32"/>
          <w:lang w:val="zh-CN"/>
        </w:rPr>
      </w:pPr>
    </w:p>
    <w:p>
      <w:pPr>
        <w:shd w:val="clear" w:color="auto" w:fill="FFFFFF"/>
        <w:spacing w:line="440" w:lineRule="exact"/>
        <w:ind w:firstLine="420"/>
        <w:jc w:val="center"/>
        <w:rPr>
          <w:rFonts w:ascii="仿宋" w:hAnsi="仿宋" w:eastAsia="仿宋" w:cs="仿宋"/>
          <w:bCs/>
          <w:color w:val="auto"/>
          <w:sz w:val="24"/>
          <w:lang w:val="zh-CN"/>
        </w:rPr>
      </w:pPr>
    </w:p>
    <w:p>
      <w:pPr>
        <w:pStyle w:val="25"/>
        <w:rPr>
          <w:color w:val="auto"/>
          <w:lang w:val="zh-CN"/>
        </w:rPr>
      </w:pPr>
    </w:p>
    <w:p>
      <w:pPr>
        <w:rPr>
          <w:color w:val="auto"/>
          <w:lang w:val="zh-CN"/>
        </w:rPr>
      </w:pPr>
    </w:p>
    <w:p>
      <w:pPr>
        <w:pStyle w:val="25"/>
        <w:rPr>
          <w:color w:val="auto"/>
          <w:lang w:val="zh-CN"/>
        </w:rPr>
      </w:pPr>
    </w:p>
    <w:p>
      <w:pPr>
        <w:pStyle w:val="15"/>
        <w:jc w:val="center"/>
        <w:rPr>
          <w:rFonts w:ascii="仿宋" w:hAnsi="仿宋" w:eastAsia="仿宋" w:cs="仿宋"/>
          <w:b/>
          <w:bCs/>
          <w:color w:val="auto"/>
          <w:sz w:val="36"/>
          <w:szCs w:val="44"/>
        </w:rPr>
      </w:pPr>
      <w:r>
        <w:rPr>
          <w:rFonts w:eastAsia="仿宋_GB2312"/>
          <w:b/>
          <w:bCs/>
          <w:color w:val="auto"/>
          <w:sz w:val="52"/>
        </w:rPr>
        <w:t>××××</w:t>
      </w:r>
      <w:r>
        <w:rPr>
          <w:rFonts w:hint="eastAsia" w:ascii="仿宋" w:hAnsi="仿宋" w:eastAsia="仿宋" w:cs="仿宋"/>
          <w:b/>
          <w:bCs/>
          <w:color w:val="auto"/>
          <w:sz w:val="36"/>
          <w:szCs w:val="44"/>
        </w:rPr>
        <w:t>项目</w:t>
      </w:r>
    </w:p>
    <w:p>
      <w:pPr>
        <w:jc w:val="center"/>
        <w:rPr>
          <w:rFonts w:ascii="仿宋" w:hAnsi="仿宋" w:eastAsia="仿宋" w:cs="仿宋"/>
          <w:b/>
          <w:bCs/>
          <w:color w:val="auto"/>
          <w:sz w:val="36"/>
          <w:szCs w:val="44"/>
          <w:lang w:val="zh-CN"/>
        </w:rPr>
      </w:pPr>
    </w:p>
    <w:p>
      <w:pPr>
        <w:rPr>
          <w:color w:val="auto"/>
        </w:rPr>
      </w:pPr>
    </w:p>
    <w:p>
      <w:pPr>
        <w:jc w:val="center"/>
        <w:rPr>
          <w:rFonts w:ascii="仿宋" w:hAnsi="仿宋" w:eastAsia="仿宋" w:cs="仿宋"/>
          <w:b/>
          <w:bCs/>
          <w:color w:val="auto"/>
          <w:sz w:val="32"/>
          <w:szCs w:val="40"/>
        </w:rPr>
      </w:pPr>
      <w:r>
        <w:rPr>
          <w:rFonts w:hint="eastAsia" w:ascii="仿宋" w:hAnsi="仿宋" w:eastAsia="仿宋" w:cs="仿宋"/>
          <w:b/>
          <w:bCs/>
          <w:color w:val="auto"/>
          <w:sz w:val="32"/>
          <w:szCs w:val="40"/>
        </w:rPr>
        <w:t>项目编号：GYZB-KSDZFZ2023-01……11</w:t>
      </w:r>
    </w:p>
    <w:p>
      <w:pPr>
        <w:jc w:val="center"/>
        <w:rPr>
          <w:rFonts w:ascii="仿宋" w:hAnsi="仿宋" w:eastAsia="仿宋" w:cs="仿宋"/>
          <w:b/>
          <w:bCs/>
          <w:color w:val="auto"/>
          <w:sz w:val="32"/>
          <w:szCs w:val="40"/>
        </w:rPr>
      </w:pPr>
    </w:p>
    <w:p>
      <w:pPr>
        <w:jc w:val="center"/>
        <w:rPr>
          <w:color w:val="auto"/>
          <w:lang w:val="zh-CN"/>
        </w:rPr>
      </w:pPr>
    </w:p>
    <w:p>
      <w:pPr>
        <w:pStyle w:val="11"/>
        <w:rPr>
          <w:rFonts w:ascii="仿宋" w:hAnsi="仿宋" w:eastAsia="仿宋" w:cs="仿宋"/>
          <w:b/>
          <w:color w:val="auto"/>
          <w:sz w:val="36"/>
          <w:szCs w:val="36"/>
          <w:lang w:val="zh-CN"/>
        </w:rPr>
      </w:pPr>
    </w:p>
    <w:p>
      <w:pPr>
        <w:pStyle w:val="35"/>
        <w:ind w:firstLine="723"/>
        <w:rPr>
          <w:rFonts w:ascii="仿宋" w:hAnsi="仿宋" w:eastAsia="仿宋" w:cs="仿宋"/>
          <w:b/>
          <w:color w:val="auto"/>
          <w:sz w:val="36"/>
          <w:szCs w:val="36"/>
          <w:lang w:val="zh-CN"/>
        </w:rPr>
      </w:pPr>
    </w:p>
    <w:p>
      <w:pPr>
        <w:jc w:val="center"/>
        <w:rPr>
          <w:rFonts w:ascii="仿宋" w:hAnsi="仿宋" w:eastAsia="仿宋" w:cs="仿宋"/>
          <w:b/>
          <w:color w:val="auto"/>
          <w:sz w:val="36"/>
          <w:szCs w:val="36"/>
        </w:rPr>
      </w:pPr>
      <w:r>
        <w:rPr>
          <w:rFonts w:hint="eastAsia" w:ascii="仿宋" w:hAnsi="仿宋" w:eastAsia="仿宋" w:cs="仿宋"/>
          <w:b/>
          <w:color w:val="auto"/>
          <w:sz w:val="36"/>
          <w:szCs w:val="36"/>
        </w:rPr>
        <w:t>技术投标文件</w:t>
      </w:r>
    </w:p>
    <w:p>
      <w:pPr>
        <w:jc w:val="center"/>
        <w:rPr>
          <w:rFonts w:ascii="仿宋" w:hAnsi="仿宋" w:eastAsia="仿宋" w:cs="仿宋"/>
          <w:b/>
          <w:color w:val="auto"/>
          <w:sz w:val="36"/>
          <w:szCs w:val="36"/>
        </w:rPr>
      </w:pPr>
      <w:r>
        <w:rPr>
          <w:rFonts w:hint="eastAsia" w:ascii="仿宋" w:hAnsi="仿宋" w:eastAsia="仿宋" w:cs="仿宋"/>
          <w:b/>
          <w:color w:val="auto"/>
          <w:sz w:val="36"/>
          <w:szCs w:val="36"/>
        </w:rPr>
        <w:t>(商务资信投标文件)</w:t>
      </w: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jc w:val="center"/>
        <w:rPr>
          <w:rFonts w:ascii="仿宋" w:hAnsi="仿宋" w:eastAsia="仿宋" w:cs="仿宋"/>
          <w:b/>
          <w:color w:val="auto"/>
          <w:sz w:val="36"/>
          <w:szCs w:val="36"/>
        </w:rPr>
      </w:pPr>
    </w:p>
    <w:p>
      <w:pPr>
        <w:keepNext/>
        <w:keepLines/>
        <w:autoSpaceDE w:val="0"/>
        <w:autoSpaceDN w:val="0"/>
        <w:adjustRightInd w:val="0"/>
        <w:spacing w:line="240" w:lineRule="atLeast"/>
        <w:jc w:val="center"/>
        <w:rPr>
          <w:rFonts w:ascii="仿宋" w:hAnsi="仿宋" w:eastAsia="仿宋" w:cs="仿宋"/>
          <w:color w:val="auto"/>
        </w:rPr>
      </w:pPr>
      <w:r>
        <w:rPr>
          <w:rFonts w:hint="eastAsia" w:ascii="仿宋" w:hAnsi="仿宋" w:eastAsia="仿宋" w:cs="仿宋"/>
          <w:b/>
          <w:bCs/>
          <w:color w:val="auto"/>
          <w:sz w:val="32"/>
          <w:szCs w:val="32"/>
        </w:rPr>
        <w:t>2023年2月</w:t>
      </w:r>
      <w:r>
        <w:rPr>
          <w:rFonts w:hint="eastAsia"/>
          <w:color w:val="auto"/>
          <w:lang w:val="zh-CN"/>
        </w:rPr>
        <w:br w:type="page"/>
      </w:r>
    </w:p>
    <w:p>
      <w:pPr>
        <w:spacing w:line="240" w:lineRule="atLeast"/>
        <w:ind w:left="735" w:leftChars="350" w:firstLine="120" w:firstLineChars="50"/>
        <w:rPr>
          <w:rFonts w:ascii="仿宋" w:hAnsi="仿宋" w:eastAsia="仿宋" w:cs="仿宋"/>
          <w:color w:val="auto"/>
          <w:sz w:val="24"/>
        </w:rPr>
      </w:pPr>
    </w:p>
    <w:p>
      <w:pPr>
        <w:pStyle w:val="5"/>
        <w:numPr>
          <w:ilvl w:val="0"/>
          <w:numId w:val="5"/>
        </w:numPr>
        <w:spacing w:before="0"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报价单</w:t>
      </w:r>
    </w:p>
    <w:p>
      <w:pPr>
        <w:rPr>
          <w:color w:val="auto"/>
        </w:rPr>
      </w:pPr>
    </w:p>
    <w:p>
      <w:pPr>
        <w:spacing w:line="240" w:lineRule="atLeast"/>
        <w:ind w:left="708" w:hanging="708" w:hangingChars="295"/>
        <w:jc w:val="center"/>
        <w:rPr>
          <w:rFonts w:ascii="仿宋" w:hAnsi="仿宋" w:eastAsia="仿宋" w:cs="仿宋"/>
          <w:color w:val="auto"/>
          <w:sz w:val="24"/>
        </w:rPr>
      </w:pPr>
    </w:p>
    <w:p>
      <w:pPr>
        <w:tabs>
          <w:tab w:val="left" w:pos="1800"/>
          <w:tab w:val="left" w:pos="5580"/>
        </w:tabs>
        <w:spacing w:line="240" w:lineRule="atLeast"/>
        <w:ind w:left="1080" w:leftChars="257" w:right="-867" w:rightChars="-413" w:hanging="540"/>
        <w:rPr>
          <w:rFonts w:ascii="仿宋" w:hAnsi="仿宋" w:eastAsia="仿宋" w:cs="仿宋"/>
          <w:color w:val="auto"/>
          <w:sz w:val="24"/>
        </w:rPr>
      </w:pPr>
      <w:r>
        <w:rPr>
          <w:rFonts w:hint="eastAsia" w:ascii="仿宋" w:hAnsi="仿宋" w:eastAsia="仿宋" w:cs="仿宋"/>
          <w:color w:val="auto"/>
          <w:sz w:val="24"/>
        </w:rPr>
        <w:t xml:space="preserve">项目名称：　                  招标编号：                   </w:t>
      </w:r>
    </w:p>
    <w:p>
      <w:pPr>
        <w:tabs>
          <w:tab w:val="left" w:pos="1800"/>
          <w:tab w:val="left" w:pos="5580"/>
        </w:tabs>
        <w:spacing w:line="240" w:lineRule="atLeast"/>
        <w:ind w:left="1080" w:leftChars="257" w:right="-867" w:rightChars="-413" w:hanging="540"/>
        <w:rPr>
          <w:rFonts w:ascii="仿宋" w:hAnsi="仿宋" w:eastAsia="仿宋" w:cs="仿宋"/>
          <w:color w:val="auto"/>
          <w:sz w:val="24"/>
        </w:rPr>
      </w:pPr>
      <w:r>
        <w:rPr>
          <w:rFonts w:hint="eastAsia" w:ascii="仿宋" w:hAnsi="仿宋" w:eastAsia="仿宋" w:cs="仿宋"/>
          <w:color w:val="auto"/>
          <w:sz w:val="24"/>
        </w:rPr>
        <w:t>报价单位：人民币</w:t>
      </w:r>
      <w:r>
        <w:rPr>
          <w:rFonts w:hint="eastAsia" w:ascii="仿宋" w:hAnsi="仿宋" w:eastAsia="仿宋" w:cs="仿宋"/>
          <w:b/>
          <w:color w:val="auto"/>
          <w:sz w:val="24"/>
        </w:rPr>
        <w:t>万元</w:t>
      </w:r>
    </w:p>
    <w:tbl>
      <w:tblPr>
        <w:tblStyle w:val="37"/>
        <w:tblW w:w="9155" w:type="dxa"/>
        <w:jc w:val="center"/>
        <w:tblLayout w:type="fixed"/>
        <w:tblCellMar>
          <w:top w:w="0" w:type="dxa"/>
          <w:left w:w="0" w:type="dxa"/>
          <w:bottom w:w="0" w:type="dxa"/>
          <w:right w:w="0" w:type="dxa"/>
        </w:tblCellMar>
      </w:tblPr>
      <w:tblGrid>
        <w:gridCol w:w="1420"/>
        <w:gridCol w:w="2340"/>
        <w:gridCol w:w="1805"/>
        <w:gridCol w:w="1445"/>
        <w:gridCol w:w="1016"/>
        <w:gridCol w:w="1129"/>
      </w:tblGrid>
      <w:tr>
        <w:tblPrEx>
          <w:tblCellMar>
            <w:top w:w="0" w:type="dxa"/>
            <w:left w:w="0" w:type="dxa"/>
            <w:bottom w:w="0" w:type="dxa"/>
            <w:right w:w="0" w:type="dxa"/>
          </w:tblCellMar>
        </w:tblPrEx>
        <w:trPr>
          <w:trHeight w:val="662" w:hRule="atLeast"/>
          <w:jc w:val="center"/>
        </w:trPr>
        <w:tc>
          <w:tcPr>
            <w:tcW w:w="1420"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ascii="仿宋" w:hAnsi="仿宋" w:eastAsia="仿宋" w:cs="仿宋"/>
                <w:color w:val="auto"/>
                <w:sz w:val="24"/>
              </w:rPr>
            </w:pPr>
            <w:r>
              <w:rPr>
                <w:rFonts w:hint="eastAsia" w:ascii="仿宋" w:hAnsi="仿宋" w:eastAsia="仿宋" w:cs="仿宋"/>
                <w:color w:val="auto"/>
                <w:sz w:val="24"/>
              </w:rPr>
              <w:t>标项名称</w:t>
            </w:r>
          </w:p>
        </w:tc>
        <w:tc>
          <w:tcPr>
            <w:tcW w:w="2340"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投标总价</w:t>
            </w:r>
          </w:p>
        </w:tc>
        <w:tc>
          <w:tcPr>
            <w:tcW w:w="180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投标保证金</w:t>
            </w:r>
          </w:p>
        </w:tc>
        <w:tc>
          <w:tcPr>
            <w:tcW w:w="1445"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履约期限</w:t>
            </w:r>
          </w:p>
        </w:tc>
        <w:tc>
          <w:tcPr>
            <w:tcW w:w="1016"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履约地点</w:t>
            </w:r>
          </w:p>
        </w:tc>
        <w:tc>
          <w:tcPr>
            <w:tcW w:w="1129"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240" w:lineRule="atLeast"/>
              <w:jc w:val="center"/>
              <w:rPr>
                <w:rFonts w:ascii="仿宋" w:hAnsi="仿宋" w:eastAsia="仿宋" w:cs="仿宋"/>
                <w:color w:val="auto"/>
                <w:sz w:val="24"/>
              </w:rPr>
            </w:pPr>
            <w:r>
              <w:rPr>
                <w:rFonts w:hint="eastAsia" w:ascii="仿宋" w:hAnsi="仿宋" w:eastAsia="仿宋" w:cs="仿宋"/>
                <w:color w:val="auto"/>
                <w:sz w:val="24"/>
              </w:rPr>
              <w:t>备注</w:t>
            </w:r>
          </w:p>
        </w:tc>
      </w:tr>
      <w:tr>
        <w:tblPrEx>
          <w:tblCellMar>
            <w:top w:w="0" w:type="dxa"/>
            <w:left w:w="0" w:type="dxa"/>
            <w:bottom w:w="0" w:type="dxa"/>
            <w:right w:w="0" w:type="dxa"/>
          </w:tblCellMar>
        </w:tblPrEx>
        <w:trPr>
          <w:cantSplit/>
          <w:trHeight w:val="1640" w:hRule="atLeast"/>
          <w:jc w:val="center"/>
        </w:trPr>
        <w:tc>
          <w:tcPr>
            <w:tcW w:w="142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80" w:leftChars="257" w:hanging="540"/>
              <w:jc w:val="center"/>
              <w:rPr>
                <w:rFonts w:ascii="仿宋" w:hAnsi="仿宋" w:eastAsia="仿宋" w:cs="仿宋"/>
                <w:color w:val="auto"/>
                <w:sz w:val="24"/>
              </w:rPr>
            </w:pPr>
          </w:p>
        </w:tc>
        <w:tc>
          <w:tcPr>
            <w:tcW w:w="2340"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大写：</w:t>
            </w:r>
          </w:p>
          <w:p>
            <w:pPr>
              <w:tabs>
                <w:tab w:val="left" w:pos="5580"/>
              </w:tabs>
              <w:spacing w:line="240" w:lineRule="atLeast"/>
              <w:jc w:val="left"/>
              <w:rPr>
                <w:rFonts w:ascii="仿宋" w:hAnsi="仿宋" w:eastAsia="仿宋" w:cs="仿宋"/>
                <w:color w:val="auto"/>
                <w:sz w:val="24"/>
              </w:rPr>
            </w:pPr>
            <w:r>
              <w:rPr>
                <w:rFonts w:hint="eastAsia" w:ascii="仿宋" w:hAnsi="仿宋" w:eastAsia="仿宋" w:cs="仿宋"/>
                <w:color w:val="auto"/>
                <w:sz w:val="24"/>
              </w:rPr>
              <w:t>小写：</w:t>
            </w:r>
          </w:p>
        </w:tc>
        <w:tc>
          <w:tcPr>
            <w:tcW w:w="180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ascii="仿宋" w:hAnsi="仿宋" w:eastAsia="仿宋" w:cs="仿宋"/>
                <w:color w:val="auto"/>
                <w:sz w:val="24"/>
              </w:rPr>
            </w:pPr>
          </w:p>
        </w:tc>
        <w:tc>
          <w:tcPr>
            <w:tcW w:w="1445"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ascii="仿宋" w:hAnsi="仿宋" w:eastAsia="仿宋" w:cs="仿宋"/>
                <w:color w:val="auto"/>
                <w:sz w:val="24"/>
              </w:rPr>
            </w:pPr>
          </w:p>
        </w:tc>
        <w:tc>
          <w:tcPr>
            <w:tcW w:w="1016"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80" w:leftChars="257" w:hanging="540"/>
              <w:jc w:val="center"/>
              <w:rPr>
                <w:rFonts w:ascii="仿宋" w:hAnsi="仿宋" w:eastAsia="仿宋" w:cs="仿宋"/>
                <w:color w:val="auto"/>
                <w:sz w:val="24"/>
              </w:rPr>
            </w:pPr>
          </w:p>
        </w:tc>
        <w:tc>
          <w:tcPr>
            <w:tcW w:w="1129"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240" w:lineRule="atLeast"/>
              <w:ind w:left="1080" w:leftChars="257" w:hanging="540"/>
              <w:jc w:val="center"/>
              <w:rPr>
                <w:rFonts w:ascii="仿宋" w:hAnsi="仿宋" w:eastAsia="仿宋" w:cs="仿宋"/>
                <w:color w:val="auto"/>
                <w:sz w:val="24"/>
              </w:rPr>
            </w:pPr>
          </w:p>
        </w:tc>
      </w:tr>
    </w:tbl>
    <w:p>
      <w:pPr>
        <w:pStyle w:val="15"/>
        <w:tabs>
          <w:tab w:val="left" w:pos="5580"/>
        </w:tabs>
        <w:spacing w:line="240" w:lineRule="atLeast"/>
        <w:ind w:left="1080" w:leftChars="257" w:hanging="540"/>
        <w:rPr>
          <w:rFonts w:ascii="仿宋" w:hAnsi="仿宋" w:eastAsia="仿宋" w:cs="仿宋"/>
          <w:color w:val="auto"/>
          <w:sz w:val="24"/>
        </w:rPr>
      </w:pPr>
    </w:p>
    <w:p>
      <w:pPr>
        <w:pStyle w:val="15"/>
        <w:tabs>
          <w:tab w:val="left" w:pos="5580"/>
        </w:tabs>
        <w:spacing w:line="240" w:lineRule="atLeast"/>
        <w:rPr>
          <w:rFonts w:ascii="仿宋" w:hAnsi="仿宋" w:eastAsia="仿宋" w:cs="仿宋"/>
          <w:color w:val="auto"/>
          <w:sz w:val="24"/>
          <w:u w:val="single"/>
        </w:rPr>
      </w:pP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供应商名称（单位章）：</w:t>
      </w:r>
      <w:r>
        <w:rPr>
          <w:rFonts w:hint="eastAsia" w:ascii="仿宋" w:hAnsi="仿宋" w:eastAsia="仿宋" w:cs="仿宋"/>
          <w:color w:val="auto"/>
          <w:sz w:val="24"/>
          <w:u w:val="single"/>
        </w:rPr>
        <w:t xml:space="preserve">                       </w:t>
      </w:r>
    </w:p>
    <w:p>
      <w:pPr>
        <w:pStyle w:val="15"/>
        <w:tabs>
          <w:tab w:val="left" w:pos="5580"/>
        </w:tabs>
        <w:spacing w:line="240" w:lineRule="atLeast"/>
        <w:ind w:left="1080" w:leftChars="257" w:hanging="540"/>
        <w:rPr>
          <w:rFonts w:ascii="仿宋" w:hAnsi="仿宋" w:eastAsia="仿宋" w:cs="仿宋"/>
          <w:color w:val="auto"/>
          <w:sz w:val="24"/>
          <w:u w:val="single"/>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u w:val="single"/>
        </w:rPr>
        <w:tab/>
      </w:r>
    </w:p>
    <w:p>
      <w:pPr>
        <w:pStyle w:val="15"/>
        <w:tabs>
          <w:tab w:val="left" w:pos="5580"/>
        </w:tabs>
        <w:spacing w:line="240" w:lineRule="atLeast"/>
        <w:rPr>
          <w:rFonts w:ascii="仿宋" w:hAnsi="仿宋" w:eastAsia="仿宋" w:cs="仿宋"/>
          <w:b/>
          <w:color w:val="auto"/>
        </w:rPr>
      </w:pPr>
    </w:p>
    <w:p>
      <w:pPr>
        <w:pStyle w:val="15"/>
        <w:tabs>
          <w:tab w:val="left" w:pos="5580"/>
        </w:tabs>
        <w:spacing w:line="240" w:lineRule="atLeast"/>
        <w:rPr>
          <w:rFonts w:ascii="仿宋" w:hAnsi="仿宋" w:eastAsia="仿宋" w:cs="仿宋"/>
          <w:color w:val="auto"/>
          <w:sz w:val="24"/>
          <w:u w:val="single"/>
        </w:rPr>
      </w:pPr>
    </w:p>
    <w:p>
      <w:pPr>
        <w:pStyle w:val="2"/>
        <w:ind w:firstLine="0"/>
        <w:rPr>
          <w:rFonts w:ascii="仿宋" w:hAnsi="仿宋" w:eastAsia="仿宋" w:cs="仿宋"/>
          <w:color w:val="auto"/>
          <w:szCs w:val="24"/>
        </w:rPr>
      </w:pPr>
      <w:bookmarkStart w:id="157" w:name="_Toc16844"/>
      <w:bookmarkStart w:id="158" w:name="_Toc518923115"/>
      <w:bookmarkStart w:id="159" w:name="_Toc480942349"/>
      <w:bookmarkStart w:id="160" w:name="_Ref467988698"/>
      <w:bookmarkStart w:id="161" w:name="_Toc520356217"/>
      <w:bookmarkStart w:id="162" w:name="_Toc216582813"/>
      <w:r>
        <w:rPr>
          <w:rFonts w:hint="eastAsia" w:ascii="仿宋" w:hAnsi="仿宋" w:eastAsia="仿宋" w:cs="仿宋"/>
          <w:color w:val="auto"/>
        </w:rPr>
        <w:br w:type="page"/>
      </w:r>
      <w:bookmarkStart w:id="163" w:name="_Toc518923103"/>
      <w:bookmarkStart w:id="164" w:name="_Toc23883"/>
      <w:r>
        <w:rPr>
          <w:rFonts w:hint="eastAsia" w:ascii="仿宋" w:hAnsi="仿宋" w:eastAsia="仿宋" w:cs="仿宋"/>
          <w:color w:val="auto"/>
          <w:szCs w:val="24"/>
        </w:rPr>
        <w:t>附件1：履约保证金保函（格式）</w:t>
      </w:r>
      <w:bookmarkEnd w:id="163"/>
      <w:bookmarkEnd w:id="164"/>
    </w:p>
    <w:p>
      <w:pPr>
        <w:pStyle w:val="15"/>
        <w:spacing w:line="240" w:lineRule="atLeast"/>
        <w:ind w:left="1080" w:leftChars="257" w:hanging="540"/>
        <w:rPr>
          <w:rFonts w:ascii="仿宋" w:hAnsi="仿宋" w:eastAsia="仿宋" w:cs="仿宋"/>
          <w:b/>
          <w:color w:val="auto"/>
          <w:sz w:val="24"/>
        </w:rPr>
      </w:pPr>
      <w:r>
        <w:rPr>
          <w:rFonts w:hint="eastAsia" w:ascii="仿宋" w:hAnsi="仿宋" w:eastAsia="仿宋" w:cs="仿宋"/>
          <w:b/>
          <w:color w:val="auto"/>
          <w:sz w:val="24"/>
        </w:rPr>
        <w:t xml:space="preserve">                         （本项目不适用）</w:t>
      </w:r>
    </w:p>
    <w:p>
      <w:pPr>
        <w:pStyle w:val="15"/>
        <w:spacing w:line="240" w:lineRule="atLeast"/>
        <w:ind w:left="1080" w:leftChars="257" w:hanging="540"/>
        <w:rPr>
          <w:rFonts w:ascii="仿宋" w:hAnsi="仿宋" w:eastAsia="仿宋" w:cs="仿宋"/>
          <w:b/>
          <w:color w:val="auto"/>
          <w:sz w:val="24"/>
        </w:rPr>
      </w:pPr>
    </w:p>
    <w:p>
      <w:pPr>
        <w:pStyle w:val="15"/>
        <w:spacing w:line="240" w:lineRule="atLeast"/>
        <w:rPr>
          <w:rFonts w:ascii="仿宋" w:hAnsi="仿宋" w:eastAsia="仿宋" w:cs="仿宋"/>
          <w:color w:val="auto"/>
          <w:sz w:val="24"/>
        </w:rPr>
      </w:pPr>
      <w:r>
        <w:rPr>
          <w:rFonts w:hint="eastAsia" w:ascii="仿宋" w:hAnsi="仿宋" w:eastAsia="仿宋" w:cs="仿宋"/>
          <w:color w:val="auto"/>
          <w:sz w:val="24"/>
        </w:rPr>
        <w:t>致: (</w:t>
      </w:r>
      <w:r>
        <w:rPr>
          <w:rFonts w:hint="eastAsia" w:ascii="仿宋" w:hAnsi="仿宋" w:eastAsia="仿宋" w:cs="仿宋"/>
          <w:i/>
          <w:color w:val="auto"/>
          <w:sz w:val="24"/>
          <w:u w:val="single"/>
        </w:rPr>
        <w:t>买方名称</w:t>
      </w:r>
      <w:r>
        <w:rPr>
          <w:rFonts w:hint="eastAsia" w:ascii="仿宋" w:hAnsi="仿宋" w:eastAsia="仿宋" w:cs="仿宋"/>
          <w:color w:val="auto"/>
          <w:sz w:val="24"/>
        </w:rPr>
        <w:t>)</w:t>
      </w:r>
    </w:p>
    <w:p>
      <w:pPr>
        <w:pStyle w:val="15"/>
        <w:spacing w:line="240" w:lineRule="atLeast"/>
        <w:ind w:left="1080" w:leftChars="257" w:hanging="540"/>
        <w:jc w:val="center"/>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号合同履约保函</w:t>
      </w:r>
    </w:p>
    <w:p>
      <w:pPr>
        <w:pStyle w:val="15"/>
        <w:spacing w:line="240" w:lineRule="atLeast"/>
        <w:ind w:left="1080" w:leftChars="257" w:hanging="540"/>
        <w:jc w:val="center"/>
        <w:rPr>
          <w:rFonts w:ascii="仿宋" w:hAnsi="仿宋" w:eastAsia="仿宋" w:cs="仿宋"/>
          <w:color w:val="auto"/>
          <w:sz w:val="24"/>
        </w:rPr>
      </w:pPr>
    </w:p>
    <w:p>
      <w:pPr>
        <w:pStyle w:val="15"/>
        <w:spacing w:line="240" w:lineRule="atLeast"/>
        <w:ind w:firstLine="600" w:firstLineChars="250"/>
        <w:rPr>
          <w:rFonts w:ascii="仿宋" w:hAnsi="仿宋" w:eastAsia="仿宋" w:cs="仿宋"/>
          <w:color w:val="auto"/>
          <w:sz w:val="24"/>
        </w:rPr>
      </w:pPr>
      <w:r>
        <w:rPr>
          <w:rFonts w:hint="eastAsia" w:ascii="仿宋" w:hAnsi="仿宋" w:eastAsia="仿宋" w:cs="仿宋"/>
          <w:color w:val="auto"/>
          <w:sz w:val="24"/>
        </w:rPr>
        <w:t>本保函作为贵方与(</w:t>
      </w:r>
      <w:r>
        <w:rPr>
          <w:rFonts w:hint="eastAsia" w:ascii="仿宋" w:hAnsi="仿宋" w:eastAsia="仿宋" w:cs="仿宋"/>
          <w:i/>
          <w:color w:val="auto"/>
          <w:sz w:val="24"/>
          <w:u w:val="single"/>
        </w:rPr>
        <w:t>卖方名称</w:t>
      </w:r>
      <w:r>
        <w:rPr>
          <w:rFonts w:hint="eastAsia" w:ascii="仿宋" w:hAnsi="仿宋" w:eastAsia="仿宋" w:cs="仿宋"/>
          <w:color w:val="auto"/>
          <w:sz w:val="24"/>
        </w:rPr>
        <w:t>)(以下简称卖方)于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日就</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项目(以下简称项目)项下提供(</w:t>
      </w:r>
      <w:r>
        <w:rPr>
          <w:rFonts w:hint="eastAsia" w:ascii="仿宋" w:hAnsi="仿宋" w:eastAsia="仿宋" w:cs="仿宋"/>
          <w:i/>
          <w:color w:val="auto"/>
          <w:sz w:val="24"/>
          <w:u w:val="single"/>
        </w:rPr>
        <w:t>服务名称</w:t>
      </w:r>
      <w:r>
        <w:rPr>
          <w:rFonts w:hint="eastAsia" w:ascii="仿宋" w:hAnsi="仿宋" w:eastAsia="仿宋" w:cs="仿宋"/>
          <w:color w:val="auto"/>
          <w:sz w:val="24"/>
        </w:rPr>
        <w:t>)(以下简称服务)签订的(</w:t>
      </w:r>
      <w:r>
        <w:rPr>
          <w:rFonts w:hint="eastAsia" w:ascii="仿宋" w:hAnsi="仿宋" w:eastAsia="仿宋" w:cs="仿宋"/>
          <w:i/>
          <w:color w:val="auto"/>
          <w:sz w:val="24"/>
          <w:u w:val="single"/>
        </w:rPr>
        <w:t>合同号</w:t>
      </w:r>
      <w:r>
        <w:rPr>
          <w:rFonts w:hint="eastAsia" w:ascii="仿宋" w:hAnsi="仿宋" w:eastAsia="仿宋" w:cs="仿宋"/>
          <w:color w:val="auto"/>
          <w:sz w:val="24"/>
        </w:rPr>
        <w:t>)号合同的履约保函。</w:t>
      </w:r>
    </w:p>
    <w:p>
      <w:pPr>
        <w:pStyle w:val="15"/>
        <w:spacing w:line="240" w:lineRule="atLeast"/>
        <w:ind w:firstLine="540" w:firstLineChars="225"/>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i/>
          <w:color w:val="auto"/>
          <w:sz w:val="24"/>
          <w:u w:val="single"/>
        </w:rPr>
        <w:t>出具保函的银行名称</w:t>
      </w:r>
      <w:r>
        <w:rPr>
          <w:rFonts w:hint="eastAsia" w:ascii="仿宋" w:hAnsi="仿宋" w:eastAsia="仿宋" w:cs="仿宋"/>
          <w:color w:val="auto"/>
          <w:sz w:val="24"/>
        </w:rPr>
        <w:t>)(以下简称银行)无条件地、不可撤销地具结保证本行、其继承人和受让人无追索地向贵方以(</w:t>
      </w:r>
      <w:r>
        <w:rPr>
          <w:rFonts w:hint="eastAsia" w:ascii="仿宋" w:hAnsi="仿宋" w:eastAsia="仿宋" w:cs="仿宋"/>
          <w:i/>
          <w:color w:val="auto"/>
          <w:sz w:val="24"/>
          <w:u w:val="single"/>
        </w:rPr>
        <w:t>货币名称</w:t>
      </w:r>
      <w:r>
        <w:rPr>
          <w:rFonts w:hint="eastAsia" w:ascii="仿宋" w:hAnsi="仿宋" w:eastAsia="仿宋" w:cs="仿宋"/>
          <w:color w:val="auto"/>
          <w:sz w:val="24"/>
        </w:rPr>
        <w:t>)支付总额不超过(</w:t>
      </w:r>
      <w:r>
        <w:rPr>
          <w:rFonts w:hint="eastAsia" w:ascii="仿宋" w:hAnsi="仿宋" w:eastAsia="仿宋" w:cs="仿宋"/>
          <w:i/>
          <w:color w:val="auto"/>
          <w:sz w:val="24"/>
          <w:u w:val="single"/>
        </w:rPr>
        <w:t>货币数量</w:t>
      </w:r>
      <w:r>
        <w:rPr>
          <w:rFonts w:hint="eastAsia" w:ascii="仿宋" w:hAnsi="仿宋" w:eastAsia="仿宋" w:cs="仿宋"/>
          <w:color w:val="auto"/>
          <w:sz w:val="24"/>
        </w:rPr>
        <w:t>),即相当于合同价格的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%,并以此约定如下:</w:t>
      </w:r>
    </w:p>
    <w:p>
      <w:pPr>
        <w:pStyle w:val="15"/>
        <w:spacing w:line="240" w:lineRule="atLeast"/>
        <w:ind w:firstLine="480" w:firstLineChars="200"/>
        <w:rPr>
          <w:rFonts w:ascii="仿宋" w:hAnsi="仿宋" w:eastAsia="仿宋" w:cs="仿宋"/>
          <w:color w:val="auto"/>
          <w:sz w:val="24"/>
        </w:rPr>
      </w:pPr>
      <w:r>
        <w:rPr>
          <w:rFonts w:hint="eastAsia" w:ascii="仿宋" w:hAnsi="仿宋" w:eastAsia="仿宋" w:cs="仿宋"/>
          <w:color w:val="auto"/>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5"/>
        <w:spacing w:line="240" w:lineRule="atLeast"/>
        <w:ind w:firstLine="480" w:firstLineChars="200"/>
        <w:rPr>
          <w:rFonts w:ascii="仿宋" w:hAnsi="仿宋" w:eastAsia="仿宋" w:cs="仿宋"/>
          <w:color w:val="auto"/>
          <w:sz w:val="24"/>
        </w:rPr>
      </w:pPr>
      <w:r>
        <w:rPr>
          <w:rFonts w:hint="eastAsia" w:ascii="仿宋" w:hAnsi="仿宋" w:eastAsia="仿宋" w:cs="仿宋"/>
          <w:color w:val="auto"/>
          <w:sz w:val="24"/>
        </w:rPr>
        <w:t>2.本保函项下的任何支付应为免税和净值。对于现有或将来的税收、关税、收费、费用扣减或预提税款，不论这些款项是何种性质和由谁征收，都不应从本保函项下的支付中扣除。</w:t>
      </w:r>
    </w:p>
    <w:p>
      <w:pPr>
        <w:pStyle w:val="15"/>
        <w:spacing w:line="240" w:lineRule="atLeast"/>
        <w:ind w:firstLine="480" w:firstLineChars="200"/>
        <w:rPr>
          <w:rFonts w:ascii="仿宋" w:hAnsi="仿宋" w:eastAsia="仿宋" w:cs="仿宋"/>
          <w:color w:val="auto"/>
          <w:sz w:val="24"/>
        </w:rPr>
      </w:pPr>
      <w:r>
        <w:rPr>
          <w:rFonts w:hint="eastAsia" w:ascii="仿宋" w:hAnsi="仿宋" w:eastAsia="仿宋" w:cs="仿宋"/>
          <w:color w:val="auto"/>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5"/>
        <w:spacing w:line="240" w:lineRule="atLeast"/>
        <w:ind w:firstLine="480" w:firstLineChars="200"/>
        <w:rPr>
          <w:rFonts w:ascii="仿宋" w:hAnsi="仿宋" w:eastAsia="仿宋" w:cs="仿宋"/>
          <w:color w:val="auto"/>
          <w:sz w:val="24"/>
        </w:rPr>
      </w:pPr>
      <w:r>
        <w:rPr>
          <w:rFonts w:hint="eastAsia" w:ascii="仿宋" w:hAnsi="仿宋" w:eastAsia="仿宋" w:cs="仿宋"/>
          <w:color w:val="auto"/>
          <w:sz w:val="24"/>
        </w:rPr>
        <w:t>4.本保函在本合同规定的保证期期满前完全有效。</w:t>
      </w:r>
    </w:p>
    <w:p>
      <w:pPr>
        <w:pStyle w:val="15"/>
        <w:spacing w:line="240" w:lineRule="atLeast"/>
        <w:ind w:left="1080" w:leftChars="257" w:hanging="540"/>
        <w:rPr>
          <w:rFonts w:ascii="仿宋" w:hAnsi="仿宋" w:eastAsia="仿宋" w:cs="仿宋"/>
          <w:color w:val="auto"/>
          <w:sz w:val="24"/>
        </w:rPr>
      </w:pPr>
    </w:p>
    <w:p>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谨启</w:t>
      </w:r>
    </w:p>
    <w:p>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出具保函银行名称：</w:t>
      </w:r>
      <w:r>
        <w:rPr>
          <w:rFonts w:hint="eastAsia" w:ascii="仿宋" w:hAnsi="仿宋" w:eastAsia="仿宋" w:cs="仿宋"/>
          <w:color w:val="auto"/>
          <w:sz w:val="24"/>
          <w:u w:val="single"/>
        </w:rPr>
        <w:t xml:space="preserve">                             </w:t>
      </w:r>
    </w:p>
    <w:p>
      <w:pPr>
        <w:pStyle w:val="15"/>
        <w:spacing w:line="240" w:lineRule="atLeast"/>
        <w:ind w:left="1080" w:leftChars="257" w:hanging="540"/>
        <w:rPr>
          <w:rFonts w:ascii="仿宋" w:hAnsi="仿宋" w:eastAsia="仿宋" w:cs="仿宋"/>
          <w:color w:val="auto"/>
          <w:sz w:val="24"/>
          <w:u w:val="single"/>
        </w:rPr>
      </w:pPr>
      <w:r>
        <w:rPr>
          <w:rFonts w:hint="eastAsia" w:ascii="仿宋" w:hAnsi="仿宋" w:eastAsia="仿宋" w:cs="仿宋"/>
          <w:color w:val="auto"/>
          <w:sz w:val="24"/>
        </w:rPr>
        <w:t>签字人姓名和职务：</w:t>
      </w:r>
      <w:r>
        <w:rPr>
          <w:rFonts w:hint="eastAsia" w:ascii="仿宋" w:hAnsi="仿宋" w:eastAsia="仿宋" w:cs="仿宋"/>
          <w:color w:val="auto"/>
          <w:sz w:val="24"/>
          <w:u w:val="single"/>
        </w:rPr>
        <w:t xml:space="preserve">                             </w:t>
      </w:r>
    </w:p>
    <w:p>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签字人签名：</w:t>
      </w:r>
      <w:r>
        <w:rPr>
          <w:rFonts w:hint="eastAsia" w:ascii="仿宋" w:hAnsi="仿宋" w:eastAsia="仿宋" w:cs="仿宋"/>
          <w:color w:val="auto"/>
          <w:sz w:val="24"/>
          <w:u w:val="single"/>
        </w:rPr>
        <w:t xml:space="preserve">                                   </w:t>
      </w:r>
    </w:p>
    <w:p>
      <w:pPr>
        <w:pStyle w:val="15"/>
        <w:spacing w:line="240" w:lineRule="atLeast"/>
        <w:ind w:left="1080" w:leftChars="257" w:hanging="540"/>
        <w:rPr>
          <w:rFonts w:ascii="仿宋" w:hAnsi="仿宋" w:eastAsia="仿宋" w:cs="仿宋"/>
          <w:color w:val="auto"/>
          <w:sz w:val="24"/>
          <w:u w:val="single"/>
        </w:rPr>
      </w:pPr>
      <w:r>
        <w:rPr>
          <w:rFonts w:hint="eastAsia" w:ascii="仿宋" w:hAnsi="仿宋" w:eastAsia="仿宋" w:cs="仿宋"/>
          <w:color w:val="auto"/>
          <w:sz w:val="24"/>
        </w:rPr>
        <w:t>公章：</w:t>
      </w:r>
      <w:r>
        <w:rPr>
          <w:rFonts w:hint="eastAsia" w:ascii="仿宋" w:hAnsi="仿宋" w:eastAsia="仿宋" w:cs="仿宋"/>
          <w:color w:val="auto"/>
          <w:sz w:val="24"/>
          <w:u w:val="single"/>
        </w:rPr>
        <w:t xml:space="preserve">                                         </w:t>
      </w:r>
    </w:p>
    <w:p>
      <w:pPr>
        <w:pStyle w:val="20"/>
        <w:tabs>
          <w:tab w:val="center" w:pos="4140"/>
          <w:tab w:val="right" w:pos="8300"/>
          <w:tab w:val="clear" w:pos="4153"/>
          <w:tab w:val="clear" w:pos="8306"/>
        </w:tabs>
        <w:spacing w:line="440" w:lineRule="exact"/>
        <w:jc w:val="center"/>
        <w:outlineLvl w:val="1"/>
        <w:rPr>
          <w:rFonts w:ascii="仿宋" w:hAnsi="仿宋" w:eastAsia="仿宋" w:cs="仿宋"/>
          <w:color w:val="auto"/>
          <w:sz w:val="24"/>
        </w:rPr>
      </w:pPr>
      <w:r>
        <w:rPr>
          <w:rFonts w:hint="eastAsia" w:ascii="仿宋" w:hAnsi="仿宋" w:eastAsia="仿宋" w:cs="仿宋"/>
          <w:color w:val="auto"/>
        </w:rPr>
        <w:br w:type="page"/>
      </w:r>
      <w:r>
        <w:rPr>
          <w:rFonts w:hint="eastAsia" w:ascii="仿宋" w:hAnsi="仿宋" w:eastAsia="仿宋" w:cs="仿宋"/>
          <w:b/>
          <w:color w:val="auto"/>
          <w:sz w:val="24"/>
        </w:rPr>
        <w:t xml:space="preserve">第三部分  </w:t>
      </w:r>
      <w:bookmarkEnd w:id="157"/>
      <w:bookmarkEnd w:id="158"/>
      <w:r>
        <w:rPr>
          <w:rFonts w:hint="eastAsia" w:ascii="仿宋" w:hAnsi="仿宋" w:eastAsia="仿宋" w:cs="仿宋"/>
          <w:b/>
          <w:color w:val="auto"/>
          <w:sz w:val="24"/>
        </w:rPr>
        <w:t>商务资信投标文件</w:t>
      </w:r>
    </w:p>
    <w:p>
      <w:pPr>
        <w:shd w:val="clear" w:color="auto" w:fill="FFFFFF"/>
        <w:spacing w:line="400" w:lineRule="exact"/>
        <w:ind w:firstLine="484" w:firstLineChars="202"/>
        <w:rPr>
          <w:rFonts w:ascii="仿宋" w:hAnsi="仿宋" w:eastAsia="仿宋" w:cs="仿宋"/>
          <w:color w:val="auto"/>
          <w:sz w:val="24"/>
          <w:lang w:val="zh-CN"/>
        </w:rPr>
      </w:pPr>
      <w:r>
        <w:rPr>
          <w:rFonts w:hint="eastAsia" w:ascii="仿宋" w:hAnsi="仿宋" w:eastAsia="仿宋" w:cs="仿宋"/>
          <w:color w:val="auto"/>
          <w:sz w:val="24"/>
          <w:lang w:val="zh-CN"/>
        </w:rPr>
        <w:t>供应商应根据采购文件的要求提供详细的</w:t>
      </w:r>
      <w:r>
        <w:rPr>
          <w:rFonts w:hint="eastAsia" w:ascii="仿宋" w:hAnsi="仿宋" w:eastAsia="仿宋" w:cs="仿宋"/>
          <w:color w:val="auto"/>
          <w:sz w:val="24"/>
        </w:rPr>
        <w:t>商务投标方案</w:t>
      </w:r>
      <w:r>
        <w:rPr>
          <w:rFonts w:hint="eastAsia" w:ascii="仿宋" w:hAnsi="仿宋" w:eastAsia="仿宋" w:cs="仿宋"/>
          <w:color w:val="auto"/>
          <w:sz w:val="24"/>
          <w:lang w:val="zh-CN"/>
        </w:rPr>
        <w:t>，参照项目的具体情况及评分标准</w:t>
      </w:r>
      <w:r>
        <w:rPr>
          <w:rFonts w:hint="eastAsia" w:ascii="仿宋" w:hAnsi="仿宋" w:eastAsia="仿宋" w:cs="仿宋"/>
          <w:color w:val="auto"/>
          <w:sz w:val="24"/>
        </w:rPr>
        <w:t>编制</w:t>
      </w:r>
      <w:r>
        <w:rPr>
          <w:rFonts w:hint="eastAsia" w:ascii="仿宋" w:hAnsi="仿宋" w:eastAsia="仿宋" w:cs="仿宋"/>
          <w:color w:val="auto"/>
          <w:sz w:val="24"/>
          <w:lang w:val="zh-CN"/>
        </w:rPr>
        <w:t>；</w:t>
      </w:r>
    </w:p>
    <w:p>
      <w:pPr>
        <w:shd w:val="clear" w:color="auto" w:fill="FFFFFF"/>
        <w:spacing w:line="400" w:lineRule="exact"/>
        <w:ind w:firstLine="484" w:firstLineChars="202"/>
        <w:rPr>
          <w:rFonts w:ascii="仿宋" w:hAnsi="仿宋" w:eastAsia="仿宋" w:cs="仿宋"/>
          <w:color w:val="auto"/>
          <w:sz w:val="24"/>
          <w:lang w:val="zh-CN"/>
        </w:rPr>
      </w:pPr>
      <w:r>
        <w:rPr>
          <w:rFonts w:hint="eastAsia" w:ascii="仿宋" w:hAnsi="仿宋" w:eastAsia="仿宋" w:cs="仿宋"/>
          <w:color w:val="auto"/>
          <w:sz w:val="24"/>
        </w:rPr>
        <w:t>标项一至十：</w:t>
      </w:r>
      <w:r>
        <w:rPr>
          <w:rFonts w:hint="eastAsia" w:ascii="仿宋" w:hAnsi="仿宋" w:eastAsia="仿宋" w:cs="仿宋"/>
          <w:color w:val="auto"/>
          <w:sz w:val="24"/>
          <w:lang w:val="zh-CN"/>
        </w:rPr>
        <w:t>商务资信投标文件将从送审材料完整性、适用表式、编制方法、预算标准、预算内容、计算和勾稽关系、与技术方案工作量平衡、预算编制说明和报价的合理性、</w:t>
      </w:r>
      <w:r>
        <w:rPr>
          <w:rFonts w:hint="eastAsia" w:ascii="仿宋" w:hAnsi="仿宋" w:eastAsia="仿宋" w:cs="仿宋"/>
          <w:color w:val="auto"/>
          <w:sz w:val="24"/>
        </w:rPr>
        <w:t>主要工作业绩和相关承诺</w:t>
      </w:r>
      <w:r>
        <w:rPr>
          <w:rFonts w:hint="eastAsia" w:ascii="仿宋" w:hAnsi="仿宋" w:eastAsia="仿宋" w:cs="仿宋"/>
          <w:color w:val="auto"/>
          <w:sz w:val="24"/>
          <w:lang w:val="zh-CN"/>
        </w:rPr>
        <w:t>等方面进行评审。</w:t>
      </w: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rPr>
        <w:t>标项十一：</w:t>
      </w:r>
      <w:r>
        <w:rPr>
          <w:rFonts w:hint="eastAsia" w:ascii="仿宋" w:hAnsi="仿宋" w:eastAsia="仿宋" w:cs="仿宋"/>
          <w:color w:val="auto"/>
          <w:sz w:val="24"/>
          <w:lang w:val="zh-CN"/>
        </w:rPr>
        <w:t>商务资信投标文件</w:t>
      </w:r>
      <w:r>
        <w:rPr>
          <w:rFonts w:hint="eastAsia" w:ascii="仿宋" w:hAnsi="仿宋" w:eastAsia="仿宋" w:cs="仿宋"/>
          <w:color w:val="auto"/>
          <w:sz w:val="24"/>
        </w:rPr>
        <w:t>将从对采购文件及合同条款的确认，投入项目人员数量满足要求，工种齐全，人员专业结构配备合理，仪器、设备配置，近三年资产状况，组织管理、质量、进度、安全的保障体系及主要措施，组织管理机构应健全，拟派出的总监、总监代表人的职称，应建立领导小组，主要业绩，相关承诺等方面进行评审。</w:t>
      </w:r>
    </w:p>
    <w:p>
      <w:pPr>
        <w:shd w:val="clear" w:color="auto" w:fill="FFFFFF"/>
        <w:spacing w:line="400" w:lineRule="exact"/>
        <w:ind w:firstLine="484" w:firstLineChars="202"/>
        <w:rPr>
          <w:rFonts w:ascii="仿宋" w:hAnsi="仿宋" w:eastAsia="仿宋" w:cs="仿宋"/>
          <w:color w:val="auto"/>
          <w:sz w:val="24"/>
          <w:lang w:val="zh-CN"/>
        </w:rPr>
      </w:pPr>
      <w:r>
        <w:rPr>
          <w:rFonts w:hint="eastAsia" w:ascii="仿宋" w:hAnsi="仿宋" w:eastAsia="仿宋" w:cs="仿宋"/>
          <w:color w:val="auto"/>
          <w:sz w:val="24"/>
        </w:rPr>
        <w:t>以下</w:t>
      </w:r>
      <w:r>
        <w:rPr>
          <w:rFonts w:hint="eastAsia" w:ascii="仿宋" w:hAnsi="仿宋" w:eastAsia="仿宋" w:cs="仿宋"/>
          <w:color w:val="auto"/>
          <w:sz w:val="24"/>
          <w:lang w:val="zh-CN"/>
        </w:rPr>
        <w:t>提供</w:t>
      </w:r>
      <w:r>
        <w:rPr>
          <w:rFonts w:hint="eastAsia" w:ascii="仿宋" w:hAnsi="仿宋" w:eastAsia="仿宋" w:cs="仿宋"/>
          <w:color w:val="auto"/>
          <w:sz w:val="24"/>
        </w:rPr>
        <w:t>部分</w:t>
      </w:r>
      <w:r>
        <w:rPr>
          <w:rFonts w:hint="eastAsia" w:ascii="仿宋" w:hAnsi="仿宋" w:eastAsia="仿宋" w:cs="仿宋"/>
          <w:color w:val="auto"/>
          <w:sz w:val="24"/>
          <w:lang w:val="zh-CN"/>
        </w:rPr>
        <w:t>投标文件格式（表格可按照同样格式扩展），</w:t>
      </w:r>
      <w:r>
        <w:rPr>
          <w:rFonts w:hint="eastAsia" w:ascii="仿宋" w:hAnsi="仿宋" w:eastAsia="仿宋" w:cs="仿宋"/>
          <w:color w:val="auto"/>
          <w:sz w:val="24"/>
        </w:rPr>
        <w:t>供应商需</w:t>
      </w:r>
      <w:r>
        <w:rPr>
          <w:rFonts w:hint="eastAsia" w:ascii="仿宋" w:hAnsi="仿宋" w:eastAsia="仿宋" w:cs="仿宋"/>
          <w:color w:val="auto"/>
          <w:sz w:val="24"/>
          <w:lang w:val="zh-CN"/>
        </w:rPr>
        <w:t>保证所提供的资料的真实性。未提供格式的，供应商可自行编制，为了便于查找，请</w:t>
      </w:r>
      <w:r>
        <w:rPr>
          <w:rFonts w:hint="eastAsia" w:ascii="仿宋" w:hAnsi="仿宋" w:eastAsia="仿宋" w:cs="仿宋"/>
          <w:color w:val="auto"/>
          <w:sz w:val="24"/>
        </w:rPr>
        <w:t>编制目录</w:t>
      </w:r>
      <w:r>
        <w:rPr>
          <w:rFonts w:hint="eastAsia" w:ascii="仿宋" w:hAnsi="仿宋" w:eastAsia="仿宋" w:cs="仿宋"/>
          <w:color w:val="auto"/>
          <w:sz w:val="24"/>
          <w:lang w:val="zh-CN"/>
        </w:rPr>
        <w:t>，并在目录中注明每项内容的页码。</w:t>
      </w:r>
    </w:p>
    <w:p>
      <w:pPr>
        <w:pStyle w:val="15"/>
        <w:ind w:left="1080" w:leftChars="257" w:hanging="540"/>
        <w:rPr>
          <w:rFonts w:ascii="仿宋" w:hAnsi="仿宋" w:eastAsia="仿宋" w:cs="仿宋"/>
          <w:color w:val="auto"/>
          <w:sz w:val="24"/>
        </w:rPr>
      </w:pP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lang w:val="zh-CN"/>
        </w:rPr>
        <w:t>提供</w:t>
      </w:r>
      <w:r>
        <w:rPr>
          <w:rFonts w:hint="eastAsia" w:ascii="仿宋" w:hAnsi="仿宋" w:eastAsia="仿宋" w:cs="仿宋"/>
          <w:color w:val="auto"/>
          <w:sz w:val="24"/>
        </w:rPr>
        <w:t>部分</w:t>
      </w:r>
      <w:r>
        <w:rPr>
          <w:rFonts w:hint="eastAsia" w:ascii="仿宋" w:hAnsi="仿宋" w:eastAsia="仿宋" w:cs="仿宋"/>
          <w:color w:val="auto"/>
          <w:sz w:val="24"/>
          <w:lang w:val="zh-CN"/>
        </w:rPr>
        <w:t>投标文件格式</w:t>
      </w:r>
      <w:r>
        <w:rPr>
          <w:rFonts w:hint="eastAsia" w:ascii="仿宋" w:hAnsi="仿宋" w:eastAsia="仿宋" w:cs="仿宋"/>
          <w:color w:val="auto"/>
          <w:sz w:val="24"/>
        </w:rPr>
        <w:t>目录</w:t>
      </w: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rPr>
        <w:t>1.投标书（投标文件格式三）</w:t>
      </w: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rPr>
        <w:t>2.投标保证金缴纳凭证复印件或政府采购投标担保函（投标文件格式四）</w:t>
      </w: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rPr>
        <w:t>3.商务条款偏离表（投标文件格式六）</w:t>
      </w: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rPr>
        <w:t>4.符合《政府采购促进中小企业发展暂行办法》、《关于政府采购支持监狱企业发展有关问题的通知》和《三部门联合发布关于促进残疾人就业政府采购政策的通知》价格扣减条件的供应商须提交）</w:t>
      </w: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rPr>
        <w:t>5-1《供应商企业类型声明函》（投标文件格式七）</w:t>
      </w: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rPr>
        <w:t>5-2《残疾人福利性单位声明函》（投标文件格式</w:t>
      </w:r>
      <w:r>
        <w:rPr>
          <w:rFonts w:hint="eastAsia" w:ascii="仿宋" w:hAnsi="仿宋" w:eastAsia="仿宋" w:cs="仿宋"/>
          <w:color w:val="auto"/>
          <w:sz w:val="24"/>
          <w:lang w:val="en-US" w:eastAsia="zh-CN"/>
        </w:rPr>
        <w:t>八</w:t>
      </w:r>
      <w:r>
        <w:rPr>
          <w:rFonts w:hint="eastAsia" w:ascii="仿宋" w:hAnsi="仿宋" w:eastAsia="仿宋" w:cs="仿宋"/>
          <w:color w:val="auto"/>
          <w:sz w:val="24"/>
        </w:rPr>
        <w:t>）</w:t>
      </w: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rPr>
        <w:t>6.供应商关联单位的说明（格式自拟）</w:t>
      </w:r>
    </w:p>
    <w:p>
      <w:pPr>
        <w:shd w:val="clear" w:color="auto" w:fill="FFFFFF"/>
        <w:spacing w:line="400" w:lineRule="exact"/>
        <w:ind w:firstLine="484" w:firstLineChars="202"/>
        <w:rPr>
          <w:rFonts w:ascii="仿宋" w:hAnsi="仿宋" w:eastAsia="仿宋" w:cs="仿宋"/>
          <w:color w:val="auto"/>
          <w:sz w:val="24"/>
        </w:rPr>
      </w:pPr>
      <w:r>
        <w:rPr>
          <w:rFonts w:hint="eastAsia" w:ascii="仿宋" w:hAnsi="仿宋" w:eastAsia="仿宋" w:cs="仿宋"/>
          <w:color w:val="auto"/>
          <w:sz w:val="24"/>
        </w:rPr>
        <w:t>7.投标文件还应包括供应商须知第10条的所有技术文件</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br w:type="page"/>
      </w:r>
    </w:p>
    <w:p>
      <w:pPr>
        <w:pStyle w:val="5"/>
        <w:spacing w:before="0" w:line="240" w:lineRule="atLeast"/>
        <w:ind w:left="1080" w:leftChars="257" w:hanging="540"/>
        <w:rPr>
          <w:rFonts w:ascii="仿宋" w:hAnsi="仿宋" w:eastAsia="仿宋" w:cs="仿宋"/>
          <w:color w:val="auto"/>
          <w:sz w:val="24"/>
        </w:rPr>
      </w:pPr>
      <w:bookmarkStart w:id="165" w:name="_Toc26126"/>
      <w:bookmarkStart w:id="166" w:name="_Toc518923116"/>
      <w:r>
        <w:rPr>
          <w:rFonts w:hint="eastAsia" w:ascii="仿宋" w:hAnsi="仿宋" w:eastAsia="仿宋" w:cs="仿宋"/>
          <w:color w:val="auto"/>
          <w:sz w:val="24"/>
        </w:rPr>
        <w:t xml:space="preserve">1   </w:t>
      </w:r>
      <w:bookmarkStart w:id="167" w:name="_Hlt520355504"/>
      <w:bookmarkEnd w:id="167"/>
      <w:r>
        <w:rPr>
          <w:rFonts w:hint="eastAsia" w:ascii="仿宋" w:hAnsi="仿宋" w:eastAsia="仿宋" w:cs="仿宋"/>
          <w:color w:val="auto"/>
          <w:sz w:val="24"/>
        </w:rPr>
        <w:t>投标</w:t>
      </w:r>
      <w:bookmarkEnd w:id="159"/>
      <w:bookmarkEnd w:id="160"/>
      <w:r>
        <w:rPr>
          <w:rFonts w:hint="eastAsia" w:ascii="仿宋" w:hAnsi="仿宋" w:eastAsia="仿宋" w:cs="仿宋"/>
          <w:color w:val="auto"/>
          <w:sz w:val="24"/>
        </w:rPr>
        <w:t>书</w:t>
      </w:r>
      <w:bookmarkEnd w:id="161"/>
      <w:r>
        <w:rPr>
          <w:rFonts w:hint="eastAsia" w:ascii="仿宋" w:hAnsi="仿宋" w:eastAsia="仿宋" w:cs="仿宋"/>
          <w:color w:val="auto"/>
          <w:sz w:val="24"/>
        </w:rPr>
        <w:t>（投标文件格式三）</w:t>
      </w:r>
      <w:bookmarkEnd w:id="162"/>
      <w:bookmarkEnd w:id="165"/>
      <w:bookmarkEnd w:id="166"/>
    </w:p>
    <w:p>
      <w:pPr>
        <w:tabs>
          <w:tab w:val="left" w:pos="5580"/>
        </w:tabs>
        <w:spacing w:line="240" w:lineRule="atLeast"/>
        <w:ind w:left="1080" w:leftChars="257" w:hanging="540"/>
        <w:rPr>
          <w:rFonts w:ascii="仿宋" w:hAnsi="仿宋" w:eastAsia="仿宋" w:cs="仿宋"/>
          <w:color w:val="auto"/>
          <w:sz w:val="24"/>
        </w:rPr>
      </w:pPr>
    </w:p>
    <w:p>
      <w:pPr>
        <w:tabs>
          <w:tab w:val="left" w:pos="5580"/>
        </w:tabs>
        <w:spacing w:line="240" w:lineRule="atLeast"/>
        <w:ind w:left="1080" w:hanging="1080"/>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新疆国源土地矿产资源交易中心（有限公司）</w:t>
      </w:r>
    </w:p>
    <w:p>
      <w:pPr>
        <w:pStyle w:val="15"/>
        <w:tabs>
          <w:tab w:val="left" w:pos="5580"/>
        </w:tabs>
        <w:spacing w:line="240" w:lineRule="atLeast"/>
        <w:ind w:left="1080" w:leftChars="257" w:hanging="540"/>
        <w:rPr>
          <w:rFonts w:ascii="仿宋" w:hAnsi="仿宋" w:eastAsia="仿宋" w:cs="仿宋"/>
          <w:color w:val="auto"/>
          <w:sz w:val="24"/>
        </w:rPr>
      </w:pPr>
    </w:p>
    <w:p>
      <w:pPr>
        <w:pStyle w:val="15"/>
        <w:tabs>
          <w:tab w:val="left" w:pos="5580"/>
        </w:tabs>
        <w:spacing w:line="240" w:lineRule="atLeast"/>
        <w:ind w:left="2" w:leftChars="1" w:firstLine="480" w:firstLineChars="200"/>
        <w:rPr>
          <w:rFonts w:ascii="仿宋" w:hAnsi="仿宋" w:eastAsia="仿宋" w:cs="仿宋"/>
          <w:color w:val="auto"/>
          <w:sz w:val="24"/>
        </w:rPr>
      </w:pPr>
      <w:r>
        <w:rPr>
          <w:rFonts w:hint="eastAsia" w:ascii="仿宋" w:hAnsi="仿宋" w:eastAsia="仿宋" w:cs="仿宋"/>
          <w:color w:val="auto"/>
          <w:sz w:val="24"/>
        </w:rPr>
        <w:t>根据贵方(</w:t>
      </w:r>
      <w:r>
        <w:rPr>
          <w:rFonts w:hint="eastAsia" w:ascii="仿宋" w:hAnsi="仿宋" w:eastAsia="仿宋" w:cs="仿宋"/>
          <w:i/>
          <w:color w:val="auto"/>
          <w:sz w:val="24"/>
          <w:u w:val="single"/>
        </w:rPr>
        <w:t>项目名称</w:t>
      </w:r>
      <w:r>
        <w:rPr>
          <w:rFonts w:hint="eastAsia" w:ascii="仿宋" w:hAnsi="仿宋" w:eastAsia="仿宋" w:cs="仿宋"/>
          <w:color w:val="auto"/>
          <w:sz w:val="24"/>
        </w:rPr>
        <w:t>)项目的投标邀请(</w:t>
      </w:r>
      <w:r>
        <w:rPr>
          <w:rFonts w:hint="eastAsia" w:ascii="仿宋" w:hAnsi="仿宋" w:eastAsia="仿宋" w:cs="仿宋"/>
          <w:i/>
          <w:color w:val="auto"/>
          <w:sz w:val="24"/>
          <w:u w:val="single"/>
        </w:rPr>
        <w:t>招标编号、包号：</w:t>
      </w:r>
      <w:r>
        <w:rPr>
          <w:rFonts w:hint="eastAsia" w:ascii="仿宋" w:hAnsi="仿宋" w:eastAsia="仿宋" w:cs="仿宋"/>
          <w:color w:val="auto"/>
          <w:sz w:val="24"/>
        </w:rPr>
        <w:t>),签字代表(</w:t>
      </w:r>
      <w:r>
        <w:rPr>
          <w:rFonts w:hint="eastAsia" w:ascii="仿宋" w:hAnsi="仿宋" w:eastAsia="仿宋" w:cs="仿宋"/>
          <w:i/>
          <w:color w:val="auto"/>
          <w:sz w:val="24"/>
          <w:u w:val="single"/>
        </w:rPr>
        <w:t>姓名、职务</w:t>
      </w:r>
      <w:r>
        <w:rPr>
          <w:rFonts w:hint="eastAsia" w:ascii="仿宋" w:hAnsi="仿宋" w:eastAsia="仿宋" w:cs="仿宋"/>
          <w:color w:val="auto"/>
          <w:sz w:val="24"/>
        </w:rPr>
        <w:t>)经正式授权并代表供应商（</w:t>
      </w:r>
      <w:r>
        <w:rPr>
          <w:rFonts w:hint="eastAsia" w:ascii="仿宋" w:hAnsi="仿宋" w:eastAsia="仿宋" w:cs="仿宋"/>
          <w:i/>
          <w:color w:val="auto"/>
          <w:sz w:val="24"/>
          <w:u w:val="single"/>
        </w:rPr>
        <w:t>名称、地址</w:t>
      </w:r>
      <w:r>
        <w:rPr>
          <w:rFonts w:hint="eastAsia" w:ascii="仿宋" w:hAnsi="仿宋" w:eastAsia="仿宋" w:cs="仿宋"/>
          <w:color w:val="auto"/>
          <w:sz w:val="24"/>
        </w:rPr>
        <w:t>）提交投标书，并以</w:t>
      </w:r>
      <w:r>
        <w:rPr>
          <w:rFonts w:hint="eastAsia" w:ascii="仿宋" w:hAnsi="仿宋" w:eastAsia="仿宋" w:cs="仿宋"/>
          <w:color w:val="auto"/>
          <w:sz w:val="24"/>
          <w:u w:val="single"/>
        </w:rPr>
        <w:t xml:space="preserve">         </w:t>
      </w:r>
      <w:r>
        <w:rPr>
          <w:rFonts w:hint="eastAsia" w:ascii="仿宋" w:hAnsi="仿宋" w:eastAsia="仿宋" w:cs="仿宋"/>
          <w:color w:val="auto"/>
          <w:sz w:val="24"/>
        </w:rPr>
        <w:t>形式出具的金额为人民币</w:t>
      </w:r>
      <w:r>
        <w:rPr>
          <w:rFonts w:hint="eastAsia" w:ascii="仿宋" w:hAnsi="仿宋" w:eastAsia="仿宋" w:cs="仿宋"/>
          <w:color w:val="auto"/>
          <w:sz w:val="24"/>
          <w:u w:val="single"/>
        </w:rPr>
        <w:t>　　　　</w:t>
      </w:r>
      <w:r>
        <w:rPr>
          <w:rFonts w:hint="eastAsia" w:ascii="仿宋" w:hAnsi="仿宋" w:eastAsia="仿宋" w:cs="仿宋"/>
          <w:color w:val="auto"/>
          <w:sz w:val="24"/>
        </w:rPr>
        <w:t>元的投标保证金。</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据此，签字代表宣布同意如下：</w:t>
      </w:r>
    </w:p>
    <w:p>
      <w:pPr>
        <w:pStyle w:val="15"/>
        <w:tabs>
          <w:tab w:val="left" w:pos="720"/>
          <w:tab w:val="left" w:pos="900"/>
        </w:tabs>
        <w:spacing w:line="240" w:lineRule="atLeast"/>
        <w:ind w:left="769" w:leftChars="257" w:hanging="229"/>
        <w:rPr>
          <w:rFonts w:ascii="仿宋" w:hAnsi="仿宋" w:eastAsia="仿宋" w:cs="仿宋"/>
          <w:color w:val="auto"/>
          <w:sz w:val="24"/>
          <w:u w:val="single"/>
        </w:rPr>
      </w:pPr>
      <w:r>
        <w:rPr>
          <w:rFonts w:hint="eastAsia" w:ascii="仿宋" w:hAnsi="仿宋" w:eastAsia="仿宋" w:cs="仿宋"/>
          <w:color w:val="auto"/>
          <w:sz w:val="24"/>
        </w:rPr>
        <w:t>（1）附投标价格表中规定的应提供服务的投标总价详见开标一览表，</w:t>
      </w:r>
      <w:r>
        <w:rPr>
          <w:rFonts w:hint="eastAsia" w:ascii="仿宋" w:hAnsi="仿宋" w:eastAsia="仿宋" w:cs="仿宋"/>
          <w:color w:val="auto"/>
          <w:sz w:val="24"/>
          <w:u w:val="single"/>
        </w:rPr>
        <w:t>其中由小型和</w:t>
      </w:r>
      <w:r>
        <w:rPr>
          <w:rFonts w:hint="eastAsia" w:ascii="仿宋" w:hAnsi="仿宋" w:eastAsia="仿宋" w:cs="仿宋"/>
          <w:color w:val="auto"/>
          <w:sz w:val="24"/>
        </w:rPr>
        <w:t>微型企业制造产品的价格为</w:t>
      </w:r>
      <w:r>
        <w:rPr>
          <w:rFonts w:hint="eastAsia" w:ascii="仿宋" w:hAnsi="仿宋" w:eastAsia="仿宋" w:cs="仿宋"/>
          <w:color w:val="auto"/>
          <w:sz w:val="24"/>
          <w:u w:val="single"/>
        </w:rPr>
        <w:t>　　  （用文字和数字表示），占投标总价   %</w:t>
      </w:r>
      <w:r>
        <w:rPr>
          <w:rFonts w:hint="eastAsia" w:ascii="仿宋" w:hAnsi="仿宋" w:eastAsia="仿宋" w:cs="仿宋"/>
          <w:color w:val="auto"/>
          <w:sz w:val="24"/>
        </w:rPr>
        <w:t>。</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（2）本投标有效期为自投标截止之日起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个日历日。</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（3）联合体中的大中型企业和其他自然人、法人或者非法人组织，与联合体中的小型、微型企业之间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存在、不存在）投资关系（如果联合体的话）。</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（4）已详细审查全部采购文件，包括所有补充通知（如果有的话），完全理解并同意放弃对这方面有不明、误解和质疑的权力。</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（5）在规定的开标时间后，遵守采购文件中有关保证金的规定。</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（6）根据供应商须知第1条规定，我方不是为本项目提供整体设计、规范编制或者项目管理、监理、检测等服务的供应商，我方不是采购代理机构的附属机构。</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（7）在领取中标通知书的同时按采购文件规定的形式，向贵方一次性支付中标服务费。</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（8）按照贵方可能要求，提供与其投标有关的一切数据或资料，完全理解贵方不一定接受最低价的投标或收到的任何投标。</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（9）按照采购文件的规定履行合同责任和义务。</w:t>
      </w:r>
    </w:p>
    <w:p>
      <w:pPr>
        <w:pStyle w:val="15"/>
        <w:tabs>
          <w:tab w:val="left" w:pos="5580"/>
        </w:tabs>
        <w:spacing w:line="240" w:lineRule="atLeast"/>
        <w:ind w:left="359" w:leftChars="68" w:hanging="216" w:hangingChars="90"/>
        <w:rPr>
          <w:rFonts w:ascii="仿宋" w:hAnsi="仿宋" w:eastAsia="仿宋" w:cs="仿宋"/>
          <w:color w:val="auto"/>
          <w:sz w:val="24"/>
        </w:rPr>
      </w:pPr>
      <w:r>
        <w:rPr>
          <w:rFonts w:hint="eastAsia" w:ascii="仿宋" w:hAnsi="仿宋" w:eastAsia="仿宋" w:cs="仿宋"/>
          <w:color w:val="auto"/>
          <w:sz w:val="24"/>
        </w:rPr>
        <w:t xml:space="preserve">  </w:t>
      </w:r>
    </w:p>
    <w:p>
      <w:pPr>
        <w:pStyle w:val="15"/>
        <w:tabs>
          <w:tab w:val="left" w:pos="5580"/>
        </w:tabs>
        <w:spacing w:line="240" w:lineRule="atLeast"/>
        <w:ind w:left="359" w:leftChars="68" w:hanging="216" w:hangingChars="90"/>
        <w:rPr>
          <w:rFonts w:ascii="仿宋" w:hAnsi="仿宋" w:eastAsia="仿宋" w:cs="仿宋"/>
          <w:color w:val="auto"/>
          <w:sz w:val="24"/>
        </w:rPr>
      </w:pPr>
      <w:r>
        <w:rPr>
          <w:rFonts w:hint="eastAsia" w:ascii="仿宋" w:hAnsi="仿宋" w:eastAsia="仿宋" w:cs="仿宋"/>
          <w:color w:val="auto"/>
          <w:sz w:val="24"/>
        </w:rPr>
        <w:t>与本投标有关的一切正式往来信函请寄：</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传真：</w:t>
      </w:r>
      <w:r>
        <w:rPr>
          <w:rFonts w:hint="eastAsia" w:ascii="仿宋" w:hAnsi="仿宋" w:eastAsia="仿宋" w:cs="仿宋"/>
          <w:color w:val="auto"/>
          <w:sz w:val="24"/>
          <w:u w:val="single"/>
        </w:rPr>
        <w:t xml:space="preserve">                             </w:t>
      </w:r>
    </w:p>
    <w:p>
      <w:pPr>
        <w:pStyle w:val="15"/>
        <w:tabs>
          <w:tab w:val="left" w:pos="5580"/>
        </w:tabs>
        <w:spacing w:line="240" w:lineRule="atLeast"/>
        <w:ind w:left="1080" w:leftChars="257" w:hanging="540"/>
        <w:rPr>
          <w:rFonts w:ascii="仿宋" w:hAnsi="仿宋" w:eastAsia="仿宋" w:cs="仿宋"/>
          <w:b/>
          <w:color w:val="auto"/>
          <w:sz w:val="24"/>
        </w:rPr>
      </w:pPr>
      <w:r>
        <w:rPr>
          <w:rFonts w:hint="eastAsia" w:ascii="仿宋" w:hAnsi="仿宋" w:eastAsia="仿宋" w:cs="仿宋"/>
          <w:color w:val="auto"/>
          <w:sz w:val="24"/>
        </w:rPr>
        <w:t>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电子函件：</w:t>
      </w:r>
      <w:r>
        <w:rPr>
          <w:rFonts w:hint="eastAsia" w:ascii="仿宋" w:hAnsi="仿宋" w:eastAsia="仿宋" w:cs="仿宋"/>
          <w:color w:val="auto"/>
          <w:sz w:val="24"/>
          <w:u w:val="single"/>
        </w:rPr>
        <w:t xml:space="preserve">                         </w:t>
      </w:r>
    </w:p>
    <w:p>
      <w:pPr>
        <w:pStyle w:val="15"/>
        <w:tabs>
          <w:tab w:val="left" w:pos="5580"/>
        </w:tabs>
        <w:spacing w:line="240" w:lineRule="atLeast"/>
        <w:ind w:left="1080" w:leftChars="257" w:hanging="540"/>
        <w:rPr>
          <w:rFonts w:ascii="仿宋" w:hAnsi="仿宋" w:eastAsia="仿宋" w:cs="仿宋"/>
          <w:color w:val="auto"/>
          <w:sz w:val="24"/>
        </w:rPr>
      </w:pP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法定代表人或其委托代理人签字：-----------------</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供应商名称（全称）：-----------------</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供应商开户银行（全称）：</w:t>
      </w:r>
      <w:r>
        <w:rPr>
          <w:rFonts w:hint="eastAsia" w:ascii="仿宋" w:hAnsi="仿宋" w:eastAsia="仿宋" w:cs="仿宋"/>
          <w:color w:val="auto"/>
          <w:sz w:val="24"/>
          <w:u w:val="single"/>
        </w:rPr>
        <w:t xml:space="preserve">　　　　　　 </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供应商银行帐号：</w:t>
      </w:r>
      <w:r>
        <w:rPr>
          <w:rFonts w:hint="eastAsia" w:ascii="仿宋" w:hAnsi="仿宋" w:eastAsia="仿宋" w:cs="仿宋"/>
          <w:color w:val="auto"/>
          <w:sz w:val="24"/>
          <w:u w:val="single"/>
        </w:rPr>
        <w:t>　　　　　　　　 　　</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供应商单位章：-------------------------</w:t>
      </w:r>
    </w:p>
    <w:p>
      <w:pPr>
        <w:pStyle w:val="15"/>
        <w:tabs>
          <w:tab w:val="left" w:pos="5580"/>
        </w:tabs>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日期-：------------------------------</w:t>
      </w:r>
    </w:p>
    <w:p>
      <w:pPr>
        <w:pStyle w:val="5"/>
        <w:spacing w:before="0" w:line="240" w:lineRule="atLeast"/>
        <w:rPr>
          <w:rFonts w:ascii="仿宋" w:hAnsi="仿宋" w:eastAsia="仿宋" w:cs="仿宋"/>
          <w:color w:val="auto"/>
          <w:sz w:val="24"/>
        </w:rPr>
      </w:pPr>
      <w:bookmarkStart w:id="168" w:name="_Hlt520356243"/>
      <w:bookmarkEnd w:id="168"/>
      <w:bookmarkStart w:id="169" w:name="_Hlt520355938"/>
      <w:bookmarkEnd w:id="169"/>
      <w:bookmarkStart w:id="170" w:name="_Toc216582815"/>
      <w:r>
        <w:rPr>
          <w:rFonts w:hint="eastAsia" w:ascii="仿宋" w:hAnsi="仿宋" w:eastAsia="仿宋" w:cs="仿宋"/>
          <w:color w:val="auto"/>
          <w:sz w:val="24"/>
        </w:rPr>
        <w:br w:type="page"/>
      </w:r>
      <w:bookmarkStart w:id="171" w:name="_Toc518923117"/>
      <w:bookmarkStart w:id="172" w:name="_Toc24886"/>
      <w:r>
        <w:rPr>
          <w:rFonts w:hint="eastAsia" w:ascii="仿宋" w:hAnsi="仿宋" w:eastAsia="仿宋" w:cs="仿宋"/>
          <w:color w:val="auto"/>
          <w:sz w:val="24"/>
        </w:rPr>
        <w:t>2   投标保证金缴纳凭证复印件或投标担保函</w:t>
      </w:r>
      <w:bookmarkEnd w:id="171"/>
      <w:bookmarkEnd w:id="172"/>
    </w:p>
    <w:p>
      <w:pPr>
        <w:ind w:firstLine="420" w:firstLineChars="200"/>
        <w:rPr>
          <w:rFonts w:ascii="仿宋" w:hAnsi="仿宋" w:eastAsia="仿宋" w:cs="仿宋"/>
          <w:color w:val="auto"/>
          <w:sz w:val="24"/>
        </w:rPr>
      </w:pPr>
      <w:bookmarkStart w:id="173" w:name="_Toc494296665"/>
      <w:bookmarkStart w:id="174" w:name="_Toc494296991"/>
      <w:r>
        <w:rPr>
          <w:rFonts w:hint="eastAsia" w:ascii="仿宋" w:hAnsi="仿宋" w:eastAsia="仿宋" w:cs="仿宋"/>
          <w:color w:val="auto"/>
        </w:rPr>
        <w:t>供应商可将本项目投标保证金支付的汇款凭证、支票、汇票或保证金收据（如有）的复印件作为缴纳凭证放在本部分，复印件上应加盖本单位章；使用银行保函等其他投标担保函的，应将担保函正本，放在本部分中；如采用政府采购信用担保形式的，应使用（投标文件格式</w:t>
      </w:r>
      <w:r>
        <w:rPr>
          <w:rFonts w:hint="eastAsia" w:ascii="仿宋" w:hAnsi="仿宋" w:eastAsia="仿宋" w:cs="仿宋"/>
          <w:color w:val="auto"/>
          <w:lang w:val="en-US" w:eastAsia="zh-CN"/>
        </w:rPr>
        <w:t>四</w:t>
      </w:r>
      <w:r>
        <w:rPr>
          <w:rFonts w:hint="eastAsia" w:ascii="仿宋" w:hAnsi="仿宋" w:eastAsia="仿宋" w:cs="仿宋"/>
          <w:color w:val="auto"/>
        </w:rPr>
        <w:t>）,将原件装订在本部分中。</w:t>
      </w:r>
      <w:bookmarkEnd w:id="173"/>
      <w:bookmarkEnd w:id="174"/>
    </w:p>
    <w:p>
      <w:pPr>
        <w:jc w:val="center"/>
        <w:rPr>
          <w:rFonts w:ascii="仿宋" w:hAnsi="仿宋" w:eastAsia="仿宋" w:cs="仿宋"/>
          <w:b/>
          <w:bCs/>
          <w:color w:val="auto"/>
          <w:sz w:val="24"/>
        </w:rPr>
      </w:pPr>
      <w:r>
        <w:rPr>
          <w:rFonts w:hint="eastAsia" w:ascii="仿宋" w:hAnsi="仿宋" w:eastAsia="仿宋" w:cs="仿宋"/>
          <w:b/>
          <w:bCs/>
          <w:color w:val="auto"/>
          <w:sz w:val="24"/>
        </w:rPr>
        <w:t>政府采购投标担保函 （项目用）（投标文件格式四）</w:t>
      </w:r>
    </w:p>
    <w:p>
      <w:pPr>
        <w:ind w:firstLine="6720" w:firstLineChars="3200"/>
        <w:rPr>
          <w:rFonts w:ascii="仿宋" w:hAnsi="仿宋" w:eastAsia="仿宋" w:cs="仿宋"/>
          <w:color w:val="auto"/>
        </w:rPr>
      </w:pPr>
      <w:r>
        <w:rPr>
          <w:rFonts w:hint="eastAsia" w:ascii="仿宋" w:hAnsi="仿宋" w:eastAsia="仿宋" w:cs="仿宋"/>
          <w:color w:val="auto"/>
        </w:rPr>
        <w:t>编号：</w:t>
      </w:r>
    </w:p>
    <w:p>
      <w:pPr>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（采购人或采购代理机构）：</w:t>
      </w:r>
    </w:p>
    <w:p>
      <w:pPr>
        <w:ind w:firstLine="420" w:firstLineChars="200"/>
        <w:rPr>
          <w:rFonts w:ascii="仿宋" w:hAnsi="仿宋" w:eastAsia="仿宋" w:cs="仿宋"/>
          <w:color w:val="auto"/>
        </w:rPr>
      </w:pPr>
      <w:r>
        <w:rPr>
          <w:rFonts w:hint="eastAsia" w:ascii="仿宋" w:hAnsi="仿宋" w:eastAsia="仿宋" w:cs="仿宋"/>
          <w:color w:val="auto"/>
        </w:rPr>
        <w:t>鉴于</w:t>
      </w:r>
      <w:r>
        <w:rPr>
          <w:rFonts w:hint="eastAsia" w:ascii="仿宋" w:hAnsi="仿宋" w:eastAsia="仿宋" w:cs="仿宋"/>
          <w:color w:val="auto"/>
          <w:u w:val="single"/>
        </w:rPr>
        <w:t xml:space="preserve">               </w:t>
      </w:r>
      <w:r>
        <w:rPr>
          <w:rFonts w:hint="eastAsia" w:ascii="仿宋" w:hAnsi="仿宋" w:eastAsia="仿宋" w:cs="仿宋"/>
          <w:color w:val="auto"/>
        </w:rPr>
        <w:t>（以下简称“供应商”）拟参加编号为</w:t>
      </w:r>
      <w:r>
        <w:rPr>
          <w:rFonts w:hint="eastAsia" w:ascii="仿宋" w:hAnsi="仿宋" w:eastAsia="仿宋" w:cs="仿宋"/>
          <w:color w:val="auto"/>
          <w:u w:val="single"/>
        </w:rPr>
        <w:t xml:space="preserve">            </w:t>
      </w:r>
      <w:r>
        <w:rPr>
          <w:rFonts w:hint="eastAsia" w:ascii="仿宋" w:hAnsi="仿宋" w:eastAsia="仿宋" w:cs="仿宋"/>
          <w:color w:val="auto"/>
        </w:rPr>
        <w:t>的</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rPr>
          <w:rFonts w:ascii="仿宋" w:hAnsi="仿宋" w:eastAsia="仿宋" w:cs="仿宋"/>
          <w:color w:val="auto"/>
        </w:rPr>
      </w:pPr>
      <w:r>
        <w:rPr>
          <w:rFonts w:hint="eastAsia" w:ascii="仿宋" w:hAnsi="仿宋" w:eastAsia="仿宋" w:cs="仿宋"/>
          <w:color w:val="auto"/>
        </w:rPr>
        <w:t>项目（以下简称“本项目”）投标，根据本项目采购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cs="仿宋"/>
          <w:color w:val="auto"/>
        </w:rPr>
      </w:pPr>
      <w:r>
        <w:rPr>
          <w:rFonts w:hint="eastAsia" w:ascii="仿宋" w:hAnsi="仿宋" w:eastAsia="仿宋" w:cs="仿宋"/>
          <w:color w:val="auto"/>
        </w:rPr>
        <w:t>一、保证责任的情形及保证金额</w:t>
      </w:r>
    </w:p>
    <w:p>
      <w:pPr>
        <w:ind w:firstLine="210" w:firstLineChars="100"/>
        <w:rPr>
          <w:rFonts w:ascii="仿宋" w:hAnsi="仿宋" w:eastAsia="仿宋" w:cs="仿宋"/>
          <w:color w:val="auto"/>
        </w:rPr>
      </w:pPr>
      <w:r>
        <w:rPr>
          <w:rFonts w:hint="eastAsia" w:ascii="仿宋" w:hAnsi="仿宋" w:eastAsia="仿宋" w:cs="仿宋"/>
          <w:color w:val="auto"/>
        </w:rPr>
        <w:t>（一）在供应商出现下列情形之一时，我方承担保证责任：</w:t>
      </w:r>
    </w:p>
    <w:p>
      <w:pPr>
        <w:ind w:firstLine="420" w:firstLineChars="200"/>
        <w:rPr>
          <w:rFonts w:ascii="仿宋" w:hAnsi="仿宋" w:eastAsia="仿宋" w:cs="仿宋"/>
          <w:color w:val="auto"/>
        </w:rPr>
      </w:pPr>
      <w:r>
        <w:rPr>
          <w:rFonts w:hint="eastAsia" w:ascii="仿宋" w:hAnsi="仿宋" w:eastAsia="仿宋" w:cs="仿宋"/>
          <w:color w:val="auto"/>
        </w:rPr>
        <w:t>1．中标后供应商无正当理由不与采购人或者采购代理机构签订《政府采购合同》；</w:t>
      </w:r>
    </w:p>
    <w:p>
      <w:pPr>
        <w:ind w:firstLine="420" w:firstLineChars="200"/>
        <w:rPr>
          <w:rFonts w:ascii="仿宋" w:hAnsi="仿宋" w:eastAsia="仿宋" w:cs="仿宋"/>
          <w:color w:val="auto"/>
        </w:rPr>
      </w:pPr>
      <w:r>
        <w:rPr>
          <w:rFonts w:hint="eastAsia" w:ascii="仿宋" w:hAnsi="仿宋" w:eastAsia="仿宋" w:cs="仿宋"/>
          <w:color w:val="auto"/>
        </w:rPr>
        <w:t>2．采购文件规定的供应商应当缴纳保证金的其他情形。</w:t>
      </w:r>
    </w:p>
    <w:p>
      <w:pPr>
        <w:ind w:firstLine="210" w:firstLineChars="100"/>
        <w:rPr>
          <w:rFonts w:ascii="仿宋" w:hAnsi="仿宋" w:eastAsia="仿宋" w:cs="仿宋"/>
          <w:color w:val="auto"/>
        </w:rPr>
      </w:pPr>
      <w:r>
        <w:rPr>
          <w:rFonts w:hint="eastAsia" w:ascii="仿宋" w:hAnsi="仿宋" w:eastAsia="仿宋" w:cs="仿宋"/>
          <w:color w:val="auto"/>
        </w:rPr>
        <w:t>（二）我方承担保证责任的最高金额为人民币</w:t>
      </w:r>
      <w:r>
        <w:rPr>
          <w:rFonts w:hint="eastAsia" w:ascii="仿宋" w:hAnsi="仿宋" w:eastAsia="仿宋" w:cs="仿宋"/>
          <w:color w:val="auto"/>
          <w:u w:val="single"/>
        </w:rPr>
        <w:t xml:space="preserve">      </w:t>
      </w:r>
      <w:r>
        <w:rPr>
          <w:rFonts w:hint="eastAsia" w:ascii="仿宋" w:hAnsi="仿宋" w:eastAsia="仿宋" w:cs="仿宋"/>
          <w:color w:val="auto"/>
        </w:rPr>
        <w:t>元（大写</w:t>
      </w:r>
      <w:r>
        <w:rPr>
          <w:rFonts w:hint="eastAsia" w:ascii="仿宋" w:hAnsi="仿宋" w:eastAsia="仿宋" w:cs="仿宋"/>
          <w:color w:val="auto"/>
          <w:u w:val="single"/>
        </w:rPr>
        <w:t xml:space="preserve">            </w:t>
      </w:r>
      <w:r>
        <w:rPr>
          <w:rFonts w:hint="eastAsia" w:ascii="仿宋" w:hAnsi="仿宋" w:eastAsia="仿宋" w:cs="仿宋"/>
          <w:color w:val="auto"/>
        </w:rPr>
        <w:t>），即本项目的投标保证金金额。</w:t>
      </w:r>
    </w:p>
    <w:p>
      <w:pPr>
        <w:ind w:firstLine="420" w:firstLineChars="200"/>
        <w:rPr>
          <w:rFonts w:ascii="仿宋" w:hAnsi="仿宋" w:eastAsia="仿宋" w:cs="仿宋"/>
          <w:color w:val="auto"/>
        </w:rPr>
      </w:pPr>
      <w:r>
        <w:rPr>
          <w:rFonts w:hint="eastAsia" w:ascii="仿宋" w:hAnsi="仿宋" w:eastAsia="仿宋" w:cs="仿宋"/>
          <w:color w:val="auto"/>
        </w:rPr>
        <w:t>二、保证的方式及保证期间</w:t>
      </w:r>
    </w:p>
    <w:p>
      <w:pPr>
        <w:ind w:firstLine="420" w:firstLineChars="200"/>
        <w:rPr>
          <w:rFonts w:ascii="仿宋" w:hAnsi="仿宋" w:eastAsia="仿宋" w:cs="仿宋"/>
          <w:color w:val="auto"/>
        </w:rPr>
      </w:pPr>
      <w:r>
        <w:rPr>
          <w:rFonts w:hint="eastAsia" w:ascii="仿宋" w:hAnsi="仿宋" w:eastAsia="仿宋" w:cs="仿宋"/>
          <w:color w:val="auto"/>
        </w:rPr>
        <w:t>我方保证的方式为：连带责任保证。</w:t>
      </w:r>
    </w:p>
    <w:p>
      <w:pPr>
        <w:ind w:firstLine="420" w:firstLineChars="200"/>
        <w:rPr>
          <w:rFonts w:ascii="仿宋" w:hAnsi="仿宋" w:eastAsia="仿宋" w:cs="仿宋"/>
          <w:color w:val="auto"/>
        </w:rPr>
      </w:pPr>
      <w:r>
        <w:rPr>
          <w:rFonts w:hint="eastAsia" w:ascii="仿宋" w:hAnsi="仿宋" w:eastAsia="仿宋" w:cs="仿宋"/>
          <w:color w:val="auto"/>
        </w:rPr>
        <w:t>我方的保证期间为：自本保函生效之日起</w:t>
      </w:r>
      <w:r>
        <w:rPr>
          <w:rFonts w:hint="eastAsia" w:ascii="仿宋" w:hAnsi="仿宋" w:eastAsia="仿宋" w:cs="仿宋"/>
          <w:color w:val="auto"/>
          <w:u w:val="single"/>
        </w:rPr>
        <w:t xml:space="preserve">    </w:t>
      </w:r>
      <w:r>
        <w:rPr>
          <w:rFonts w:hint="eastAsia" w:ascii="仿宋" w:hAnsi="仿宋" w:eastAsia="仿宋" w:cs="仿宋"/>
          <w:color w:val="auto"/>
        </w:rPr>
        <w:t>个月止。</w:t>
      </w:r>
    </w:p>
    <w:p>
      <w:pPr>
        <w:ind w:firstLine="420" w:firstLineChars="200"/>
        <w:rPr>
          <w:rFonts w:ascii="仿宋" w:hAnsi="仿宋" w:eastAsia="仿宋" w:cs="仿宋"/>
          <w:color w:val="auto"/>
        </w:rPr>
      </w:pPr>
      <w:r>
        <w:rPr>
          <w:rFonts w:hint="eastAsia" w:ascii="仿宋" w:hAnsi="仿宋" w:eastAsia="仿宋" w:cs="仿宋"/>
          <w:color w:val="auto"/>
        </w:rPr>
        <w:t>三、承担保证责任的程序</w:t>
      </w:r>
    </w:p>
    <w:p>
      <w:pPr>
        <w:ind w:firstLine="420" w:firstLineChars="200"/>
        <w:rPr>
          <w:rFonts w:ascii="仿宋" w:hAnsi="仿宋" w:eastAsia="仿宋" w:cs="仿宋"/>
          <w:color w:val="auto"/>
        </w:rPr>
      </w:pPr>
      <w:r>
        <w:rPr>
          <w:rFonts w:hint="eastAsia" w:ascii="仿宋" w:hAnsi="仿宋" w:eastAsia="仿宋" w:cs="仿宋"/>
          <w:color w:val="auto"/>
        </w:rPr>
        <w:t>1．你方要求我方承担保证责任的，应在本保函保证期间内向我方发出书面索赔通知。索赔通知应写明要求索赔的金额，支付款项应到达的账号，并附有证明供应商发生我方应承担保证责任情形的事实材料。</w:t>
      </w:r>
    </w:p>
    <w:p>
      <w:pPr>
        <w:ind w:firstLine="420" w:firstLineChars="200"/>
        <w:rPr>
          <w:rFonts w:ascii="仿宋" w:hAnsi="仿宋" w:eastAsia="仿宋" w:cs="仿宋"/>
          <w:color w:val="auto"/>
        </w:rPr>
      </w:pPr>
      <w:r>
        <w:rPr>
          <w:rFonts w:hint="eastAsia" w:ascii="仿宋" w:hAnsi="仿宋" w:eastAsia="仿宋" w:cs="仿宋"/>
          <w:color w:val="auto"/>
        </w:rPr>
        <w:t>2．我方在收到索赔通知及相关证明材料后，在</w:t>
      </w:r>
      <w:r>
        <w:rPr>
          <w:rFonts w:hint="eastAsia" w:ascii="仿宋" w:hAnsi="仿宋" w:eastAsia="仿宋" w:cs="仿宋"/>
          <w:color w:val="auto"/>
          <w:u w:val="single"/>
        </w:rPr>
        <w:t>　　　</w:t>
      </w:r>
      <w:r>
        <w:rPr>
          <w:rFonts w:hint="eastAsia" w:ascii="仿宋" w:hAnsi="仿宋" w:eastAsia="仿宋" w:cs="仿宋"/>
          <w:color w:val="auto"/>
        </w:rPr>
        <w:t>个工作日内进行审查，符合应承担保证责任情形的，我方应按照你方的要求代供应商向你方支付投标保证金。</w:t>
      </w:r>
    </w:p>
    <w:p>
      <w:pPr>
        <w:ind w:firstLine="420" w:firstLineChars="200"/>
        <w:rPr>
          <w:rFonts w:ascii="仿宋" w:hAnsi="仿宋" w:eastAsia="仿宋" w:cs="仿宋"/>
          <w:color w:val="auto"/>
        </w:rPr>
      </w:pPr>
      <w:r>
        <w:rPr>
          <w:rFonts w:hint="eastAsia" w:ascii="仿宋" w:hAnsi="仿宋" w:eastAsia="仿宋" w:cs="仿宋"/>
          <w:color w:val="auto"/>
        </w:rPr>
        <w:t>四、保证责任的终止</w:t>
      </w:r>
    </w:p>
    <w:p>
      <w:pPr>
        <w:ind w:firstLine="420" w:firstLineChars="200"/>
        <w:rPr>
          <w:rFonts w:ascii="仿宋" w:hAnsi="仿宋" w:eastAsia="仿宋" w:cs="仿宋"/>
          <w:color w:val="auto"/>
        </w:rPr>
      </w:pPr>
      <w:r>
        <w:rPr>
          <w:rFonts w:hint="eastAsia" w:ascii="仿宋" w:hAnsi="仿宋" w:eastAsia="仿宋" w:cs="仿宋"/>
          <w:color w:val="auto"/>
        </w:rPr>
        <w:t>1．保证期间届满你方未向我方书面主张保证责任的，自保证期间届满次日起，我方保证责任自动终止。</w:t>
      </w:r>
    </w:p>
    <w:p>
      <w:pPr>
        <w:ind w:firstLine="420" w:firstLineChars="200"/>
        <w:rPr>
          <w:rFonts w:ascii="仿宋" w:hAnsi="仿宋" w:eastAsia="仿宋" w:cs="仿宋"/>
          <w:color w:val="auto"/>
        </w:rPr>
      </w:pPr>
      <w:r>
        <w:rPr>
          <w:rFonts w:hint="eastAsia" w:ascii="仿宋" w:hAnsi="仿宋" w:eastAsia="仿宋" w:cs="仿宋"/>
          <w:color w:val="auto"/>
        </w:rPr>
        <w:t>2．我方按照本保函向你贵方履行了保证责任后，自我方向你贵方支付款项（支付款项从我方账户划出）之日起，保证责任终止。</w:t>
      </w:r>
    </w:p>
    <w:p>
      <w:pPr>
        <w:ind w:firstLine="420" w:firstLineChars="200"/>
        <w:rPr>
          <w:rFonts w:ascii="仿宋" w:hAnsi="仿宋" w:eastAsia="仿宋" w:cs="仿宋"/>
          <w:color w:val="auto"/>
        </w:rPr>
      </w:pPr>
      <w:r>
        <w:rPr>
          <w:rFonts w:hint="eastAsia" w:ascii="仿宋" w:hAnsi="仿宋" w:eastAsia="仿宋" w:cs="仿宋"/>
          <w:color w:val="auto"/>
        </w:rPr>
        <w:t>3．按照法律法规的规定或出现我方保证责任终止的其它情形的，我方在本保函项下的保证责任亦终止。</w:t>
      </w:r>
    </w:p>
    <w:p>
      <w:pPr>
        <w:ind w:firstLine="420" w:firstLineChars="200"/>
        <w:rPr>
          <w:rFonts w:ascii="仿宋" w:hAnsi="仿宋" w:eastAsia="仿宋" w:cs="仿宋"/>
          <w:color w:val="auto"/>
        </w:rPr>
      </w:pPr>
      <w:r>
        <w:rPr>
          <w:rFonts w:hint="eastAsia" w:ascii="仿宋" w:hAnsi="仿宋" w:eastAsia="仿宋" w:cs="仿宋"/>
          <w:color w:val="auto"/>
        </w:rPr>
        <w:t>五、免责条款</w:t>
      </w:r>
    </w:p>
    <w:p>
      <w:pPr>
        <w:ind w:firstLine="420" w:firstLineChars="200"/>
        <w:rPr>
          <w:rFonts w:ascii="仿宋" w:hAnsi="仿宋" w:eastAsia="仿宋" w:cs="仿宋"/>
          <w:color w:val="auto"/>
        </w:rPr>
      </w:pPr>
      <w:r>
        <w:rPr>
          <w:rFonts w:hint="eastAsia" w:ascii="仿宋" w:hAnsi="仿宋" w:eastAsia="仿宋" w:cs="仿宋"/>
          <w:color w:val="auto"/>
        </w:rPr>
        <w:t>1．依照法律规定或你方与供应商的另行约定，全部或者部分免除供应商投标保证金义务时，我方亦免除相应的保证责任。</w:t>
      </w:r>
    </w:p>
    <w:p>
      <w:pPr>
        <w:ind w:firstLine="420" w:firstLineChars="200"/>
        <w:rPr>
          <w:rFonts w:ascii="仿宋" w:hAnsi="仿宋" w:eastAsia="仿宋" w:cs="仿宋"/>
          <w:color w:val="auto"/>
        </w:rPr>
      </w:pPr>
      <w:r>
        <w:rPr>
          <w:rFonts w:hint="eastAsia" w:ascii="仿宋" w:hAnsi="仿宋" w:eastAsia="仿宋" w:cs="仿宋"/>
          <w:color w:val="auto"/>
        </w:rPr>
        <w:t>2．因你方原因致使供应商发生本保函第一条第（一）款约定情形的，我方不承担保证责任。</w:t>
      </w:r>
    </w:p>
    <w:p>
      <w:pPr>
        <w:ind w:firstLine="420" w:firstLineChars="200"/>
        <w:rPr>
          <w:rFonts w:ascii="仿宋" w:hAnsi="仿宋" w:eastAsia="仿宋" w:cs="仿宋"/>
          <w:color w:val="auto"/>
        </w:rPr>
      </w:pPr>
      <w:r>
        <w:rPr>
          <w:rFonts w:hint="eastAsia" w:ascii="仿宋" w:hAnsi="仿宋" w:eastAsia="仿宋" w:cs="仿宋"/>
          <w:color w:val="auto"/>
        </w:rPr>
        <w:t>3．因不可抗力造成供应商发生本保函第一条约定情形的，我方不承担保证责任。</w:t>
      </w:r>
    </w:p>
    <w:p>
      <w:pPr>
        <w:ind w:firstLine="420" w:firstLineChars="200"/>
        <w:rPr>
          <w:rFonts w:ascii="仿宋" w:hAnsi="仿宋" w:eastAsia="仿宋" w:cs="仿宋"/>
          <w:color w:val="auto"/>
        </w:rPr>
      </w:pPr>
      <w:r>
        <w:rPr>
          <w:rFonts w:hint="eastAsia" w:ascii="仿宋" w:hAnsi="仿宋" w:eastAsia="仿宋" w:cs="仿宋"/>
          <w:color w:val="auto"/>
        </w:rPr>
        <w:t>4．你方或其他有权机关对采购文件进行任何澄清或修改，加重我方保证责任的，我方对加重部分不承担保证责任，但该澄清或修改经我方事先书面同意的除外。</w:t>
      </w:r>
    </w:p>
    <w:p>
      <w:pPr>
        <w:ind w:firstLine="420" w:firstLineChars="200"/>
        <w:rPr>
          <w:rFonts w:ascii="仿宋" w:hAnsi="仿宋" w:eastAsia="仿宋" w:cs="仿宋"/>
          <w:color w:val="auto"/>
        </w:rPr>
      </w:pPr>
      <w:r>
        <w:rPr>
          <w:rFonts w:hint="eastAsia" w:ascii="仿宋" w:hAnsi="仿宋" w:eastAsia="仿宋" w:cs="仿宋"/>
          <w:color w:val="auto"/>
        </w:rPr>
        <w:t>六、争议的解决</w:t>
      </w:r>
    </w:p>
    <w:p>
      <w:pPr>
        <w:ind w:firstLine="420" w:firstLineChars="200"/>
        <w:rPr>
          <w:rFonts w:ascii="仿宋" w:hAnsi="仿宋" w:eastAsia="仿宋" w:cs="仿宋"/>
          <w:color w:val="auto"/>
        </w:rPr>
      </w:pPr>
      <w:r>
        <w:rPr>
          <w:rFonts w:hint="eastAsia" w:ascii="仿宋" w:hAnsi="仿宋" w:eastAsia="仿宋" w:cs="仿宋"/>
          <w:color w:val="auto"/>
        </w:rPr>
        <w:t>因本保函发生的纠纷，由你我双方协商解决，协商不成的，通过诉讼程序解决，诉讼管辖地法院为</w:t>
      </w:r>
      <w:r>
        <w:rPr>
          <w:rFonts w:hint="eastAsia" w:ascii="仿宋" w:hAnsi="仿宋" w:eastAsia="仿宋" w:cs="仿宋"/>
          <w:color w:val="auto"/>
          <w:u w:val="single"/>
        </w:rPr>
        <w:t xml:space="preserve">          </w:t>
      </w:r>
      <w:r>
        <w:rPr>
          <w:rFonts w:hint="eastAsia" w:ascii="仿宋" w:hAnsi="仿宋" w:eastAsia="仿宋" w:cs="仿宋"/>
          <w:color w:val="auto"/>
        </w:rPr>
        <w:t>法院。</w:t>
      </w:r>
    </w:p>
    <w:p>
      <w:pPr>
        <w:ind w:firstLine="420" w:firstLineChars="200"/>
        <w:rPr>
          <w:rFonts w:ascii="仿宋" w:hAnsi="仿宋" w:eastAsia="仿宋" w:cs="仿宋"/>
          <w:color w:val="auto"/>
        </w:rPr>
      </w:pPr>
      <w:r>
        <w:rPr>
          <w:rFonts w:hint="eastAsia" w:ascii="仿宋" w:hAnsi="仿宋" w:eastAsia="仿宋" w:cs="仿宋"/>
          <w:color w:val="auto"/>
        </w:rPr>
        <w:t>七、保函的生效</w:t>
      </w:r>
    </w:p>
    <w:p>
      <w:pPr>
        <w:ind w:firstLine="420" w:firstLineChars="200"/>
        <w:rPr>
          <w:rFonts w:ascii="仿宋" w:hAnsi="仿宋" w:eastAsia="仿宋" w:cs="仿宋"/>
          <w:color w:val="auto"/>
        </w:rPr>
      </w:pPr>
      <w:r>
        <w:rPr>
          <w:rFonts w:hint="eastAsia" w:ascii="仿宋" w:hAnsi="仿宋" w:eastAsia="仿宋" w:cs="仿宋"/>
          <w:color w:val="auto"/>
        </w:rPr>
        <w:t>本保函自我方加盖公章之日起生效。</w:t>
      </w:r>
    </w:p>
    <w:p>
      <w:pPr>
        <w:ind w:firstLine="5565" w:firstLineChars="2650"/>
        <w:rPr>
          <w:rFonts w:ascii="仿宋" w:hAnsi="仿宋" w:eastAsia="仿宋" w:cs="仿宋"/>
          <w:color w:val="auto"/>
        </w:rPr>
      </w:pPr>
      <w:r>
        <w:rPr>
          <w:rFonts w:hint="eastAsia" w:ascii="仿宋" w:hAnsi="仿宋" w:eastAsia="仿宋" w:cs="仿宋"/>
          <w:color w:val="auto"/>
        </w:rPr>
        <w:t>保证人：（公章）</w:t>
      </w:r>
    </w:p>
    <w:p>
      <w:pPr>
        <w:rPr>
          <w:rFonts w:ascii="仿宋" w:hAnsi="仿宋" w:eastAsia="仿宋" w:cs="仿宋"/>
          <w:color w:val="auto"/>
        </w:rPr>
      </w:pPr>
      <w:r>
        <w:rPr>
          <w:rFonts w:hint="eastAsia" w:ascii="仿宋" w:hAnsi="仿宋" w:eastAsia="仿宋" w:cs="仿宋"/>
          <w:color w:val="auto"/>
        </w:rPr>
        <w:t xml:space="preserve">                               </w:t>
      </w:r>
    </w:p>
    <w:p>
      <w:pPr>
        <w:ind w:firstLine="5775" w:firstLineChars="2750"/>
        <w:rPr>
          <w:rFonts w:ascii="仿宋" w:hAnsi="仿宋" w:eastAsia="仿宋" w:cs="仿宋"/>
          <w:color w:val="auto"/>
        </w:rPr>
      </w:pPr>
      <w:r>
        <w:rPr>
          <w:rFonts w:hint="eastAsia" w:ascii="仿宋" w:hAnsi="仿宋" w:eastAsia="仿宋" w:cs="仿宋"/>
          <w:color w:val="auto"/>
        </w:rPr>
        <w:t>年     月      日</w:t>
      </w:r>
      <w:r>
        <w:rPr>
          <w:rFonts w:hint="eastAsia" w:ascii="仿宋" w:hAnsi="仿宋" w:eastAsia="仿宋" w:cs="仿宋"/>
          <w:color w:val="auto"/>
        </w:rPr>
        <w:br w:type="page"/>
      </w:r>
    </w:p>
    <w:bookmarkEnd w:id="170"/>
    <w:p>
      <w:pPr>
        <w:pStyle w:val="15"/>
        <w:tabs>
          <w:tab w:val="left" w:pos="5370"/>
        </w:tabs>
        <w:spacing w:line="240" w:lineRule="atLeast"/>
        <w:ind w:left="1080" w:leftChars="257" w:hanging="540"/>
        <w:rPr>
          <w:rFonts w:ascii="仿宋" w:hAnsi="仿宋" w:eastAsia="仿宋" w:cs="仿宋"/>
          <w:color w:val="auto"/>
          <w:sz w:val="24"/>
        </w:rPr>
      </w:pPr>
    </w:p>
    <w:p>
      <w:pPr>
        <w:pStyle w:val="5"/>
        <w:spacing w:before="0" w:line="240" w:lineRule="atLeast"/>
        <w:rPr>
          <w:rFonts w:ascii="仿宋" w:hAnsi="仿宋" w:eastAsia="仿宋" w:cs="仿宋"/>
          <w:color w:val="auto"/>
          <w:sz w:val="24"/>
        </w:rPr>
      </w:pPr>
      <w:r>
        <w:rPr>
          <w:rFonts w:hint="eastAsia" w:ascii="仿宋" w:hAnsi="仿宋" w:eastAsia="仿宋" w:cs="仿宋"/>
          <w:color w:val="auto"/>
          <w:sz w:val="24"/>
        </w:rPr>
        <w:t>3   技术规格偏离表（投标文件格式五）</w:t>
      </w:r>
    </w:p>
    <w:p>
      <w:pPr>
        <w:pStyle w:val="15"/>
        <w:spacing w:line="240" w:lineRule="atLeast"/>
        <w:ind w:left="1080" w:leftChars="257" w:hanging="540"/>
        <w:rPr>
          <w:rFonts w:ascii="仿宋" w:hAnsi="仿宋" w:eastAsia="仿宋" w:cs="仿宋"/>
          <w:color w:val="auto"/>
          <w:sz w:val="24"/>
        </w:rPr>
      </w:pPr>
    </w:p>
    <w:p>
      <w:pPr>
        <w:pStyle w:val="15"/>
        <w:spacing w:line="240" w:lineRule="atLeast"/>
        <w:rPr>
          <w:rFonts w:ascii="仿宋" w:hAnsi="仿宋" w:eastAsia="仿宋" w:cs="仿宋"/>
          <w:color w:val="auto"/>
          <w:sz w:val="24"/>
        </w:rPr>
      </w:pPr>
      <w:r>
        <w:rPr>
          <w:rFonts w:hint="eastAsia" w:ascii="仿宋" w:hAnsi="仿宋" w:eastAsia="仿宋" w:cs="仿宋"/>
          <w:color w:val="auto"/>
          <w:sz w:val="24"/>
        </w:rPr>
        <w:t xml:space="preserve">项目名称:                       招标编号:           包号：          </w:t>
      </w:r>
    </w:p>
    <w:p>
      <w:pPr>
        <w:pStyle w:val="15"/>
        <w:spacing w:line="240" w:lineRule="atLeast"/>
        <w:ind w:left="1080" w:leftChars="257" w:hanging="540"/>
        <w:rPr>
          <w:rFonts w:ascii="仿宋" w:hAnsi="仿宋" w:eastAsia="仿宋" w:cs="仿宋"/>
          <w:color w:val="auto"/>
          <w:sz w:val="24"/>
        </w:rPr>
      </w:pPr>
    </w:p>
    <w:tbl>
      <w:tblPr>
        <w:tblStyle w:val="3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1260" w:type="dxa"/>
            <w:vAlign w:val="center"/>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货物名称</w:t>
            </w:r>
          </w:p>
        </w:tc>
        <w:tc>
          <w:tcPr>
            <w:tcW w:w="2340" w:type="dxa"/>
            <w:vAlign w:val="center"/>
          </w:tcPr>
          <w:p>
            <w:pPr>
              <w:pStyle w:val="15"/>
              <w:spacing w:line="240" w:lineRule="atLeast"/>
              <w:ind w:left="269" w:leftChars="128"/>
              <w:jc w:val="center"/>
              <w:rPr>
                <w:rFonts w:ascii="仿宋" w:hAnsi="仿宋" w:eastAsia="仿宋" w:cs="仿宋"/>
                <w:color w:val="auto"/>
                <w:sz w:val="24"/>
              </w:rPr>
            </w:pPr>
            <w:r>
              <w:rPr>
                <w:rFonts w:hint="eastAsia" w:ascii="仿宋" w:hAnsi="仿宋" w:eastAsia="仿宋" w:cs="仿宋"/>
                <w:color w:val="auto"/>
                <w:sz w:val="24"/>
              </w:rPr>
              <w:t>采购文件条款号</w:t>
            </w:r>
          </w:p>
        </w:tc>
        <w:tc>
          <w:tcPr>
            <w:tcW w:w="1260" w:type="dxa"/>
            <w:vAlign w:val="center"/>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招标规格</w:t>
            </w:r>
          </w:p>
        </w:tc>
        <w:tc>
          <w:tcPr>
            <w:tcW w:w="1260" w:type="dxa"/>
            <w:vAlign w:val="center"/>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投标规格</w:t>
            </w:r>
          </w:p>
        </w:tc>
        <w:tc>
          <w:tcPr>
            <w:tcW w:w="900" w:type="dxa"/>
            <w:vAlign w:val="center"/>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偏离</w:t>
            </w:r>
          </w:p>
        </w:tc>
        <w:tc>
          <w:tcPr>
            <w:tcW w:w="900" w:type="dxa"/>
            <w:vAlign w:val="center"/>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234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126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bl>
    <w:p>
      <w:pPr>
        <w:pStyle w:val="15"/>
        <w:spacing w:line="240" w:lineRule="atLeast"/>
        <w:ind w:left="1080" w:leftChars="257" w:hanging="540"/>
        <w:rPr>
          <w:rFonts w:ascii="仿宋" w:hAnsi="仿宋" w:eastAsia="仿宋" w:cs="仿宋"/>
          <w:color w:val="auto"/>
          <w:sz w:val="24"/>
        </w:rPr>
      </w:pPr>
    </w:p>
    <w:p>
      <w:pPr>
        <w:pStyle w:val="15"/>
        <w:spacing w:line="240" w:lineRule="atLeast"/>
        <w:ind w:left="1080" w:leftChars="257" w:hanging="540"/>
        <w:rPr>
          <w:rFonts w:ascii="仿宋" w:hAnsi="仿宋" w:eastAsia="仿宋" w:cs="仿宋"/>
          <w:color w:val="auto"/>
          <w:sz w:val="24"/>
        </w:rPr>
      </w:pPr>
    </w:p>
    <w:p>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p>
      <w:pPr>
        <w:pStyle w:val="15"/>
        <w:tabs>
          <w:tab w:val="left" w:pos="5370"/>
        </w:tabs>
        <w:spacing w:line="240" w:lineRule="atLeast"/>
        <w:ind w:left="1080" w:leftChars="257" w:hanging="540"/>
        <w:rPr>
          <w:rFonts w:ascii="仿宋" w:hAnsi="仿宋" w:eastAsia="仿宋" w:cs="仿宋"/>
          <w:color w:val="auto"/>
          <w:sz w:val="24"/>
          <w:u w:val="single"/>
        </w:rPr>
      </w:pPr>
      <w:r>
        <w:rPr>
          <w:rFonts w:hint="eastAsia" w:ascii="仿宋" w:hAnsi="仿宋" w:eastAsia="仿宋" w:cs="仿宋"/>
          <w:color w:val="auto"/>
          <w:sz w:val="24"/>
        </w:rPr>
        <w:t>供应商(盖单位章):</w:t>
      </w:r>
      <w:r>
        <w:rPr>
          <w:rFonts w:hint="eastAsia" w:ascii="仿宋" w:hAnsi="仿宋" w:eastAsia="仿宋" w:cs="仿宋"/>
          <w:color w:val="auto"/>
          <w:sz w:val="24"/>
          <w:u w:val="single"/>
        </w:rPr>
        <w:tab/>
      </w:r>
    </w:p>
    <w:p>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u w:val="single"/>
        </w:rPr>
        <w:br w:type="page"/>
      </w:r>
    </w:p>
    <w:p>
      <w:pPr>
        <w:pStyle w:val="5"/>
        <w:spacing w:before="0" w:line="240" w:lineRule="atLeast"/>
        <w:rPr>
          <w:rFonts w:ascii="仿宋" w:hAnsi="仿宋" w:eastAsia="仿宋" w:cs="仿宋"/>
          <w:color w:val="auto"/>
          <w:sz w:val="24"/>
        </w:rPr>
      </w:pPr>
      <w:bookmarkStart w:id="175" w:name="_Toc216582818"/>
      <w:bookmarkStart w:id="176" w:name="_Toc518923119"/>
      <w:bookmarkStart w:id="177" w:name="_Toc8079"/>
      <w:r>
        <w:rPr>
          <w:rFonts w:hint="eastAsia" w:ascii="仿宋" w:hAnsi="仿宋" w:eastAsia="仿宋" w:cs="仿宋"/>
          <w:color w:val="auto"/>
          <w:sz w:val="24"/>
        </w:rPr>
        <w:t>4   商务条款偏离表</w:t>
      </w:r>
      <w:bookmarkEnd w:id="175"/>
      <w:r>
        <w:rPr>
          <w:rFonts w:hint="eastAsia" w:ascii="仿宋" w:hAnsi="仿宋" w:eastAsia="仿宋" w:cs="仿宋"/>
          <w:color w:val="auto"/>
          <w:sz w:val="24"/>
        </w:rPr>
        <w:t>（投标文件格式六）</w:t>
      </w:r>
      <w:bookmarkEnd w:id="176"/>
      <w:bookmarkEnd w:id="177"/>
    </w:p>
    <w:p>
      <w:pPr>
        <w:pStyle w:val="15"/>
        <w:spacing w:line="240" w:lineRule="atLeast"/>
        <w:ind w:left="1080" w:leftChars="257" w:hanging="540"/>
        <w:rPr>
          <w:rFonts w:ascii="仿宋" w:hAnsi="仿宋" w:eastAsia="仿宋" w:cs="仿宋"/>
          <w:color w:val="auto"/>
          <w:sz w:val="24"/>
        </w:rPr>
      </w:pPr>
    </w:p>
    <w:p>
      <w:pPr>
        <w:pStyle w:val="15"/>
        <w:spacing w:line="240" w:lineRule="atLeast"/>
        <w:ind w:left="1080" w:leftChars="257" w:hanging="540"/>
        <w:rPr>
          <w:rFonts w:ascii="仿宋" w:hAnsi="仿宋" w:eastAsia="仿宋" w:cs="仿宋"/>
          <w:color w:val="auto"/>
          <w:sz w:val="24"/>
        </w:rPr>
      </w:pPr>
    </w:p>
    <w:p>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项目名称:                      招标编号:            包号：</w:t>
      </w:r>
    </w:p>
    <w:p>
      <w:pPr>
        <w:pStyle w:val="15"/>
        <w:spacing w:line="240" w:lineRule="atLeast"/>
        <w:ind w:left="1080" w:leftChars="257" w:hanging="540"/>
        <w:rPr>
          <w:rFonts w:ascii="仿宋" w:hAnsi="仿宋" w:eastAsia="仿宋" w:cs="仿宋"/>
          <w:color w:val="auto"/>
          <w:sz w:val="24"/>
        </w:rPr>
      </w:pPr>
    </w:p>
    <w:tbl>
      <w:tblPr>
        <w:tblStyle w:val="3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序号</w:t>
            </w:r>
          </w:p>
        </w:tc>
        <w:tc>
          <w:tcPr>
            <w:tcW w:w="2040" w:type="dxa"/>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采购文件条款号</w:t>
            </w:r>
          </w:p>
        </w:tc>
        <w:tc>
          <w:tcPr>
            <w:tcW w:w="2520" w:type="dxa"/>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采购文件的商务条款</w:t>
            </w:r>
          </w:p>
        </w:tc>
        <w:tc>
          <w:tcPr>
            <w:tcW w:w="2520" w:type="dxa"/>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投标文件的商务条款</w:t>
            </w:r>
          </w:p>
        </w:tc>
        <w:tc>
          <w:tcPr>
            <w:tcW w:w="900" w:type="dxa"/>
          </w:tcPr>
          <w:p>
            <w:pPr>
              <w:pStyle w:val="15"/>
              <w:spacing w:line="240" w:lineRule="atLeast"/>
              <w:jc w:val="center"/>
              <w:rPr>
                <w:rFonts w:ascii="仿宋" w:hAnsi="仿宋" w:eastAsia="仿宋" w:cs="仿宋"/>
                <w:color w:val="auto"/>
                <w:sz w:val="24"/>
              </w:rPr>
            </w:pP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jc w:val="center"/>
              <w:rPr>
                <w:rFonts w:ascii="仿宋" w:hAnsi="仿宋" w:eastAsia="仿宋" w:cs="仿宋"/>
                <w:color w:val="auto"/>
                <w:sz w:val="24"/>
              </w:rPr>
            </w:pPr>
          </w:p>
        </w:tc>
        <w:tc>
          <w:tcPr>
            <w:tcW w:w="2520" w:type="dxa"/>
          </w:tcPr>
          <w:p>
            <w:pPr>
              <w:pStyle w:val="15"/>
              <w:spacing w:line="240" w:lineRule="atLeast"/>
              <w:ind w:left="1080" w:leftChars="257" w:hanging="540"/>
              <w:jc w:val="center"/>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5"/>
              <w:spacing w:line="240" w:lineRule="atLeast"/>
              <w:ind w:left="1080" w:leftChars="257" w:hanging="540"/>
              <w:rPr>
                <w:rFonts w:ascii="仿宋" w:hAnsi="仿宋" w:eastAsia="仿宋" w:cs="仿宋"/>
                <w:color w:val="auto"/>
                <w:sz w:val="24"/>
              </w:rPr>
            </w:pPr>
          </w:p>
        </w:tc>
        <w:tc>
          <w:tcPr>
            <w:tcW w:w="204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2520" w:type="dxa"/>
          </w:tcPr>
          <w:p>
            <w:pPr>
              <w:pStyle w:val="15"/>
              <w:spacing w:line="240" w:lineRule="atLeast"/>
              <w:ind w:left="1080" w:leftChars="257" w:hanging="540"/>
              <w:rPr>
                <w:rFonts w:ascii="仿宋" w:hAnsi="仿宋" w:eastAsia="仿宋" w:cs="仿宋"/>
                <w:color w:val="auto"/>
                <w:sz w:val="24"/>
              </w:rPr>
            </w:pPr>
          </w:p>
        </w:tc>
        <w:tc>
          <w:tcPr>
            <w:tcW w:w="900" w:type="dxa"/>
          </w:tcPr>
          <w:p>
            <w:pPr>
              <w:pStyle w:val="15"/>
              <w:spacing w:line="240" w:lineRule="atLeast"/>
              <w:ind w:left="1080" w:leftChars="257" w:hanging="540"/>
              <w:rPr>
                <w:rFonts w:ascii="仿宋" w:hAnsi="仿宋" w:eastAsia="仿宋" w:cs="仿宋"/>
                <w:color w:val="auto"/>
                <w:sz w:val="24"/>
              </w:rPr>
            </w:pPr>
          </w:p>
        </w:tc>
      </w:tr>
    </w:tbl>
    <w:p>
      <w:pPr>
        <w:pStyle w:val="15"/>
        <w:spacing w:line="240" w:lineRule="atLeast"/>
        <w:ind w:left="1080" w:leftChars="257" w:hanging="540"/>
        <w:rPr>
          <w:rFonts w:ascii="仿宋" w:hAnsi="仿宋" w:eastAsia="仿宋" w:cs="仿宋"/>
          <w:color w:val="auto"/>
          <w:sz w:val="24"/>
        </w:rPr>
      </w:pPr>
    </w:p>
    <w:p>
      <w:pPr>
        <w:pStyle w:val="15"/>
        <w:spacing w:line="240" w:lineRule="atLeast"/>
        <w:ind w:left="1080" w:leftChars="257" w:hanging="540"/>
        <w:rPr>
          <w:rFonts w:ascii="仿宋" w:hAnsi="仿宋" w:eastAsia="仿宋" w:cs="仿宋"/>
          <w:color w:val="auto"/>
          <w:sz w:val="24"/>
        </w:rPr>
      </w:pPr>
    </w:p>
    <w:p>
      <w:pPr>
        <w:pStyle w:val="15"/>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法定代表人或其委托代理人签字: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p>
      <w:pPr>
        <w:pStyle w:val="15"/>
        <w:tabs>
          <w:tab w:val="left" w:pos="5370"/>
        </w:tabs>
        <w:spacing w:line="240" w:lineRule="atLeast"/>
        <w:ind w:left="1080" w:leftChars="257" w:hanging="540"/>
        <w:rPr>
          <w:rFonts w:ascii="仿宋" w:hAnsi="仿宋" w:eastAsia="仿宋" w:cs="仿宋"/>
          <w:color w:val="auto"/>
          <w:sz w:val="24"/>
          <w:u w:val="single"/>
        </w:rPr>
      </w:pPr>
      <w:r>
        <w:rPr>
          <w:rFonts w:hint="eastAsia" w:ascii="仿宋" w:hAnsi="仿宋" w:eastAsia="仿宋" w:cs="仿宋"/>
          <w:color w:val="auto"/>
          <w:sz w:val="24"/>
        </w:rPr>
        <w:t>供应商(盖单位章):</w:t>
      </w:r>
      <w:r>
        <w:rPr>
          <w:rFonts w:hint="eastAsia" w:ascii="仿宋" w:hAnsi="仿宋" w:eastAsia="仿宋" w:cs="仿宋"/>
          <w:color w:val="auto"/>
          <w:sz w:val="24"/>
          <w:u w:val="single"/>
        </w:rPr>
        <w:tab/>
      </w:r>
    </w:p>
    <w:p>
      <w:pPr>
        <w:pStyle w:val="15"/>
        <w:spacing w:line="240" w:lineRule="atLeast"/>
        <w:rPr>
          <w:rFonts w:ascii="仿宋" w:hAnsi="仿宋" w:eastAsia="仿宋" w:cs="仿宋"/>
          <w:color w:val="auto"/>
          <w:sz w:val="24"/>
        </w:rPr>
      </w:pPr>
    </w:p>
    <w:p>
      <w:pPr>
        <w:pStyle w:val="15"/>
        <w:spacing w:line="240" w:lineRule="atLeast"/>
        <w:rPr>
          <w:rFonts w:ascii="仿宋" w:hAnsi="仿宋" w:eastAsia="仿宋" w:cs="仿宋"/>
          <w:color w:val="auto"/>
          <w:sz w:val="24"/>
        </w:rPr>
      </w:pPr>
    </w:p>
    <w:p>
      <w:pPr>
        <w:pStyle w:val="15"/>
        <w:spacing w:line="240" w:lineRule="atLeast"/>
        <w:rPr>
          <w:rFonts w:ascii="仿宋" w:hAnsi="仿宋" w:eastAsia="仿宋" w:cs="仿宋"/>
          <w:color w:val="auto"/>
          <w:sz w:val="24"/>
        </w:rPr>
      </w:pPr>
    </w:p>
    <w:p>
      <w:pPr>
        <w:pStyle w:val="15"/>
        <w:spacing w:line="240" w:lineRule="atLeast"/>
        <w:rPr>
          <w:rFonts w:ascii="仿宋" w:hAnsi="仿宋" w:eastAsia="仿宋" w:cs="仿宋"/>
          <w:color w:val="auto"/>
          <w:sz w:val="24"/>
        </w:rPr>
      </w:pPr>
    </w:p>
    <w:p>
      <w:pPr>
        <w:ind w:firstLine="6600" w:firstLineChars="2750"/>
        <w:rPr>
          <w:rFonts w:ascii="仿宋" w:hAnsi="仿宋" w:eastAsia="仿宋" w:cs="仿宋"/>
          <w:color w:val="auto"/>
          <w:sz w:val="24"/>
        </w:rPr>
      </w:pPr>
      <w:bookmarkStart w:id="178" w:name="_Hlt520273973"/>
      <w:bookmarkEnd w:id="178"/>
      <w:bookmarkStart w:id="179" w:name="_Hlt520350957"/>
      <w:bookmarkEnd w:id="179"/>
      <w:bookmarkStart w:id="180" w:name="_Hlt520274065"/>
      <w:bookmarkEnd w:id="180"/>
      <w:bookmarkStart w:id="181" w:name="_Hlt520343392"/>
      <w:bookmarkEnd w:id="181"/>
      <w:bookmarkStart w:id="182" w:name="_Hlt520274407"/>
      <w:bookmarkEnd w:id="182"/>
      <w:bookmarkStart w:id="183" w:name="_Hlt520271212"/>
      <w:bookmarkEnd w:id="183"/>
      <w:bookmarkStart w:id="184" w:name="_Hlt520274393"/>
      <w:bookmarkEnd w:id="184"/>
      <w:bookmarkStart w:id="185" w:name="_Hlt520273711"/>
      <w:bookmarkEnd w:id="185"/>
      <w:bookmarkStart w:id="186" w:name="_Hlt520343000"/>
      <w:bookmarkEnd w:id="186"/>
      <w:bookmarkStart w:id="187" w:name="_Hlt520350918"/>
      <w:bookmarkEnd w:id="187"/>
      <w:bookmarkStart w:id="188" w:name="_Hlt520274911"/>
      <w:bookmarkEnd w:id="188"/>
      <w:r>
        <w:rPr>
          <w:rFonts w:hint="eastAsia" w:ascii="仿宋" w:hAnsi="仿宋" w:eastAsia="仿宋" w:cs="仿宋"/>
          <w:color w:val="auto"/>
          <w:sz w:val="24"/>
        </w:rPr>
        <w:t xml:space="preserve">  </w:t>
      </w:r>
    </w:p>
    <w:p>
      <w:pPr>
        <w:rPr>
          <w:color w:val="auto"/>
        </w:rPr>
      </w:pPr>
      <w:bookmarkStart w:id="189" w:name="_Toc518923120"/>
      <w:bookmarkStart w:id="190" w:name="_Toc480"/>
    </w:p>
    <w:p>
      <w:pPr>
        <w:pStyle w:val="5"/>
        <w:spacing w:before="0" w:line="240" w:lineRule="atLeast"/>
        <w:rPr>
          <w:rFonts w:ascii="仿宋" w:hAnsi="仿宋" w:eastAsia="仿宋" w:cs="仿宋"/>
          <w:b w:val="0"/>
          <w:color w:val="auto"/>
          <w:sz w:val="24"/>
        </w:rPr>
      </w:pPr>
      <w:r>
        <w:rPr>
          <w:rFonts w:hint="eastAsia" w:ascii="仿宋" w:hAnsi="仿宋" w:eastAsia="仿宋" w:cs="仿宋"/>
          <w:color w:val="auto"/>
          <w:sz w:val="24"/>
        </w:rPr>
        <w:t xml:space="preserve">5-1 </w:t>
      </w:r>
      <w:r>
        <w:rPr>
          <w:rFonts w:hint="eastAsia" w:ascii="仿宋" w:hAnsi="仿宋" w:eastAsia="仿宋" w:cs="仿宋"/>
          <w:b w:val="0"/>
          <w:color w:val="auto"/>
          <w:sz w:val="24"/>
        </w:rPr>
        <w:t xml:space="preserve"> </w:t>
      </w:r>
      <w:r>
        <w:rPr>
          <w:rFonts w:hint="eastAsia" w:ascii="仿宋" w:hAnsi="仿宋" w:eastAsia="仿宋" w:cs="仿宋"/>
          <w:color w:val="auto"/>
          <w:sz w:val="24"/>
        </w:rPr>
        <w:t>供应商企业（单位）类型声明函（投标文件格式七）</w:t>
      </w:r>
      <w:bookmarkEnd w:id="189"/>
      <w:bookmarkEnd w:id="190"/>
    </w:p>
    <w:p>
      <w:pPr>
        <w:spacing w:line="240" w:lineRule="atLeast"/>
        <w:ind w:left="1080" w:leftChars="257" w:hanging="540"/>
        <w:jc w:val="center"/>
        <w:rPr>
          <w:rFonts w:ascii="仿宋" w:hAnsi="仿宋" w:eastAsia="仿宋" w:cs="仿宋"/>
          <w:b/>
          <w:color w:val="auto"/>
          <w:kern w:val="0"/>
          <w:sz w:val="24"/>
          <w:szCs w:val="20"/>
        </w:rPr>
      </w:pPr>
    </w:p>
    <w:p>
      <w:pPr>
        <w:widowControl/>
        <w:spacing w:before="100" w:beforeAutospacing="1" w:after="100" w:afterAutospacing="1" w:line="330" w:lineRule="atLeas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本企业（单位）郑重声明下列事项（按照实际情况勾选或填空）：</w:t>
      </w:r>
    </w:p>
    <w:p>
      <w:pPr>
        <w:widowControl/>
        <w:spacing w:before="100" w:beforeAutospacing="1" w:after="100" w:afterAutospacing="1" w:line="330" w:lineRule="atLeast"/>
        <w:ind w:firstLine="420"/>
        <w:jc w:val="left"/>
        <w:rPr>
          <w:rFonts w:ascii="仿宋" w:hAnsi="仿宋" w:eastAsia="仿宋" w:cs="仿宋"/>
          <w:color w:val="auto"/>
          <w:kern w:val="0"/>
          <w:sz w:val="24"/>
        </w:rPr>
      </w:pPr>
      <w:r>
        <w:rPr>
          <w:rFonts w:hint="eastAsia" w:ascii="仿宋" w:hAnsi="仿宋" w:eastAsia="仿宋" w:cs="仿宋"/>
          <w:color w:val="auto"/>
          <w:kern w:val="0"/>
          <w:sz w:val="24"/>
        </w:rPr>
        <w:t>1.□本企业（单位）为直接供应商，提供本企业（单位）服务。</w:t>
      </w:r>
    </w:p>
    <w:p>
      <w:pPr>
        <w:widowControl/>
        <w:spacing w:before="100" w:beforeAutospacing="1" w:after="100" w:afterAutospacing="1" w:line="330" w:lineRule="atLeas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ascii="仿宋" w:hAnsi="仿宋" w:eastAsia="仿宋" w:cs="仿宋"/>
          <w:color w:val="auto"/>
          <w:kern w:val="0"/>
          <w:sz w:val="24"/>
        </w:rPr>
      </w:pPr>
      <w:r>
        <w:rPr>
          <w:rFonts w:hint="eastAsia" w:ascii="仿宋" w:hAnsi="仿宋" w:eastAsia="仿宋" w:cs="仿宋"/>
          <w:color w:val="auto"/>
          <w:kern w:val="0"/>
          <w:sz w:val="24"/>
        </w:rPr>
        <w:t>（2）本企业</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ascii="仿宋" w:hAnsi="仿宋" w:eastAsia="仿宋" w:cs="仿宋"/>
          <w:color w:val="auto"/>
          <w:kern w:val="0"/>
          <w:sz w:val="24"/>
        </w:rPr>
      </w:pPr>
      <w:r>
        <w:rPr>
          <w:rFonts w:hint="eastAsia" w:ascii="仿宋" w:hAnsi="仿宋" w:eastAsia="仿宋" w:cs="仿宋"/>
          <w:color w:val="auto"/>
          <w:kern w:val="0"/>
          <w:sz w:val="24"/>
        </w:rPr>
        <w:t>（3）根据《关于促进残疾人就业政府采购政策的通知》（财库〔2017〕141号）。本单位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（请填写：是、不是）残疾人福利性单位。</w:t>
      </w:r>
    </w:p>
    <w:p>
      <w:pPr>
        <w:widowControl/>
        <w:spacing w:before="100" w:beforeAutospacing="1" w:after="100" w:afterAutospacing="1" w:line="330" w:lineRule="atLeast"/>
        <w:ind w:firstLine="420"/>
        <w:jc w:val="left"/>
        <w:rPr>
          <w:rFonts w:ascii="仿宋" w:hAnsi="仿宋" w:eastAsia="仿宋" w:cs="仿宋"/>
          <w:color w:val="auto"/>
          <w:kern w:val="0"/>
          <w:sz w:val="24"/>
        </w:rPr>
      </w:pPr>
      <w:r>
        <w:rPr>
          <w:rFonts w:hint="eastAsia" w:ascii="仿宋" w:hAnsi="仿宋" w:eastAsia="仿宋" w:cs="仿宋"/>
          <w:color w:val="auto"/>
          <w:kern w:val="0"/>
          <w:sz w:val="24"/>
        </w:rPr>
        <w:t>2.□本项目提供伴随货物，由其他______（请填写：中型、小型、微型）企业、监狱企业或残疾人福利性单位制造。本条所称货物不包括使用大型企业注册商标的货物。（后附制造商企业（单位）类型声明函）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ascii="仿宋" w:hAnsi="仿宋" w:eastAsia="仿宋" w:cs="仿宋"/>
          <w:color w:val="auto"/>
          <w:kern w:val="0"/>
          <w:sz w:val="24"/>
        </w:rPr>
      </w:pPr>
      <w:r>
        <w:rPr>
          <w:rFonts w:hint="eastAsia" w:ascii="仿宋" w:hAnsi="仿宋" w:eastAsia="仿宋" w:cs="仿宋"/>
          <w:color w:val="auto"/>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pPr>
        <w:widowControl/>
        <w:spacing w:before="100" w:beforeAutospacing="1" w:after="100" w:afterAutospacing="1" w:line="330" w:lineRule="atLeast"/>
        <w:jc w:val="left"/>
        <w:rPr>
          <w:rFonts w:ascii="仿宋" w:hAnsi="仿宋" w:eastAsia="仿宋" w:cs="仿宋"/>
          <w:color w:val="auto"/>
          <w:kern w:val="0"/>
          <w:sz w:val="24"/>
        </w:rPr>
      </w:pPr>
      <w:r>
        <w:rPr>
          <w:rFonts w:hint="eastAsia" w:ascii="仿宋" w:hAnsi="仿宋" w:eastAsia="仿宋" w:cs="仿宋"/>
          <w:color w:val="auto"/>
          <w:kern w:val="0"/>
          <w:sz w:val="24"/>
        </w:rPr>
        <w:t>本企业（单位）对上述声明的真实性负责。如有虚假，将依法承担相应责任。</w:t>
      </w:r>
    </w:p>
    <w:p>
      <w:pPr>
        <w:pStyle w:val="36"/>
        <w:ind w:firstLine="480"/>
        <w:rPr>
          <w:rFonts w:ascii="仿宋" w:hAnsi="仿宋" w:eastAsia="仿宋" w:cs="仿宋"/>
          <w:color w:val="auto"/>
          <w:kern w:val="0"/>
        </w:rPr>
      </w:pPr>
      <w:r>
        <w:rPr>
          <w:rFonts w:hint="eastAsia" w:ascii="仿宋" w:hAnsi="仿宋" w:eastAsia="仿宋" w:cs="仿宋"/>
          <w:color w:val="auto"/>
          <w:kern w:val="0"/>
        </w:rPr>
        <w:t>注:小微企业须提供以下证明材料</w:t>
      </w:r>
    </w:p>
    <w:p>
      <w:pPr>
        <w:pStyle w:val="36"/>
        <w:ind w:firstLine="480"/>
        <w:rPr>
          <w:rFonts w:ascii="仿宋" w:hAnsi="仿宋" w:eastAsia="仿宋" w:cs="仿宋"/>
          <w:color w:val="auto"/>
          <w:kern w:val="0"/>
        </w:rPr>
      </w:pPr>
      <w:r>
        <w:rPr>
          <w:rFonts w:hint="eastAsia" w:ascii="仿宋" w:hAnsi="仿宋" w:eastAsia="仿宋" w:cs="仿宋"/>
          <w:color w:val="auto"/>
          <w:kern w:val="0"/>
        </w:rPr>
        <w:t>1.中小企业声明函</w:t>
      </w:r>
    </w:p>
    <w:p>
      <w:pPr>
        <w:pStyle w:val="36"/>
        <w:ind w:firstLine="480"/>
        <w:rPr>
          <w:rFonts w:ascii="仿宋" w:hAnsi="仿宋" w:eastAsia="仿宋" w:cs="仿宋"/>
          <w:color w:val="auto"/>
          <w:kern w:val="0"/>
        </w:rPr>
      </w:pPr>
      <w:r>
        <w:rPr>
          <w:rFonts w:hint="eastAsia" w:ascii="仿宋" w:hAnsi="仿宋" w:eastAsia="仿宋" w:cs="仿宋"/>
          <w:color w:val="auto"/>
          <w:kern w:val="0"/>
        </w:rPr>
        <w:t>2.各行业主管部门出具的小微企业证明材料或政府网站“小微企业名录”查询截图。</w:t>
      </w:r>
    </w:p>
    <w:p>
      <w:pPr>
        <w:pStyle w:val="36"/>
        <w:ind w:firstLine="480"/>
        <w:rPr>
          <w:rFonts w:ascii="仿宋" w:hAnsi="仿宋" w:eastAsia="仿宋" w:cs="仿宋"/>
          <w:color w:val="auto"/>
          <w:kern w:val="0"/>
        </w:rPr>
      </w:pPr>
      <w:r>
        <w:rPr>
          <w:rFonts w:hint="eastAsia" w:ascii="仿宋" w:hAnsi="仿宋" w:eastAsia="仿宋" w:cs="仿宋"/>
          <w:color w:val="auto"/>
          <w:kern w:val="0"/>
        </w:rPr>
        <w:t>3.投标货物是小微企业自身或其它小微企业生产的证明材料。</w:t>
      </w:r>
    </w:p>
    <w:p>
      <w:pPr>
        <w:widowControl/>
        <w:spacing w:before="100" w:beforeAutospacing="1" w:after="100" w:afterAutospacing="1" w:line="330" w:lineRule="atLeast"/>
        <w:jc w:val="left"/>
        <w:rPr>
          <w:rFonts w:ascii="仿宋" w:hAnsi="仿宋" w:eastAsia="仿宋" w:cs="仿宋"/>
          <w:color w:val="auto"/>
          <w:kern w:val="0"/>
          <w:sz w:val="24"/>
        </w:rPr>
      </w:pPr>
      <w:r>
        <w:rPr>
          <w:rFonts w:hint="eastAsia" w:ascii="仿宋" w:hAnsi="仿宋" w:eastAsia="仿宋" w:cs="仿宋"/>
          <w:color w:val="auto"/>
          <w:kern w:val="0"/>
          <w:sz w:val="24"/>
        </w:rPr>
        <w:t>　　</w:t>
      </w:r>
    </w:p>
    <w:p>
      <w:pPr>
        <w:spacing w:line="240" w:lineRule="atLeast"/>
        <w:ind w:left="1080" w:leftChars="257" w:hanging="540"/>
        <w:jc w:val="center"/>
        <w:rPr>
          <w:rFonts w:ascii="仿宋" w:hAnsi="仿宋" w:eastAsia="仿宋" w:cs="仿宋"/>
          <w:b/>
          <w:color w:val="auto"/>
          <w:kern w:val="0"/>
          <w:sz w:val="24"/>
          <w:szCs w:val="20"/>
        </w:rPr>
      </w:pPr>
      <w:r>
        <w:rPr>
          <w:rFonts w:hint="eastAsia" w:ascii="仿宋" w:hAnsi="仿宋" w:eastAsia="仿宋" w:cs="仿宋"/>
          <w:b/>
          <w:color w:val="auto"/>
          <w:kern w:val="0"/>
          <w:sz w:val="24"/>
          <w:szCs w:val="20"/>
        </w:rPr>
        <w:t>　</w:t>
      </w:r>
    </w:p>
    <w:p>
      <w:pPr>
        <w:widowControl/>
        <w:spacing w:before="100" w:beforeAutospacing="1" w:after="100" w:afterAutospacing="1" w:line="330" w:lineRule="atLeast"/>
        <w:ind w:firstLine="3960" w:firstLineChars="1650"/>
        <w:jc w:val="left"/>
        <w:rPr>
          <w:rFonts w:ascii="仿宋" w:hAnsi="仿宋" w:eastAsia="仿宋" w:cs="仿宋"/>
          <w:color w:val="auto"/>
          <w:kern w:val="0"/>
          <w:sz w:val="24"/>
        </w:rPr>
      </w:pPr>
      <w:r>
        <w:rPr>
          <w:rFonts w:hint="eastAsia" w:ascii="仿宋" w:hAnsi="仿宋" w:eastAsia="仿宋" w:cs="仿宋"/>
          <w:color w:val="auto"/>
          <w:kern w:val="0"/>
          <w:sz w:val="24"/>
        </w:rPr>
        <w:t>供应商名称（盖单位章）：</w:t>
      </w:r>
      <w:r>
        <w:rPr>
          <w:rFonts w:hint="eastAsia" w:ascii="仿宋" w:hAnsi="仿宋" w:eastAsia="仿宋" w:cs="仿宋"/>
          <w:color w:val="auto"/>
          <w:kern w:val="0"/>
          <w:sz w:val="24"/>
          <w:u w:val="single"/>
        </w:rPr>
        <w:t xml:space="preserve">             </w:t>
      </w:r>
    </w:p>
    <w:p>
      <w:pPr>
        <w:widowControl/>
        <w:spacing w:before="100" w:beforeAutospacing="1" w:after="100" w:afterAutospacing="1" w:line="330" w:lineRule="atLeast"/>
        <w:ind w:firstLine="3720" w:firstLineChars="1550"/>
        <w:jc w:val="left"/>
        <w:rPr>
          <w:rFonts w:ascii="仿宋" w:hAnsi="仿宋" w:eastAsia="仿宋" w:cs="仿宋"/>
          <w:color w:val="auto"/>
          <w:kern w:val="0"/>
          <w:sz w:val="24"/>
          <w:u w:val="single"/>
        </w:rPr>
      </w:pPr>
      <w:r>
        <w:rPr>
          <w:rFonts w:hint="eastAsia" w:ascii="仿宋" w:hAnsi="仿宋" w:eastAsia="仿宋" w:cs="仿宋"/>
          <w:color w:val="auto"/>
          <w:kern w:val="0"/>
          <w:sz w:val="24"/>
        </w:rPr>
        <w:t>　日　期：</w:t>
      </w:r>
      <w:r>
        <w:rPr>
          <w:rFonts w:hint="eastAsia" w:ascii="仿宋" w:hAnsi="仿宋" w:eastAsia="仿宋" w:cs="仿宋"/>
          <w:color w:val="auto"/>
          <w:kern w:val="0"/>
          <w:sz w:val="24"/>
          <w:u w:val="single"/>
        </w:rPr>
        <w:t xml:space="preserve">             </w:t>
      </w:r>
    </w:p>
    <w:p>
      <w:pPr>
        <w:widowControl/>
        <w:spacing w:before="100" w:beforeAutospacing="1" w:after="100" w:afterAutospacing="1" w:line="330" w:lineRule="atLeast"/>
        <w:ind w:firstLine="3720" w:firstLineChars="1550"/>
        <w:jc w:val="left"/>
        <w:rPr>
          <w:rFonts w:ascii="仿宋" w:hAnsi="仿宋" w:eastAsia="仿宋" w:cs="仿宋"/>
          <w:color w:val="auto"/>
          <w:kern w:val="0"/>
          <w:sz w:val="24"/>
          <w:u w:val="single"/>
        </w:rPr>
      </w:pPr>
      <w:r>
        <w:rPr>
          <w:rFonts w:hint="eastAsia" w:ascii="仿宋" w:hAnsi="仿宋" w:eastAsia="仿宋" w:cs="仿宋"/>
          <w:color w:val="auto"/>
          <w:kern w:val="0"/>
          <w:sz w:val="24"/>
          <w:u w:val="single"/>
        </w:rPr>
        <w:br w:type="page"/>
      </w:r>
    </w:p>
    <w:p>
      <w:pPr>
        <w:pStyle w:val="15"/>
        <w:ind w:left="311" w:leftChars="148" w:firstLine="228"/>
        <w:rPr>
          <w:rFonts w:ascii="仿宋" w:hAnsi="仿宋" w:eastAsia="仿宋" w:cs="仿宋"/>
          <w:b/>
          <w:bCs/>
          <w:color w:val="auto"/>
          <w:kern w:val="0"/>
          <w:sz w:val="24"/>
        </w:rPr>
      </w:pPr>
      <w:bookmarkStart w:id="191" w:name="_Toc515647825"/>
      <w:bookmarkStart w:id="192" w:name="_Toc27742"/>
      <w:bookmarkStart w:id="193" w:name="_Toc23068"/>
      <w:bookmarkStart w:id="194" w:name="_Toc19284"/>
      <w:bookmarkStart w:id="195" w:name="OLE_LINK13"/>
      <w:bookmarkStart w:id="196" w:name="OLE_LINK14"/>
      <w:bookmarkStart w:id="197" w:name="_Toc6238"/>
      <w:bookmarkStart w:id="198" w:name="_Toc518923122"/>
    </w:p>
    <w:p>
      <w:pPr>
        <w:pStyle w:val="5"/>
        <w:spacing w:before="0" w:line="240" w:lineRule="atLeas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5-2  残疾人福利性单位声明函</w:t>
      </w:r>
      <w:bookmarkEnd w:id="191"/>
      <w:bookmarkEnd w:id="192"/>
      <w:bookmarkEnd w:id="193"/>
      <w:bookmarkEnd w:id="194"/>
      <w:r>
        <w:rPr>
          <w:rFonts w:hint="eastAsia" w:ascii="仿宋" w:hAnsi="仿宋" w:eastAsia="仿宋" w:cs="仿宋"/>
          <w:color w:val="auto"/>
          <w:sz w:val="24"/>
          <w:lang w:val="en-US" w:eastAsia="zh-CN"/>
        </w:rPr>
        <w:t>（投标文件格式八）</w:t>
      </w:r>
    </w:p>
    <w:p>
      <w:pPr>
        <w:rPr>
          <w:color w:val="auto"/>
        </w:rPr>
      </w:pPr>
    </w:p>
    <w:bookmarkEnd w:id="195"/>
    <w:bookmarkEnd w:id="196"/>
    <w:p>
      <w:pPr>
        <w:spacing w:line="240" w:lineRule="atLeast"/>
        <w:ind w:firstLine="567"/>
        <w:rPr>
          <w:rFonts w:ascii="仿宋" w:hAnsi="仿宋" w:eastAsia="仿宋" w:cs="仿宋"/>
          <w:color w:val="auto"/>
          <w:kern w:val="0"/>
          <w:sz w:val="24"/>
          <w:szCs w:val="20"/>
        </w:rPr>
      </w:pPr>
      <w:r>
        <w:rPr>
          <w:rFonts w:hint="eastAsia" w:ascii="仿宋" w:hAnsi="仿宋" w:eastAsia="仿宋" w:cs="仿宋"/>
          <w:color w:val="auto"/>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240" w:lineRule="atLeast"/>
        <w:ind w:left="1080" w:leftChars="257" w:hanging="540"/>
        <w:rPr>
          <w:rFonts w:ascii="仿宋" w:hAnsi="仿宋" w:eastAsia="仿宋" w:cs="仿宋"/>
          <w:color w:val="auto"/>
          <w:kern w:val="0"/>
          <w:sz w:val="24"/>
          <w:szCs w:val="20"/>
        </w:rPr>
      </w:pPr>
      <w:r>
        <w:rPr>
          <w:rFonts w:hint="eastAsia" w:ascii="仿宋" w:hAnsi="仿宋" w:eastAsia="仿宋" w:cs="仿宋"/>
          <w:color w:val="auto"/>
          <w:kern w:val="0"/>
          <w:sz w:val="24"/>
          <w:szCs w:val="20"/>
        </w:rPr>
        <w:t>本单位对上述声明的真实性负责。如有虚假，将依法承担相应责任。</w:t>
      </w:r>
    </w:p>
    <w:p>
      <w:pPr>
        <w:spacing w:line="240" w:lineRule="atLeast"/>
        <w:ind w:left="1080" w:leftChars="257" w:hanging="540"/>
        <w:jc w:val="center"/>
        <w:rPr>
          <w:rFonts w:ascii="仿宋" w:hAnsi="仿宋" w:eastAsia="仿宋" w:cs="仿宋"/>
          <w:color w:val="auto"/>
          <w:kern w:val="0"/>
          <w:sz w:val="24"/>
          <w:szCs w:val="20"/>
        </w:rPr>
      </w:pPr>
    </w:p>
    <w:p>
      <w:pPr>
        <w:spacing w:line="240" w:lineRule="atLeast"/>
        <w:ind w:left="1080" w:leftChars="257" w:hanging="540"/>
        <w:jc w:val="center"/>
        <w:rPr>
          <w:rFonts w:ascii="仿宋" w:hAnsi="仿宋" w:eastAsia="仿宋" w:cs="仿宋"/>
          <w:color w:val="auto"/>
          <w:kern w:val="0"/>
          <w:sz w:val="24"/>
          <w:szCs w:val="20"/>
        </w:rPr>
      </w:pPr>
    </w:p>
    <w:p>
      <w:pPr>
        <w:spacing w:line="240" w:lineRule="atLeast"/>
        <w:ind w:left="1080" w:leftChars="257" w:hanging="540"/>
        <w:jc w:val="center"/>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              残疾人福利性单位名称（盖单位章）：______________</w:t>
      </w:r>
    </w:p>
    <w:p>
      <w:pPr>
        <w:spacing w:line="240" w:lineRule="atLeast"/>
        <w:ind w:left="1080" w:leftChars="257" w:hanging="540"/>
        <w:jc w:val="center"/>
        <w:rPr>
          <w:rFonts w:ascii="仿宋" w:hAnsi="仿宋" w:eastAsia="仿宋" w:cs="仿宋"/>
          <w:color w:val="auto"/>
          <w:kern w:val="0"/>
          <w:sz w:val="24"/>
          <w:szCs w:val="20"/>
        </w:rPr>
      </w:pPr>
      <w:r>
        <w:rPr>
          <w:rFonts w:hint="eastAsia" w:ascii="仿宋" w:hAnsi="仿宋" w:eastAsia="仿宋" w:cs="仿宋"/>
          <w:color w:val="auto"/>
          <w:kern w:val="0"/>
          <w:sz w:val="24"/>
          <w:szCs w:val="20"/>
        </w:rPr>
        <w:t xml:space="preserve">  </w:t>
      </w:r>
      <w:r>
        <w:rPr>
          <w:rFonts w:hint="eastAsia" w:ascii="仿宋" w:hAnsi="仿宋" w:eastAsia="仿宋" w:cs="仿宋"/>
          <w:color w:val="auto"/>
          <w:kern w:val="0"/>
          <w:sz w:val="24"/>
          <w:szCs w:val="20"/>
          <w:u w:val="single" w:color="FFFFFF"/>
        </w:rPr>
        <w:t xml:space="preserve">       </w:t>
      </w:r>
      <w:r>
        <w:rPr>
          <w:rFonts w:hint="eastAsia" w:ascii="仿宋" w:hAnsi="仿宋" w:eastAsia="仿宋" w:cs="仿宋"/>
          <w:color w:val="auto"/>
          <w:kern w:val="0"/>
          <w:sz w:val="24"/>
          <w:szCs w:val="20"/>
        </w:rPr>
        <w:t>日  期：_______________________________</w:t>
      </w:r>
    </w:p>
    <w:p>
      <w:pPr>
        <w:pStyle w:val="2"/>
        <w:ind w:firstLine="964" w:firstLineChars="400"/>
        <w:rPr>
          <w:rFonts w:ascii="仿宋" w:hAnsi="仿宋" w:eastAsia="仿宋" w:cs="仿宋"/>
          <w:b/>
          <w:bCs/>
          <w:color w:val="auto"/>
        </w:rPr>
      </w:pPr>
    </w:p>
    <w:p>
      <w:pPr>
        <w:pStyle w:val="2"/>
        <w:ind w:firstLine="964" w:firstLineChars="400"/>
        <w:rPr>
          <w:rFonts w:ascii="仿宋" w:hAnsi="仿宋" w:eastAsia="仿宋" w:cs="仿宋"/>
          <w:b/>
          <w:bCs/>
          <w:color w:val="auto"/>
        </w:rPr>
      </w:pPr>
    </w:p>
    <w:p>
      <w:pPr>
        <w:pStyle w:val="2"/>
        <w:ind w:firstLine="0"/>
        <w:jc w:val="center"/>
        <w:rPr>
          <w:rFonts w:ascii="仿宋" w:hAnsi="仿宋" w:eastAsia="仿宋" w:cs="仿宋"/>
          <w:b/>
          <w:bCs/>
          <w:color w:val="auto"/>
        </w:rPr>
      </w:pPr>
      <w:r>
        <w:rPr>
          <w:rFonts w:hint="eastAsia" w:ascii="仿宋" w:hAnsi="仿宋" w:eastAsia="仿宋" w:cs="仿宋"/>
          <w:b/>
          <w:bCs/>
          <w:color w:val="auto"/>
        </w:rPr>
        <w:t>6   供应商关联单位的说明</w:t>
      </w:r>
      <w:bookmarkEnd w:id="197"/>
      <w:bookmarkEnd w:id="198"/>
    </w:p>
    <w:p>
      <w:pPr>
        <w:pStyle w:val="2"/>
        <w:ind w:firstLine="480" w:firstLineChars="200"/>
        <w:rPr>
          <w:rFonts w:ascii="仿宋" w:hAnsi="仿宋" w:eastAsia="仿宋" w:cs="仿宋"/>
          <w:color w:val="auto"/>
        </w:rPr>
      </w:pPr>
    </w:p>
    <w:p>
      <w:pPr>
        <w:pStyle w:val="2"/>
        <w:ind w:firstLine="480" w:firstLineChars="200"/>
        <w:rPr>
          <w:rFonts w:ascii="仿宋" w:hAnsi="仿宋" w:eastAsia="仿宋" w:cs="仿宋"/>
          <w:color w:val="auto"/>
        </w:rPr>
      </w:pPr>
    </w:p>
    <w:p>
      <w:pPr>
        <w:pStyle w:val="2"/>
        <w:ind w:firstLine="480" w:firstLineChars="200"/>
        <w:rPr>
          <w:rFonts w:ascii="仿宋" w:hAnsi="仿宋" w:eastAsia="仿宋" w:cs="仿宋"/>
          <w:color w:val="auto"/>
        </w:rPr>
      </w:pPr>
      <w:r>
        <w:rPr>
          <w:rFonts w:hint="eastAsia" w:ascii="仿宋" w:hAnsi="仿宋" w:eastAsia="仿宋" w:cs="仿宋"/>
          <w:color w:val="auto"/>
        </w:rPr>
        <w:t>说明：供应商应当如实披露与本单位存在下列关联关系的单位名称：</w:t>
      </w:r>
    </w:p>
    <w:p>
      <w:pPr>
        <w:pStyle w:val="2"/>
        <w:ind w:firstLine="480" w:firstLineChars="200"/>
        <w:rPr>
          <w:rFonts w:ascii="仿宋" w:hAnsi="仿宋" w:eastAsia="仿宋" w:cs="仿宋"/>
          <w:color w:val="auto"/>
        </w:rPr>
      </w:pPr>
      <w:r>
        <w:rPr>
          <w:rFonts w:hint="eastAsia" w:ascii="仿宋" w:hAnsi="仿宋" w:eastAsia="仿宋" w:cs="仿宋"/>
          <w:color w:val="auto"/>
        </w:rPr>
        <w:t>（1）与供应商单位负责人为同一人的其他单位；</w:t>
      </w:r>
    </w:p>
    <w:p>
      <w:pPr>
        <w:pStyle w:val="2"/>
        <w:ind w:firstLine="480" w:firstLineChars="200"/>
        <w:rPr>
          <w:rFonts w:ascii="仿宋" w:hAnsi="仿宋" w:eastAsia="仿宋" w:cs="仿宋"/>
          <w:color w:val="auto"/>
        </w:rPr>
      </w:pPr>
      <w:r>
        <w:rPr>
          <w:rFonts w:hint="eastAsia" w:ascii="仿宋" w:hAnsi="仿宋" w:eastAsia="仿宋" w:cs="仿宋"/>
          <w:color w:val="auto"/>
        </w:rPr>
        <w:t>（2）与供应商存在直接控股、管理关系的其他单位。</w:t>
      </w:r>
    </w:p>
    <w:p>
      <w:pPr>
        <w:pStyle w:val="2"/>
        <w:jc w:val="center"/>
        <w:rPr>
          <w:rFonts w:ascii="仿宋" w:hAnsi="仿宋" w:eastAsia="仿宋" w:cs="仿宋"/>
          <w:color w:val="auto"/>
        </w:rPr>
      </w:pPr>
    </w:p>
    <w:p>
      <w:pPr>
        <w:pStyle w:val="20"/>
        <w:tabs>
          <w:tab w:val="center" w:pos="4140"/>
          <w:tab w:val="right" w:pos="8300"/>
          <w:tab w:val="clear" w:pos="4153"/>
          <w:tab w:val="clear" w:pos="8306"/>
        </w:tabs>
        <w:spacing w:line="440" w:lineRule="exact"/>
        <w:jc w:val="center"/>
        <w:outlineLvl w:val="0"/>
        <w:rPr>
          <w:rFonts w:ascii="仿宋" w:hAnsi="仿宋" w:eastAsia="仿宋" w:cs="仿宋"/>
          <w:b/>
          <w:color w:val="auto"/>
          <w:sz w:val="24"/>
        </w:rPr>
      </w:pPr>
      <w:r>
        <w:rPr>
          <w:rFonts w:hint="eastAsia" w:ascii="仿宋" w:hAnsi="仿宋" w:eastAsia="仿宋" w:cs="仿宋"/>
          <w:b/>
          <w:bCs/>
          <w:color w:val="auto"/>
        </w:rPr>
        <w:br w:type="page"/>
      </w:r>
      <w:r>
        <w:rPr>
          <w:rFonts w:hint="eastAsia" w:ascii="仿宋" w:hAnsi="仿宋" w:eastAsia="仿宋" w:cs="仿宋"/>
          <w:b/>
          <w:color w:val="auto"/>
          <w:sz w:val="24"/>
        </w:rPr>
        <w:t>第四部分  技术投标方案</w:t>
      </w:r>
    </w:p>
    <w:p>
      <w:pPr>
        <w:pStyle w:val="20"/>
        <w:tabs>
          <w:tab w:val="center" w:pos="4140"/>
          <w:tab w:val="right" w:pos="8300"/>
          <w:tab w:val="clear" w:pos="4153"/>
          <w:tab w:val="clear" w:pos="8306"/>
        </w:tabs>
        <w:spacing w:line="440" w:lineRule="exact"/>
        <w:ind w:firstLine="480" w:firstLineChars="200"/>
        <w:jc w:val="both"/>
        <w:rPr>
          <w:rFonts w:ascii="仿宋" w:hAnsi="仿宋" w:eastAsia="仿宋" w:cs="仿宋"/>
          <w:color w:val="auto"/>
          <w:sz w:val="24"/>
          <w:lang w:val="zh-CN"/>
        </w:rPr>
      </w:pPr>
      <w:bookmarkStart w:id="199" w:name="_Toc375218897"/>
      <w:r>
        <w:rPr>
          <w:rFonts w:hint="eastAsia" w:ascii="仿宋" w:hAnsi="仿宋" w:eastAsia="仿宋" w:cs="仿宋"/>
          <w:color w:val="auto"/>
          <w:sz w:val="24"/>
          <w:lang w:val="zh-CN"/>
        </w:rPr>
        <w:t>供应商应根据采购文件的要求，参照项目的具体情况及评分标准</w:t>
      </w:r>
      <w:bookmarkStart w:id="200" w:name="_Toc375218899"/>
      <w:r>
        <w:rPr>
          <w:rFonts w:hint="eastAsia" w:ascii="仿宋" w:hAnsi="仿宋" w:eastAsia="仿宋" w:cs="仿宋"/>
          <w:color w:val="auto"/>
          <w:sz w:val="24"/>
          <w:lang w:val="zh-CN"/>
        </w:rPr>
        <w:t>技术</w:t>
      </w:r>
      <w:r>
        <w:rPr>
          <w:rFonts w:hint="eastAsia" w:ascii="仿宋" w:hAnsi="仿宋" w:eastAsia="仿宋" w:cs="仿宋"/>
          <w:color w:val="auto"/>
          <w:sz w:val="24"/>
        </w:rPr>
        <w:t>表</w:t>
      </w:r>
      <w:r>
        <w:rPr>
          <w:rFonts w:hint="eastAsia" w:ascii="仿宋" w:hAnsi="仿宋" w:eastAsia="仿宋" w:cs="仿宋"/>
          <w:color w:val="auto"/>
          <w:sz w:val="24"/>
          <w:lang w:val="zh-CN"/>
        </w:rPr>
        <w:t>内容</w:t>
      </w:r>
      <w:r>
        <w:rPr>
          <w:rFonts w:hint="eastAsia" w:ascii="仿宋" w:hAnsi="仿宋" w:eastAsia="仿宋" w:cs="仿宋"/>
          <w:color w:val="auto"/>
          <w:sz w:val="24"/>
        </w:rPr>
        <w:t>编制技术投标方案</w:t>
      </w:r>
      <w:r>
        <w:rPr>
          <w:rFonts w:hint="eastAsia" w:ascii="仿宋" w:hAnsi="仿宋" w:eastAsia="仿宋" w:cs="仿宋"/>
          <w:color w:val="auto"/>
          <w:sz w:val="24"/>
          <w:lang w:val="zh-CN"/>
        </w:rPr>
        <w:t>。</w:t>
      </w:r>
      <w:bookmarkEnd w:id="199"/>
      <w:bookmarkEnd w:id="200"/>
    </w:p>
    <w:p>
      <w:pPr>
        <w:pStyle w:val="20"/>
        <w:tabs>
          <w:tab w:val="center" w:pos="4140"/>
          <w:tab w:val="right" w:pos="8300"/>
          <w:tab w:val="clear" w:pos="4153"/>
          <w:tab w:val="clear" w:pos="8306"/>
        </w:tabs>
        <w:spacing w:line="440" w:lineRule="exact"/>
        <w:ind w:firstLine="480" w:firstLineChars="200"/>
        <w:jc w:val="both"/>
        <w:rPr>
          <w:rFonts w:ascii="仿宋" w:hAnsi="仿宋" w:eastAsia="仿宋" w:cs="仿宋"/>
          <w:color w:val="auto"/>
          <w:sz w:val="24"/>
          <w:lang w:val="zh-CN"/>
        </w:rPr>
      </w:pPr>
      <w:r>
        <w:rPr>
          <w:rFonts w:hint="eastAsia" w:ascii="仿宋" w:hAnsi="仿宋" w:eastAsia="仿宋" w:cs="仿宋"/>
          <w:color w:val="auto"/>
          <w:sz w:val="24"/>
        </w:rPr>
        <w:t>标项一、二：技术投标文件</w:t>
      </w:r>
      <w:r>
        <w:rPr>
          <w:rFonts w:hint="eastAsia" w:ascii="仿宋" w:hAnsi="仿宋" w:eastAsia="仿宋" w:cs="仿宋"/>
          <w:color w:val="auto"/>
          <w:sz w:val="24"/>
          <w:lang w:val="zh-CN"/>
        </w:rPr>
        <w:t>将从与采购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rPr>
        <w:t>投入本项目的主要设备和仪器等方面进行评审</w:t>
      </w:r>
      <w:r>
        <w:rPr>
          <w:rFonts w:hint="eastAsia" w:ascii="仿宋" w:hAnsi="仿宋" w:eastAsia="仿宋" w:cs="仿宋"/>
          <w:color w:val="auto"/>
          <w:sz w:val="24"/>
          <w:lang w:val="zh-CN"/>
        </w:rPr>
        <w:t>。</w:t>
      </w:r>
    </w:p>
    <w:p>
      <w:pPr>
        <w:pStyle w:val="20"/>
        <w:tabs>
          <w:tab w:val="center" w:pos="4140"/>
          <w:tab w:val="right" w:pos="8300"/>
          <w:tab w:val="clear" w:pos="4153"/>
          <w:tab w:val="clear" w:pos="8306"/>
        </w:tabs>
        <w:spacing w:line="44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标项三、四、五、六：技术投标文件将从与采购文件的响应性，</w:t>
      </w:r>
      <w:r>
        <w:rPr>
          <w:rFonts w:hint="eastAsia" w:ascii="仿宋" w:hAnsi="仿宋" w:eastAsia="仿宋" w:cs="仿宋"/>
          <w:color w:val="auto"/>
          <w:sz w:val="24"/>
          <w:lang w:val="zh-CN"/>
        </w:rPr>
        <w:t>将从与采购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rPr>
        <w:t>投入本项目的主要设备和仪器等方面评审。</w:t>
      </w:r>
    </w:p>
    <w:p>
      <w:pPr>
        <w:pStyle w:val="20"/>
        <w:tabs>
          <w:tab w:val="center" w:pos="4140"/>
          <w:tab w:val="right" w:pos="8300"/>
          <w:tab w:val="clear" w:pos="4153"/>
          <w:tab w:val="clear" w:pos="8306"/>
        </w:tabs>
        <w:spacing w:line="44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标项七：技术投标文件将从与采购文件的响应性，</w:t>
      </w:r>
      <w:r>
        <w:rPr>
          <w:rFonts w:hint="eastAsia" w:ascii="仿宋" w:hAnsi="仿宋" w:eastAsia="仿宋" w:cs="仿宋"/>
          <w:color w:val="auto"/>
          <w:sz w:val="24"/>
          <w:lang w:val="zh-CN"/>
        </w:rPr>
        <w:t>将从与采购文件的响应性，编制依据、目标任务，技术方案，供应设备的技术条款、技术参数、技术指标、设备质保及其他指标，基础施工、设备安装及设备管理，设备安装，绩效目标，预期成果，组织管理机构、主要技术人员配备，设备配置应齐备，工程实施计划、培训计划、售后服务计划 ，质量、进度、安全的保障体系等</w:t>
      </w:r>
      <w:r>
        <w:rPr>
          <w:rFonts w:hint="eastAsia" w:ascii="仿宋" w:hAnsi="仿宋" w:eastAsia="仿宋" w:cs="仿宋"/>
          <w:color w:val="auto"/>
          <w:sz w:val="24"/>
        </w:rPr>
        <w:t>方面进行评审。</w:t>
      </w:r>
    </w:p>
    <w:p>
      <w:pPr>
        <w:pStyle w:val="20"/>
        <w:tabs>
          <w:tab w:val="center" w:pos="4140"/>
          <w:tab w:val="right" w:pos="8300"/>
          <w:tab w:val="clear" w:pos="4153"/>
          <w:tab w:val="clear" w:pos="8306"/>
        </w:tabs>
        <w:spacing w:line="440" w:lineRule="exact"/>
        <w:ind w:firstLine="480" w:firstLineChars="200"/>
        <w:jc w:val="both"/>
        <w:rPr>
          <w:rFonts w:ascii="仿宋" w:hAnsi="仿宋" w:eastAsia="仿宋" w:cs="仿宋"/>
          <w:color w:val="auto"/>
          <w:sz w:val="24"/>
          <w:lang w:val="zh-CN"/>
        </w:rPr>
      </w:pPr>
      <w:r>
        <w:rPr>
          <w:rFonts w:hint="eastAsia" w:ascii="仿宋" w:hAnsi="仿宋" w:eastAsia="仿宋" w:cs="仿宋"/>
          <w:color w:val="auto"/>
          <w:sz w:val="24"/>
        </w:rPr>
        <w:t>标项八、九、十：</w:t>
      </w:r>
      <w:r>
        <w:rPr>
          <w:rFonts w:hint="eastAsia" w:ascii="仿宋" w:hAnsi="仿宋" w:eastAsia="仿宋" w:cs="仿宋"/>
          <w:color w:val="auto"/>
          <w:sz w:val="24"/>
          <w:lang w:val="zh-CN"/>
        </w:rPr>
        <w:t>技术标将从标书与</w:t>
      </w:r>
      <w:r>
        <w:rPr>
          <w:rFonts w:hint="eastAsia" w:ascii="仿宋" w:hAnsi="仿宋" w:eastAsia="仿宋" w:cs="仿宋"/>
          <w:color w:val="auto"/>
          <w:sz w:val="24"/>
        </w:rPr>
        <w:t>采购</w:t>
      </w:r>
      <w:r>
        <w:rPr>
          <w:rFonts w:hint="eastAsia" w:ascii="仿宋" w:hAnsi="仿宋" w:eastAsia="仿宋" w:cs="仿宋"/>
          <w:color w:val="auto"/>
          <w:sz w:val="24"/>
          <w:lang w:val="zh-CN"/>
        </w:rPr>
        <w:t>文件的响应性或完整性、目标任务、工作思路、工作部署、工作量布置、进度安排的明确清晰程度及合理性、工作方法手段、技术要求的可行性、技术要求应满足相关标准、规范。预期成果、质量、进度、安全的保障体系及主要措施、</w:t>
      </w:r>
      <w:r>
        <w:rPr>
          <w:rFonts w:hint="eastAsia" w:ascii="仿宋" w:hAnsi="仿宋" w:eastAsia="仿宋" w:cs="仿宋"/>
          <w:color w:val="auto"/>
          <w:sz w:val="24"/>
        </w:rPr>
        <w:t>人员配置</w:t>
      </w:r>
      <w:r>
        <w:rPr>
          <w:rFonts w:hint="eastAsia" w:ascii="仿宋" w:hAnsi="仿宋" w:eastAsia="仿宋" w:cs="仿宋"/>
          <w:color w:val="auto"/>
          <w:sz w:val="24"/>
          <w:lang w:val="zh-CN"/>
        </w:rPr>
        <w:t>是否合理，主要设备配置、组织管理机构等方面进行评价。</w:t>
      </w:r>
    </w:p>
    <w:p>
      <w:pPr>
        <w:pStyle w:val="20"/>
        <w:tabs>
          <w:tab w:val="center" w:pos="4140"/>
          <w:tab w:val="right" w:pos="8300"/>
          <w:tab w:val="clear" w:pos="4153"/>
          <w:tab w:val="clear" w:pos="8306"/>
        </w:tabs>
        <w:spacing w:line="440" w:lineRule="exact"/>
        <w:ind w:firstLine="480" w:firstLineChars="200"/>
        <w:jc w:val="both"/>
        <w:rPr>
          <w:rFonts w:ascii="仿宋" w:hAnsi="仿宋" w:eastAsia="仿宋" w:cs="仿宋"/>
          <w:color w:val="auto"/>
          <w:sz w:val="24"/>
        </w:rPr>
      </w:pPr>
      <w:r>
        <w:rPr>
          <w:rFonts w:hint="eastAsia" w:ascii="仿宋" w:hAnsi="仿宋" w:eastAsia="仿宋" w:cs="仿宋"/>
          <w:color w:val="auto"/>
          <w:sz w:val="24"/>
        </w:rPr>
        <w:t>标项十一：</w:t>
      </w:r>
      <w:r>
        <w:rPr>
          <w:rFonts w:hint="eastAsia" w:ascii="仿宋" w:hAnsi="仿宋" w:eastAsia="仿宋" w:cs="仿宋"/>
          <w:color w:val="auto"/>
          <w:sz w:val="24"/>
          <w:lang w:val="zh-CN"/>
        </w:rPr>
        <w:t>技术标将从标书与</w:t>
      </w:r>
      <w:r>
        <w:rPr>
          <w:rFonts w:hint="eastAsia" w:ascii="仿宋" w:hAnsi="仿宋" w:eastAsia="仿宋" w:cs="仿宋"/>
          <w:color w:val="auto"/>
          <w:sz w:val="24"/>
        </w:rPr>
        <w:t>采购</w:t>
      </w:r>
      <w:r>
        <w:rPr>
          <w:rFonts w:hint="eastAsia" w:ascii="仿宋" w:hAnsi="仿宋" w:eastAsia="仿宋" w:cs="仿宋"/>
          <w:color w:val="auto"/>
          <w:sz w:val="24"/>
          <w:lang w:val="zh-CN"/>
        </w:rPr>
        <w:t>文件的响应性或完整性、监理工作范围、内容、目标及依据、监理机构和组织形式健全、监理工作程序的合理性，技术要求的可行性、技术要求及措施的合理性、预期成果应包括、监理工作总结、质量评估报告、人员配置等方面进行评价。</w:t>
      </w:r>
    </w:p>
    <w:p>
      <w:pPr>
        <w:shd w:val="clear" w:color="auto" w:fill="FFFFFF"/>
        <w:spacing w:line="400" w:lineRule="exact"/>
        <w:ind w:firstLine="484" w:firstLineChars="202"/>
        <w:rPr>
          <w:rFonts w:ascii="仿宋" w:hAnsi="仿宋" w:eastAsia="仿宋" w:cs="仿宋"/>
          <w:color w:val="auto"/>
          <w:sz w:val="24"/>
        </w:rPr>
      </w:pPr>
    </w:p>
    <w:p>
      <w:pPr>
        <w:shd w:val="clear" w:color="auto" w:fill="FFFFFF"/>
        <w:spacing w:line="400" w:lineRule="exact"/>
        <w:ind w:firstLine="484" w:firstLineChars="202"/>
        <w:rPr>
          <w:rFonts w:ascii="仿宋" w:hAnsi="仿宋" w:eastAsia="仿宋" w:cs="仿宋"/>
          <w:color w:val="auto"/>
          <w:sz w:val="24"/>
          <w:lang w:val="zh-CN"/>
        </w:rPr>
      </w:pPr>
      <w:r>
        <w:rPr>
          <w:rFonts w:hint="eastAsia" w:ascii="仿宋" w:hAnsi="仿宋" w:eastAsia="仿宋" w:cs="仿宋"/>
          <w:color w:val="auto"/>
          <w:sz w:val="24"/>
          <w:lang w:val="zh-CN"/>
        </w:rPr>
        <w:t>为了便于查找，请</w:t>
      </w:r>
      <w:r>
        <w:rPr>
          <w:rFonts w:hint="eastAsia" w:ascii="仿宋" w:hAnsi="仿宋" w:eastAsia="仿宋" w:cs="仿宋"/>
          <w:color w:val="auto"/>
          <w:sz w:val="24"/>
        </w:rPr>
        <w:t>编制目录</w:t>
      </w:r>
      <w:r>
        <w:rPr>
          <w:rFonts w:hint="eastAsia" w:ascii="仿宋" w:hAnsi="仿宋" w:eastAsia="仿宋" w:cs="仿宋"/>
          <w:color w:val="auto"/>
          <w:sz w:val="24"/>
          <w:lang w:val="zh-CN"/>
        </w:rPr>
        <w:t>，并在目录中注明每项内容的页码。</w:t>
      </w:r>
    </w:p>
    <w:p>
      <w:pPr>
        <w:rPr>
          <w:color w:val="auto"/>
        </w:rPr>
      </w:pPr>
    </w:p>
    <w:p>
      <w:pPr>
        <w:pStyle w:val="2"/>
        <w:ind w:firstLine="723" w:firstLineChars="300"/>
        <w:rPr>
          <w:rFonts w:ascii="仿宋" w:hAnsi="仿宋" w:eastAsia="仿宋" w:cs="仿宋"/>
          <w:b/>
          <w:bCs/>
          <w:color w:val="auto"/>
        </w:rPr>
      </w:pPr>
    </w:p>
    <w:p>
      <w:pPr>
        <w:rPr>
          <w:color w:val="auto"/>
        </w:rPr>
      </w:pPr>
      <w:r>
        <w:rPr>
          <w:rFonts w:hint="eastAsia"/>
          <w:color w:val="auto"/>
        </w:rPr>
        <w:br w:type="page"/>
      </w:r>
    </w:p>
    <w:p>
      <w:pPr>
        <w:spacing w:line="240" w:lineRule="atLeast"/>
        <w:ind w:left="1080" w:leftChars="257" w:hanging="540"/>
        <w:jc w:val="center"/>
        <w:rPr>
          <w:rFonts w:ascii="仿宋" w:hAnsi="仿宋" w:eastAsia="仿宋" w:cs="仿宋"/>
          <w:color w:val="auto"/>
          <w:sz w:val="24"/>
        </w:rPr>
      </w:pPr>
    </w:p>
    <w:p>
      <w:pPr>
        <w:spacing w:line="240" w:lineRule="atLeast"/>
        <w:ind w:left="1080" w:leftChars="257" w:hanging="540"/>
        <w:jc w:val="center"/>
        <w:rPr>
          <w:rFonts w:ascii="仿宋" w:hAnsi="仿宋" w:eastAsia="仿宋" w:cs="仿宋"/>
          <w:color w:val="auto"/>
          <w:sz w:val="24"/>
        </w:rPr>
      </w:pPr>
    </w:p>
    <w:p>
      <w:pPr>
        <w:spacing w:line="240" w:lineRule="atLeast"/>
        <w:ind w:left="1080" w:leftChars="257" w:hanging="540"/>
        <w:jc w:val="center"/>
        <w:rPr>
          <w:rFonts w:ascii="仿宋" w:hAnsi="仿宋" w:eastAsia="仿宋" w:cs="仿宋"/>
          <w:color w:val="auto"/>
          <w:sz w:val="24"/>
        </w:rPr>
      </w:pPr>
    </w:p>
    <w:p>
      <w:pPr>
        <w:spacing w:line="240" w:lineRule="atLeast"/>
        <w:ind w:left="1080" w:leftChars="257" w:hanging="540"/>
        <w:jc w:val="center"/>
        <w:rPr>
          <w:rFonts w:ascii="仿宋" w:hAnsi="仿宋" w:eastAsia="仿宋" w:cs="仿宋"/>
          <w:color w:val="auto"/>
          <w:sz w:val="24"/>
        </w:rPr>
      </w:pPr>
    </w:p>
    <w:p>
      <w:pPr>
        <w:spacing w:line="240" w:lineRule="atLeast"/>
        <w:ind w:left="1080" w:leftChars="257" w:hanging="540"/>
        <w:jc w:val="center"/>
        <w:rPr>
          <w:rFonts w:ascii="仿宋" w:hAnsi="仿宋" w:eastAsia="仿宋" w:cs="仿宋"/>
          <w:color w:val="auto"/>
          <w:sz w:val="24"/>
        </w:rPr>
      </w:pPr>
    </w:p>
    <w:p>
      <w:pPr>
        <w:widowControl/>
        <w:jc w:val="center"/>
        <w:rPr>
          <w:rFonts w:hint="eastAsia" w:ascii="仿宋" w:hAnsi="仿宋" w:eastAsia="仿宋" w:cs="仿宋"/>
          <w:b/>
          <w:color w:val="auto"/>
          <w:sz w:val="40"/>
          <w:szCs w:val="40"/>
        </w:rPr>
      </w:pPr>
      <w:r>
        <w:rPr>
          <w:rFonts w:hint="eastAsia" w:ascii="仿宋" w:hAnsi="仿宋" w:eastAsia="仿宋" w:cs="仿宋"/>
          <w:b/>
          <w:color w:val="auto"/>
          <w:sz w:val="40"/>
          <w:szCs w:val="40"/>
        </w:rPr>
        <w:t>喀什地区2023年地质灾害防治体系建设项目</w:t>
      </w:r>
    </w:p>
    <w:p>
      <w:pPr>
        <w:pStyle w:val="25"/>
        <w:jc w:val="center"/>
        <w:rPr>
          <w:rFonts w:ascii="仿宋" w:hAnsi="仿宋" w:eastAsia="仿宋" w:cs="仿宋"/>
          <w:b/>
          <w:color w:val="auto"/>
          <w:sz w:val="48"/>
          <w:szCs w:val="48"/>
        </w:rPr>
      </w:pPr>
      <w:r>
        <w:rPr>
          <w:rFonts w:hint="eastAsia" w:ascii="仿宋" w:hAnsi="仿宋" w:eastAsia="仿宋" w:cs="仿宋"/>
          <w:b/>
          <w:color w:val="auto"/>
          <w:sz w:val="40"/>
          <w:szCs w:val="40"/>
          <w:lang w:val="en-US" w:eastAsia="zh-CN"/>
        </w:rPr>
        <w:t>2023年自然资源领域（第一批）专项资金项目</w:t>
      </w:r>
    </w:p>
    <w:p>
      <w:pPr>
        <w:widowControl/>
        <w:jc w:val="left"/>
        <w:rPr>
          <w:rFonts w:ascii="仿宋" w:hAnsi="仿宋" w:eastAsia="仿宋" w:cs="仿宋"/>
          <w:color w:val="auto"/>
        </w:rPr>
      </w:pPr>
    </w:p>
    <w:p>
      <w:pPr>
        <w:pStyle w:val="36"/>
        <w:ind w:firstLine="480"/>
        <w:rPr>
          <w:color w:val="auto"/>
        </w:rPr>
      </w:pPr>
    </w:p>
    <w:p>
      <w:pPr>
        <w:pStyle w:val="35"/>
        <w:rPr>
          <w:color w:val="auto"/>
        </w:rPr>
      </w:pPr>
    </w:p>
    <w:p>
      <w:pPr>
        <w:pStyle w:val="36"/>
        <w:rPr>
          <w:color w:val="auto"/>
        </w:rPr>
      </w:pPr>
    </w:p>
    <w:p>
      <w:pPr>
        <w:spacing w:line="240" w:lineRule="atLeast"/>
        <w:jc w:val="center"/>
        <w:rPr>
          <w:rFonts w:ascii="仿宋" w:hAnsi="仿宋" w:eastAsia="仿宋" w:cs="仿宋"/>
          <w:bCs/>
          <w:color w:val="auto"/>
          <w:sz w:val="52"/>
          <w:szCs w:val="52"/>
        </w:rPr>
      </w:pPr>
      <w:r>
        <w:rPr>
          <w:rFonts w:hint="eastAsia" w:ascii="仿宋" w:hAnsi="仿宋" w:eastAsia="仿宋" w:cs="仿宋"/>
          <w:b/>
          <w:color w:val="auto"/>
          <w:sz w:val="52"/>
          <w:szCs w:val="52"/>
        </w:rPr>
        <w:t>采购文件</w:t>
      </w:r>
    </w:p>
    <w:p>
      <w:pPr>
        <w:spacing w:line="240" w:lineRule="atLeast"/>
        <w:ind w:left="1080" w:leftChars="257" w:hanging="540"/>
        <w:jc w:val="center"/>
        <w:rPr>
          <w:rFonts w:ascii="仿宋" w:hAnsi="仿宋" w:eastAsia="仿宋" w:cs="仿宋"/>
          <w:bCs/>
          <w:color w:val="auto"/>
          <w:sz w:val="52"/>
          <w:szCs w:val="52"/>
        </w:rPr>
      </w:pPr>
    </w:p>
    <w:p>
      <w:pPr>
        <w:spacing w:line="240" w:lineRule="atLeast"/>
        <w:ind w:left="1080" w:leftChars="257" w:hanging="540"/>
        <w:jc w:val="center"/>
        <w:rPr>
          <w:rFonts w:ascii="仿宋" w:hAnsi="仿宋" w:eastAsia="仿宋" w:cs="仿宋"/>
          <w:bCs/>
          <w:color w:val="auto"/>
          <w:sz w:val="32"/>
          <w:szCs w:val="32"/>
        </w:rPr>
      </w:pPr>
      <w:r>
        <w:rPr>
          <w:rFonts w:hint="eastAsia" w:ascii="仿宋" w:hAnsi="仿宋" w:eastAsia="仿宋" w:cs="仿宋"/>
          <w:bCs/>
          <w:color w:val="auto"/>
          <w:sz w:val="32"/>
          <w:szCs w:val="32"/>
        </w:rPr>
        <w:t>（项目编号：GYZB-KSDZFZ2023）</w:t>
      </w:r>
    </w:p>
    <w:p>
      <w:pPr>
        <w:pStyle w:val="2"/>
        <w:ind w:firstLine="0"/>
        <w:rPr>
          <w:color w:val="auto"/>
        </w:rPr>
      </w:pPr>
    </w:p>
    <w:p>
      <w:pPr>
        <w:pStyle w:val="3"/>
        <w:rPr>
          <w:color w:val="auto"/>
        </w:rPr>
      </w:pPr>
    </w:p>
    <w:p>
      <w:pPr>
        <w:spacing w:line="240" w:lineRule="atLeast"/>
        <w:ind w:left="1080" w:leftChars="257" w:hanging="540"/>
        <w:jc w:val="center"/>
        <w:rPr>
          <w:rFonts w:ascii="仿宋" w:hAnsi="仿宋" w:eastAsia="仿宋" w:cs="仿宋"/>
          <w:b/>
          <w:color w:val="auto"/>
          <w:sz w:val="52"/>
        </w:rPr>
      </w:pPr>
    </w:p>
    <w:p>
      <w:pPr>
        <w:spacing w:line="240" w:lineRule="atLeast"/>
        <w:ind w:left="1079" w:leftChars="257" w:hanging="539"/>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第二册</w:t>
      </w:r>
    </w:p>
    <w:p>
      <w:pPr>
        <w:pStyle w:val="35"/>
        <w:ind w:firstLine="1044"/>
        <w:rPr>
          <w:rFonts w:ascii="仿宋" w:hAnsi="仿宋" w:eastAsia="仿宋" w:cs="仿宋"/>
          <w:b/>
          <w:color w:val="auto"/>
          <w:sz w:val="52"/>
        </w:rPr>
      </w:pPr>
    </w:p>
    <w:p>
      <w:pPr>
        <w:pStyle w:val="36"/>
        <w:rPr>
          <w:color w:val="auto"/>
        </w:rPr>
      </w:pPr>
    </w:p>
    <w:p>
      <w:pPr>
        <w:pStyle w:val="36"/>
        <w:ind w:firstLine="480"/>
        <w:rPr>
          <w:color w:val="auto"/>
        </w:rPr>
      </w:pPr>
    </w:p>
    <w:p>
      <w:pPr>
        <w:spacing w:line="360" w:lineRule="auto"/>
        <w:ind w:firstLine="837" w:firstLineChars="299"/>
        <w:jc w:val="left"/>
        <w:rPr>
          <w:rFonts w:ascii="仿宋" w:hAnsi="仿宋" w:eastAsia="仿宋" w:cs="仿宋"/>
          <w:color w:val="auto"/>
          <w:sz w:val="28"/>
          <w:szCs w:val="28"/>
          <w:u w:val="single"/>
        </w:rPr>
      </w:pPr>
      <w:r>
        <w:rPr>
          <w:rFonts w:hint="eastAsia" w:ascii="仿宋" w:hAnsi="仿宋" w:eastAsia="仿宋" w:cs="仿宋"/>
          <w:color w:val="auto"/>
          <w:sz w:val="28"/>
          <w:szCs w:val="28"/>
        </w:rPr>
        <w:t>采 购 人：</w:t>
      </w:r>
      <w:r>
        <w:rPr>
          <w:rFonts w:hint="eastAsia" w:ascii="仿宋" w:hAnsi="仿宋" w:eastAsia="仿宋" w:cs="仿宋"/>
          <w:color w:val="auto"/>
          <w:sz w:val="28"/>
          <w:szCs w:val="28"/>
          <w:u w:val="single"/>
        </w:rPr>
        <w:t>喀什地区自然资源局</w:t>
      </w:r>
    </w:p>
    <w:p>
      <w:pPr>
        <w:spacing w:line="600" w:lineRule="exact"/>
        <w:ind w:firstLine="837" w:firstLineChars="299"/>
        <w:rPr>
          <w:rFonts w:ascii="仿宋" w:hAnsi="仿宋" w:eastAsia="仿宋" w:cs="仿宋"/>
          <w:color w:val="auto"/>
          <w:sz w:val="28"/>
          <w:szCs w:val="28"/>
        </w:rPr>
      </w:pP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新疆国源土地矿产资源交易中心（有限公司）</w:t>
      </w:r>
      <w:r>
        <w:rPr>
          <w:rFonts w:hint="eastAsia" w:ascii="仿宋" w:hAnsi="仿宋" w:eastAsia="仿宋" w:cs="仿宋"/>
          <w:color w:val="auto"/>
          <w:sz w:val="28"/>
          <w:szCs w:val="28"/>
        </w:rPr>
        <w:t xml:space="preserve"> </w:t>
      </w:r>
    </w:p>
    <w:p>
      <w:pPr>
        <w:spacing w:line="600" w:lineRule="exact"/>
        <w:ind w:firstLine="837" w:firstLineChars="299"/>
        <w:rPr>
          <w:rFonts w:ascii="仿宋" w:hAnsi="仿宋" w:eastAsia="仿宋" w:cs="仿宋"/>
          <w:color w:val="auto"/>
          <w:sz w:val="28"/>
          <w:szCs w:val="28"/>
          <w:u w:val="single"/>
        </w:rPr>
      </w:pPr>
      <w:r>
        <w:rPr>
          <w:rFonts w:hint="eastAsia" w:ascii="仿宋" w:hAnsi="仿宋" w:eastAsia="仿宋" w:cs="仿宋"/>
          <w:color w:val="auto"/>
          <w:sz w:val="28"/>
          <w:szCs w:val="28"/>
        </w:rPr>
        <w:t>发出日期：</w:t>
      </w:r>
      <w:r>
        <w:rPr>
          <w:rFonts w:hint="eastAsia" w:ascii="仿宋" w:hAnsi="仿宋" w:eastAsia="仿宋" w:cs="仿宋"/>
          <w:color w:val="auto"/>
          <w:sz w:val="28"/>
          <w:szCs w:val="28"/>
          <w:u w:val="single"/>
        </w:rPr>
        <w:t>2023年2月</w:t>
      </w:r>
    </w:p>
    <w:p>
      <w:pPr>
        <w:spacing w:line="600" w:lineRule="exact"/>
        <w:jc w:val="center"/>
        <w:outlineLvl w:val="0"/>
        <w:rPr>
          <w:rFonts w:ascii="仿宋" w:hAnsi="仿宋" w:eastAsia="仿宋" w:cs="仿宋"/>
          <w:color w:val="auto"/>
        </w:rPr>
      </w:pPr>
      <w:r>
        <w:rPr>
          <w:rFonts w:hint="eastAsia" w:ascii="仿宋" w:hAnsi="仿宋" w:eastAsia="仿宋" w:cs="仿宋"/>
          <w:color w:val="auto"/>
          <w:sz w:val="28"/>
          <w:szCs w:val="28"/>
          <w:u w:val="single"/>
        </w:rPr>
        <w:br w:type="page"/>
      </w:r>
      <w:bookmarkStart w:id="201" w:name="_Toc9913"/>
      <w:bookmarkStart w:id="202" w:name="_Toc507399902"/>
      <w:bookmarkStart w:id="203" w:name="_Toc518923124"/>
      <w:bookmarkStart w:id="204" w:name="_Toc219175634"/>
      <w:bookmarkStart w:id="205" w:name="_Toc216582822"/>
      <w:bookmarkStart w:id="206" w:name="_Toc218935350"/>
      <w:r>
        <w:rPr>
          <w:rFonts w:hint="eastAsia" w:ascii="仿宋" w:hAnsi="仿宋" w:eastAsia="仿宋" w:cs="仿宋"/>
          <w:b/>
          <w:color w:val="auto"/>
          <w:kern w:val="44"/>
          <w:sz w:val="32"/>
          <w:szCs w:val="20"/>
        </w:rPr>
        <w:t xml:space="preserve">第3章  </w:t>
      </w:r>
      <w:bookmarkEnd w:id="201"/>
      <w:bookmarkEnd w:id="202"/>
      <w:bookmarkEnd w:id="203"/>
      <w:bookmarkEnd w:id="204"/>
      <w:bookmarkEnd w:id="205"/>
      <w:bookmarkEnd w:id="206"/>
      <w:r>
        <w:rPr>
          <w:rFonts w:hint="eastAsia" w:ascii="仿宋" w:hAnsi="仿宋" w:eastAsia="仿宋" w:cs="仿宋"/>
          <w:b/>
          <w:color w:val="auto"/>
          <w:kern w:val="44"/>
          <w:sz w:val="32"/>
          <w:szCs w:val="20"/>
        </w:rPr>
        <w:t>招标公告</w:t>
      </w:r>
    </w:p>
    <w:p>
      <w:pPr>
        <w:rPr>
          <w:rFonts w:ascii="仿宋" w:hAnsi="仿宋" w:eastAsia="仿宋" w:cs="仿宋"/>
          <w:color w:val="auto"/>
        </w:rPr>
      </w:pPr>
    </w:p>
    <w:p>
      <w:pPr>
        <w:pStyle w:val="2"/>
        <w:ind w:firstLine="480" w:firstLineChars="200"/>
        <w:rPr>
          <w:rFonts w:ascii="仿宋" w:hAnsi="仿宋" w:eastAsia="仿宋" w:cs="仿宋"/>
          <w:color w:val="auto"/>
        </w:rPr>
      </w:pPr>
      <w:bookmarkStart w:id="207" w:name="_Toc512937850"/>
      <w:r>
        <w:rPr>
          <w:rFonts w:hint="eastAsia" w:ascii="仿宋" w:hAnsi="仿宋" w:eastAsia="仿宋" w:cs="仿宋"/>
          <w:color w:val="auto"/>
        </w:rPr>
        <w:t>项目概况</w:t>
      </w:r>
    </w:p>
    <w:tbl>
      <w:tblPr>
        <w:tblStyle w:val="38"/>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380" w:type="dxa"/>
          </w:tcPr>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仿宋" w:hAnsi="仿宋" w:eastAsia="仿宋" w:cs="仿宋"/>
                <w:color w:val="auto"/>
              </w:rPr>
            </w:pPr>
            <w:r>
              <w:rPr>
                <w:rFonts w:hint="eastAsia" w:ascii="仿宋" w:hAnsi="仿宋" w:eastAsia="仿宋"/>
                <w:color w:val="auto"/>
                <w:kern w:val="2"/>
                <w:szCs w:val="24"/>
                <w:lang w:val="en-US" w:eastAsia="zh-CN"/>
              </w:rPr>
              <w:t>喀什地区2023年地质灾害防治体系建设项目和2023年自然资源领域（第一批）专项资金</w:t>
            </w:r>
            <w:r>
              <w:rPr>
                <w:rFonts w:hint="eastAsia" w:ascii="仿宋" w:hAnsi="仿宋" w:eastAsia="仿宋"/>
                <w:color w:val="auto"/>
                <w:kern w:val="2"/>
                <w:szCs w:val="24"/>
              </w:rPr>
              <w:t>招标项目的潜在供应商应在新疆政府采购网自行下载获取采购文件，并于2023年</w:t>
            </w:r>
            <w:r>
              <w:rPr>
                <w:rFonts w:hint="eastAsia" w:ascii="仿宋" w:hAnsi="仿宋" w:eastAsia="仿宋"/>
                <w:color w:val="auto"/>
                <w:kern w:val="2"/>
                <w:szCs w:val="24"/>
                <w:lang w:val="en-US" w:eastAsia="zh-CN"/>
              </w:rPr>
              <w:t>3</w:t>
            </w:r>
            <w:r>
              <w:rPr>
                <w:rFonts w:hint="eastAsia" w:ascii="仿宋" w:hAnsi="仿宋" w:eastAsia="仿宋"/>
                <w:color w:val="auto"/>
                <w:kern w:val="2"/>
                <w:szCs w:val="24"/>
              </w:rPr>
              <w:t>月</w:t>
            </w:r>
            <w:r>
              <w:rPr>
                <w:rFonts w:hint="eastAsia" w:ascii="仿宋" w:hAnsi="仿宋" w:eastAsia="仿宋"/>
                <w:color w:val="auto"/>
                <w:kern w:val="2"/>
                <w:szCs w:val="24"/>
                <w:lang w:val="en-US" w:eastAsia="zh-CN"/>
              </w:rPr>
              <w:t>9</w:t>
            </w:r>
            <w:r>
              <w:rPr>
                <w:rFonts w:hint="eastAsia" w:ascii="仿宋" w:hAnsi="仿宋" w:eastAsia="仿宋"/>
                <w:color w:val="auto"/>
                <w:kern w:val="2"/>
                <w:szCs w:val="24"/>
              </w:rPr>
              <w:t>日11:00（北京时间）前递交投标文件。</w:t>
            </w:r>
          </w:p>
        </w:tc>
      </w:tr>
    </w:tbl>
    <w:p>
      <w:pPr>
        <w:spacing w:line="360" w:lineRule="auto"/>
        <w:ind w:firstLine="480" w:firstLineChars="200"/>
        <w:rPr>
          <w:rFonts w:ascii="仿宋" w:hAnsi="仿宋" w:eastAsia="仿宋"/>
          <w:color w:val="auto"/>
          <w:sz w:val="24"/>
        </w:rPr>
      </w:pPr>
      <w:r>
        <w:rPr>
          <w:rFonts w:hint="eastAsia" w:ascii="仿宋" w:hAnsi="仿宋" w:eastAsia="仿宋"/>
          <w:color w:val="auto"/>
          <w:sz w:val="24"/>
        </w:rPr>
        <w:t>一、项目基本情况</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项目编号：GYZB-KSDZFZ2023</w:t>
      </w:r>
    </w:p>
    <w:p>
      <w:pPr>
        <w:spacing w:line="360" w:lineRule="auto"/>
        <w:ind w:firstLine="480" w:firstLineChars="200"/>
        <w:rPr>
          <w:rFonts w:hint="default" w:ascii="仿宋" w:hAnsi="仿宋" w:eastAsia="仿宋"/>
          <w:color w:val="auto"/>
          <w:sz w:val="24"/>
          <w:lang w:val="en-US"/>
        </w:rPr>
      </w:pPr>
      <w:r>
        <w:rPr>
          <w:rFonts w:hint="eastAsia" w:ascii="仿宋" w:hAnsi="仿宋" w:eastAsia="仿宋"/>
          <w:color w:val="auto"/>
          <w:sz w:val="24"/>
        </w:rPr>
        <w:t>项目名称：</w:t>
      </w:r>
      <w:r>
        <w:rPr>
          <w:rFonts w:hint="eastAsia" w:ascii="仿宋" w:hAnsi="仿宋" w:eastAsia="仿宋"/>
          <w:color w:val="auto"/>
          <w:sz w:val="24"/>
          <w:lang w:val="en-US" w:eastAsia="zh-CN"/>
        </w:rPr>
        <w:t>喀什地区2023年地质灾害防治体系建设项目和2023年自然资源领域（第一批）专项资金项目</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采购方式：公开招标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预算金额（元）：30400000.00</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最高限价（元）：30400000.00</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xml:space="preserve">采购需求：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标项一：GYZB-KSDZFZ2023-01；新疆喀什市地质灾害风险调查评价项目；预算金额：80万元；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本项目（否）接受联合体投标。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标项二：GYZB-KSDZFZ2023-02；新疆疏附县地质灾害风险调查评价项目；预算金额：</w:t>
      </w:r>
      <w:r>
        <w:rPr>
          <w:rFonts w:hint="default" w:ascii="仿宋" w:hAnsi="仿宋" w:eastAsia="仿宋"/>
          <w:color w:val="auto"/>
          <w:sz w:val="24"/>
          <w:lang w:val="en-US"/>
        </w:rPr>
        <w:t>80</w:t>
      </w:r>
      <w:r>
        <w:rPr>
          <w:rFonts w:hint="eastAsia" w:ascii="仿宋" w:hAnsi="仿宋" w:eastAsia="仿宋"/>
          <w:color w:val="auto"/>
          <w:sz w:val="24"/>
        </w:rPr>
        <w:t>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本项目（否）接受联合体投标。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标项三：GYZB-KSDZFZ2023-03；新疆叶城县西合休乡阿亚克却普村4组崩塌、泥石流防治工程；预算金额：561.32</w:t>
      </w:r>
      <w:r>
        <w:rPr>
          <w:rFonts w:hint="eastAsia" w:ascii="仿宋" w:hAnsi="仿宋" w:eastAsia="仿宋"/>
          <w:color w:val="auto"/>
          <w:sz w:val="24"/>
          <w:lang w:val="en-US" w:eastAsia="zh-CN"/>
        </w:rPr>
        <w:t>4</w:t>
      </w:r>
      <w:r>
        <w:rPr>
          <w:rFonts w:hint="eastAsia" w:ascii="仿宋" w:hAnsi="仿宋" w:eastAsia="仿宋"/>
          <w:color w:val="auto"/>
          <w:sz w:val="24"/>
        </w:rPr>
        <w:t>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本项目（是）接受联合体投标。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标项四：GYZB-KSDZFZ2023-04；新疆叶城县西合休乡西合休乡村崩塌、泥石流防治工程；预算金额：532.14万元；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本项目（是）接受联合体投标。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标项五：GYZB-KSDZFZ2023-05；新疆塔什库尔干县马尔洋乡努什墩村崩塌、泥石流防治工程；预算金额：823.98万元；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本项目（是）接受联合体投标。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标项六：GYZB-KSDZFZ2023-06；新疆塔什库尔干县大同乡阿克托尕兰干村幼儿园崩塌防治工程；预算金额：512.684万元；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本项目（是）接受联合体投标。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标项七：GYZB-KSDZFZ2023-07；新疆喀什地区群专结合监测预警点建设（2023年度）；预算金额：192.00万元；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本项目（是）接受联合体投标。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标项八：GYZB-KSDZFZ2023-08；新疆叶城县西合休乡库兰阿古村2组泥石流专项勘查项目；预算金额：54.76万元；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本项目（否）接受联合体投标。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标项九：GYZB-KSDZFZ2023-09；新疆莎车县霍什拉甫乡阿热塔什（4）村1组、2组泥石流专项勘察项目；预算金额：45.2万元；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本项目（否）接受联合体投标。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标项十：GYZB-KSDZFZ2023-10；新疆塔什库尔干县达布达尔乡阿特加依村泥石流专项勘查项目；预算金额：54.76万元；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本项目（否）接受联合体投标。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标项十一：GYZB-KSDZFZ2023-11；喀什地区2023年地质灾害防治项目监理；预算金额：103.152万元；</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本项目（否）接受联合体投标。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合同履行期限：详见采购文件。</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二、申请人的资格要求：</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1.有效的营业执照正本或副本；</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2.供应商投标标项一</w:t>
      </w:r>
      <w:r>
        <w:rPr>
          <w:rFonts w:hint="eastAsia" w:ascii="仿宋" w:hAnsi="仿宋" w:eastAsia="仿宋"/>
          <w:color w:val="auto"/>
          <w:sz w:val="24"/>
          <w:lang w:val="en-US" w:eastAsia="zh-CN"/>
        </w:rPr>
        <w:t>、</w:t>
      </w:r>
      <w:r>
        <w:rPr>
          <w:rFonts w:hint="eastAsia" w:ascii="仿宋" w:hAnsi="仿宋" w:eastAsia="仿宋"/>
          <w:color w:val="auto"/>
          <w:sz w:val="24"/>
        </w:rPr>
        <w:t>二</w:t>
      </w:r>
      <w:r>
        <w:rPr>
          <w:rFonts w:hint="eastAsia" w:ascii="仿宋" w:hAnsi="仿宋" w:eastAsia="仿宋"/>
          <w:color w:val="auto"/>
          <w:sz w:val="24"/>
          <w:lang w:eastAsia="zh-CN"/>
        </w:rPr>
        <w:t>、</w:t>
      </w:r>
      <w:r>
        <w:rPr>
          <w:rFonts w:hint="eastAsia" w:ascii="仿宋" w:hAnsi="仿宋" w:eastAsia="仿宋"/>
          <w:color w:val="auto"/>
          <w:sz w:val="24"/>
        </w:rPr>
        <w:t>八、九、十提供地质灾害治理工程勘查</w:t>
      </w:r>
      <w:r>
        <w:rPr>
          <w:rFonts w:hint="eastAsia" w:ascii="仿宋" w:hAnsi="仿宋" w:eastAsia="仿宋"/>
          <w:color w:val="auto"/>
          <w:sz w:val="24"/>
          <w:lang w:val="en-US" w:eastAsia="zh-CN"/>
        </w:rPr>
        <w:t>甲</w:t>
      </w:r>
      <w:r>
        <w:rPr>
          <w:rFonts w:hint="eastAsia" w:ascii="仿宋" w:hAnsi="仿宋" w:eastAsia="仿宋"/>
          <w:color w:val="auto"/>
          <w:sz w:val="24"/>
        </w:rPr>
        <w:t>级资质；标项三、四、五、六提供地质灾害治理工程设计和施工</w:t>
      </w:r>
      <w:r>
        <w:rPr>
          <w:rFonts w:hint="eastAsia" w:ascii="仿宋" w:hAnsi="仿宋" w:eastAsia="仿宋"/>
          <w:color w:val="auto"/>
          <w:sz w:val="24"/>
          <w:lang w:val="en-US" w:eastAsia="zh-CN"/>
        </w:rPr>
        <w:t>甲</w:t>
      </w:r>
      <w:r>
        <w:rPr>
          <w:rFonts w:hint="eastAsia" w:ascii="仿宋" w:hAnsi="仿宋" w:eastAsia="仿宋"/>
          <w:color w:val="auto"/>
          <w:sz w:val="24"/>
        </w:rPr>
        <w:t>级资质；标项七</w:t>
      </w:r>
      <w:r>
        <w:rPr>
          <w:rFonts w:hint="eastAsia" w:ascii="仿宋" w:hAnsi="仿宋" w:eastAsia="仿宋"/>
          <w:color w:val="auto"/>
          <w:sz w:val="24"/>
          <w:lang w:val="en-US" w:eastAsia="zh-CN"/>
        </w:rPr>
        <w:t>提</w:t>
      </w:r>
      <w:r>
        <w:rPr>
          <w:rFonts w:hint="eastAsia" w:ascii="仿宋" w:hAnsi="仿宋" w:eastAsia="仿宋"/>
          <w:color w:val="auto"/>
          <w:sz w:val="24"/>
        </w:rPr>
        <w:t>供地质灾害治理工程勘查乙级（含乙级）以上资质并与设备供应商（一家或多家）组成联合体投标,所采购设备技术参数应符合《地质灾害监测通讯技术要求》和《</w:t>
      </w:r>
      <w:r>
        <w:rPr>
          <w:rFonts w:hint="eastAsia" w:ascii="仿宋" w:hAnsi="仿宋" w:eastAsia="仿宋"/>
          <w:color w:val="auto"/>
          <w:sz w:val="24"/>
          <w:lang w:val="en-US" w:eastAsia="zh-CN"/>
        </w:rPr>
        <w:t>技术规范</w:t>
      </w:r>
      <w:r>
        <w:rPr>
          <w:rFonts w:hint="eastAsia" w:ascii="仿宋" w:hAnsi="仿宋" w:eastAsia="仿宋"/>
          <w:color w:val="auto"/>
          <w:sz w:val="24"/>
        </w:rPr>
        <w:t>》；标项十一提供地质灾害防治工程监理</w:t>
      </w:r>
      <w:r>
        <w:rPr>
          <w:rFonts w:hint="eastAsia" w:ascii="仿宋" w:hAnsi="仿宋" w:eastAsia="仿宋"/>
          <w:color w:val="auto"/>
          <w:sz w:val="24"/>
          <w:lang w:val="en-US" w:eastAsia="zh-CN"/>
        </w:rPr>
        <w:t>甲</w:t>
      </w:r>
      <w:r>
        <w:rPr>
          <w:rFonts w:hint="eastAsia" w:ascii="仿宋" w:hAnsi="仿宋" w:eastAsia="仿宋"/>
          <w:color w:val="auto"/>
          <w:sz w:val="24"/>
        </w:rPr>
        <w:t>以上资质。</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3.联合体协议书（如有）。</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三、获取采购文件</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时间：2023年</w:t>
      </w:r>
      <w:r>
        <w:rPr>
          <w:rFonts w:hint="eastAsia" w:ascii="仿宋" w:hAnsi="仿宋" w:eastAsia="仿宋"/>
          <w:color w:val="auto"/>
          <w:sz w:val="24"/>
          <w:lang w:val="en-US" w:eastAsia="zh-CN"/>
        </w:rPr>
        <w:t>2</w:t>
      </w:r>
      <w:r>
        <w:rPr>
          <w:rFonts w:hint="eastAsia" w:ascii="仿宋" w:hAnsi="仿宋" w:eastAsia="仿宋"/>
          <w:color w:val="auto"/>
          <w:sz w:val="24"/>
        </w:rPr>
        <w:t>月</w:t>
      </w:r>
      <w:r>
        <w:rPr>
          <w:rFonts w:hint="eastAsia" w:ascii="仿宋" w:hAnsi="仿宋" w:eastAsia="仿宋"/>
          <w:color w:val="auto"/>
          <w:sz w:val="24"/>
          <w:lang w:val="en-US" w:eastAsia="zh-CN"/>
        </w:rPr>
        <w:t>15</w:t>
      </w:r>
      <w:r>
        <w:rPr>
          <w:rFonts w:hint="eastAsia" w:ascii="仿宋" w:hAnsi="仿宋" w:eastAsia="仿宋"/>
          <w:color w:val="auto"/>
          <w:sz w:val="24"/>
        </w:rPr>
        <w:t>日至2023年</w:t>
      </w:r>
      <w:r>
        <w:rPr>
          <w:rFonts w:hint="eastAsia" w:ascii="仿宋" w:hAnsi="仿宋" w:eastAsia="仿宋"/>
          <w:color w:val="auto"/>
          <w:sz w:val="24"/>
          <w:lang w:val="en-US" w:eastAsia="zh-CN"/>
        </w:rPr>
        <w:t>2</w:t>
      </w:r>
      <w:r>
        <w:rPr>
          <w:rFonts w:hint="eastAsia" w:ascii="仿宋" w:hAnsi="仿宋" w:eastAsia="仿宋"/>
          <w:color w:val="auto"/>
          <w:sz w:val="24"/>
        </w:rPr>
        <w:t>月</w:t>
      </w:r>
      <w:r>
        <w:rPr>
          <w:rFonts w:hint="eastAsia" w:ascii="仿宋" w:hAnsi="仿宋" w:eastAsia="仿宋"/>
          <w:color w:val="auto"/>
          <w:sz w:val="24"/>
          <w:lang w:val="en-US" w:eastAsia="zh-CN"/>
        </w:rPr>
        <w:t>22</w:t>
      </w:r>
      <w:r>
        <w:rPr>
          <w:rFonts w:hint="eastAsia" w:ascii="仿宋" w:hAnsi="仿宋" w:eastAsia="仿宋"/>
          <w:color w:val="auto"/>
          <w:sz w:val="24"/>
        </w:rPr>
        <w:t>日，每天上午10:30至13:30，下午15:30至19:00（北京时间，法定节假日除外）.</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地点：新疆政府采购网自行下载</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四、提交投标文件截止时间、开标时间和地点</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提交投标文件截止时间：2023年</w:t>
      </w:r>
      <w:r>
        <w:rPr>
          <w:rFonts w:hint="eastAsia" w:ascii="仿宋" w:hAnsi="仿宋" w:eastAsia="仿宋"/>
          <w:color w:val="auto"/>
          <w:sz w:val="24"/>
          <w:lang w:val="en-US" w:eastAsia="zh-CN"/>
        </w:rPr>
        <w:t>3</w:t>
      </w:r>
      <w:r>
        <w:rPr>
          <w:rFonts w:hint="eastAsia" w:ascii="仿宋" w:hAnsi="仿宋" w:eastAsia="仿宋"/>
          <w:color w:val="auto"/>
          <w:sz w:val="24"/>
        </w:rPr>
        <w:t>月</w:t>
      </w:r>
      <w:r>
        <w:rPr>
          <w:rFonts w:hint="eastAsia" w:ascii="仿宋" w:hAnsi="仿宋" w:eastAsia="仿宋"/>
          <w:color w:val="auto"/>
          <w:sz w:val="24"/>
          <w:lang w:val="en-US" w:eastAsia="zh-CN"/>
        </w:rPr>
        <w:t>9</w:t>
      </w:r>
      <w:r>
        <w:rPr>
          <w:rFonts w:hint="eastAsia" w:ascii="仿宋" w:hAnsi="仿宋" w:eastAsia="仿宋"/>
          <w:color w:val="auto"/>
          <w:sz w:val="24"/>
        </w:rPr>
        <w:t>日 11:00（北京时间）</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投标地点：</w:t>
      </w:r>
      <w:r>
        <w:rPr>
          <w:rFonts w:hint="eastAsia" w:ascii="仿宋" w:hAnsi="仿宋" w:eastAsia="仿宋" w:cs="仿宋"/>
          <w:color w:val="auto"/>
          <w:kern w:val="0"/>
          <w:sz w:val="24"/>
        </w:rPr>
        <w:t>政采云投标客户端投标</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开标时间：2023年</w:t>
      </w:r>
      <w:r>
        <w:rPr>
          <w:rFonts w:hint="eastAsia" w:ascii="仿宋" w:hAnsi="仿宋" w:eastAsia="仿宋"/>
          <w:color w:val="auto"/>
          <w:sz w:val="24"/>
          <w:lang w:val="en-US" w:eastAsia="zh-CN"/>
        </w:rPr>
        <w:t>3</w:t>
      </w:r>
      <w:r>
        <w:rPr>
          <w:rFonts w:hint="eastAsia" w:ascii="仿宋" w:hAnsi="仿宋" w:eastAsia="仿宋"/>
          <w:color w:val="auto"/>
          <w:sz w:val="24"/>
        </w:rPr>
        <w:t>月</w:t>
      </w:r>
      <w:r>
        <w:rPr>
          <w:rFonts w:hint="eastAsia" w:ascii="仿宋" w:hAnsi="仿宋" w:eastAsia="仿宋"/>
          <w:color w:val="auto"/>
          <w:sz w:val="24"/>
          <w:lang w:val="en-US" w:eastAsia="zh-CN"/>
        </w:rPr>
        <w:t>9</w:t>
      </w:r>
      <w:r>
        <w:rPr>
          <w:rFonts w:hint="eastAsia" w:ascii="仿宋" w:hAnsi="仿宋" w:eastAsia="仿宋"/>
          <w:color w:val="auto"/>
          <w:sz w:val="24"/>
        </w:rPr>
        <w:t>日 11:00（北京时间）</w:t>
      </w:r>
    </w:p>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rPr>
        <w:t>开标地点：乌鲁木齐市新市区阜新街1号2号楼3楼开标</w:t>
      </w:r>
      <w:r>
        <w:rPr>
          <w:rFonts w:hint="eastAsia" w:ascii="仿宋" w:hAnsi="仿宋" w:eastAsia="仿宋"/>
          <w:color w:val="auto"/>
          <w:sz w:val="24"/>
          <w:lang w:val="en-US" w:eastAsia="zh-CN"/>
        </w:rPr>
        <w:t>室</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五、公告期限</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自本公告发布之日起5个工作日。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六、其他补充事宜</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无。</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七、对本次采购提出询问，请按以下方式联系</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1.采购人信息</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名称：喀什地区自然资源局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地址：新疆喀什市世纪大道4号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联系人：</w:t>
      </w:r>
      <w:bookmarkStart w:id="208" w:name="_Toc28359009"/>
      <w:bookmarkStart w:id="209" w:name="_Toc28359086"/>
      <w:r>
        <w:rPr>
          <w:rFonts w:hint="eastAsia" w:ascii="仿宋" w:hAnsi="仿宋" w:eastAsia="仿宋"/>
          <w:color w:val="auto"/>
          <w:sz w:val="24"/>
        </w:rPr>
        <w:t xml:space="preserve">汤  伟      联系电话：13139889633 </w:t>
      </w:r>
    </w:p>
    <w:p>
      <w:pPr>
        <w:spacing w:line="360" w:lineRule="auto"/>
        <w:ind w:firstLine="480" w:firstLineChars="200"/>
        <w:rPr>
          <w:rFonts w:ascii="仿宋" w:hAnsi="仿宋" w:eastAsia="仿宋"/>
          <w:color w:val="auto"/>
          <w:sz w:val="24"/>
        </w:rPr>
      </w:pPr>
      <w:bookmarkStart w:id="210" w:name="_Toc472"/>
      <w:r>
        <w:rPr>
          <w:rFonts w:hint="eastAsia" w:ascii="仿宋" w:hAnsi="仿宋" w:eastAsia="仿宋"/>
          <w:color w:val="auto"/>
          <w:sz w:val="24"/>
        </w:rPr>
        <w:t>2.采购代理机构信息</w:t>
      </w:r>
      <w:bookmarkEnd w:id="208"/>
      <w:bookmarkEnd w:id="209"/>
      <w:bookmarkEnd w:id="210"/>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名称：新疆国源土地矿产资源交易中心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地址：乌鲁木齐市新市区阜新街1号2号楼3楼　</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联系方式：</w:t>
      </w:r>
      <w:bookmarkStart w:id="211" w:name="_Toc28359010"/>
      <w:bookmarkStart w:id="212" w:name="_Toc28359087"/>
      <w:r>
        <w:rPr>
          <w:rFonts w:hint="eastAsia" w:ascii="仿宋" w:hAnsi="仿宋" w:eastAsia="仿宋"/>
          <w:color w:val="auto"/>
          <w:sz w:val="24"/>
        </w:rPr>
        <w:t>柳苗苗 0991-4846293   18299392519　</w:t>
      </w:r>
    </w:p>
    <w:p>
      <w:pPr>
        <w:spacing w:line="360" w:lineRule="auto"/>
        <w:ind w:firstLine="480" w:firstLineChars="200"/>
        <w:rPr>
          <w:rFonts w:ascii="仿宋" w:hAnsi="仿宋" w:eastAsia="仿宋"/>
          <w:color w:val="auto"/>
          <w:sz w:val="24"/>
        </w:rPr>
      </w:pPr>
      <w:bookmarkStart w:id="213" w:name="_Toc15500"/>
      <w:r>
        <w:rPr>
          <w:rFonts w:hint="eastAsia" w:ascii="仿宋" w:hAnsi="仿宋" w:eastAsia="仿宋"/>
          <w:color w:val="auto"/>
          <w:sz w:val="24"/>
        </w:rPr>
        <w:t>3.</w:t>
      </w:r>
      <w:bookmarkEnd w:id="211"/>
      <w:bookmarkEnd w:id="212"/>
      <w:bookmarkEnd w:id="213"/>
      <w:r>
        <w:rPr>
          <w:rFonts w:hint="eastAsia" w:ascii="仿宋" w:hAnsi="仿宋" w:eastAsia="仿宋"/>
          <w:color w:val="auto"/>
          <w:sz w:val="24"/>
        </w:rPr>
        <w:t>监管单位信息</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名称：喀什地区财政局采购办</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电话：0998-2597200</w:t>
      </w:r>
    </w:p>
    <w:p>
      <w:pPr>
        <w:rPr>
          <w:rFonts w:ascii="仿宋" w:hAnsi="仿宋" w:eastAsia="仿宋" w:cs="仿宋"/>
          <w:color w:val="auto"/>
        </w:rPr>
      </w:pPr>
    </w:p>
    <w:p>
      <w:pPr>
        <w:pStyle w:val="4"/>
        <w:tabs>
          <w:tab w:val="left" w:pos="0"/>
        </w:tabs>
        <w:spacing w:before="0" w:after="0" w:line="240" w:lineRule="atLeast"/>
        <w:rPr>
          <w:rFonts w:ascii="仿宋" w:hAnsi="仿宋" w:eastAsia="仿宋" w:cs="仿宋"/>
          <w:b w:val="0"/>
          <w:color w:val="auto"/>
          <w:szCs w:val="32"/>
        </w:rPr>
      </w:pPr>
      <w:r>
        <w:rPr>
          <w:rFonts w:hint="eastAsia" w:ascii="仿宋" w:hAnsi="仿宋" w:eastAsia="仿宋" w:cs="仿宋"/>
          <w:color w:val="auto"/>
          <w:sz w:val="24"/>
        </w:rPr>
        <w:br w:type="page"/>
      </w:r>
      <w:bookmarkStart w:id="214" w:name="_Toc507399903"/>
      <w:bookmarkStart w:id="215" w:name="_Toc216582823"/>
      <w:bookmarkStart w:id="216" w:name="_Toc518923125"/>
      <w:bookmarkStart w:id="217" w:name="_Toc28647"/>
      <w:r>
        <w:rPr>
          <w:rFonts w:hint="eastAsia" w:ascii="仿宋" w:hAnsi="仿宋" w:eastAsia="仿宋" w:cs="仿宋"/>
          <w:color w:val="auto"/>
        </w:rPr>
        <w:t>第4章</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rPr>
        <w:t>供应商须知资料表</w:t>
      </w:r>
      <w:bookmarkEnd w:id="214"/>
      <w:bookmarkEnd w:id="215"/>
      <w:bookmarkEnd w:id="216"/>
      <w:bookmarkEnd w:id="217"/>
    </w:p>
    <w:bookmarkEnd w:id="207"/>
    <w:p>
      <w:pPr>
        <w:spacing w:line="240" w:lineRule="atLeast"/>
        <w:ind w:left="1080" w:leftChars="257" w:hanging="540"/>
        <w:rPr>
          <w:rFonts w:ascii="仿宋" w:hAnsi="仿宋" w:eastAsia="仿宋" w:cs="仿宋"/>
          <w:color w:val="auto"/>
          <w:sz w:val="24"/>
        </w:rPr>
      </w:pPr>
    </w:p>
    <w:p>
      <w:pPr>
        <w:spacing w:line="240" w:lineRule="atLeast"/>
        <w:ind w:firstLine="360" w:firstLineChars="150"/>
        <w:rPr>
          <w:rFonts w:ascii="仿宋" w:hAnsi="仿宋" w:eastAsia="仿宋" w:cs="仿宋"/>
          <w:color w:val="auto"/>
          <w:sz w:val="24"/>
        </w:rPr>
      </w:pPr>
      <w:r>
        <w:rPr>
          <w:rFonts w:hint="eastAsia" w:ascii="仿宋" w:hAnsi="仿宋" w:eastAsia="仿宋" w:cs="仿宋"/>
          <w:color w:val="auto"/>
          <w:sz w:val="24"/>
        </w:rPr>
        <w:t xml:space="preserve"> 本表是本招标项目的具体资料，是对供应商须知的具体补充和修改，如有矛盾，应</w:t>
      </w:r>
      <w:r>
        <w:rPr>
          <w:rFonts w:hint="eastAsia" w:ascii="仿宋" w:hAnsi="仿宋" w:eastAsia="仿宋" w:cs="仿宋"/>
          <w:b/>
          <w:color w:val="auto"/>
          <w:sz w:val="24"/>
        </w:rPr>
        <w:t>以本资料表为准</w:t>
      </w:r>
      <w:r>
        <w:rPr>
          <w:rFonts w:hint="eastAsia" w:ascii="仿宋" w:hAnsi="仿宋" w:eastAsia="仿宋" w:cs="仿宋"/>
          <w:color w:val="auto"/>
          <w:sz w:val="24"/>
        </w:rPr>
        <w:t>。</w:t>
      </w:r>
    </w:p>
    <w:tbl>
      <w:tblPr>
        <w:tblStyle w:val="37"/>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条款号</w:t>
            </w:r>
          </w:p>
        </w:tc>
        <w:tc>
          <w:tcPr>
            <w:tcW w:w="6840" w:type="dxa"/>
            <w:vAlign w:val="center"/>
          </w:tcPr>
          <w:p>
            <w:pPr>
              <w:spacing w:line="240" w:lineRule="atLeast"/>
              <w:ind w:left="1080" w:leftChars="257" w:hanging="540"/>
              <w:rPr>
                <w:rFonts w:ascii="仿宋" w:hAnsi="仿宋" w:eastAsia="仿宋" w:cs="仿宋"/>
                <w:b/>
                <w:color w:val="auto"/>
                <w:sz w:val="24"/>
              </w:rPr>
            </w:pPr>
            <w:r>
              <w:rPr>
                <w:rFonts w:hint="eastAsia" w:ascii="仿宋" w:hAnsi="仿宋" w:eastAsia="仿宋" w:cs="仿宋"/>
                <w:b/>
                <w:color w:val="auto"/>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1.1</w:t>
            </w:r>
          </w:p>
        </w:tc>
        <w:tc>
          <w:tcPr>
            <w:tcW w:w="6840" w:type="dxa"/>
            <w:vAlign w:val="center"/>
          </w:tcPr>
          <w:p>
            <w:pPr>
              <w:spacing w:line="240" w:lineRule="atLeast"/>
              <w:rPr>
                <w:rFonts w:ascii="仿宋" w:hAnsi="仿宋" w:eastAsia="仿宋" w:cs="仿宋"/>
                <w:color w:val="auto"/>
                <w:szCs w:val="21"/>
              </w:rPr>
            </w:pPr>
            <w:r>
              <w:rPr>
                <w:rFonts w:hint="eastAsia" w:ascii="仿宋" w:hAnsi="仿宋" w:eastAsia="仿宋" w:cs="仿宋"/>
                <w:color w:val="auto"/>
                <w:szCs w:val="21"/>
              </w:rPr>
              <w:t>采购人：</w:t>
            </w:r>
            <w:r>
              <w:rPr>
                <w:rFonts w:hint="eastAsia" w:ascii="仿宋" w:hAnsi="仿宋" w:eastAsia="仿宋" w:cs="仿宋"/>
                <w:color w:val="auto"/>
                <w:szCs w:val="21"/>
                <w:u w:val="single"/>
              </w:rPr>
              <w:t>喀什地区自然资源局</w:t>
            </w:r>
          </w:p>
          <w:p>
            <w:pPr>
              <w:spacing w:line="240" w:lineRule="atLeast"/>
              <w:rPr>
                <w:rFonts w:ascii="仿宋" w:hAnsi="仿宋" w:eastAsia="仿宋" w:cs="仿宋"/>
                <w:color w:val="auto"/>
                <w:szCs w:val="21"/>
              </w:rPr>
            </w:pPr>
            <w:r>
              <w:rPr>
                <w:rFonts w:hint="eastAsia" w:ascii="仿宋" w:hAnsi="仿宋" w:eastAsia="仿宋" w:cs="仿宋"/>
                <w:color w:val="auto"/>
                <w:szCs w:val="21"/>
              </w:rPr>
              <w:t>联系人：</w:t>
            </w:r>
            <w:r>
              <w:rPr>
                <w:rFonts w:hint="eastAsia" w:ascii="仿宋" w:hAnsi="仿宋" w:eastAsia="仿宋" w:cs="仿宋"/>
                <w:color w:val="auto"/>
                <w:szCs w:val="21"/>
                <w:u w:val="single"/>
              </w:rPr>
              <w:t>汤  伟</w:t>
            </w:r>
            <w:r>
              <w:rPr>
                <w:rFonts w:hint="eastAsia" w:ascii="仿宋" w:hAnsi="仿宋" w:eastAsia="仿宋" w:cs="仿宋"/>
                <w:color w:val="auto"/>
                <w:szCs w:val="21"/>
              </w:rPr>
              <w:t xml:space="preserve">     </w:t>
            </w:r>
          </w:p>
          <w:p>
            <w:pPr>
              <w:spacing w:line="240" w:lineRule="atLeast"/>
              <w:rPr>
                <w:rFonts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olor w:val="auto"/>
                <w:szCs w:val="21"/>
                <w:u w:val="single"/>
              </w:rPr>
              <w:t>13139889633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1.2</w:t>
            </w:r>
          </w:p>
        </w:tc>
        <w:tc>
          <w:tcPr>
            <w:tcW w:w="6840" w:type="dxa"/>
            <w:vAlign w:val="center"/>
          </w:tcPr>
          <w:p>
            <w:pPr>
              <w:spacing w:line="240" w:lineRule="atLeast"/>
              <w:rPr>
                <w:rFonts w:ascii="仿宋" w:hAnsi="仿宋" w:eastAsia="仿宋" w:cs="仿宋"/>
                <w:color w:val="auto"/>
                <w:szCs w:val="21"/>
                <w:u w:val="single"/>
              </w:rPr>
            </w:pPr>
            <w:r>
              <w:rPr>
                <w:rFonts w:hint="eastAsia" w:ascii="仿宋" w:hAnsi="仿宋" w:eastAsia="仿宋" w:cs="仿宋"/>
                <w:color w:val="auto"/>
                <w:szCs w:val="21"/>
              </w:rPr>
              <w:t>采购代理机构：</w:t>
            </w:r>
            <w:r>
              <w:rPr>
                <w:rFonts w:hint="eastAsia" w:ascii="仿宋" w:hAnsi="仿宋" w:eastAsia="仿宋" w:cs="仿宋"/>
                <w:color w:val="auto"/>
                <w:szCs w:val="21"/>
                <w:u w:val="single"/>
              </w:rPr>
              <w:t xml:space="preserve"> 新疆国源土地矿产资源交易中心（有限公司）</w:t>
            </w:r>
          </w:p>
          <w:p>
            <w:pPr>
              <w:spacing w:line="240" w:lineRule="atLeast"/>
              <w:rPr>
                <w:rFonts w:ascii="仿宋" w:hAnsi="仿宋" w:eastAsia="仿宋" w:cs="仿宋"/>
                <w:color w:val="auto"/>
                <w:szCs w:val="21"/>
                <w:u w:val="single"/>
              </w:rPr>
            </w:pPr>
            <w:r>
              <w:rPr>
                <w:rFonts w:hint="eastAsia" w:ascii="仿宋" w:hAnsi="仿宋" w:eastAsia="仿宋" w:cs="仿宋"/>
                <w:color w:val="auto"/>
                <w:szCs w:val="21"/>
              </w:rPr>
              <w:t>地址：</w:t>
            </w:r>
            <w:r>
              <w:rPr>
                <w:rFonts w:hint="eastAsia" w:ascii="仿宋" w:hAnsi="仿宋" w:eastAsia="仿宋" w:cs="仿宋"/>
                <w:color w:val="auto"/>
                <w:szCs w:val="21"/>
                <w:u w:val="single"/>
              </w:rPr>
              <w:t>乌鲁木齐市新市区阜新街1号2号楼3楼</w:t>
            </w:r>
          </w:p>
          <w:p>
            <w:pPr>
              <w:spacing w:line="240" w:lineRule="atLeast"/>
              <w:rPr>
                <w:rFonts w:ascii="仿宋" w:hAnsi="仿宋" w:eastAsia="仿宋" w:cs="仿宋"/>
                <w:color w:val="auto"/>
                <w:szCs w:val="21"/>
              </w:rPr>
            </w:pPr>
            <w:r>
              <w:rPr>
                <w:rFonts w:hint="eastAsia" w:ascii="仿宋" w:hAnsi="仿宋" w:eastAsia="仿宋" w:cs="仿宋"/>
                <w:color w:val="auto"/>
                <w:szCs w:val="21"/>
              </w:rPr>
              <w:t>业务联系人：</w:t>
            </w:r>
            <w:r>
              <w:rPr>
                <w:rFonts w:hint="eastAsia" w:ascii="仿宋" w:hAnsi="仿宋" w:eastAsia="仿宋" w:cs="仿宋"/>
                <w:color w:val="auto"/>
                <w:szCs w:val="21"/>
                <w:u w:val="single"/>
              </w:rPr>
              <w:t>　柳苗苗　</w:t>
            </w:r>
            <w:r>
              <w:rPr>
                <w:rFonts w:hint="eastAsia" w:ascii="仿宋" w:hAnsi="仿宋" w:eastAsia="仿宋" w:cs="仿宋"/>
                <w:color w:val="auto"/>
                <w:szCs w:val="21"/>
              </w:rPr>
              <w:t xml:space="preserve">  电话：</w:t>
            </w:r>
            <w:r>
              <w:rPr>
                <w:rFonts w:hint="eastAsia" w:ascii="仿宋" w:hAnsi="仿宋" w:eastAsia="仿宋"/>
                <w:color w:val="auto"/>
                <w:szCs w:val="21"/>
                <w:u w:val="single"/>
              </w:rPr>
              <w:t>18299392519</w:t>
            </w:r>
            <w:r>
              <w:rPr>
                <w:rFonts w:hint="eastAsia" w:ascii="仿宋" w:hAnsi="仿宋" w:eastAsia="仿宋" w:cs="仿宋"/>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1.3.4</w:t>
            </w:r>
          </w:p>
        </w:tc>
        <w:tc>
          <w:tcPr>
            <w:tcW w:w="6840" w:type="dxa"/>
            <w:vAlign w:val="center"/>
          </w:tcPr>
          <w:p>
            <w:pPr>
              <w:spacing w:line="240" w:lineRule="atLeast"/>
              <w:rPr>
                <w:rFonts w:hint="eastAsia" w:ascii="仿宋" w:hAnsi="仿宋" w:eastAsia="仿宋" w:cs="仿宋"/>
                <w:color w:val="auto"/>
              </w:rPr>
            </w:pPr>
            <w:r>
              <w:rPr>
                <w:rFonts w:hint="eastAsia" w:ascii="仿宋" w:hAnsi="仿宋" w:eastAsia="仿宋" w:cs="仿宋"/>
                <w:color w:val="auto"/>
              </w:rPr>
              <w:t xml:space="preserve">1.合格供应商的其他资格要求：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供应商，国家企业公示信息系统（www.gsxt.gov.cn）查询诚信记录如有严重行政处罚信息、重大严重失信记录不得参加本项目（查询结果以代理公司开标现场核查为准）； </w:t>
            </w:r>
          </w:p>
          <w:p>
            <w:pPr>
              <w:spacing w:line="240" w:lineRule="atLeast"/>
              <w:rPr>
                <w:rFonts w:hint="eastAsia" w:ascii="仿宋" w:hAnsi="仿宋" w:eastAsia="仿宋" w:cs="仿宋"/>
                <w:color w:val="auto"/>
              </w:rPr>
            </w:pPr>
            <w:r>
              <w:rPr>
                <w:rFonts w:hint="eastAsia" w:ascii="仿宋" w:hAnsi="仿宋" w:eastAsia="仿宋" w:cs="仿宋"/>
                <w:color w:val="auto"/>
              </w:rPr>
              <w:t>2.有效的营业执照正本或副本；</w:t>
            </w:r>
          </w:p>
          <w:p>
            <w:pPr>
              <w:spacing w:line="240" w:lineRule="atLeast"/>
              <w:rPr>
                <w:rFonts w:hint="eastAsia" w:ascii="仿宋" w:hAnsi="仿宋" w:eastAsia="仿宋" w:cs="仿宋"/>
                <w:color w:val="auto"/>
              </w:rPr>
            </w:pPr>
            <w:r>
              <w:rPr>
                <w:rFonts w:hint="eastAsia" w:ascii="仿宋" w:hAnsi="仿宋" w:eastAsia="仿宋" w:cs="仿宋"/>
                <w:color w:val="auto"/>
              </w:rPr>
              <w:t>3.供应商投标标项一</w:t>
            </w:r>
            <w:r>
              <w:rPr>
                <w:rFonts w:hint="eastAsia" w:ascii="仿宋" w:hAnsi="仿宋" w:eastAsia="仿宋" w:cs="仿宋"/>
                <w:color w:val="auto"/>
                <w:lang w:val="en-US" w:eastAsia="zh-CN"/>
              </w:rPr>
              <w:t>、</w:t>
            </w:r>
            <w:r>
              <w:rPr>
                <w:rFonts w:hint="eastAsia" w:ascii="仿宋" w:hAnsi="仿宋" w:eastAsia="仿宋" w:cs="仿宋"/>
                <w:color w:val="auto"/>
              </w:rPr>
              <w:t>二</w:t>
            </w:r>
            <w:r>
              <w:rPr>
                <w:rFonts w:hint="eastAsia" w:ascii="仿宋" w:hAnsi="仿宋" w:eastAsia="仿宋" w:cs="仿宋"/>
                <w:color w:val="auto"/>
                <w:lang w:eastAsia="zh-CN"/>
              </w:rPr>
              <w:t>、</w:t>
            </w:r>
            <w:r>
              <w:rPr>
                <w:rFonts w:hint="eastAsia" w:ascii="仿宋" w:hAnsi="仿宋" w:eastAsia="仿宋" w:cs="仿宋"/>
                <w:color w:val="auto"/>
              </w:rPr>
              <w:t>八、九、十提供地质灾害治理工程勘查</w:t>
            </w:r>
            <w:r>
              <w:rPr>
                <w:rFonts w:hint="eastAsia" w:ascii="仿宋" w:hAnsi="仿宋" w:eastAsia="仿宋" w:cs="仿宋"/>
                <w:color w:val="auto"/>
                <w:lang w:val="en-US" w:eastAsia="zh-CN"/>
              </w:rPr>
              <w:t>甲</w:t>
            </w:r>
            <w:r>
              <w:rPr>
                <w:rFonts w:hint="eastAsia" w:ascii="仿宋" w:hAnsi="仿宋" w:eastAsia="仿宋" w:cs="仿宋"/>
                <w:color w:val="auto"/>
              </w:rPr>
              <w:t>级资质；标项三、四、五、六提供地质灾害治理工程设计和施工</w:t>
            </w:r>
            <w:r>
              <w:rPr>
                <w:rFonts w:hint="eastAsia" w:ascii="仿宋" w:hAnsi="仿宋" w:eastAsia="仿宋" w:cs="仿宋"/>
                <w:color w:val="auto"/>
                <w:lang w:val="en-US" w:eastAsia="zh-CN"/>
              </w:rPr>
              <w:t>甲</w:t>
            </w:r>
            <w:r>
              <w:rPr>
                <w:rFonts w:hint="eastAsia" w:ascii="仿宋" w:hAnsi="仿宋" w:eastAsia="仿宋" w:cs="仿宋"/>
                <w:color w:val="auto"/>
              </w:rPr>
              <w:t>级资质；标项七供地质灾害治理工程勘查乙级（含乙级）以上资质并与设备供应商（一家或多家）组成联合体投标,所采购设备技术参数应符合《地质灾害监测预警通讯技术要求》和《地质灾害群专结合监测预警技术指南（试行）》；标项十一提供地质灾害防治工程监理</w:t>
            </w:r>
            <w:r>
              <w:rPr>
                <w:rFonts w:hint="eastAsia" w:ascii="仿宋" w:hAnsi="仿宋" w:eastAsia="仿宋" w:cs="仿宋"/>
                <w:color w:val="auto"/>
                <w:lang w:val="en-US" w:eastAsia="zh-CN"/>
              </w:rPr>
              <w:t>甲级</w:t>
            </w:r>
            <w:r>
              <w:rPr>
                <w:rFonts w:hint="eastAsia" w:ascii="仿宋" w:hAnsi="仿宋" w:eastAsia="仿宋" w:cs="仿宋"/>
                <w:color w:val="auto"/>
              </w:rPr>
              <w:t>以上资质。</w:t>
            </w:r>
          </w:p>
          <w:p>
            <w:pPr>
              <w:spacing w:line="240" w:lineRule="atLeast"/>
              <w:rPr>
                <w:color w:val="auto"/>
              </w:rPr>
            </w:pPr>
            <w:r>
              <w:rPr>
                <w:rFonts w:hint="eastAsia" w:ascii="仿宋" w:hAnsi="仿宋" w:eastAsia="仿宋" w:cs="仿宋"/>
                <w:color w:val="auto"/>
              </w:rPr>
              <w:t>4.投标保证金缴纳凭证。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1.3.5</w:t>
            </w:r>
          </w:p>
        </w:tc>
        <w:tc>
          <w:tcPr>
            <w:tcW w:w="6840" w:type="dxa"/>
            <w:vAlign w:val="center"/>
          </w:tcPr>
          <w:p>
            <w:pPr>
              <w:spacing w:line="240" w:lineRule="atLeast"/>
              <w:rPr>
                <w:rFonts w:ascii="仿宋" w:hAnsi="仿宋" w:eastAsia="仿宋" w:cs="仿宋"/>
                <w:color w:val="auto"/>
                <w:sz w:val="24"/>
              </w:rPr>
            </w:pPr>
            <w:r>
              <w:rPr>
                <w:rFonts w:hint="eastAsia" w:ascii="仿宋" w:hAnsi="仿宋" w:eastAsia="仿宋" w:cs="仿宋"/>
                <w:color w:val="auto"/>
              </w:rPr>
              <w:t>是否为专门面向中小企业采购：</w:t>
            </w:r>
            <w:r>
              <w:rPr>
                <w:rFonts w:hint="eastAsia" w:ascii="仿宋" w:hAnsi="仿宋" w:eastAsia="仿宋" w:cs="仿宋"/>
                <w:color w:val="auto"/>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1.4</w:t>
            </w:r>
          </w:p>
        </w:tc>
        <w:tc>
          <w:tcPr>
            <w:tcW w:w="6840" w:type="dxa"/>
            <w:vAlign w:val="center"/>
          </w:tcPr>
          <w:p>
            <w:pPr>
              <w:spacing w:line="240" w:lineRule="atLeast"/>
              <w:rPr>
                <w:rFonts w:ascii="仿宋" w:hAnsi="仿宋" w:eastAsia="仿宋" w:cs="仿宋"/>
                <w:color w:val="auto"/>
              </w:rPr>
            </w:pPr>
            <w:r>
              <w:rPr>
                <w:rFonts w:hint="eastAsia" w:ascii="仿宋" w:hAnsi="仿宋" w:eastAsia="仿宋" w:cs="仿宋"/>
                <w:color w:val="auto"/>
              </w:rPr>
              <w:t>是否允许联合体投标：</w:t>
            </w:r>
          </w:p>
          <w:p>
            <w:pPr>
              <w:spacing w:line="240" w:lineRule="atLeast"/>
              <w:rPr>
                <w:rFonts w:eastAsia="仿宋"/>
                <w:color w:val="auto"/>
              </w:rPr>
            </w:pPr>
            <w:r>
              <w:rPr>
                <w:rFonts w:hint="eastAsia" w:ascii="仿宋" w:hAnsi="仿宋" w:eastAsia="仿宋" w:cs="仿宋"/>
                <w:color w:val="auto"/>
              </w:rPr>
              <w:t>标项一、二、八、九、十、十一</w:t>
            </w:r>
            <w:r>
              <w:rPr>
                <w:rFonts w:hint="eastAsia" w:ascii="仿宋" w:hAnsi="仿宋" w:eastAsia="仿宋" w:cs="仿宋"/>
                <w:color w:val="auto"/>
                <w:u w:val="single"/>
              </w:rPr>
              <w:t>否</w:t>
            </w:r>
            <w:r>
              <w:rPr>
                <w:rFonts w:hint="eastAsia" w:ascii="仿宋" w:hAnsi="仿宋" w:eastAsia="仿宋" w:cs="仿宋"/>
                <w:color w:val="auto"/>
              </w:rPr>
              <w:t>联合体投标，标项三、四、五、六、七</w:t>
            </w:r>
            <w:r>
              <w:rPr>
                <w:rFonts w:hint="eastAsia" w:ascii="仿宋" w:hAnsi="仿宋" w:eastAsia="仿宋" w:cs="仿宋"/>
                <w:color w:val="auto"/>
                <w:u w:val="single"/>
              </w:rPr>
              <w:t>是</w:t>
            </w:r>
            <w:r>
              <w:rPr>
                <w:rFonts w:hint="eastAsia" w:ascii="仿宋" w:hAnsi="仿宋" w:eastAsia="仿宋" w:cs="仿宋"/>
                <w:color w:val="auto"/>
              </w:rPr>
              <w:t>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1.4.8</w:t>
            </w:r>
          </w:p>
        </w:tc>
        <w:tc>
          <w:tcPr>
            <w:tcW w:w="6840" w:type="dxa"/>
            <w:vAlign w:val="center"/>
          </w:tcPr>
          <w:p>
            <w:pPr>
              <w:spacing w:line="240" w:lineRule="atLeast"/>
              <w:rPr>
                <w:rFonts w:ascii="仿宋" w:hAnsi="仿宋" w:eastAsia="仿宋" w:cs="仿宋"/>
                <w:color w:val="auto"/>
              </w:rPr>
            </w:pPr>
            <w:r>
              <w:rPr>
                <w:rFonts w:hint="eastAsia" w:ascii="仿宋" w:hAnsi="仿宋" w:eastAsia="仿宋" w:cs="仿宋"/>
                <w:color w:val="auto"/>
              </w:rPr>
              <w:t>联合体的其他资格要求：</w:t>
            </w:r>
          </w:p>
          <w:p>
            <w:pPr>
              <w:spacing w:line="240" w:lineRule="atLeast"/>
              <w:rPr>
                <w:rFonts w:ascii="仿宋" w:hAnsi="仿宋" w:eastAsia="仿宋" w:cs="仿宋"/>
                <w:color w:val="auto"/>
              </w:rPr>
            </w:pPr>
            <w:r>
              <w:rPr>
                <w:rFonts w:hint="eastAsia" w:ascii="仿宋" w:hAnsi="仿宋" w:eastAsia="仿宋" w:cs="仿宋"/>
                <w:color w:val="auto"/>
              </w:rPr>
              <w:t>1.联合体投标的，应签订联合体投标协议书，确定联合牵头人并确定各方的权利和义务；项目牵头供应商为专业地质类单位；</w:t>
            </w:r>
          </w:p>
          <w:p>
            <w:pPr>
              <w:spacing w:line="240" w:lineRule="atLeast"/>
              <w:rPr>
                <w:rFonts w:ascii="仿宋" w:hAnsi="仿宋" w:eastAsia="仿宋" w:cs="仿宋"/>
                <w:color w:val="auto"/>
              </w:rPr>
            </w:pPr>
            <w:r>
              <w:rPr>
                <w:rFonts w:hint="eastAsia" w:ascii="仿宋" w:hAnsi="仿宋" w:eastAsia="仿宋" w:cs="仿宋"/>
                <w:color w:val="auto"/>
              </w:rPr>
              <w:t>2.联合体需提供联合投标协议，明确各方分工。联合体各方均应当具备承担招标项目的相应能力，均应当具备规定的相应资格条件。联合体中标的，联合体各方应当共同与招标人签订合同，就中标项目向招标人承担连带责任。</w:t>
            </w:r>
          </w:p>
          <w:p>
            <w:pPr>
              <w:spacing w:line="240" w:lineRule="atLeast"/>
              <w:rPr>
                <w:color w:val="auto"/>
              </w:rPr>
            </w:pPr>
            <w:r>
              <w:rPr>
                <w:rFonts w:hint="eastAsia" w:ascii="仿宋" w:hAnsi="仿宋" w:eastAsia="仿宋" w:cs="仿宋"/>
                <w:color w:val="auto"/>
              </w:rPr>
              <w:t>3.联合体成员签订联合体协议书后，不得再以自己的名义单独投标，也不得组成新的联合体或参加其他联合体在本项目中投标。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2.2</w:t>
            </w:r>
          </w:p>
        </w:tc>
        <w:tc>
          <w:tcPr>
            <w:tcW w:w="6840" w:type="dxa"/>
            <w:vAlign w:val="center"/>
          </w:tcPr>
          <w:p>
            <w:pPr>
              <w:spacing w:line="240" w:lineRule="atLeast"/>
              <w:rPr>
                <w:rFonts w:ascii="仿宋" w:hAnsi="仿宋" w:eastAsia="仿宋" w:cs="仿宋"/>
                <w:color w:val="auto"/>
              </w:rPr>
            </w:pPr>
            <w:r>
              <w:rPr>
                <w:rFonts w:hint="eastAsia" w:ascii="仿宋" w:hAnsi="仿宋" w:eastAsia="仿宋" w:cs="仿宋"/>
                <w:color w:val="auto"/>
              </w:rPr>
              <w:t>项目总预算金额人民币：3040万元；</w:t>
            </w:r>
          </w:p>
          <w:p>
            <w:pPr>
              <w:spacing w:line="240" w:lineRule="atLeast"/>
              <w:rPr>
                <w:rFonts w:ascii="仿宋" w:hAnsi="仿宋" w:eastAsia="仿宋" w:cs="仿宋"/>
                <w:color w:val="auto"/>
              </w:rPr>
            </w:pPr>
            <w:r>
              <w:rPr>
                <w:rFonts w:hint="eastAsia" w:ascii="仿宋" w:hAnsi="仿宋" w:eastAsia="仿宋" w:cs="仿宋"/>
                <w:color w:val="auto"/>
              </w:rPr>
              <w:t>标项一：预算金额人民币：80万元；最高限价人民币：80万元</w:t>
            </w:r>
          </w:p>
          <w:p>
            <w:pPr>
              <w:spacing w:line="240" w:lineRule="atLeast"/>
              <w:rPr>
                <w:rFonts w:ascii="仿宋" w:hAnsi="仿宋" w:eastAsia="仿宋" w:cs="仿宋"/>
                <w:color w:val="auto"/>
              </w:rPr>
            </w:pPr>
            <w:r>
              <w:rPr>
                <w:rFonts w:hint="eastAsia" w:ascii="仿宋" w:hAnsi="仿宋" w:eastAsia="仿宋" w:cs="仿宋"/>
                <w:color w:val="auto"/>
              </w:rPr>
              <w:t>标项二：预算金额人民币：80万元；最高限价人民币：80万元</w:t>
            </w:r>
          </w:p>
          <w:p>
            <w:pPr>
              <w:spacing w:line="240" w:lineRule="atLeast"/>
              <w:rPr>
                <w:rFonts w:ascii="仿宋" w:hAnsi="仿宋" w:eastAsia="仿宋" w:cs="仿宋"/>
                <w:color w:val="auto"/>
              </w:rPr>
            </w:pPr>
            <w:r>
              <w:rPr>
                <w:rFonts w:hint="eastAsia" w:ascii="仿宋" w:hAnsi="仿宋" w:eastAsia="仿宋" w:cs="仿宋"/>
                <w:color w:val="auto"/>
              </w:rPr>
              <w:t>标项三：预算金额人民币：561.32万元；最高限价人民币：561.32万元</w:t>
            </w:r>
          </w:p>
          <w:p>
            <w:pPr>
              <w:spacing w:line="240" w:lineRule="atLeast"/>
              <w:rPr>
                <w:rFonts w:ascii="仿宋" w:hAnsi="仿宋" w:eastAsia="仿宋" w:cs="仿宋"/>
                <w:color w:val="auto"/>
              </w:rPr>
            </w:pPr>
            <w:r>
              <w:rPr>
                <w:rFonts w:hint="eastAsia" w:ascii="仿宋" w:hAnsi="仿宋" w:eastAsia="仿宋" w:cs="仿宋"/>
                <w:color w:val="auto"/>
              </w:rPr>
              <w:t>标项四：预算金额人民币：532.14万元；最高限价人民币：532.14万元</w:t>
            </w:r>
          </w:p>
          <w:p>
            <w:pPr>
              <w:spacing w:line="240" w:lineRule="atLeast"/>
              <w:rPr>
                <w:rFonts w:ascii="仿宋" w:hAnsi="仿宋" w:eastAsia="仿宋" w:cs="仿宋"/>
                <w:color w:val="auto"/>
              </w:rPr>
            </w:pPr>
            <w:r>
              <w:rPr>
                <w:rFonts w:hint="eastAsia" w:ascii="仿宋" w:hAnsi="仿宋" w:eastAsia="仿宋" w:cs="仿宋"/>
                <w:color w:val="auto"/>
              </w:rPr>
              <w:t>标项五：预算金额人民币：823.98万元；最高限价人民币：823.98万元</w:t>
            </w:r>
          </w:p>
          <w:p>
            <w:pPr>
              <w:spacing w:line="240" w:lineRule="atLeast"/>
              <w:rPr>
                <w:rFonts w:ascii="仿宋" w:hAnsi="仿宋" w:eastAsia="仿宋" w:cs="仿宋"/>
                <w:color w:val="auto"/>
              </w:rPr>
            </w:pPr>
            <w:r>
              <w:rPr>
                <w:rFonts w:hint="eastAsia" w:ascii="仿宋" w:hAnsi="仿宋" w:eastAsia="仿宋" w:cs="仿宋"/>
                <w:color w:val="auto"/>
              </w:rPr>
              <w:t>标项六：预算金额人民币：512.684万元；最高限价人民币：512.684万元</w:t>
            </w:r>
          </w:p>
          <w:p>
            <w:pPr>
              <w:spacing w:line="240" w:lineRule="atLeast"/>
              <w:rPr>
                <w:rFonts w:ascii="仿宋" w:hAnsi="仿宋" w:eastAsia="仿宋" w:cs="仿宋"/>
                <w:color w:val="auto"/>
              </w:rPr>
            </w:pPr>
            <w:r>
              <w:rPr>
                <w:rFonts w:hint="eastAsia" w:ascii="仿宋" w:hAnsi="仿宋" w:eastAsia="仿宋" w:cs="仿宋"/>
                <w:color w:val="auto"/>
              </w:rPr>
              <w:t>标项七：预算金额人民币：192万元；最高限价人民币：192万元</w:t>
            </w:r>
          </w:p>
          <w:p>
            <w:pPr>
              <w:spacing w:line="240" w:lineRule="atLeast"/>
              <w:rPr>
                <w:rFonts w:ascii="仿宋" w:hAnsi="仿宋" w:eastAsia="仿宋" w:cs="仿宋"/>
                <w:color w:val="auto"/>
              </w:rPr>
            </w:pPr>
            <w:r>
              <w:rPr>
                <w:rFonts w:hint="eastAsia" w:ascii="仿宋" w:hAnsi="仿宋" w:eastAsia="仿宋" w:cs="仿宋"/>
                <w:color w:val="auto"/>
              </w:rPr>
              <w:t>标项八：预算金额人民币：54.76万元；最高限价人民币：54.76万元</w:t>
            </w:r>
          </w:p>
          <w:p>
            <w:pPr>
              <w:spacing w:line="240" w:lineRule="atLeast"/>
              <w:rPr>
                <w:rFonts w:ascii="仿宋" w:hAnsi="仿宋" w:eastAsia="仿宋" w:cs="仿宋"/>
                <w:color w:val="auto"/>
              </w:rPr>
            </w:pPr>
            <w:r>
              <w:rPr>
                <w:rFonts w:hint="eastAsia" w:ascii="仿宋" w:hAnsi="仿宋" w:eastAsia="仿宋" w:cs="仿宋"/>
                <w:color w:val="auto"/>
              </w:rPr>
              <w:t>标项九：预算金额人民币：45.2万元；最高限价人民币：45.2万元</w:t>
            </w:r>
          </w:p>
          <w:p>
            <w:pPr>
              <w:spacing w:line="240" w:lineRule="atLeast"/>
              <w:rPr>
                <w:rFonts w:ascii="仿宋" w:hAnsi="仿宋" w:eastAsia="仿宋" w:cs="仿宋"/>
                <w:color w:val="auto"/>
              </w:rPr>
            </w:pPr>
            <w:r>
              <w:rPr>
                <w:rFonts w:hint="eastAsia" w:ascii="仿宋" w:hAnsi="仿宋" w:eastAsia="仿宋" w:cs="仿宋"/>
                <w:color w:val="auto"/>
              </w:rPr>
              <w:t>标项十：预算金额人民币：54.76万元；最高限价人民币：54.76万元</w:t>
            </w:r>
          </w:p>
          <w:p>
            <w:pPr>
              <w:spacing w:line="240" w:lineRule="atLeast"/>
              <w:rPr>
                <w:color w:val="auto"/>
              </w:rPr>
            </w:pPr>
            <w:r>
              <w:rPr>
                <w:rFonts w:hint="eastAsia" w:ascii="仿宋" w:hAnsi="仿宋" w:eastAsia="仿宋" w:cs="仿宋"/>
                <w:color w:val="auto"/>
              </w:rPr>
              <w:t>标项十一：预算金额人民币：103.152万元；最高限价人民币：103.152万元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12</w:t>
            </w:r>
          </w:p>
        </w:tc>
        <w:tc>
          <w:tcPr>
            <w:tcW w:w="6840" w:type="dxa"/>
            <w:vAlign w:val="center"/>
          </w:tcPr>
          <w:p>
            <w:pPr>
              <w:pStyle w:val="2"/>
              <w:ind w:firstLine="0"/>
              <w:rPr>
                <w:rFonts w:ascii="仿宋" w:hAnsi="仿宋" w:eastAsia="仿宋" w:cs="仿宋"/>
                <w:color w:val="auto"/>
                <w:kern w:val="2"/>
                <w:szCs w:val="24"/>
              </w:rPr>
            </w:pPr>
            <w:r>
              <w:rPr>
                <w:rFonts w:hint="eastAsia" w:ascii="仿宋" w:hAnsi="仿宋" w:eastAsia="仿宋" w:cs="仿宋"/>
                <w:color w:val="auto"/>
                <w:kern w:val="2"/>
                <w:szCs w:val="24"/>
              </w:rPr>
              <w:t>投标保证金形式：</w:t>
            </w:r>
            <w:r>
              <w:rPr>
                <w:rFonts w:hint="eastAsia" w:ascii="仿宋" w:hAnsi="仿宋" w:eastAsia="仿宋" w:cs="仿宋"/>
                <w:color w:val="auto"/>
              </w:rPr>
              <w:t>☑对公转账☑保函  ☑保单☑电汇</w:t>
            </w:r>
          </w:p>
          <w:p>
            <w:pPr>
              <w:rPr>
                <w:rFonts w:ascii="仿宋" w:hAnsi="仿宋" w:eastAsia="仿宋" w:cs="仿宋"/>
                <w:color w:val="auto"/>
                <w:sz w:val="24"/>
              </w:rPr>
            </w:pPr>
            <w:r>
              <w:rPr>
                <w:rFonts w:hint="eastAsia" w:ascii="仿宋" w:hAnsi="仿宋" w:eastAsia="仿宋" w:cs="仿宋"/>
                <w:color w:val="auto"/>
                <w:sz w:val="24"/>
              </w:rPr>
              <w:t>保证金数额：标项一人民币：1.5万元；标项二人民币：1.5万元；标项三人民币：10.0万元；标项四人民币：10.0万元；标项五人民币：15.0万元；标项六人民币：10.0万元；标项七人民币：3.0万元；标项八人民币：1.0万元；标项九人民币：0.9万元；标项十人民币：1.0万元；标项十一人民币：2.0万元。</w:t>
            </w:r>
          </w:p>
          <w:p>
            <w:pPr>
              <w:rPr>
                <w:rFonts w:ascii="仿宋" w:hAnsi="仿宋" w:eastAsia="仿宋" w:cs="仿宋"/>
                <w:color w:val="auto"/>
                <w:sz w:val="24"/>
              </w:rPr>
            </w:pPr>
            <w:r>
              <w:rPr>
                <w:rFonts w:hint="eastAsia" w:ascii="仿宋" w:hAnsi="仿宋" w:eastAsia="仿宋" w:cs="仿宋"/>
                <w:color w:val="auto"/>
                <w:sz w:val="24"/>
              </w:rPr>
              <w:t xml:space="preserve">投标保证金收款人：新疆国源土地矿产资源交易中心（有限公司）            </w:t>
            </w:r>
          </w:p>
          <w:p>
            <w:pPr>
              <w:spacing w:line="240" w:lineRule="atLeast"/>
              <w:rPr>
                <w:rFonts w:ascii="仿宋" w:hAnsi="仿宋" w:eastAsia="仿宋" w:cs="仿宋"/>
                <w:color w:val="auto"/>
                <w:sz w:val="24"/>
                <w:u w:val="single"/>
              </w:rPr>
            </w:pPr>
            <w:r>
              <w:rPr>
                <w:rFonts w:hint="eastAsia" w:ascii="仿宋" w:hAnsi="仿宋" w:eastAsia="仿宋" w:cs="仿宋"/>
                <w:color w:val="auto"/>
                <w:sz w:val="24"/>
              </w:rPr>
              <w:t>开 户 行：兴业银行股份有限公司乌鲁木齐友好路支行</w:t>
            </w:r>
          </w:p>
          <w:p>
            <w:pPr>
              <w:spacing w:line="240" w:lineRule="atLeast"/>
              <w:rPr>
                <w:rFonts w:ascii="仿宋" w:hAnsi="仿宋" w:eastAsia="仿宋" w:cs="仿宋"/>
                <w:color w:val="auto"/>
                <w:sz w:val="24"/>
              </w:rPr>
            </w:pPr>
            <w:r>
              <w:rPr>
                <w:rFonts w:hint="eastAsia" w:ascii="仿宋" w:hAnsi="仿宋" w:eastAsia="仿宋" w:cs="仿宋"/>
                <w:color w:val="auto"/>
                <w:sz w:val="24"/>
              </w:rPr>
              <w:t xml:space="preserve">账    号：512050100100003684 </w:t>
            </w:r>
          </w:p>
          <w:p>
            <w:pPr>
              <w:spacing w:line="240" w:lineRule="atLeast"/>
              <w:rPr>
                <w:rFonts w:ascii="仿宋_GB2312" w:eastAsia="仿宋_GB2312"/>
                <w:color w:val="auto"/>
                <w:sz w:val="24"/>
                <w:u w:val="single"/>
              </w:rPr>
            </w:pPr>
            <w:r>
              <w:rPr>
                <w:rFonts w:hint="eastAsia" w:ascii="仿宋" w:hAnsi="仿宋" w:eastAsia="仿宋" w:cs="仿宋"/>
                <w:b/>
                <w:bCs/>
                <w:color w:val="auto"/>
                <w:sz w:val="24"/>
              </w:rPr>
              <w:t>★保证金缴纳要求：保证金须在开标前从投标供应商的基本账户一次性汇入指定账户，不接受现金、支票及任何个人、分公司汇款。若没有在规定时间内汇入指定账户，视为自动放弃本项目投标。</w:t>
            </w:r>
            <w:r>
              <w:rPr>
                <w:rFonts w:hint="eastAsia" w:ascii="仿宋" w:hAnsi="仿宋" w:eastAsia="仿宋" w:cs="仿宋"/>
                <w:color w:val="auto"/>
                <w:sz w:val="24"/>
                <w:u w:val="single"/>
              </w:rPr>
              <w:t>打款时注明投标保证金项目名称、包号。</w:t>
            </w:r>
          </w:p>
          <w:p>
            <w:pPr>
              <w:rPr>
                <w:rFonts w:ascii="仿宋" w:hAnsi="仿宋" w:eastAsia="仿宋" w:cs="仿宋"/>
                <w:color w:val="auto"/>
                <w:sz w:val="24"/>
              </w:rPr>
            </w:pPr>
            <w:r>
              <w:rPr>
                <w:rFonts w:hint="eastAsia" w:ascii="仿宋" w:hAnsi="仿宋" w:eastAsia="仿宋" w:cs="仿宋"/>
                <w:color w:val="auto"/>
                <w:sz w:val="24"/>
              </w:rPr>
              <w:t>投标保证金的退还：</w:t>
            </w:r>
          </w:p>
          <w:p>
            <w:pPr>
              <w:rPr>
                <w:rFonts w:ascii="仿宋" w:hAnsi="仿宋" w:eastAsia="仿宋" w:cs="仿宋"/>
                <w:color w:val="auto"/>
                <w:sz w:val="24"/>
              </w:rPr>
            </w:pPr>
            <w:r>
              <w:rPr>
                <w:rFonts w:hint="eastAsia" w:ascii="仿宋" w:hAnsi="仿宋" w:eastAsia="仿宋" w:cs="仿宋"/>
                <w:color w:val="auto"/>
                <w:sz w:val="24"/>
              </w:rPr>
              <w:t>中标通知书发出之日起5个工作日内退还未中标人的投标保证金，中标单位投标保证金在与采购单位签订合同后，5个工作日内，无息退还保证金。中标人退还保证金需提交保证金收据（请注明：今收到新疆国源土地矿产资源交易中心（有限公司）退还</w:t>
            </w:r>
            <w:r>
              <w:rPr>
                <w:rFonts w:hint="eastAsia" w:ascii="仿宋" w:hAnsi="仿宋" w:eastAsia="仿宋" w:cs="仿宋"/>
                <w:color w:val="auto"/>
                <w:sz w:val="24"/>
                <w:u w:val="single"/>
              </w:rPr>
              <w:t xml:space="preserve">  ×××项目  </w:t>
            </w:r>
            <w:r>
              <w:rPr>
                <w:rFonts w:hint="eastAsia" w:ascii="仿宋" w:hAnsi="仿宋" w:eastAsia="仿宋" w:cs="仿宋"/>
                <w:color w:val="auto"/>
                <w:sz w:val="24"/>
              </w:rPr>
              <w:t>投标保证金</w:t>
            </w:r>
            <w:r>
              <w:rPr>
                <w:rFonts w:hint="eastAsia" w:ascii="仿宋" w:hAnsi="仿宋" w:eastAsia="仿宋" w:cs="仿宋"/>
                <w:color w:val="auto"/>
                <w:sz w:val="24"/>
                <w:u w:val="single"/>
              </w:rPr>
              <w:t xml:space="preserve">       </w:t>
            </w:r>
            <w:r>
              <w:rPr>
                <w:rFonts w:hint="eastAsia" w:ascii="仿宋" w:hAnsi="仿宋" w:eastAsia="仿宋" w:cs="仿宋"/>
                <w:color w:val="auto"/>
                <w:sz w:val="24"/>
              </w:rPr>
              <w:t>元），收据需加盖财务专用章。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13.1</w:t>
            </w:r>
          </w:p>
        </w:tc>
        <w:tc>
          <w:tcPr>
            <w:tcW w:w="6840" w:type="dxa"/>
            <w:vAlign w:val="center"/>
          </w:tcPr>
          <w:p>
            <w:pPr>
              <w:spacing w:line="240" w:lineRule="atLeast"/>
              <w:rPr>
                <w:rFonts w:ascii="仿宋" w:hAnsi="仿宋" w:eastAsia="仿宋" w:cs="仿宋"/>
                <w:color w:val="auto"/>
                <w:sz w:val="24"/>
                <w:u w:val="single"/>
              </w:rPr>
            </w:pPr>
            <w:r>
              <w:rPr>
                <w:rFonts w:hint="eastAsia" w:ascii="仿宋" w:hAnsi="仿宋" w:eastAsia="仿宋" w:cs="仿宋"/>
                <w:color w:val="auto"/>
                <w:sz w:val="24"/>
              </w:rPr>
              <w:t>投标有效期：</w:t>
            </w:r>
            <w:r>
              <w:rPr>
                <w:rFonts w:hint="eastAsia" w:ascii="仿宋" w:hAnsi="仿宋" w:eastAsia="仿宋" w:cs="仿宋"/>
                <w:color w:val="auto"/>
                <w:sz w:val="24"/>
                <w:u w:val="single"/>
              </w:rPr>
              <w:t>　90</w:t>
            </w:r>
            <w:r>
              <w:rPr>
                <w:rFonts w:hint="eastAsia" w:ascii="仿宋" w:hAnsi="仿宋" w:eastAsia="仿宋" w:cs="仿宋"/>
                <w:color w:val="auto"/>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14.1</w:t>
            </w:r>
          </w:p>
        </w:tc>
        <w:tc>
          <w:tcPr>
            <w:tcW w:w="6840" w:type="dxa"/>
            <w:vAlign w:val="center"/>
          </w:tcPr>
          <w:p>
            <w:pPr>
              <w:spacing w:line="240" w:lineRule="atLeast"/>
              <w:rPr>
                <w:rFonts w:ascii="仿宋" w:hAnsi="仿宋" w:eastAsia="仿宋" w:cs="仿宋"/>
                <w:b/>
                <w:bCs/>
                <w:color w:val="auto"/>
                <w:sz w:val="24"/>
              </w:rPr>
            </w:pPr>
            <w:r>
              <w:rPr>
                <w:rFonts w:hint="eastAsia" w:ascii="仿宋" w:hAnsi="仿宋" w:eastAsia="仿宋" w:cs="仿宋"/>
                <w:b/>
                <w:bCs/>
                <w:color w:val="auto"/>
                <w:sz w:val="24"/>
              </w:rPr>
              <w:t>投标文件包括“报价单”、“商务资信投标文件”和“技术投标方案”三部分。</w:t>
            </w:r>
          </w:p>
          <w:p>
            <w:pPr>
              <w:spacing w:line="240" w:lineRule="atLeast"/>
              <w:rPr>
                <w:rFonts w:ascii="仿宋" w:hAnsi="仿宋" w:eastAsia="仿宋" w:cs="仿宋"/>
                <w:b/>
                <w:bCs/>
                <w:color w:val="auto"/>
                <w:sz w:val="24"/>
              </w:rPr>
            </w:pPr>
            <w:r>
              <w:rPr>
                <w:rFonts w:hint="eastAsia" w:ascii="仿宋" w:hAnsi="仿宋" w:eastAsia="仿宋" w:cs="仿宋"/>
                <w:b/>
                <w:bCs/>
                <w:color w:val="auto"/>
                <w:sz w:val="24"/>
              </w:rPr>
              <w:t>投标文件的签署及规定：</w:t>
            </w:r>
          </w:p>
          <w:p>
            <w:pPr>
              <w:spacing w:line="240" w:lineRule="atLeast"/>
              <w:rPr>
                <w:rFonts w:ascii="仿宋" w:hAnsi="仿宋" w:eastAsia="仿宋" w:cs="仿宋"/>
                <w:b/>
                <w:bCs/>
                <w:color w:val="auto"/>
                <w:sz w:val="24"/>
              </w:rPr>
            </w:pPr>
            <w:r>
              <w:rPr>
                <w:rFonts w:hint="eastAsia" w:ascii="仿宋" w:hAnsi="仿宋" w:eastAsia="仿宋" w:cs="仿宋"/>
                <w:b/>
                <w:bCs/>
                <w:color w:val="auto"/>
                <w:sz w:val="24"/>
              </w:rPr>
              <w:t>供应商应按供应商须知资料表中的规定，准备和上传投标文件。</w:t>
            </w:r>
          </w:p>
          <w:p>
            <w:pPr>
              <w:spacing w:line="240" w:lineRule="atLeast"/>
              <w:rPr>
                <w:rFonts w:ascii="仿宋" w:hAnsi="仿宋" w:eastAsia="仿宋" w:cs="仿宋"/>
                <w:color w:val="auto"/>
                <w:sz w:val="24"/>
                <w:u w:val="single"/>
              </w:rPr>
            </w:pPr>
            <w:r>
              <w:rPr>
                <w:rFonts w:hint="eastAsia" w:ascii="仿宋" w:hAnsi="仿宋" w:eastAsia="仿宋" w:cs="仿宋"/>
                <w:b/>
                <w:bCs/>
                <w:color w:val="auto"/>
                <w:sz w:val="24"/>
              </w:rPr>
              <w:t>投标文件由供应商的法定代表人或委托代理人按采购文件规定在投标文件上签字并加盖单位印章。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16．1</w:t>
            </w:r>
          </w:p>
        </w:tc>
        <w:tc>
          <w:tcPr>
            <w:tcW w:w="6840" w:type="dxa"/>
            <w:vAlign w:val="center"/>
          </w:tcPr>
          <w:p>
            <w:pPr>
              <w:spacing w:line="240" w:lineRule="atLeast"/>
              <w:rPr>
                <w:rFonts w:ascii="仿宋" w:hAnsi="仿宋" w:eastAsia="仿宋" w:cs="仿宋"/>
                <w:color w:val="auto"/>
                <w:sz w:val="24"/>
              </w:rPr>
            </w:pPr>
            <w:r>
              <w:rPr>
                <w:rFonts w:hint="eastAsia" w:ascii="仿宋" w:hAnsi="仿宋" w:eastAsia="仿宋" w:cs="仿宋"/>
                <w:color w:val="auto"/>
                <w:sz w:val="24"/>
              </w:rPr>
              <w:t>投标截止时间：</w:t>
            </w:r>
            <w:r>
              <w:rPr>
                <w:rFonts w:hint="eastAsia" w:ascii="仿宋" w:hAnsi="仿宋" w:eastAsia="仿宋"/>
                <w:color w:val="auto"/>
                <w:sz w:val="24"/>
              </w:rPr>
              <w:t>2023年</w:t>
            </w:r>
            <w:r>
              <w:rPr>
                <w:rFonts w:hint="eastAsia" w:ascii="仿宋" w:hAnsi="仿宋" w:eastAsia="仿宋"/>
                <w:color w:val="auto"/>
                <w:sz w:val="24"/>
                <w:lang w:val="en-US" w:eastAsia="zh-CN"/>
              </w:rPr>
              <w:t>3</w:t>
            </w:r>
            <w:r>
              <w:rPr>
                <w:rFonts w:hint="eastAsia" w:ascii="仿宋" w:hAnsi="仿宋" w:eastAsia="仿宋"/>
                <w:color w:val="auto"/>
                <w:sz w:val="24"/>
              </w:rPr>
              <w:t>月</w:t>
            </w:r>
            <w:r>
              <w:rPr>
                <w:rFonts w:hint="eastAsia" w:ascii="仿宋" w:hAnsi="仿宋" w:eastAsia="仿宋"/>
                <w:color w:val="auto"/>
                <w:sz w:val="24"/>
                <w:lang w:val="en-US" w:eastAsia="zh-CN"/>
              </w:rPr>
              <w:t>9</w:t>
            </w:r>
            <w:r>
              <w:rPr>
                <w:rFonts w:hint="eastAsia" w:ascii="仿宋" w:hAnsi="仿宋" w:eastAsia="仿宋"/>
                <w:color w:val="auto"/>
                <w:sz w:val="24"/>
              </w:rPr>
              <w:t>日 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18.1</w:t>
            </w:r>
          </w:p>
        </w:tc>
        <w:tc>
          <w:tcPr>
            <w:tcW w:w="6840" w:type="dxa"/>
            <w:vAlign w:val="center"/>
          </w:tcPr>
          <w:p>
            <w:pPr>
              <w:spacing w:line="240" w:lineRule="atLeast"/>
              <w:rPr>
                <w:rFonts w:ascii="仿宋" w:hAnsi="仿宋" w:eastAsia="仿宋" w:cs="仿宋"/>
                <w:color w:val="auto"/>
                <w:sz w:val="24"/>
                <w:highlight w:val="red"/>
                <w:u w:val="single"/>
              </w:rPr>
            </w:pPr>
            <w:r>
              <w:rPr>
                <w:rFonts w:hint="eastAsia" w:ascii="仿宋" w:hAnsi="仿宋" w:eastAsia="仿宋" w:cs="仿宋"/>
                <w:color w:val="auto"/>
                <w:sz w:val="24"/>
              </w:rPr>
              <w:t>开标时间：</w:t>
            </w:r>
            <w:r>
              <w:rPr>
                <w:rFonts w:hint="eastAsia" w:ascii="仿宋" w:hAnsi="仿宋" w:eastAsia="仿宋"/>
                <w:color w:val="auto"/>
                <w:sz w:val="24"/>
              </w:rPr>
              <w:t>2023年</w:t>
            </w:r>
            <w:r>
              <w:rPr>
                <w:rFonts w:hint="eastAsia" w:ascii="仿宋" w:hAnsi="仿宋" w:eastAsia="仿宋"/>
                <w:color w:val="auto"/>
                <w:sz w:val="24"/>
                <w:lang w:val="en-US" w:eastAsia="zh-CN"/>
              </w:rPr>
              <w:t>3</w:t>
            </w:r>
            <w:r>
              <w:rPr>
                <w:rFonts w:hint="eastAsia" w:ascii="仿宋" w:hAnsi="仿宋" w:eastAsia="仿宋"/>
                <w:color w:val="auto"/>
                <w:sz w:val="24"/>
              </w:rPr>
              <w:t>月</w:t>
            </w:r>
            <w:r>
              <w:rPr>
                <w:rFonts w:hint="eastAsia" w:ascii="仿宋" w:hAnsi="仿宋" w:eastAsia="仿宋"/>
                <w:color w:val="auto"/>
                <w:sz w:val="24"/>
                <w:lang w:val="en-US" w:eastAsia="zh-CN"/>
              </w:rPr>
              <w:t>9</w:t>
            </w:r>
            <w:bookmarkStart w:id="387" w:name="_GoBack"/>
            <w:bookmarkEnd w:id="387"/>
            <w:r>
              <w:rPr>
                <w:rFonts w:hint="eastAsia" w:ascii="仿宋" w:hAnsi="仿宋" w:eastAsia="仿宋"/>
                <w:color w:val="auto"/>
                <w:sz w:val="24"/>
              </w:rPr>
              <w:t>日 11:00（北京时间）</w:t>
            </w:r>
          </w:p>
          <w:p>
            <w:pPr>
              <w:spacing w:line="240" w:lineRule="atLeast"/>
              <w:rPr>
                <w:rFonts w:ascii="仿宋" w:hAnsi="仿宋" w:eastAsia="仿宋" w:cs="仿宋"/>
                <w:color w:val="auto"/>
                <w:sz w:val="24"/>
              </w:rPr>
            </w:pPr>
            <w:r>
              <w:rPr>
                <w:rFonts w:hint="eastAsia" w:ascii="仿宋" w:hAnsi="仿宋" w:eastAsia="仿宋" w:cs="仿宋"/>
                <w:color w:val="auto"/>
                <w:sz w:val="24"/>
              </w:rPr>
              <w:t>开标地点：</w:t>
            </w:r>
            <w:r>
              <w:rPr>
                <w:rFonts w:hint="eastAsia" w:ascii="仿宋" w:hAnsi="仿宋" w:eastAsia="仿宋"/>
                <w:color w:val="auto"/>
                <w:sz w:val="24"/>
              </w:rPr>
              <w:t>乌鲁木齐市新市区阜新街1号2号楼3楼开标室。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23.2</w:t>
            </w:r>
          </w:p>
        </w:tc>
        <w:tc>
          <w:tcPr>
            <w:tcW w:w="6840" w:type="dxa"/>
            <w:vAlign w:val="center"/>
          </w:tcPr>
          <w:p>
            <w:pPr>
              <w:spacing w:line="240" w:lineRule="atLeast"/>
              <w:rPr>
                <w:rFonts w:ascii="仿宋" w:hAnsi="仿宋" w:eastAsia="仿宋" w:cs="仿宋"/>
                <w:i/>
                <w:color w:val="auto"/>
                <w:sz w:val="24"/>
              </w:rPr>
            </w:pPr>
            <w:r>
              <w:rPr>
                <w:rFonts w:hint="eastAsia" w:ascii="仿宋" w:hAnsi="仿宋" w:eastAsia="仿宋" w:cs="仿宋"/>
                <w:color w:val="auto"/>
                <w:sz w:val="24"/>
              </w:rPr>
              <w:t>评标方法：适用</w:t>
            </w:r>
            <w:r>
              <w:rPr>
                <w:rFonts w:hint="eastAsia" w:ascii="仿宋" w:hAnsi="仿宋" w:eastAsia="仿宋" w:cs="仿宋"/>
                <w:color w:val="auto"/>
                <w:sz w:val="24"/>
                <w:u w:val="single"/>
              </w:rPr>
              <w:t>综合评分法</w:t>
            </w:r>
            <w:r>
              <w:rPr>
                <w:rFonts w:hint="eastAsia" w:ascii="仿宋" w:hAnsi="仿宋" w:eastAsia="仿宋" w:cs="仿宋"/>
                <w:color w:val="auto"/>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27</w:t>
            </w:r>
          </w:p>
        </w:tc>
        <w:tc>
          <w:tcPr>
            <w:tcW w:w="6840" w:type="dxa"/>
            <w:vAlign w:val="center"/>
          </w:tcPr>
          <w:p>
            <w:pPr>
              <w:spacing w:line="240" w:lineRule="atLeast"/>
              <w:rPr>
                <w:rFonts w:ascii="仿宋" w:hAnsi="仿宋" w:eastAsia="仿宋" w:cs="仿宋"/>
                <w:color w:val="auto"/>
                <w:sz w:val="24"/>
              </w:rPr>
            </w:pPr>
            <w:r>
              <w:rPr>
                <w:rFonts w:hint="eastAsia" w:ascii="仿宋" w:hAnsi="仿宋" w:eastAsia="仿宋" w:cs="仿宋"/>
                <w:color w:val="auto"/>
                <w:sz w:val="24"/>
              </w:rPr>
              <w:t>推荐中标候选供应商的数量：</w:t>
            </w:r>
            <w:r>
              <w:rPr>
                <w:rFonts w:hint="eastAsia" w:ascii="仿宋" w:hAnsi="仿宋" w:eastAsia="仿宋" w:cs="仿宋"/>
                <w:color w:val="auto"/>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27</w:t>
            </w:r>
          </w:p>
        </w:tc>
        <w:tc>
          <w:tcPr>
            <w:tcW w:w="6840" w:type="dxa"/>
            <w:vAlign w:val="center"/>
          </w:tcPr>
          <w:p>
            <w:pPr>
              <w:spacing w:line="240" w:lineRule="atLeast"/>
              <w:rPr>
                <w:rFonts w:ascii="仿宋" w:hAnsi="仿宋" w:eastAsia="仿宋" w:cs="仿宋"/>
                <w:color w:val="auto"/>
                <w:sz w:val="24"/>
              </w:rPr>
            </w:pPr>
            <w:r>
              <w:rPr>
                <w:rFonts w:hint="eastAsia" w:ascii="仿宋" w:hAnsi="仿宋" w:eastAsia="仿宋" w:cs="仿宋"/>
                <w:color w:val="auto"/>
                <w:sz w:val="24"/>
              </w:rPr>
              <w:t>招标人是否委托评标委员会直接确定中标人：</w:t>
            </w:r>
            <w:r>
              <w:rPr>
                <w:rFonts w:hint="eastAsia" w:ascii="仿宋" w:hAnsi="仿宋" w:eastAsia="仿宋" w:cs="仿宋"/>
                <w:color w:val="auto"/>
                <w:sz w:val="24"/>
                <w:u w:val="single"/>
              </w:rPr>
              <w:t xml:space="preserve">否 </w:t>
            </w:r>
            <w:r>
              <w:rPr>
                <w:rFonts w:hint="eastAsia" w:ascii="仿宋" w:hAnsi="仿宋" w:eastAsia="仿宋" w:cs="仿宋"/>
                <w:color w:val="auto"/>
                <w:sz w:val="24"/>
              </w:rPr>
              <w:t xml:space="preserve"> </w:t>
            </w:r>
            <w:r>
              <w:rPr>
                <w:rFonts w:hint="eastAsia" w:ascii="仿宋" w:hAnsi="仿宋" w:eastAsia="仿宋" w:cs="仿宋"/>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31.1</w:t>
            </w:r>
          </w:p>
        </w:tc>
        <w:tc>
          <w:tcPr>
            <w:tcW w:w="6840" w:type="dxa"/>
            <w:vAlign w:val="center"/>
          </w:tcPr>
          <w:p>
            <w:pPr>
              <w:rPr>
                <w:rFonts w:hint="eastAsia" w:ascii="仿宋" w:hAnsi="仿宋" w:eastAsia="仿宋" w:cs="仿宋"/>
                <w:color w:val="auto"/>
                <w:sz w:val="24"/>
              </w:rPr>
            </w:pPr>
            <w:r>
              <w:rPr>
                <w:rFonts w:hint="eastAsia" w:ascii="仿宋" w:hAnsi="仿宋" w:eastAsia="仿宋" w:cs="仿宋"/>
                <w:color w:val="auto"/>
                <w:sz w:val="24"/>
              </w:rPr>
              <w:t>履约保证金金额：10%（不得超过政府采购合同金额的10%）。</w:t>
            </w:r>
          </w:p>
          <w:p>
            <w:pPr>
              <w:rPr>
                <w:rFonts w:hint="eastAsia" w:ascii="仿宋" w:hAnsi="仿宋" w:eastAsia="仿宋" w:cs="仿宋"/>
                <w:color w:val="auto"/>
                <w:sz w:val="24"/>
              </w:rPr>
            </w:pPr>
            <w:r>
              <w:rPr>
                <w:rFonts w:hint="eastAsia" w:ascii="仿宋" w:hAnsi="仿宋" w:eastAsia="仿宋" w:cs="仿宋"/>
                <w:color w:val="auto"/>
                <w:sz w:val="24"/>
              </w:rPr>
              <w:t xml:space="preserve">履约保证金形式： </w:t>
            </w:r>
            <w:bookmarkStart w:id="218" w:name="_Hlk22725541"/>
            <w:r>
              <w:rPr>
                <w:rFonts w:hint="eastAsia" w:ascii="仿宋" w:hAnsi="仿宋" w:eastAsia="仿宋" w:cs="仿宋"/>
                <w:color w:val="auto"/>
                <w:sz w:val="24"/>
              </w:rPr>
              <w:t>电汇或企业账户网银汇款</w:t>
            </w:r>
            <w:bookmarkEnd w:id="218"/>
            <w:r>
              <w:rPr>
                <w:rFonts w:hint="eastAsia" w:ascii="仿宋" w:hAnsi="仿宋" w:eastAsia="仿宋" w:cs="仿宋"/>
                <w:color w:val="auto"/>
                <w:sz w:val="24"/>
              </w:rPr>
              <w:t xml:space="preserve">。 </w:t>
            </w:r>
          </w:p>
          <w:p>
            <w:pPr>
              <w:rPr>
                <w:rFonts w:hint="eastAsia" w:ascii="仿宋" w:hAnsi="仿宋" w:eastAsia="仿宋" w:cs="仿宋"/>
                <w:color w:val="auto"/>
                <w:sz w:val="24"/>
              </w:rPr>
            </w:pPr>
            <w:r>
              <w:rPr>
                <w:rFonts w:hint="eastAsia" w:ascii="仿宋" w:hAnsi="仿宋" w:eastAsia="仿宋" w:cs="仿宋"/>
                <w:color w:val="auto"/>
                <w:sz w:val="24"/>
              </w:rPr>
              <w:t>提交履约保证金的时间： 在中标通知书发出后</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lang w:val="en-US" w:eastAsia="zh-CN"/>
              </w:rPr>
              <w:t>个工作日</w:t>
            </w:r>
            <w:r>
              <w:rPr>
                <w:rFonts w:hint="eastAsia" w:ascii="仿宋" w:hAnsi="仿宋" w:eastAsia="仿宋" w:cs="仿宋"/>
                <w:color w:val="auto"/>
                <w:sz w:val="24"/>
              </w:rPr>
              <w:t>内。</w:t>
            </w:r>
          </w:p>
          <w:p>
            <w:pPr>
              <w:rPr>
                <w:rFonts w:hint="eastAsia" w:ascii="仿宋" w:hAnsi="仿宋" w:eastAsia="仿宋" w:cs="仿宋"/>
                <w:color w:val="auto"/>
                <w:sz w:val="24"/>
              </w:rPr>
            </w:pPr>
            <w:r>
              <w:rPr>
                <w:rFonts w:hint="eastAsia" w:ascii="仿宋" w:hAnsi="仿宋" w:eastAsia="仿宋" w:cs="仿宋"/>
                <w:color w:val="auto"/>
                <w:sz w:val="24"/>
              </w:rPr>
              <w:t>履约保证金收款人：喀什地区自然资源局</w:t>
            </w:r>
          </w:p>
          <w:p>
            <w:r>
              <w:rPr>
                <w:rFonts w:ascii="仿宋" w:hAnsi="仿宋" w:eastAsia="仿宋" w:cs="仿宋"/>
                <w:sz w:val="22"/>
                <w:szCs w:val="22"/>
                <w:shd w:val="clear" w:fill="FFFFFF"/>
              </w:rPr>
              <w:t>采购代理机构应当</w:t>
            </w:r>
            <w:r>
              <w:rPr>
                <w:rFonts w:hint="eastAsia" w:ascii="仿宋" w:hAnsi="仿宋" w:eastAsia="仿宋" w:cs="仿宋"/>
                <w:color w:val="auto"/>
                <w:sz w:val="24"/>
              </w:rPr>
              <w:t>自采购合同签订之日起5个工作日内退还中标人的投标保证金或者转为中标人的履约保证金。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32</w:t>
            </w:r>
          </w:p>
        </w:tc>
        <w:tc>
          <w:tcPr>
            <w:tcW w:w="6840" w:type="dxa"/>
            <w:vAlign w:val="center"/>
          </w:tcPr>
          <w:p>
            <w:pPr>
              <w:spacing w:line="240" w:lineRule="atLeast"/>
              <w:rPr>
                <w:rFonts w:ascii="仿宋" w:hAnsi="仿宋" w:eastAsia="仿宋" w:cs="仿宋"/>
                <w:color w:val="auto"/>
                <w:sz w:val="24"/>
              </w:rPr>
            </w:pPr>
            <w:r>
              <w:rPr>
                <w:rFonts w:hint="eastAsia" w:ascii="仿宋" w:hAnsi="仿宋" w:eastAsia="仿宋" w:cs="仿宋"/>
                <w:color w:val="auto"/>
                <w:sz w:val="24"/>
              </w:rPr>
              <w:t>中标服务费：</w:t>
            </w:r>
            <w:r>
              <w:rPr>
                <w:rFonts w:hint="eastAsia" w:ascii="仿宋" w:hAnsi="仿宋" w:eastAsia="仿宋" w:cs="仿宋"/>
                <w:b/>
                <w:bCs/>
                <w:color w:val="auto"/>
                <w:sz w:val="24"/>
              </w:rPr>
              <w:t>根据（发改价格[2015]299号文件），</w:t>
            </w:r>
            <w:r>
              <w:rPr>
                <w:rFonts w:hint="eastAsia" w:ascii="仿宋" w:hAnsi="仿宋" w:eastAsia="仿宋" w:cs="仿宋"/>
                <w:b/>
                <w:bCs/>
                <w:color w:val="auto"/>
                <w:sz w:val="24"/>
                <w:lang w:val="en-US" w:eastAsia="zh-CN"/>
              </w:rPr>
              <w:t>招标代理费</w:t>
            </w:r>
            <w:r>
              <w:rPr>
                <w:rFonts w:hint="eastAsia" w:ascii="仿宋" w:hAnsi="仿宋" w:eastAsia="仿宋" w:cs="仿宋"/>
                <w:b/>
                <w:bCs/>
                <w:color w:val="auto"/>
                <w:sz w:val="24"/>
              </w:rPr>
              <w:t>按成交金额的1.5%收取。</w:t>
            </w:r>
            <w:r>
              <w:rPr>
                <w:rFonts w:hint="eastAsia" w:ascii="仿宋" w:hAnsi="仿宋" w:eastAsia="仿宋" w:cs="仿宋"/>
                <w:color w:val="auto"/>
                <w:sz w:val="24"/>
              </w:rPr>
              <w:t>由中标单位向招标代理机构支付本项目的代理费。</w:t>
            </w:r>
          </w:p>
          <w:p>
            <w:pPr>
              <w:spacing w:line="240" w:lineRule="atLeast"/>
              <w:rPr>
                <w:rFonts w:ascii="仿宋" w:hAnsi="仿宋" w:eastAsia="仿宋" w:cs="仿宋"/>
                <w:color w:val="auto"/>
                <w:sz w:val="24"/>
              </w:rPr>
            </w:pPr>
            <w:r>
              <w:rPr>
                <w:rFonts w:hint="eastAsia" w:ascii="仿宋" w:hAnsi="仿宋" w:eastAsia="仿宋" w:cs="仿宋"/>
                <w:color w:val="auto"/>
                <w:sz w:val="24"/>
              </w:rPr>
              <w:t>支 付 方：由中标人支付</w:t>
            </w:r>
          </w:p>
          <w:p>
            <w:pPr>
              <w:spacing w:line="240" w:lineRule="atLeast"/>
              <w:rPr>
                <w:rFonts w:ascii="仿宋" w:hAnsi="仿宋" w:eastAsia="仿宋" w:cs="仿宋"/>
                <w:color w:val="auto"/>
                <w:sz w:val="24"/>
              </w:rPr>
            </w:pPr>
            <w:r>
              <w:rPr>
                <w:rFonts w:hint="eastAsia" w:ascii="仿宋" w:hAnsi="仿宋" w:eastAsia="仿宋" w:cs="仿宋"/>
                <w:color w:val="auto"/>
                <w:sz w:val="24"/>
              </w:rPr>
              <w:t xml:space="preserve">支付形式：对公转账 </w:t>
            </w:r>
          </w:p>
          <w:p>
            <w:pPr>
              <w:spacing w:line="240" w:lineRule="atLeast"/>
              <w:rPr>
                <w:rFonts w:ascii="仿宋" w:hAnsi="仿宋" w:eastAsia="仿宋" w:cs="仿宋"/>
                <w:color w:val="auto"/>
              </w:rPr>
            </w:pPr>
            <w:r>
              <w:rPr>
                <w:rFonts w:hint="eastAsia" w:ascii="仿宋" w:hAnsi="仿宋" w:eastAsia="仿宋" w:cs="仿宋"/>
                <w:color w:val="auto"/>
                <w:sz w:val="24"/>
              </w:rPr>
              <w:t>支付时间：领取中标通知书时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33.1</w:t>
            </w:r>
          </w:p>
        </w:tc>
        <w:tc>
          <w:tcPr>
            <w:tcW w:w="6840" w:type="dxa"/>
            <w:vAlign w:val="center"/>
          </w:tcPr>
          <w:p>
            <w:pPr>
              <w:spacing w:line="240" w:lineRule="atLeast"/>
              <w:rPr>
                <w:rFonts w:ascii="仿宋" w:hAnsi="仿宋" w:eastAsia="仿宋" w:cs="仿宋"/>
                <w:color w:val="auto"/>
                <w:sz w:val="24"/>
              </w:rPr>
            </w:pPr>
            <w:r>
              <w:rPr>
                <w:rFonts w:hint="eastAsia" w:ascii="仿宋" w:hAnsi="仿宋" w:eastAsia="仿宋" w:cs="仿宋"/>
                <w:color w:val="auto"/>
                <w:sz w:val="24"/>
              </w:rPr>
              <w:t>本项目是否属于信用担保试点范围：</w:t>
            </w:r>
            <w:r>
              <w:rPr>
                <w:rFonts w:hint="eastAsia" w:ascii="仿宋" w:hAnsi="仿宋" w:eastAsia="仿宋" w:cs="仿宋"/>
                <w:color w:val="auto"/>
                <w:sz w:val="24"/>
                <w:u w:val="single"/>
              </w:rPr>
              <w:t xml:space="preserve"> 否</w:t>
            </w:r>
            <w:r>
              <w:rPr>
                <w:rFonts w:hint="eastAsia" w:ascii="仿宋" w:hAnsi="仿宋" w:eastAsia="仿宋" w:cs="仿宋"/>
                <w:color w:val="auto"/>
                <w:sz w:val="24"/>
              </w:rPr>
              <w:t xml:space="preserve"> </w:t>
            </w:r>
            <w:r>
              <w:rPr>
                <w:rFonts w:hint="eastAsia" w:ascii="仿宋" w:hAnsi="仿宋" w:eastAsia="仿宋" w:cs="仿宋"/>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ascii="仿宋" w:hAnsi="仿宋" w:eastAsia="仿宋" w:cs="仿宋"/>
                <w:color w:val="auto"/>
                <w:sz w:val="24"/>
              </w:rPr>
            </w:pPr>
            <w:r>
              <w:rPr>
                <w:rFonts w:hint="eastAsia" w:ascii="仿宋" w:hAnsi="仿宋" w:eastAsia="仿宋" w:cs="仿宋"/>
                <w:color w:val="auto"/>
                <w:sz w:val="24"/>
              </w:rPr>
              <w:t>34.3</w:t>
            </w:r>
          </w:p>
        </w:tc>
        <w:tc>
          <w:tcPr>
            <w:tcW w:w="6840" w:type="dxa"/>
            <w:vAlign w:val="center"/>
          </w:tcPr>
          <w:p>
            <w:pPr>
              <w:spacing w:line="240" w:lineRule="atLeast"/>
              <w:ind w:left="710" w:leftChars="-23" w:hanging="758" w:hangingChars="316"/>
              <w:rPr>
                <w:rFonts w:ascii="仿宋" w:hAnsi="仿宋" w:eastAsia="仿宋" w:cs="仿宋"/>
                <w:color w:val="auto"/>
                <w:sz w:val="24"/>
              </w:rPr>
            </w:pPr>
            <w:r>
              <w:rPr>
                <w:rFonts w:hint="eastAsia" w:ascii="仿宋" w:hAnsi="仿宋" w:eastAsia="仿宋" w:cs="仿宋"/>
                <w:color w:val="auto"/>
                <w:sz w:val="24"/>
              </w:rPr>
              <w:t>反腐倡廉监督电话/邮箱：</w:t>
            </w:r>
            <w:r>
              <w:rPr>
                <w:rFonts w:hint="eastAsia" w:ascii="仿宋" w:hAnsi="仿宋" w:eastAsia="仿宋" w:cs="仿宋"/>
                <w:color w:val="auto"/>
                <w:sz w:val="24"/>
                <w:u w:val="single"/>
              </w:rPr>
              <w:t xml:space="preserve">  0998-2597000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35</w:t>
            </w:r>
          </w:p>
        </w:tc>
        <w:tc>
          <w:tcPr>
            <w:tcW w:w="6840" w:type="dxa"/>
            <w:vAlign w:val="center"/>
          </w:tcPr>
          <w:p>
            <w:pPr>
              <w:spacing w:line="240" w:lineRule="atLeast"/>
              <w:rPr>
                <w:rFonts w:hint="eastAsia" w:ascii="仿宋" w:hAnsi="仿宋" w:eastAsia="仿宋" w:cs="仿宋"/>
                <w:color w:val="auto"/>
                <w:sz w:val="24"/>
              </w:rPr>
            </w:pPr>
            <w:r>
              <w:rPr>
                <w:rFonts w:hint="eastAsia" w:ascii="仿宋" w:hAnsi="仿宋" w:eastAsia="仿宋" w:cs="仿宋"/>
                <w:b/>
                <w:bCs/>
                <w:color w:val="auto"/>
                <w:sz w:val="24"/>
                <w:lang w:eastAsia="zh-CN"/>
              </w:rPr>
              <w:t>付款方式：</w:t>
            </w:r>
            <w:r>
              <w:rPr>
                <w:rFonts w:hint="eastAsia" w:ascii="仿宋" w:hAnsi="仿宋" w:eastAsia="仿宋" w:cs="仿宋"/>
                <w:color w:val="auto"/>
                <w:sz w:val="24"/>
                <w:lang w:eastAsia="zh-CN"/>
              </w:rPr>
              <w:t>根据项目实际进度支付，签订项目合同</w:t>
            </w:r>
            <w:r>
              <w:rPr>
                <w:rFonts w:hint="eastAsia" w:ascii="仿宋" w:hAnsi="仿宋" w:eastAsia="仿宋" w:cs="仿宋"/>
                <w:color w:val="auto"/>
                <w:sz w:val="24"/>
                <w:lang w:val="en-US" w:eastAsia="zh-CN"/>
              </w:rPr>
              <w:t>后</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采购人</w:t>
            </w:r>
            <w:r>
              <w:rPr>
                <w:rFonts w:hint="eastAsia" w:ascii="仿宋" w:hAnsi="仿宋" w:eastAsia="仿宋" w:cs="仿宋"/>
                <w:color w:val="auto"/>
                <w:sz w:val="24"/>
                <w:lang w:eastAsia="zh-CN"/>
              </w:rPr>
              <w:t>向</w:t>
            </w:r>
            <w:r>
              <w:rPr>
                <w:rFonts w:hint="eastAsia" w:ascii="仿宋" w:hAnsi="仿宋" w:eastAsia="仿宋" w:cs="仿宋"/>
                <w:color w:val="auto"/>
                <w:sz w:val="24"/>
                <w:lang w:val="en-US" w:eastAsia="zh-CN"/>
              </w:rPr>
              <w:t>中标方</w:t>
            </w:r>
            <w:r>
              <w:rPr>
                <w:rFonts w:hint="eastAsia" w:ascii="仿宋" w:hAnsi="仿宋" w:eastAsia="仿宋" w:cs="仿宋"/>
                <w:color w:val="auto"/>
                <w:sz w:val="24"/>
                <w:lang w:eastAsia="zh-CN"/>
              </w:rPr>
              <w:t>支付经费总额</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0%的款项；</w:t>
            </w:r>
            <w:r>
              <w:rPr>
                <w:rFonts w:hint="eastAsia" w:ascii="仿宋" w:hAnsi="仿宋" w:eastAsia="仿宋" w:cs="仿宋"/>
                <w:color w:val="auto"/>
                <w:sz w:val="24"/>
                <w:lang w:val="en-US" w:eastAsia="zh-CN"/>
              </w:rPr>
              <w:t>设计评审通过并开工</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采购人</w:t>
            </w:r>
            <w:r>
              <w:rPr>
                <w:rFonts w:hint="eastAsia" w:ascii="仿宋" w:hAnsi="仿宋" w:eastAsia="仿宋" w:cs="仿宋"/>
                <w:color w:val="auto"/>
                <w:sz w:val="24"/>
                <w:lang w:eastAsia="zh-CN"/>
              </w:rPr>
              <w:t>向</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方支付经费总额</w:t>
            </w:r>
            <w:r>
              <w:rPr>
                <w:rFonts w:hint="eastAsia" w:ascii="仿宋" w:hAnsi="仿宋" w:eastAsia="仿宋" w:cs="仿宋"/>
                <w:color w:val="auto"/>
                <w:sz w:val="24"/>
                <w:lang w:val="en-US" w:eastAsia="zh-CN"/>
              </w:rPr>
              <w:t>20</w:t>
            </w:r>
            <w:r>
              <w:rPr>
                <w:rFonts w:hint="eastAsia" w:ascii="仿宋" w:hAnsi="仿宋" w:eastAsia="仿宋" w:cs="仿宋"/>
                <w:color w:val="auto"/>
                <w:sz w:val="24"/>
                <w:lang w:eastAsia="zh-CN"/>
              </w:rPr>
              <w:t>%的款项；</w:t>
            </w:r>
            <w:r>
              <w:rPr>
                <w:rFonts w:hint="eastAsia" w:ascii="仿宋" w:hAnsi="仿宋" w:eastAsia="仿宋" w:cs="仿宋"/>
                <w:color w:val="auto"/>
                <w:sz w:val="24"/>
                <w:lang w:val="en-US" w:eastAsia="zh-CN"/>
              </w:rPr>
              <w:t>完成野外验收后，采购人向中标方支付经费总额20%的款项；竣工验收并专家评审通过后</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采购人</w:t>
            </w:r>
            <w:r>
              <w:rPr>
                <w:rFonts w:hint="eastAsia" w:ascii="仿宋" w:hAnsi="仿宋" w:eastAsia="仿宋" w:cs="仿宋"/>
                <w:color w:val="auto"/>
                <w:sz w:val="24"/>
                <w:lang w:eastAsia="zh-CN"/>
              </w:rPr>
              <w:t>向</w:t>
            </w:r>
            <w:r>
              <w:rPr>
                <w:rFonts w:hint="eastAsia" w:ascii="仿宋" w:hAnsi="仿宋" w:eastAsia="仿宋" w:cs="仿宋"/>
                <w:color w:val="auto"/>
                <w:sz w:val="24"/>
                <w:lang w:val="en-US" w:eastAsia="zh-CN"/>
              </w:rPr>
              <w:t>中标</w:t>
            </w:r>
            <w:r>
              <w:rPr>
                <w:rFonts w:hint="eastAsia" w:ascii="仿宋" w:hAnsi="仿宋" w:eastAsia="仿宋" w:cs="仿宋"/>
                <w:color w:val="auto"/>
                <w:sz w:val="24"/>
                <w:lang w:eastAsia="zh-CN"/>
              </w:rPr>
              <w:t>方支付经费总额</w:t>
            </w:r>
            <w:r>
              <w:rPr>
                <w:rFonts w:hint="eastAsia" w:ascii="仿宋" w:hAnsi="仿宋" w:eastAsia="仿宋" w:cs="仿宋"/>
                <w:color w:val="auto"/>
                <w:sz w:val="24"/>
                <w:lang w:val="en-US" w:eastAsia="zh-CN"/>
              </w:rPr>
              <w:t>10</w:t>
            </w:r>
            <w:r>
              <w:rPr>
                <w:rFonts w:hint="eastAsia" w:ascii="仿宋" w:hAnsi="仿宋" w:eastAsia="仿宋" w:cs="仿宋"/>
                <w:color w:val="auto"/>
                <w:sz w:val="24"/>
                <w:lang w:eastAsia="zh-CN"/>
              </w:rPr>
              <w:t>%的款项。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vAlign w:val="center"/>
          </w:tcPr>
          <w:p>
            <w:pPr>
              <w:spacing w:line="240" w:lineRule="atLeast"/>
              <w:ind w:left="1080" w:leftChars="257" w:hanging="54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36</w:t>
            </w:r>
          </w:p>
        </w:tc>
        <w:tc>
          <w:tcPr>
            <w:tcW w:w="6840" w:type="dxa"/>
            <w:vAlign w:val="center"/>
          </w:tcPr>
          <w:p>
            <w:pPr>
              <w:spacing w:line="240" w:lineRule="atLeast"/>
              <w:ind w:left="713" w:leftChars="-23" w:hanging="761" w:hangingChars="316"/>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验收方式：</w:t>
            </w:r>
            <w:r>
              <w:rPr>
                <w:rFonts w:hint="eastAsia" w:ascii="仿宋" w:hAnsi="仿宋" w:eastAsia="仿宋" w:cs="仿宋"/>
                <w:color w:val="auto"/>
                <w:sz w:val="24"/>
                <w:lang w:val="en-US" w:eastAsia="zh-CN"/>
              </w:rPr>
              <w:t>根据《自治区地质灾害防治项目管理办法》，由县（市）</w:t>
            </w:r>
          </w:p>
          <w:p>
            <w:pPr>
              <w:spacing w:line="240" w:lineRule="atLeast"/>
              <w:ind w:left="710" w:leftChars="-23" w:hanging="758" w:hangingChars="316"/>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自然资源局负责初验，由地（州、市）自然资源局负责验收。验</w:t>
            </w:r>
          </w:p>
          <w:p>
            <w:pPr>
              <w:spacing w:line="240" w:lineRule="atLeast"/>
              <w:ind w:left="710" w:leftChars="-23" w:hanging="758" w:hangingChars="316"/>
              <w:rPr>
                <w:rFonts w:hint="default" w:ascii="仿宋" w:hAnsi="仿宋" w:eastAsia="仿宋" w:cs="仿宋"/>
                <w:color w:val="auto"/>
                <w:sz w:val="24"/>
                <w:lang w:val="en-US"/>
              </w:rPr>
            </w:pPr>
            <w:r>
              <w:rPr>
                <w:rFonts w:hint="eastAsia" w:ascii="仿宋" w:hAnsi="仿宋" w:eastAsia="仿宋" w:cs="仿宋"/>
                <w:color w:val="auto"/>
                <w:sz w:val="24"/>
                <w:lang w:val="en-US" w:eastAsia="zh-CN"/>
              </w:rPr>
              <w:t>收结果报自治区自然资源厅备案。</w:t>
            </w:r>
          </w:p>
        </w:tc>
      </w:tr>
    </w:tbl>
    <w:p>
      <w:pPr>
        <w:rPr>
          <w:rFonts w:ascii="仿宋" w:hAnsi="仿宋" w:eastAsia="仿宋" w:cs="仿宋"/>
          <w:color w:val="auto"/>
          <w:sz w:val="24"/>
        </w:rPr>
      </w:pPr>
      <w:r>
        <w:rPr>
          <w:rFonts w:ascii="仿宋" w:hAnsi="仿宋" w:eastAsia="仿宋" w:cs="仿宋"/>
          <w:color w:val="auto"/>
          <w:sz w:val="24"/>
        </w:rPr>
        <w:br w:type="page"/>
      </w:r>
    </w:p>
    <w:p>
      <w:pPr>
        <w:pStyle w:val="3"/>
      </w:pPr>
    </w:p>
    <w:p>
      <w:pPr>
        <w:pStyle w:val="4"/>
        <w:tabs>
          <w:tab w:val="left" w:pos="0"/>
        </w:tabs>
        <w:spacing w:before="0" w:after="0" w:line="240" w:lineRule="atLeast"/>
        <w:rPr>
          <w:rFonts w:ascii="仿宋" w:hAnsi="仿宋" w:eastAsia="仿宋" w:cs="仿宋"/>
          <w:color w:val="auto"/>
        </w:rPr>
      </w:pPr>
      <w:bookmarkStart w:id="219" w:name="_Toc7112"/>
      <w:bookmarkStart w:id="220" w:name="_Toc518923126"/>
      <w:bookmarkStart w:id="221" w:name="_Toc218935354"/>
      <w:bookmarkStart w:id="222" w:name="_Toc216582825"/>
      <w:bookmarkStart w:id="223" w:name="_Toc219175638"/>
      <w:bookmarkStart w:id="224" w:name="_Toc507399906"/>
      <w:bookmarkStart w:id="225" w:name="_Toc218935351"/>
      <w:bookmarkStart w:id="226" w:name="_Toc216513787"/>
      <w:bookmarkStart w:id="227" w:name="_Toc216582811"/>
      <w:bookmarkStart w:id="228" w:name="_Toc219175635"/>
      <w:r>
        <w:rPr>
          <w:rFonts w:hint="eastAsia" w:ascii="仿宋" w:hAnsi="仿宋" w:eastAsia="仿宋" w:cs="仿宋"/>
          <w:color w:val="auto"/>
        </w:rPr>
        <w:t xml:space="preserve">第5章   </w:t>
      </w:r>
      <w:bookmarkEnd w:id="219"/>
      <w:bookmarkEnd w:id="220"/>
      <w:bookmarkEnd w:id="221"/>
      <w:bookmarkEnd w:id="222"/>
      <w:bookmarkEnd w:id="223"/>
      <w:bookmarkEnd w:id="224"/>
      <w:r>
        <w:rPr>
          <w:rFonts w:hint="eastAsia" w:ascii="仿宋" w:hAnsi="仿宋" w:eastAsia="仿宋" w:cs="仿宋"/>
          <w:color w:val="auto"/>
        </w:rPr>
        <w:t>采购需求</w:t>
      </w:r>
    </w:p>
    <w:p>
      <w:pPr>
        <w:rPr>
          <w:color w:val="auto"/>
        </w:rPr>
      </w:pPr>
    </w:p>
    <w:p>
      <w:pPr>
        <w:spacing w:line="440" w:lineRule="exact"/>
        <w:ind w:left="363"/>
        <w:jc w:val="center"/>
        <w:outlineLvl w:val="1"/>
        <w:rPr>
          <w:rFonts w:ascii="仿宋" w:hAnsi="仿宋" w:eastAsia="仿宋" w:cs="仿宋"/>
          <w:b/>
          <w:bCs/>
          <w:color w:val="auto"/>
          <w:kern w:val="0"/>
          <w:sz w:val="32"/>
          <w:szCs w:val="22"/>
        </w:rPr>
      </w:pPr>
      <w:r>
        <w:rPr>
          <w:rFonts w:hint="eastAsia" w:ascii="仿宋" w:hAnsi="仿宋" w:eastAsia="仿宋" w:cs="仿宋"/>
          <w:b/>
          <w:bCs/>
          <w:color w:val="auto"/>
          <w:kern w:val="0"/>
          <w:sz w:val="32"/>
          <w:szCs w:val="22"/>
        </w:rPr>
        <w:t>标项一：新疆喀什市地质灾害风险调查评价</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一、项目名称、编号和经费</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项目名称：新疆喀什市地质灾害风险调查评价</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项目编号：GYZB-KSDZFZ2023-01</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项目费用人民币：80万元（捌拾万元整）</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二、工作范围和面积</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本次工作区范围为喀什市行政区范围，管辖面积为1056.8平方千米（以三调成果数据为准）。</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三、自然经济地理</w:t>
      </w:r>
    </w:p>
    <w:p>
      <w:pPr>
        <w:pStyle w:val="44"/>
        <w:adjustRightInd w:val="0"/>
        <w:spacing w:line="540" w:lineRule="exact"/>
        <w:ind w:firstLine="480" w:firstLineChars="200"/>
        <w:rPr>
          <w:rStyle w:val="73"/>
          <w:rFonts w:hint="default" w:ascii="仿宋" w:hAnsi="仿宋" w:eastAsia="仿宋" w:cs="仿宋"/>
          <w:color w:val="auto"/>
          <w:kern w:val="2"/>
          <w:sz w:val="24"/>
          <w:szCs w:val="24"/>
        </w:rPr>
      </w:pPr>
      <w:r>
        <w:rPr>
          <w:rStyle w:val="73"/>
          <w:rFonts w:hint="default" w:ascii="仿宋" w:hAnsi="仿宋" w:eastAsia="仿宋" w:cs="仿宋"/>
          <w:color w:val="auto"/>
          <w:kern w:val="2"/>
          <w:sz w:val="24"/>
          <w:szCs w:val="24"/>
        </w:rPr>
        <w:t>喀什市位于新疆维吾尔自治区西南部，帕米尔高原东北麓、克孜勒河中游。东临塔克拉玛干沙漠，南依喀喇昆仑山与西藏阿里地区，西靠帕米尔高原。东部与喀什市接壤，北倚古玛塔格山与克孜勒苏柯尔克孜自治州阿图什市毗邻，南面与疏勒县隔克孜勒河遥相对望。喀什市距乌鲁木齐市直线距离1473千米，距疏附县15千米，境内路网纵横。</w:t>
      </w:r>
    </w:p>
    <w:p>
      <w:pPr>
        <w:pStyle w:val="44"/>
        <w:adjustRightInd w:val="0"/>
        <w:spacing w:line="540" w:lineRule="exact"/>
        <w:ind w:firstLine="480" w:firstLineChars="200"/>
        <w:rPr>
          <w:rStyle w:val="73"/>
          <w:rFonts w:hint="default" w:ascii="仿宋" w:hAnsi="仿宋" w:eastAsia="仿宋" w:cs="仿宋"/>
          <w:color w:val="auto"/>
          <w:kern w:val="2"/>
          <w:sz w:val="24"/>
          <w:szCs w:val="24"/>
        </w:rPr>
      </w:pPr>
      <w:r>
        <w:rPr>
          <w:rStyle w:val="73"/>
          <w:rFonts w:hint="default" w:ascii="仿宋" w:hAnsi="仿宋" w:eastAsia="仿宋" w:cs="仿宋"/>
          <w:color w:val="auto"/>
          <w:kern w:val="2"/>
          <w:sz w:val="24"/>
          <w:szCs w:val="24"/>
        </w:rPr>
        <w:t>喀什市辖8个街道，分别是：恰萨街道、亚瓦格街道、吾斯塘博依街道、库木代尔瓦扎街道、西域大道街道、东湖街道、西公园街道、迎宾大道街道；两个镇：乃则尔巴格乡、夏马勒巴格镇；9个乡分别是：多来特巴格乡、浩罕乡、色满乡、荒地乡、伯什克然木乡、帕哈太克里乡、阿瓦提乡、英吾斯坦乡、阿克喀什乡。</w:t>
      </w:r>
    </w:p>
    <w:p>
      <w:pPr>
        <w:pStyle w:val="44"/>
        <w:adjustRightInd w:val="0"/>
        <w:spacing w:line="540" w:lineRule="exact"/>
        <w:ind w:firstLine="480" w:firstLineChars="200"/>
        <w:rPr>
          <w:rStyle w:val="73"/>
          <w:rFonts w:hint="default" w:ascii="仿宋" w:hAnsi="仿宋" w:eastAsia="仿宋" w:cs="仿宋"/>
          <w:color w:val="auto"/>
          <w:kern w:val="2"/>
          <w:sz w:val="24"/>
          <w:szCs w:val="24"/>
        </w:rPr>
      </w:pPr>
      <w:r>
        <w:rPr>
          <w:rStyle w:val="73"/>
          <w:rFonts w:hint="default" w:ascii="仿宋" w:hAnsi="仿宋" w:eastAsia="仿宋" w:cs="仿宋"/>
          <w:color w:val="auto"/>
          <w:kern w:val="2"/>
          <w:sz w:val="24"/>
          <w:szCs w:val="24"/>
        </w:rPr>
        <w:t>喀什市户籍总人口62.79万人，常住人口70万人，市、建制镇人口30.42万人，农业人口32.37万人。全市男性人口31.3万人，女性人口31.49万人；人口出生率16.58‰，死亡率4.51‰，人口自然增长率12.08‰。主要民族有维吾尔族、汉族、塔吉克族、回族、柯尔克孜族、乌孜别克族、哈萨克族、俄罗斯族、达斡尔族、蒙古族、锡伯族、满族等。</w:t>
      </w:r>
    </w:p>
    <w:p>
      <w:pPr>
        <w:pStyle w:val="44"/>
        <w:adjustRightInd w:val="0"/>
        <w:spacing w:line="540" w:lineRule="exact"/>
        <w:ind w:firstLine="480" w:firstLineChars="200"/>
        <w:rPr>
          <w:rStyle w:val="73"/>
          <w:rFonts w:hint="default" w:ascii="仿宋" w:hAnsi="仿宋" w:eastAsia="仿宋" w:cs="仿宋"/>
          <w:color w:val="auto"/>
          <w:kern w:val="2"/>
          <w:sz w:val="24"/>
          <w:szCs w:val="24"/>
          <w:lang w:val="en-US" w:eastAsia="zh-CN" w:bidi="ar-SA"/>
        </w:rPr>
      </w:pPr>
      <w:r>
        <w:rPr>
          <w:rStyle w:val="73"/>
          <w:rFonts w:hint="default" w:ascii="仿宋" w:hAnsi="仿宋" w:eastAsia="仿宋" w:cs="仿宋"/>
          <w:color w:val="auto"/>
          <w:kern w:val="2"/>
          <w:sz w:val="24"/>
          <w:szCs w:val="24"/>
          <w:lang w:val="en-US" w:eastAsia="zh-CN" w:bidi="ar-SA"/>
        </w:rPr>
        <w:t>202</w:t>
      </w:r>
      <w:r>
        <w:rPr>
          <w:rStyle w:val="73"/>
          <w:rFonts w:hint="eastAsia" w:ascii="仿宋" w:hAnsi="仿宋" w:eastAsia="仿宋" w:cs="仿宋"/>
          <w:color w:val="auto"/>
          <w:kern w:val="2"/>
          <w:sz w:val="24"/>
          <w:szCs w:val="24"/>
          <w:lang w:val="en-US" w:eastAsia="zh-CN" w:bidi="ar-SA"/>
        </w:rPr>
        <w:t>2</w:t>
      </w:r>
      <w:r>
        <w:rPr>
          <w:rStyle w:val="73"/>
          <w:rFonts w:hint="default" w:ascii="仿宋" w:hAnsi="仿宋" w:eastAsia="仿宋" w:cs="仿宋"/>
          <w:color w:val="auto"/>
          <w:kern w:val="2"/>
          <w:sz w:val="24"/>
          <w:szCs w:val="24"/>
          <w:lang w:val="en-US" w:eastAsia="zh-CN" w:bidi="ar-SA"/>
        </w:rPr>
        <w:t>年，</w:t>
      </w:r>
      <w:r>
        <w:rPr>
          <w:rStyle w:val="73"/>
          <w:rFonts w:hint="eastAsia" w:ascii="仿宋" w:hAnsi="仿宋" w:eastAsia="仿宋" w:cs="仿宋"/>
          <w:color w:val="auto"/>
          <w:kern w:val="2"/>
          <w:sz w:val="24"/>
          <w:szCs w:val="24"/>
          <w:lang w:val="en-US" w:eastAsia="zh-CN" w:bidi="ar-SA"/>
        </w:rPr>
        <w:t>地区生产总值1368.56亿元</w:t>
      </w:r>
      <w:r>
        <w:rPr>
          <w:rStyle w:val="73"/>
          <w:rFonts w:hint="default" w:ascii="仿宋" w:hAnsi="仿宋" w:eastAsia="仿宋" w:cs="仿宋"/>
          <w:color w:val="auto"/>
          <w:kern w:val="2"/>
          <w:sz w:val="24"/>
          <w:szCs w:val="24"/>
          <w:lang w:val="en-US" w:eastAsia="zh-CN" w:bidi="ar-SA"/>
        </w:rPr>
        <w:t>，比上年增长3.</w:t>
      </w:r>
      <w:r>
        <w:rPr>
          <w:rStyle w:val="73"/>
          <w:rFonts w:hint="eastAsia" w:ascii="仿宋" w:hAnsi="仿宋" w:eastAsia="仿宋" w:cs="仿宋"/>
          <w:color w:val="auto"/>
          <w:kern w:val="2"/>
          <w:sz w:val="24"/>
          <w:szCs w:val="24"/>
          <w:lang w:val="en-US" w:eastAsia="zh-CN" w:bidi="ar-SA"/>
        </w:rPr>
        <w:t>1</w:t>
      </w:r>
      <w:r>
        <w:rPr>
          <w:rStyle w:val="73"/>
          <w:rFonts w:hint="default" w:ascii="仿宋" w:hAnsi="仿宋" w:eastAsia="仿宋" w:cs="仿宋"/>
          <w:color w:val="auto"/>
          <w:kern w:val="2"/>
          <w:sz w:val="24"/>
          <w:szCs w:val="24"/>
          <w:lang w:val="en-US" w:eastAsia="zh-CN" w:bidi="ar-SA"/>
        </w:rPr>
        <w:t>%。其中，第一产业增加值</w:t>
      </w:r>
      <w:r>
        <w:rPr>
          <w:rStyle w:val="73"/>
          <w:rFonts w:hint="eastAsia" w:ascii="仿宋" w:hAnsi="仿宋" w:eastAsia="仿宋" w:cs="仿宋"/>
          <w:color w:val="auto"/>
          <w:kern w:val="2"/>
          <w:sz w:val="24"/>
          <w:szCs w:val="24"/>
          <w:lang w:val="en-US" w:eastAsia="zh-CN" w:bidi="ar-SA"/>
        </w:rPr>
        <w:t>422.70亿元，同比增长5.3%；第二产业增加值283.71亿元，同比增长3.9%；第三产业增加值662.15亿元，同比增长1.6%。</w:t>
      </w:r>
      <w:r>
        <w:rPr>
          <w:rStyle w:val="73"/>
          <w:rFonts w:hint="default" w:ascii="仿宋" w:hAnsi="仿宋" w:eastAsia="仿宋" w:cs="仿宋"/>
          <w:color w:val="auto"/>
          <w:kern w:val="2"/>
          <w:sz w:val="24"/>
          <w:szCs w:val="24"/>
          <w:lang w:val="en-US" w:eastAsia="zh-CN" w:bidi="ar-SA"/>
        </w:rPr>
        <w:t>第一产业对经济增长的贡献率为</w:t>
      </w:r>
      <w:r>
        <w:rPr>
          <w:rStyle w:val="73"/>
          <w:rFonts w:hint="eastAsia" w:ascii="仿宋" w:hAnsi="仿宋" w:eastAsia="仿宋" w:cs="仿宋"/>
          <w:color w:val="auto"/>
          <w:kern w:val="2"/>
          <w:sz w:val="24"/>
          <w:szCs w:val="24"/>
          <w:lang w:val="en-US" w:eastAsia="zh-CN" w:bidi="ar-SA"/>
        </w:rPr>
        <w:t>49.3%，第二产业对经济增长的贡献率为24.7%，第三产业对经济增长的贡献率为26.0%</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四、地质环境概况和工作程度</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（一）地形地貌</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喀什市地处帕米尔高原东北麓，西南天山东南麓，塔克拉玛干大沙漠西缘。总的地势为西北高东南低，海拔最高1502米，最低1264米，平均海拔高度1289.5米；北部低山丘陵区：地形起伏，群峰连绵，山脊由西向东缓倾，沟谷发育，多数坡面裸露基岩，基岩裂隙发育。山坡荒漠干燥，植被稀少。南部平原区：地形平坦，开阔宽广，土肥物丰，是喀什市工农业生产的主要活动区。喀什市内分为四个地貌单元，分别为剥蚀低山丘陵、山前洪积砾质倾斜平原、冲积细土平原及风积沙漠。</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（二）地质灾害类型与分布</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喀什市市域内主要地质灾害有滑坡、崩塌和地面塌陷三类。根据以往调查资料，喀什市地质灾害（隐患）点40处，其中崩塌（隐患）点32处，滑坡隐患点4处，地面塌陷隐患点4处。喀什市内所发育的地灾隐患主要分布在喀什市区人类工程活动较活跃的地区以及吐曼河、克孜勒河等两侧河岸及其河流阶地与牙郎水库原始河流阶地周围。</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五、目标任务</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（一）目标</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以孕灾主控地质条件和地质灾害隐患判识为主开展喀什市地质灾害风险调查评价，深化地质灾害早期识别、形成机理和规律认识，总结成灾模式，开展不同层次地质灾害风险区划，提出综合防治对策建议，为地质灾害防治管理提供基础依据。</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（二）任务</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1.开展地质灾害与孕灾地质条件、承灾体调查，判识地质灾害隐患，总结调查区地质灾害发育分布规律，分析地质灾害成灾模式。</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2.开展地质灾害易发性、危险性和风险评价，编制地质灾害风险调查评价相关图件。</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3.建立地质灾害风险调查空间数据库。</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4.提出地质灾害风险管控对策建议，为防灾减灾管理、国土空间规划和用途管制等提供基础依据。</w:t>
      </w:r>
    </w:p>
    <w:p>
      <w:pPr>
        <w:pStyle w:val="2"/>
        <w:rPr>
          <w:rStyle w:val="73"/>
          <w:rFonts w:hint="eastAsia" w:ascii="仿宋" w:hAnsi="仿宋" w:eastAsia="仿宋" w:cs="仿宋"/>
          <w:color w:val="auto"/>
          <w:sz w:val="24"/>
          <w:szCs w:val="24"/>
          <w:lang w:val="en-US" w:eastAsia="zh-CN"/>
        </w:rPr>
      </w:pPr>
      <w:r>
        <w:rPr>
          <w:rStyle w:val="73"/>
          <w:rFonts w:hint="default" w:ascii="仿宋" w:hAnsi="仿宋" w:eastAsia="仿宋" w:cs="仿宋"/>
          <w:color w:val="auto"/>
          <w:sz w:val="24"/>
          <w:szCs w:val="24"/>
          <w:lang w:val="en-US"/>
        </w:rPr>
        <w:t>5.</w:t>
      </w:r>
      <w:r>
        <w:rPr>
          <w:rStyle w:val="73"/>
          <w:rFonts w:hint="eastAsia" w:ascii="仿宋" w:hAnsi="仿宋" w:eastAsia="仿宋" w:cs="仿宋"/>
          <w:color w:val="auto"/>
          <w:sz w:val="24"/>
          <w:szCs w:val="24"/>
          <w:lang w:val="en-US" w:eastAsia="zh-CN"/>
        </w:rPr>
        <w:t>开展乡镇级地质灾害防治知识培训、地质灾害应急演练，人数不少于100人/期。</w:t>
      </w:r>
    </w:p>
    <w:p>
      <w:pPr>
        <w:pStyle w:val="3"/>
        <w:rPr>
          <w:rStyle w:val="73"/>
          <w:rFonts w:hint="eastAsia" w:ascii="仿宋" w:hAnsi="仿宋" w:eastAsia="仿宋" w:cs="仿宋"/>
          <w:color w:val="auto"/>
          <w:sz w:val="24"/>
          <w:szCs w:val="24"/>
          <w:lang w:val="en-US" w:eastAsia="zh-CN"/>
        </w:rPr>
      </w:pPr>
      <w:r>
        <w:rPr>
          <w:rStyle w:val="73"/>
          <w:rFonts w:hint="eastAsia" w:ascii="仿宋" w:hAnsi="仿宋" w:eastAsia="仿宋" w:cs="仿宋"/>
          <w:color w:val="auto"/>
          <w:sz w:val="24"/>
          <w:szCs w:val="24"/>
          <w:lang w:val="en-US" w:eastAsia="zh-CN"/>
        </w:rPr>
        <w:t>6.重要地质灾害点设置警示牌。</w:t>
      </w:r>
    </w:p>
    <w:p>
      <w:pPr>
        <w:pStyle w:val="3"/>
        <w:rPr>
          <w:rStyle w:val="73"/>
          <w:rFonts w:hint="eastAsia" w:ascii="仿宋" w:hAnsi="仿宋" w:eastAsia="仿宋" w:cs="仿宋"/>
          <w:color w:val="auto"/>
          <w:sz w:val="24"/>
          <w:szCs w:val="24"/>
          <w:lang w:val="en-US" w:eastAsia="zh-CN"/>
        </w:rPr>
      </w:pPr>
      <w:r>
        <w:rPr>
          <w:rStyle w:val="73"/>
          <w:rFonts w:hint="eastAsia" w:ascii="仿宋" w:hAnsi="仿宋" w:eastAsia="仿宋" w:cs="仿宋"/>
          <w:color w:val="auto"/>
          <w:sz w:val="24"/>
          <w:szCs w:val="24"/>
          <w:lang w:val="en-US" w:eastAsia="zh-CN"/>
        </w:rPr>
        <w:t>7.结合实际情况编制乡镇地质灾害应急预案。</w:t>
      </w:r>
    </w:p>
    <w:p>
      <w:pPr>
        <w:pStyle w:val="3"/>
        <w:rPr>
          <w:rStyle w:val="73"/>
          <w:rFonts w:hint="default" w:ascii="仿宋" w:hAnsi="仿宋" w:eastAsia="仿宋" w:cs="仿宋"/>
          <w:color w:val="auto"/>
          <w:sz w:val="24"/>
          <w:szCs w:val="24"/>
          <w:lang w:val="en-US" w:eastAsia="zh-CN"/>
        </w:rPr>
      </w:pPr>
      <w:r>
        <w:rPr>
          <w:rStyle w:val="73"/>
          <w:rFonts w:hint="eastAsia" w:ascii="仿宋" w:hAnsi="仿宋" w:eastAsia="仿宋" w:cs="仿宋"/>
          <w:color w:val="auto"/>
          <w:sz w:val="24"/>
          <w:szCs w:val="24"/>
          <w:lang w:val="en-US" w:eastAsia="zh-CN"/>
        </w:rPr>
        <w:t>8.依据调查评价成果，补充编制重要地质灾害点地质灾害防治项目可行性研究报告及地质灾害防治项目实施方案。</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六、工作方法和技术要求</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（一）工作方法</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分析研究以往工作成果，收集当地地质灾害勘查、防治工程和重大工程勘查成果，开展遥感解译工作，进行孕灾地质条件调查、承灾体调查，核查调查地质灾害及其隐患，辅以工程地质钻探、地球物理勘探、山地工程、工程地质测绘等，加强高分辨率光学影像、无人机遥感、合成孔径雷达干涉测量（InSAR）、激光雷达测量（LiDAR）、地球物理勘探等技术方法综合应用。对典型地质灾害及其隐患进行测绘与勘查，开展室内综合研究。</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（二）技术要求</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主要执行的技术规范、技术要求和依据主要有：</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1.《地质灾害风险调查评价技术要求（1:50000）》；</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2.《地质灾害风险调查评价编图技术要求（试行）》；</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3.《地质灾害风险调查评价成果信息化技术要求（试行）》；</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4.GB50021—2001（2009年版）岩土工程勘察规范；</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5.《中国地震动参数区划图》（GB18306-2015）；</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6.《遥感地质解译方法指南（1:50000、1:250000）》（DD2011-03）；</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7.《地质灾害遥感调查技术规定》（DD2015-01）；</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8.《倾斜数字航空摄影技术规程》（GB/T 39610-2020）；</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9.《地质调查项目预算标准（2021）》；</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10.《地质资料汇交规范》（DZ/T0273</w:t>
      </w:r>
      <w:r>
        <w:rPr>
          <w:rStyle w:val="73"/>
          <w:rFonts w:hint="eastAsia" w:ascii="仿宋" w:hAnsi="仿宋" w:eastAsia="仿宋" w:cs="仿宋"/>
          <w:color w:val="auto"/>
          <w:sz w:val="24"/>
          <w:szCs w:val="24"/>
          <w:lang w:val="en-US" w:eastAsia="zh-CN"/>
        </w:rPr>
        <w:t>-2015</w:t>
      </w:r>
      <w:r>
        <w:rPr>
          <w:rStyle w:val="73"/>
          <w:rFonts w:hint="default" w:ascii="仿宋" w:hAnsi="仿宋" w:eastAsia="仿宋" w:cs="仿宋"/>
          <w:color w:val="auto"/>
          <w:sz w:val="24"/>
          <w:szCs w:val="24"/>
        </w:rPr>
        <w:t>）。</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其它相关技术规范要求，执行的技术和规范应以项目实施时现行最新技术标准和规范为准。</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七、主要实物工作量</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开展全域遥感解译工作，根据工作需要合理布置工程地质钻探、地球物理勘探、山地工程、工程地质测绘等，加强高分辨率光学影像、无人机遥感、合成孔径雷达干涉测量（InSAR）、激光雷达测量（LiDAR）、地球物理勘探等工作量，其中钻探、实测剖面、岩土样品满足规范要求，开展地质灾害防治知识培训和重要地质灾害隐患点防治演练工作。最终实物工作量以设计批复工作量为准。</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八、预期提交成果</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（一）原始资料</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1.野外调查手图、遥感解译及验证成果分布图、实际材料图、工程地质条件图；</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2.各类原始记录卡片；</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3.野外照（摄）像等影像资料；</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4.测试与试验资料；</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5.重要、典型地质灾害的工程地质剖面图、探井展示图，物探剖面图，槽探剖面图、低空遥感影像图、稳定性计算参数及计算结果表等。</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（二）成果资料</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1.报告</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新疆喀什市地质灾害风险调查评价报告。</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2.附图</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主要包括基础性图件、应用性图件和其他图件。</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3.附件</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附件主要包括：数据库建库报告；地质灾害风险调查数据库；照片集；专题报告；地质灾害勘查报告及图件等。</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具体详见《地质灾害风险调查评价技术要求（1:50000）》关于成果资料要求。</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项目成果资料整理归档严格按照《地质灾害风险调查评价技术要求（1:50000）》和《地质资料汇交规范》DZ/T0273</w:t>
      </w:r>
      <w:r>
        <w:rPr>
          <w:rStyle w:val="73"/>
          <w:rFonts w:hint="eastAsia" w:ascii="仿宋" w:hAnsi="仿宋" w:eastAsia="仿宋" w:cs="仿宋"/>
          <w:color w:val="auto"/>
          <w:sz w:val="24"/>
          <w:szCs w:val="24"/>
          <w:lang w:val="en-US" w:eastAsia="zh-CN"/>
        </w:rPr>
        <w:t>-2015</w:t>
      </w:r>
      <w:r>
        <w:rPr>
          <w:rStyle w:val="73"/>
          <w:rFonts w:hint="default" w:ascii="仿宋" w:hAnsi="仿宋" w:eastAsia="仿宋" w:cs="仿宋"/>
          <w:color w:val="auto"/>
          <w:sz w:val="24"/>
          <w:szCs w:val="24"/>
        </w:rPr>
        <w:t>地质资料汇交规范及相关管理办法规定执行。最终成果资料应按地质资料汇交要求向新疆地质资料馆汇交，并向自治区自然资源厅、喀什地区自然资源局和喀什市自然资源局汇交纸介质和电子版各2套。</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九、工作周期</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2023年3月-2024年1月。其中：2023年</w:t>
      </w:r>
      <w:r>
        <w:rPr>
          <w:rStyle w:val="73"/>
          <w:rFonts w:hint="eastAsia" w:ascii="仿宋" w:hAnsi="仿宋" w:eastAsia="仿宋" w:cs="仿宋"/>
          <w:color w:val="auto"/>
          <w:sz w:val="24"/>
          <w:szCs w:val="24"/>
          <w:lang w:val="en-US" w:eastAsia="zh-CN"/>
        </w:rPr>
        <w:t>8</w:t>
      </w:r>
      <w:r>
        <w:rPr>
          <w:rStyle w:val="73"/>
          <w:rFonts w:hint="default" w:ascii="仿宋" w:hAnsi="仿宋" w:eastAsia="仿宋" w:cs="仿宋"/>
          <w:color w:val="auto"/>
          <w:sz w:val="24"/>
          <w:szCs w:val="24"/>
        </w:rPr>
        <w:t>月</w:t>
      </w:r>
      <w:r>
        <w:rPr>
          <w:rStyle w:val="73"/>
          <w:rFonts w:hint="eastAsia" w:ascii="仿宋" w:hAnsi="仿宋" w:eastAsia="仿宋" w:cs="仿宋"/>
          <w:color w:val="auto"/>
          <w:sz w:val="24"/>
          <w:szCs w:val="24"/>
          <w:lang w:val="en-US" w:eastAsia="zh-CN"/>
        </w:rPr>
        <w:t>20</w:t>
      </w:r>
      <w:r>
        <w:rPr>
          <w:rStyle w:val="73"/>
          <w:rFonts w:hint="default" w:ascii="仿宋" w:hAnsi="仿宋" w:eastAsia="仿宋" w:cs="仿宋"/>
          <w:color w:val="auto"/>
          <w:sz w:val="24"/>
          <w:szCs w:val="24"/>
        </w:rPr>
        <w:t>日前完成野外调查工作；2023年</w:t>
      </w:r>
      <w:r>
        <w:rPr>
          <w:rStyle w:val="73"/>
          <w:rFonts w:hint="eastAsia" w:ascii="仿宋" w:hAnsi="仿宋" w:eastAsia="仿宋" w:cs="仿宋"/>
          <w:color w:val="auto"/>
          <w:sz w:val="24"/>
          <w:szCs w:val="24"/>
          <w:lang w:val="en-US" w:eastAsia="zh-CN"/>
        </w:rPr>
        <w:t>9</w:t>
      </w:r>
      <w:r>
        <w:rPr>
          <w:rStyle w:val="73"/>
          <w:rFonts w:hint="default" w:ascii="仿宋" w:hAnsi="仿宋" w:eastAsia="仿宋" w:cs="仿宋"/>
          <w:color w:val="auto"/>
          <w:sz w:val="24"/>
          <w:szCs w:val="24"/>
        </w:rPr>
        <w:t>月</w:t>
      </w:r>
      <w:r>
        <w:rPr>
          <w:rStyle w:val="73"/>
          <w:rFonts w:hint="eastAsia" w:ascii="仿宋" w:hAnsi="仿宋" w:eastAsia="仿宋" w:cs="仿宋"/>
          <w:color w:val="auto"/>
          <w:sz w:val="24"/>
          <w:szCs w:val="24"/>
          <w:lang w:val="en-US" w:eastAsia="zh-CN"/>
        </w:rPr>
        <w:t>15</w:t>
      </w:r>
      <w:r>
        <w:rPr>
          <w:rStyle w:val="73"/>
          <w:rFonts w:hint="default" w:ascii="仿宋" w:hAnsi="仿宋" w:eastAsia="仿宋" w:cs="仿宋"/>
          <w:color w:val="auto"/>
          <w:sz w:val="24"/>
          <w:szCs w:val="24"/>
        </w:rPr>
        <w:t>日前提交报告及数据库送审稿,2024年1月完成资料汇交。</w:t>
      </w:r>
    </w:p>
    <w:p>
      <w:pPr>
        <w:spacing w:line="440" w:lineRule="exact"/>
        <w:ind w:firstLine="480" w:firstLineChars="200"/>
        <w:rPr>
          <w:rStyle w:val="73"/>
          <w:rFonts w:hint="default" w:ascii="仿宋" w:hAnsi="仿宋" w:eastAsia="仿宋" w:cs="仿宋"/>
          <w:color w:val="auto"/>
          <w:sz w:val="24"/>
          <w:szCs w:val="24"/>
        </w:rPr>
      </w:pPr>
    </w:p>
    <w:p>
      <w:pPr>
        <w:spacing w:line="440" w:lineRule="exact"/>
        <w:jc w:val="center"/>
        <w:outlineLvl w:val="1"/>
        <w:rPr>
          <w:rFonts w:ascii="仿宋" w:hAnsi="仿宋" w:eastAsia="仿宋"/>
          <w:b/>
          <w:bCs/>
          <w:color w:val="auto"/>
          <w:sz w:val="32"/>
          <w:szCs w:val="32"/>
        </w:rPr>
      </w:pPr>
      <w:r>
        <w:rPr>
          <w:rStyle w:val="73"/>
          <w:rFonts w:hint="default" w:ascii="仿宋" w:hAnsi="仿宋" w:eastAsia="仿宋" w:cs="仿宋"/>
          <w:color w:val="auto"/>
          <w:sz w:val="24"/>
          <w:szCs w:val="24"/>
        </w:rPr>
        <w:br w:type="page"/>
      </w:r>
      <w:r>
        <w:rPr>
          <w:rFonts w:hint="eastAsia" w:ascii="仿宋" w:hAnsi="仿宋" w:eastAsia="仿宋"/>
          <w:b/>
          <w:bCs/>
          <w:color w:val="auto"/>
          <w:sz w:val="32"/>
          <w:szCs w:val="32"/>
        </w:rPr>
        <w:t>标项二：新疆疏附县地质灾害风险调查评价</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一、项目名称、编号和经费</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项目名称：新疆疏附县地质灾害风险调查评价</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项目编号：GYZB-KSDZFZ2023-02</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项目费用人民币：80万元（捌拾万元整）</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二、工作范围和面积</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本次工作区范围为疏附县行政区范围，</w:t>
      </w:r>
      <w:r>
        <w:rPr>
          <w:rFonts w:hint="eastAsia" w:ascii="仿宋" w:hAnsi="仿宋" w:eastAsia="仿宋" w:cs="仿宋"/>
          <w:color w:val="auto"/>
          <w:sz w:val="24"/>
        </w:rPr>
        <w:t>管辖面积</w:t>
      </w:r>
      <w:r>
        <w:rPr>
          <w:rStyle w:val="73"/>
          <w:rFonts w:hint="default" w:ascii="仿宋" w:hAnsi="仿宋" w:eastAsia="仿宋" w:cs="仿宋"/>
          <w:color w:val="auto"/>
          <w:sz w:val="24"/>
          <w:szCs w:val="24"/>
        </w:rPr>
        <w:t>为3323.12平方千米（以三调成果数据为准）。</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三、自然经济地理</w:t>
      </w:r>
    </w:p>
    <w:p>
      <w:pPr>
        <w:pStyle w:val="44"/>
        <w:adjustRightInd w:val="0"/>
        <w:spacing w:line="540" w:lineRule="exact"/>
        <w:ind w:firstLine="480" w:firstLineChars="200"/>
        <w:rPr>
          <w:rStyle w:val="73"/>
          <w:rFonts w:hint="default" w:ascii="仿宋" w:hAnsi="仿宋" w:eastAsia="仿宋" w:cs="仿宋"/>
          <w:color w:val="auto"/>
          <w:kern w:val="2"/>
          <w:sz w:val="24"/>
          <w:szCs w:val="24"/>
        </w:rPr>
      </w:pPr>
      <w:r>
        <w:rPr>
          <w:rStyle w:val="73"/>
          <w:rFonts w:hint="default" w:ascii="仿宋" w:hAnsi="仿宋" w:eastAsia="仿宋" w:cs="仿宋"/>
          <w:color w:val="auto"/>
          <w:kern w:val="2"/>
          <w:sz w:val="24"/>
          <w:szCs w:val="24"/>
        </w:rPr>
        <w:t>疏附县位于新疆西南部、帕米尔高原东北麓、塔克拉玛干大沙漠西缘，东与喀什市毗连，南与疏勒县接壤，西与克孜勒苏柯尔克孜自治州阿克陶县、乌恰县为邻，北隔喀拉塔格山、库玛塔格山与克孜勒苏柯尔克孜自治州阿图什市相望，地理坐标：东经75°32′-75°60′，北纬38°55′-39°40′，南北宽为82km，东西宽60km。疏附县北、西、南三面傍山，东南开阔，处于</w:t>
      </w:r>
      <w:r>
        <w:rPr>
          <w:color w:val="auto"/>
        </w:rPr>
        <w:fldChar w:fldCharType="begin"/>
      </w:r>
      <w:r>
        <w:rPr>
          <w:color w:val="auto"/>
        </w:rPr>
        <w:instrText xml:space="preserve"> HYPERLINK "https://baike.so.com/doc/6422845-6636517.html" \t "https://baike.so.com/doc/_blank" </w:instrText>
      </w:r>
      <w:r>
        <w:rPr>
          <w:color w:val="auto"/>
        </w:rPr>
        <w:fldChar w:fldCharType="separate"/>
      </w:r>
      <w:r>
        <w:rPr>
          <w:rStyle w:val="73"/>
          <w:rFonts w:hint="default" w:ascii="仿宋" w:hAnsi="仿宋" w:eastAsia="仿宋" w:cs="仿宋"/>
          <w:color w:val="auto"/>
          <w:kern w:val="2"/>
          <w:sz w:val="24"/>
          <w:szCs w:val="24"/>
        </w:rPr>
        <w:t>克孜勒河</w:t>
      </w:r>
      <w:r>
        <w:rPr>
          <w:rStyle w:val="73"/>
          <w:rFonts w:hint="default" w:ascii="仿宋" w:hAnsi="仿宋" w:eastAsia="仿宋" w:cs="仿宋"/>
          <w:color w:val="auto"/>
          <w:kern w:val="2"/>
          <w:sz w:val="24"/>
          <w:szCs w:val="24"/>
        </w:rPr>
        <w:fldChar w:fldCharType="end"/>
      </w:r>
      <w:r>
        <w:rPr>
          <w:rStyle w:val="73"/>
          <w:rFonts w:hint="default" w:ascii="仿宋" w:hAnsi="仿宋" w:eastAsia="仿宋" w:cs="仿宋"/>
          <w:color w:val="auto"/>
          <w:kern w:val="2"/>
          <w:sz w:val="24"/>
          <w:szCs w:val="24"/>
        </w:rPr>
        <w:t>的上游、</w:t>
      </w:r>
      <w:r>
        <w:rPr>
          <w:color w:val="auto"/>
        </w:rPr>
        <w:fldChar w:fldCharType="begin"/>
      </w:r>
      <w:r>
        <w:rPr>
          <w:color w:val="auto"/>
        </w:rPr>
        <w:instrText xml:space="preserve"> HYPERLINK "https://baike.so.com/doc/6073272-6286347.html" \t "https://baike.so.com/doc/_blank" </w:instrText>
      </w:r>
      <w:r>
        <w:rPr>
          <w:color w:val="auto"/>
        </w:rPr>
        <w:fldChar w:fldCharType="separate"/>
      </w:r>
      <w:r>
        <w:rPr>
          <w:rStyle w:val="73"/>
          <w:rFonts w:hint="default" w:ascii="仿宋" w:hAnsi="仿宋" w:eastAsia="仿宋" w:cs="仿宋"/>
          <w:color w:val="auto"/>
          <w:kern w:val="2"/>
          <w:sz w:val="24"/>
          <w:szCs w:val="24"/>
        </w:rPr>
        <w:t>盖孜河</w:t>
      </w:r>
      <w:r>
        <w:rPr>
          <w:rStyle w:val="73"/>
          <w:rFonts w:hint="default" w:ascii="仿宋" w:hAnsi="仿宋" w:eastAsia="仿宋" w:cs="仿宋"/>
          <w:color w:val="auto"/>
          <w:kern w:val="2"/>
          <w:sz w:val="24"/>
          <w:szCs w:val="24"/>
        </w:rPr>
        <w:fldChar w:fldCharType="end"/>
      </w:r>
      <w:r>
        <w:rPr>
          <w:rStyle w:val="73"/>
          <w:rFonts w:hint="default" w:ascii="仿宋" w:hAnsi="仿宋" w:eastAsia="仿宋" w:cs="仿宋"/>
          <w:color w:val="auto"/>
          <w:kern w:val="2"/>
          <w:sz w:val="24"/>
          <w:szCs w:val="24"/>
        </w:rPr>
        <w:t>的冲积平原，地势由西北向东南倾斜。平原面积约占疏附县总面积的54%和46%。海拔高度约1300米左右。</w:t>
      </w:r>
    </w:p>
    <w:p>
      <w:pPr>
        <w:pStyle w:val="44"/>
        <w:adjustRightInd w:val="0"/>
        <w:spacing w:line="540" w:lineRule="exact"/>
        <w:ind w:firstLine="480" w:firstLineChars="200"/>
        <w:rPr>
          <w:rStyle w:val="73"/>
          <w:rFonts w:hint="default" w:ascii="仿宋" w:hAnsi="仿宋" w:eastAsia="仿宋" w:cs="仿宋"/>
          <w:color w:val="auto"/>
          <w:kern w:val="2"/>
          <w:sz w:val="24"/>
          <w:szCs w:val="24"/>
        </w:rPr>
      </w:pPr>
      <w:r>
        <w:rPr>
          <w:rStyle w:val="73"/>
          <w:rFonts w:hint="default" w:ascii="仿宋" w:hAnsi="仿宋" w:eastAsia="仿宋" w:cs="仿宋"/>
          <w:color w:val="auto"/>
          <w:kern w:val="2"/>
          <w:sz w:val="24"/>
          <w:szCs w:val="24"/>
        </w:rPr>
        <w:t>疏附县属暖温带大陆性荒漠气候。四季分明，光热资源丰富，温差较大，干旱少雨。年平均气温11.2℃，年降水量72mm，无霜期220天。</w:t>
      </w:r>
    </w:p>
    <w:p>
      <w:pPr>
        <w:pStyle w:val="44"/>
        <w:adjustRightInd w:val="0"/>
        <w:spacing w:line="540" w:lineRule="exact"/>
        <w:ind w:firstLine="480" w:firstLineChars="200"/>
        <w:rPr>
          <w:rStyle w:val="73"/>
          <w:rFonts w:hint="default" w:ascii="仿宋" w:hAnsi="仿宋" w:eastAsia="仿宋" w:cs="仿宋"/>
          <w:color w:val="auto"/>
          <w:kern w:val="2"/>
          <w:sz w:val="24"/>
          <w:szCs w:val="24"/>
        </w:rPr>
      </w:pPr>
      <w:r>
        <w:rPr>
          <w:rStyle w:val="73"/>
          <w:rFonts w:hint="default" w:ascii="仿宋" w:hAnsi="仿宋" w:eastAsia="仿宋" w:cs="仿宋"/>
          <w:color w:val="auto"/>
          <w:kern w:val="2"/>
          <w:sz w:val="24"/>
          <w:szCs w:val="24"/>
        </w:rPr>
        <w:t>疏附县境内路网纵横，国道314线由北向南贯穿整个县域，公路通行状况良好，各乡（镇、场）与县城间有沥青或简易公路同主干公路相通，大部分村与乡之间有简易公路通行。中东部平原区交通条件较为便利，南部、西部及北部低山丘陵区交通条件较差。</w:t>
      </w:r>
    </w:p>
    <w:p>
      <w:pPr>
        <w:pStyle w:val="44"/>
        <w:adjustRightInd w:val="0"/>
        <w:spacing w:line="540" w:lineRule="exact"/>
        <w:ind w:firstLine="480" w:firstLineChars="200"/>
        <w:rPr>
          <w:rStyle w:val="73"/>
          <w:rFonts w:hint="default" w:ascii="仿宋" w:hAnsi="仿宋" w:eastAsia="仿宋" w:cs="仿宋"/>
          <w:color w:val="auto"/>
          <w:kern w:val="2"/>
          <w:sz w:val="24"/>
          <w:szCs w:val="24"/>
        </w:rPr>
      </w:pPr>
      <w:r>
        <w:rPr>
          <w:rStyle w:val="73"/>
          <w:rFonts w:hint="default" w:ascii="仿宋" w:hAnsi="仿宋" w:eastAsia="仿宋" w:cs="仿宋"/>
          <w:color w:val="auto"/>
          <w:kern w:val="2"/>
          <w:sz w:val="24"/>
          <w:szCs w:val="24"/>
        </w:rPr>
        <w:t>2022年，疏附县生产总值（GDP)34.57亿元，第一产业总值14.67亿元，第二产业总值6.55亿元，第三产业总值13.35亿元，第一产业占比42.44%。境内人口数量28.88万人，所属市人口规模448.82万人。区域社会经济发展空间巨大，农业贡献较大，区位后发优势明显。</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四、地质环境概况和工作程度</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（一）地形地貌</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调查区地处帕米尔高原东北麓，西南天山东南麓，塔克拉玛干大沙漠西缘。总体地势由西北向东南倾斜，疏附县北、西、南三面傍山，东南开阔，处于克孜勒河的上游、盖孜河的冲积平原，海拔高度约1300米左右。北、西、南低山丘陵区地形起伏，群峰连绵，山脊由西北向东南缓倾，沟谷发育，多数坡面裸露基岩，裂隙发育。山坡荒漠干燥，植被稀少。中部和东南部平原区地形平坦，开阔宽广，土肥物丰，是疏附县工农业生产的主要活动区，平原面积约占疏附县总面积的54%。</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（二）地质灾害类型与分布</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疏附县境内地质构造复杂，山高坡陡，侵蚀切割强烈，岩体破碎，降水集中等为地质灾害的发生创造了自然条件，人类大量的生产活动如：矿产开采、削坡修路、削坡建房等为地质灾害的发生创造了人为条件，使疏附县成为崩塌、滑坡、泥石流等地质灾害的高发地区。通过收集到的精细化调查等项目资料，基本查明疏附县境内地质灾害以崩塌为主，其次为泥石流、滑坡和地面塌陷，地裂缝等地质灾害不发育。调查区共有突发性地质灾害及其隐患点51处，其中崩塌（隐患）点23处，泥石流点26处，地面塌陷隐患2处。几乎均分布在疏附县北部、南部、西部低山及山前地带，中部疏附县各河床的河岸部位。</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五、目标任务</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（一）目标</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以孕灾主控地质条件和地质灾害隐患判识为主开展疏附县地质灾害风险调查评价，深化地质灾害早期识别、形成机理和规律认识，总结成灾模式，开展不同层次地质灾害风险区划，提出综合防治对策建议，为地质灾害防治管理提供基础依据。</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（二）任务</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1.开展地质灾害与孕灾地质条件、承灾体调查，判识地质灾害隐患，总结调查区地质灾害发育分布规律，分析地质灾害成灾模式。</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2.开展地质灾害易发性、危险性和风险评价，编制地质灾害风险调查评价相关图件。</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3.建立地质灾害风险调查空间数据库。</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4.提出地质灾害风险管控对策建议，为防灾减灾管理、国土空间规划和用途管制等提供基础依据。</w:t>
      </w:r>
    </w:p>
    <w:p>
      <w:pPr>
        <w:pStyle w:val="2"/>
        <w:rPr>
          <w:rStyle w:val="73"/>
          <w:rFonts w:hint="eastAsia" w:ascii="仿宋" w:hAnsi="仿宋" w:eastAsia="仿宋" w:cs="仿宋"/>
          <w:color w:val="auto"/>
          <w:sz w:val="24"/>
          <w:szCs w:val="24"/>
          <w:lang w:val="en-US" w:eastAsia="zh-CN"/>
        </w:rPr>
      </w:pPr>
      <w:r>
        <w:rPr>
          <w:rStyle w:val="73"/>
          <w:rFonts w:hint="default" w:ascii="仿宋" w:hAnsi="仿宋" w:eastAsia="仿宋" w:cs="仿宋"/>
          <w:color w:val="auto"/>
          <w:sz w:val="24"/>
          <w:szCs w:val="24"/>
          <w:lang w:val="en-US"/>
        </w:rPr>
        <w:t>5.</w:t>
      </w:r>
      <w:r>
        <w:rPr>
          <w:rStyle w:val="73"/>
          <w:rFonts w:hint="eastAsia" w:ascii="仿宋" w:hAnsi="仿宋" w:eastAsia="仿宋" w:cs="仿宋"/>
          <w:color w:val="auto"/>
          <w:sz w:val="24"/>
          <w:szCs w:val="24"/>
          <w:lang w:val="en-US" w:eastAsia="zh-CN"/>
        </w:rPr>
        <w:t>开展乡镇级地质灾害防治知识培训、地质灾害应急演练，人数不少于100人/期。</w:t>
      </w:r>
    </w:p>
    <w:p>
      <w:pPr>
        <w:pStyle w:val="3"/>
        <w:rPr>
          <w:rStyle w:val="73"/>
          <w:rFonts w:hint="eastAsia" w:ascii="仿宋" w:hAnsi="仿宋" w:eastAsia="仿宋" w:cs="仿宋"/>
          <w:color w:val="auto"/>
          <w:sz w:val="24"/>
          <w:szCs w:val="24"/>
          <w:lang w:val="en-US" w:eastAsia="zh-CN"/>
        </w:rPr>
      </w:pPr>
      <w:r>
        <w:rPr>
          <w:rStyle w:val="73"/>
          <w:rFonts w:hint="eastAsia" w:ascii="仿宋" w:hAnsi="仿宋" w:eastAsia="仿宋" w:cs="仿宋"/>
          <w:color w:val="auto"/>
          <w:sz w:val="24"/>
          <w:szCs w:val="24"/>
          <w:lang w:val="en-US" w:eastAsia="zh-CN"/>
        </w:rPr>
        <w:t>6.重要地质灾害点设置警示牌。</w:t>
      </w:r>
    </w:p>
    <w:p>
      <w:pPr>
        <w:pStyle w:val="3"/>
        <w:rPr>
          <w:rStyle w:val="73"/>
          <w:rFonts w:hint="eastAsia" w:ascii="仿宋" w:hAnsi="仿宋" w:eastAsia="仿宋" w:cs="仿宋"/>
          <w:color w:val="auto"/>
          <w:sz w:val="24"/>
          <w:szCs w:val="24"/>
          <w:lang w:val="en-US" w:eastAsia="zh-CN"/>
        </w:rPr>
      </w:pPr>
      <w:r>
        <w:rPr>
          <w:rStyle w:val="73"/>
          <w:rFonts w:hint="eastAsia" w:ascii="仿宋" w:hAnsi="仿宋" w:eastAsia="仿宋" w:cs="仿宋"/>
          <w:color w:val="auto"/>
          <w:sz w:val="24"/>
          <w:szCs w:val="24"/>
          <w:lang w:val="en-US" w:eastAsia="zh-CN"/>
        </w:rPr>
        <w:t>7.结合实际情况编制乡镇地质灾害应急预案。</w:t>
      </w:r>
    </w:p>
    <w:p>
      <w:pPr>
        <w:pStyle w:val="3"/>
        <w:rPr>
          <w:rFonts w:hint="default"/>
          <w:color w:val="auto"/>
        </w:rPr>
      </w:pPr>
      <w:r>
        <w:rPr>
          <w:rStyle w:val="73"/>
          <w:rFonts w:hint="eastAsia" w:ascii="仿宋" w:hAnsi="仿宋" w:eastAsia="仿宋" w:cs="仿宋"/>
          <w:color w:val="auto"/>
          <w:sz w:val="24"/>
          <w:szCs w:val="24"/>
          <w:lang w:val="en-US" w:eastAsia="zh-CN"/>
        </w:rPr>
        <w:t>8.依据调查评价成果，补充编制重要地质灾害点地质灾害防治项目可行性研究报告及地质灾害防治项目实施方案。</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六、工作方法和技术要求</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（一）工作方法</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分析研究以往工作成果，收集当地地质灾害勘查、防治工程和重大工程勘查成果，开展遥感解译工作，进行孕灾地质条件调查、承灾体调查，核查调查地质灾害及其隐患，辅以工程地质钻探、地球物理勘探、山地工程、工程地质测绘等，加强高分辨率光学影像、无人机遥感、合成孔径雷达干涉测量（InSAR）、激光雷达测量（LiDAR）、地球物理勘探等技术方法综合应用。对典型地质灾害及其隐患进行测绘与勘查，开展室内综合研究。</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（二）技术要求</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主要执行的技术规范、技术要求和依据主要有：</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1.《地质灾害风险调查评价技术要求（1:50000）》；</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2.《地质灾害风险调查评价编图技术要求（试行）》；</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3.《地质灾害风险调查评价成果信息化技术要求（试行）》；</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4.GB50021—2001（2009年版）岩土工程勘察规范；</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5.《中国地震动参数区划图》（GB18306-2015）；</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6.《遥感地质解译方法指南（1:50000、1:250000）》（DD2011-03）；</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7.《地质灾害遥感调查技术规定》（DD2015-01）；</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8.《倾斜数字航空摄影技术规程》（GB/T 39610-2020）；</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9.《地质调查项目预算标准（2021）》；</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10.《地质资料汇交规范》（DZ/T0273</w:t>
      </w:r>
      <w:r>
        <w:rPr>
          <w:rStyle w:val="73"/>
          <w:rFonts w:hint="eastAsia" w:ascii="仿宋" w:hAnsi="仿宋" w:eastAsia="仿宋" w:cs="仿宋"/>
          <w:color w:val="auto"/>
          <w:sz w:val="24"/>
          <w:szCs w:val="24"/>
          <w:lang w:val="en-US" w:eastAsia="zh-CN"/>
        </w:rPr>
        <w:t>-2015</w:t>
      </w:r>
      <w:r>
        <w:rPr>
          <w:rStyle w:val="73"/>
          <w:rFonts w:hint="default" w:ascii="仿宋" w:hAnsi="仿宋" w:eastAsia="仿宋" w:cs="仿宋"/>
          <w:color w:val="auto"/>
          <w:sz w:val="24"/>
          <w:szCs w:val="24"/>
        </w:rPr>
        <w:t>）。</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其它相关技术规范要求，执行的技术和规范应以项目实施时现行最新技术标准和规范为准。</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七、主要实物工作量</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开展全域遥感解译工作，根据工作需要合理布置工程地质钻探、地球物理勘探、山地工程、工程地质测绘等，加强高分辨率光学影像、无人机遥感、合成孔径雷达干涉测量（InSAR）、激光雷达测量（LiDAR）、地球物理勘探等工作量，其中钻探、实测剖面、岩土样品满足规范要求，开展地质灾害防治知识培训和重要地质灾害隐患点防治演练工作。最终实物工作量以设计批复工作量为准。</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八、预期提交成果</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（一）原始资料</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1.野外调查手图、遥感解译及验证成果分布图、实际材料图、工程地质条件图；</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2.各类原始记录卡片；</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3.野外照（摄）像等影像资料；</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4.测试与试验资料；</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5.重要、典型地质灾害的工程地质剖面图、探井展示图，物探剖面图，槽探剖面图、低空遥感影像图、稳定性计算参数及计算结果表等。</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（二）成果资料</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1.报告</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新疆疏附县地质灾害风险调查评价报告。</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2.附图</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主要包括基础性图件、应用性图件和其他图件。</w:t>
      </w:r>
    </w:p>
    <w:p>
      <w:pPr>
        <w:spacing w:line="540" w:lineRule="exact"/>
        <w:ind w:firstLine="480" w:firstLineChars="200"/>
        <w:rPr>
          <w:rFonts w:ascii="仿宋" w:hAnsi="仿宋" w:eastAsia="仿宋" w:cs="仿宋"/>
          <w:color w:val="auto"/>
          <w:sz w:val="24"/>
        </w:rPr>
      </w:pPr>
      <w:r>
        <w:rPr>
          <w:rStyle w:val="73"/>
          <w:rFonts w:hint="default" w:ascii="仿宋" w:hAnsi="仿宋" w:eastAsia="仿宋" w:cs="仿宋"/>
          <w:color w:val="auto"/>
          <w:sz w:val="24"/>
          <w:szCs w:val="24"/>
        </w:rPr>
        <w:t>3.附件</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附件主要包括：数据库建库报告；地质灾害风险调查数据库；照片集；专题报告；地质灾害勘查报告及图件等。</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具体详见《地质灾害风险调查评价技术要求（1:50000）》关于成果资料要求。</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项目成果资料整理归档严格按照《地质灾害风险调查评价技术要求（1:50000）》和《地质资料汇交规范》DZ/T0273</w:t>
      </w:r>
      <w:r>
        <w:rPr>
          <w:rStyle w:val="73"/>
          <w:rFonts w:hint="eastAsia" w:ascii="仿宋" w:hAnsi="仿宋" w:eastAsia="仿宋" w:cs="仿宋"/>
          <w:color w:val="auto"/>
          <w:sz w:val="24"/>
          <w:szCs w:val="24"/>
          <w:lang w:val="en-US" w:eastAsia="zh-CN"/>
        </w:rPr>
        <w:t>-2015</w:t>
      </w:r>
      <w:r>
        <w:rPr>
          <w:rStyle w:val="73"/>
          <w:rFonts w:hint="default" w:ascii="仿宋" w:hAnsi="仿宋" w:eastAsia="仿宋" w:cs="仿宋"/>
          <w:color w:val="auto"/>
          <w:sz w:val="24"/>
          <w:szCs w:val="24"/>
        </w:rPr>
        <w:t>地质资料汇交规范及相关管理办法规定执行。最终成果资料应按地质资料汇交要求向新疆地质资料馆汇交，并向自治区自然资源厅、喀什地区自然资源局和疏附县自然资源局汇交纸介质和电子版各2套。</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九、工作周期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2023年3月-2024年1月。其中：2023年</w:t>
      </w:r>
      <w:r>
        <w:rPr>
          <w:rStyle w:val="73"/>
          <w:rFonts w:hint="eastAsia" w:ascii="仿宋" w:hAnsi="仿宋" w:eastAsia="仿宋" w:cs="仿宋"/>
          <w:color w:val="auto"/>
          <w:sz w:val="24"/>
          <w:szCs w:val="24"/>
          <w:lang w:val="en-US" w:eastAsia="zh-CN"/>
        </w:rPr>
        <w:t>8</w:t>
      </w:r>
      <w:r>
        <w:rPr>
          <w:rStyle w:val="73"/>
          <w:rFonts w:hint="default" w:ascii="仿宋" w:hAnsi="仿宋" w:eastAsia="仿宋" w:cs="仿宋"/>
          <w:color w:val="auto"/>
          <w:sz w:val="24"/>
          <w:szCs w:val="24"/>
        </w:rPr>
        <w:t>月</w:t>
      </w:r>
      <w:r>
        <w:rPr>
          <w:rStyle w:val="73"/>
          <w:rFonts w:hint="eastAsia" w:ascii="仿宋" w:hAnsi="仿宋" w:eastAsia="仿宋" w:cs="仿宋"/>
          <w:color w:val="auto"/>
          <w:sz w:val="24"/>
          <w:szCs w:val="24"/>
          <w:lang w:val="en-US" w:eastAsia="zh-CN"/>
        </w:rPr>
        <w:t>20</w:t>
      </w:r>
      <w:r>
        <w:rPr>
          <w:rStyle w:val="73"/>
          <w:rFonts w:hint="default" w:ascii="仿宋" w:hAnsi="仿宋" w:eastAsia="仿宋" w:cs="仿宋"/>
          <w:color w:val="auto"/>
          <w:sz w:val="24"/>
          <w:szCs w:val="24"/>
        </w:rPr>
        <w:t>日前完成野外调查工作；2023年</w:t>
      </w:r>
      <w:r>
        <w:rPr>
          <w:rStyle w:val="73"/>
          <w:rFonts w:hint="eastAsia" w:ascii="仿宋" w:hAnsi="仿宋" w:eastAsia="仿宋" w:cs="仿宋"/>
          <w:color w:val="auto"/>
          <w:sz w:val="24"/>
          <w:szCs w:val="24"/>
          <w:lang w:val="en-US" w:eastAsia="zh-CN"/>
        </w:rPr>
        <w:t>9</w:t>
      </w:r>
      <w:r>
        <w:rPr>
          <w:rStyle w:val="73"/>
          <w:rFonts w:hint="default" w:ascii="仿宋" w:hAnsi="仿宋" w:eastAsia="仿宋" w:cs="仿宋"/>
          <w:color w:val="auto"/>
          <w:sz w:val="24"/>
          <w:szCs w:val="24"/>
        </w:rPr>
        <w:t>月</w:t>
      </w:r>
      <w:r>
        <w:rPr>
          <w:rStyle w:val="73"/>
          <w:rFonts w:hint="eastAsia" w:ascii="仿宋" w:hAnsi="仿宋" w:eastAsia="仿宋" w:cs="仿宋"/>
          <w:color w:val="auto"/>
          <w:sz w:val="24"/>
          <w:szCs w:val="24"/>
          <w:lang w:val="en-US" w:eastAsia="zh-CN"/>
        </w:rPr>
        <w:t>15</w:t>
      </w:r>
      <w:r>
        <w:rPr>
          <w:rStyle w:val="73"/>
          <w:rFonts w:hint="default" w:ascii="仿宋" w:hAnsi="仿宋" w:eastAsia="仿宋" w:cs="仿宋"/>
          <w:color w:val="auto"/>
          <w:sz w:val="24"/>
          <w:szCs w:val="24"/>
        </w:rPr>
        <w:t>日前提交报告及数据库送审稿,2024年1月完成资料汇交。</w:t>
      </w:r>
      <w:r>
        <w:rPr>
          <w:rStyle w:val="73"/>
          <w:rFonts w:hint="default" w:ascii="仿宋" w:hAnsi="仿宋" w:eastAsia="仿宋" w:cs="仿宋"/>
          <w:color w:val="auto"/>
          <w:sz w:val="24"/>
          <w:szCs w:val="24"/>
        </w:rPr>
        <w:br w:type="page"/>
      </w:r>
    </w:p>
    <w:p>
      <w:pPr>
        <w:spacing w:line="540" w:lineRule="exact"/>
        <w:ind w:firstLine="482" w:firstLineChars="200"/>
        <w:jc w:val="center"/>
        <w:outlineLvl w:val="1"/>
        <w:rPr>
          <w:rFonts w:ascii="仿宋" w:hAnsi="仿宋" w:eastAsia="仿宋"/>
          <w:b/>
          <w:bCs/>
          <w:color w:val="auto"/>
          <w:sz w:val="32"/>
          <w:szCs w:val="32"/>
        </w:rPr>
      </w:pPr>
      <w:r>
        <w:rPr>
          <w:rFonts w:hint="eastAsia" w:ascii="仿宋" w:hAnsi="仿宋" w:eastAsia="仿宋"/>
          <w:b/>
          <w:bCs/>
          <w:color w:val="auto"/>
          <w:sz w:val="24"/>
        </w:rPr>
        <w:t>标项三：新疆叶城县西合休乡阿亚克却普村4组崩塌、泥石流防治工程</w:t>
      </w:r>
    </w:p>
    <w:p>
      <w:pPr>
        <w:pStyle w:val="26"/>
        <w:spacing w:line="440" w:lineRule="exact"/>
        <w:rPr>
          <w:color w:val="auto"/>
        </w:rPr>
      </w:pP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一、项目名称、编号及费用</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项目名称：新疆叶城县西合休乡阿亚克却普村4组崩塌、泥石流防治工程</w:t>
      </w:r>
    </w:p>
    <w:p>
      <w:pPr>
        <w:spacing w:line="540" w:lineRule="exact"/>
        <w:ind w:firstLine="480" w:firstLineChars="200"/>
        <w:rPr>
          <w:rStyle w:val="73"/>
          <w:rFonts w:hint="default" w:ascii="仿宋" w:hAnsi="仿宋" w:eastAsia="仿宋" w:cs="仿宋"/>
          <w:color w:val="auto"/>
          <w:sz w:val="24"/>
          <w:szCs w:val="24"/>
        </w:rPr>
      </w:pPr>
      <w:r>
        <w:rPr>
          <w:rFonts w:hint="eastAsia" w:ascii="仿宋" w:hAnsi="仿宋" w:eastAsia="仿宋" w:cs="仿宋"/>
          <w:color w:val="auto"/>
          <w:kern w:val="0"/>
          <w:sz w:val="24"/>
        </w:rPr>
        <w:t>项目编号：</w:t>
      </w:r>
      <w:r>
        <w:rPr>
          <w:rStyle w:val="73"/>
          <w:rFonts w:hint="default" w:ascii="仿宋" w:hAnsi="仿宋" w:eastAsia="仿宋" w:cs="仿宋"/>
          <w:color w:val="auto"/>
          <w:sz w:val="24"/>
          <w:szCs w:val="24"/>
        </w:rPr>
        <w:t>GYZB-KSDZFZ2023-03</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项目费用人民币：561.324万元（伍佰陆拾壹万叁仟贰佰肆拾元整）</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二、工作范围</w:t>
      </w:r>
    </w:p>
    <w:p>
      <w:pPr>
        <w:autoSpaceDE w:val="0"/>
        <w:autoSpaceDN w:val="0"/>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位于叶城县西合休乡阿亚克却普村4组北、东侧山体崩塌、泥石流灾害影响范围，该组居民135户房屋与崩塌危岩带比邻而建，3条泥石流沟位于该组以北、东范围。行政区划隶属西合休乡管辖，防治区中心坐标为：东经：76°17′7.74″，北纬37°17′23.24″。</w:t>
      </w:r>
    </w:p>
    <w:p>
      <w:pPr>
        <w:spacing w:line="54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最终防治工程区范围以投标单位现场踏勘并与当地自然资源部门充分沟通确定的为准。</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三、自然经济地理</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（一）交通位置</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叶城县隶属于新疆喀什地区，地处新疆维吾尔自治区西南部，昆仑山北麓、塔里木盆地西南缘。防治区位于叶城县西合休乡阿亚克却普村4组，行政区划隶属西合休乡管辖。全程除达坂外均为柏油公路、水泥道路，对外交通条件较便利。</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（二）社会经济概况</w:t>
      </w:r>
    </w:p>
    <w:p>
      <w:pPr>
        <w:snapToGrid w:val="0"/>
        <w:spacing w:line="500" w:lineRule="exact"/>
        <w:ind w:firstLine="480" w:firstLineChars="200"/>
        <w:rPr>
          <w:rFonts w:ascii="仿宋" w:hAnsi="仿宋" w:eastAsia="仿宋" w:cs="仿宋"/>
          <w:color w:val="auto"/>
          <w:sz w:val="24"/>
        </w:rPr>
      </w:pPr>
      <w:bookmarkStart w:id="229" w:name="_Hlk23422534"/>
      <w:r>
        <w:rPr>
          <w:rFonts w:hint="eastAsia" w:ascii="仿宋" w:hAnsi="仿宋" w:eastAsia="仿宋" w:cs="仿宋"/>
          <w:color w:val="auto"/>
          <w:sz w:val="24"/>
        </w:rPr>
        <w:t>叶城县西合休乡总面积为1.39万平方千米，辖9个行政村，35个村民小组，有村民927户、4828人，以维吾尔族、柯尔克孜族、塔吉克族为主。西合休乡以牲畜业生产为主体。有自然草场163万亩，年末畜牧存栏57200头，人均占有牲畜12头。全乡耕地总面积4200亩，以青稞、玉米为主，半数农作物不能成熟，不能自给，依靠国家供应</w:t>
      </w:r>
      <w:bookmarkEnd w:id="229"/>
      <w:r>
        <w:rPr>
          <w:rFonts w:hint="eastAsia" w:ascii="仿宋" w:hAnsi="仿宋" w:eastAsia="仿宋" w:cs="仿宋"/>
          <w:color w:val="auto"/>
          <w:sz w:val="24"/>
        </w:rPr>
        <w:t>。全乡农牧民人均纯收入约4942元。</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西合休乡基础设施相对落后，无路、无通讯设施、无水、无电问题十分突出。该乡各村均分布在大山沟里，至今，乡与村、村与村之间仍不通公路（村与村之</w:t>
      </w:r>
      <w:r>
        <w:rPr>
          <w:rFonts w:hint="eastAsia" w:ascii="仿宋" w:hAnsi="仿宋" w:eastAsia="仿宋" w:cs="仿宋"/>
          <w:color w:val="auto"/>
          <w:spacing w:val="-2"/>
          <w:sz w:val="24"/>
        </w:rPr>
        <w:t>间的距离均在50公里以上，最远的达300公里以上），山高路险，道路狭窄，不利于人和牲畜安全通行，农牧民只能靠马和驴代步，基本生活物资只能靠骆驼驮运。该乡各村无通讯设施，靠骑马传递信息。以上状况越来越不适应生产力的发</w:t>
      </w:r>
      <w:r>
        <w:rPr>
          <w:rFonts w:hint="eastAsia" w:ascii="仿宋" w:hAnsi="仿宋" w:eastAsia="仿宋" w:cs="仿宋"/>
          <w:color w:val="auto"/>
          <w:sz w:val="24"/>
        </w:rPr>
        <w:t>展，特别是不适应维护社会稳定和国家安全以及发生重大疫情、灾情后进行指挥调控的需要。</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四、地质环境条件和工作程度</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（一）地形地貌</w:t>
      </w:r>
    </w:p>
    <w:p>
      <w:pPr>
        <w:pStyle w:val="32"/>
        <w:spacing w:line="540" w:lineRule="exact"/>
        <w:ind w:firstLine="480" w:firstLineChars="200"/>
        <w:rPr>
          <w:rFonts w:ascii="仿宋" w:hAnsi="仿宋" w:eastAsia="仿宋" w:cs="仿宋"/>
          <w:color w:val="auto"/>
        </w:rPr>
      </w:pPr>
      <w:r>
        <w:rPr>
          <w:rFonts w:hint="eastAsia" w:ascii="仿宋" w:hAnsi="仿宋" w:eastAsia="仿宋" w:cs="仿宋"/>
          <w:color w:val="auto"/>
        </w:rPr>
        <w:t>防治区自上游至下游地貌类型依次为中高山—河谷阶地地貌。中高山地貌，区内地形起伏大，山脊呈封闭的不规则形，整体东高西低，海拔2346—4345m，相对高差近2000m，山体陡峻，坡度一般50-70°。</w:t>
      </w:r>
      <w:r>
        <w:rPr>
          <w:rFonts w:hint="eastAsia" w:ascii="仿宋" w:hAnsi="仿宋" w:eastAsia="仿宋" w:cs="仿宋"/>
          <w:color w:val="auto"/>
          <w:spacing w:val="-6"/>
          <w:lang w:val="en-GB"/>
        </w:rPr>
        <w:t>河谷阶地地貌，为却普河河谷，贯穿防治区西部，河谷宽100—180m，河谷地势较平缓，整体南高北低，坡降约1%。河谷中</w:t>
      </w:r>
      <w:r>
        <w:rPr>
          <w:rFonts w:hint="eastAsia" w:ascii="仿宋" w:hAnsi="仿宋" w:eastAsia="仿宋" w:cs="仿宋"/>
          <w:color w:val="auto"/>
          <w:spacing w:val="-6"/>
        </w:rPr>
        <w:t>房屋</w:t>
      </w:r>
      <w:r>
        <w:rPr>
          <w:rFonts w:hint="eastAsia" w:ascii="仿宋" w:hAnsi="仿宋" w:eastAsia="仿宋" w:cs="仿宋"/>
          <w:color w:val="auto"/>
          <w:spacing w:val="-6"/>
          <w:lang w:val="en-GB"/>
        </w:rPr>
        <w:t>密集，为人类工程活动集中区。防治区内泥石流最终排泄至却普河</w:t>
      </w:r>
      <w:r>
        <w:rPr>
          <w:rFonts w:hint="eastAsia" w:ascii="仿宋" w:hAnsi="仿宋" w:eastAsia="仿宋" w:cs="仿宋"/>
          <w:color w:val="auto"/>
        </w:rPr>
        <w:t>。</w:t>
      </w:r>
    </w:p>
    <w:p>
      <w:pPr>
        <w:numPr>
          <w:ilvl w:val="0"/>
          <w:numId w:val="6"/>
        </w:num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地层岩性</w:t>
      </w:r>
    </w:p>
    <w:p>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区内出露的地层主要有元古界（Pt）以及新生界的第四系（Q），地层由老至新分述如下：</w:t>
      </w:r>
    </w:p>
    <w:p>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（1）元古界中酸性花岗岩（γPt）</w:t>
      </w:r>
    </w:p>
    <w:p>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分布于防治区内泥石流沟的两侧（崩塌岩带）及中山区（泥石流形成－流通区），岩性为中酸性花岗岩。多为石英脉穿插，节理裂隙较发育。</w:t>
      </w:r>
    </w:p>
    <w:p>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（2）第四系</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第四系中更新统冰水堆积卵石（Q</w:t>
      </w:r>
      <w:r>
        <w:rPr>
          <w:rFonts w:hint="eastAsia" w:ascii="仿宋" w:hAnsi="仿宋" w:eastAsia="仿宋" w:cs="仿宋"/>
          <w:color w:val="auto"/>
          <w:sz w:val="24"/>
          <w:vertAlign w:val="subscript"/>
        </w:rPr>
        <w:t>2</w:t>
      </w:r>
      <w:r>
        <w:rPr>
          <w:rFonts w:hint="eastAsia" w:ascii="仿宋" w:hAnsi="仿宋" w:eastAsia="仿宋" w:cs="仿宋"/>
          <w:color w:val="auto"/>
          <w:sz w:val="24"/>
          <w:vertAlign w:val="superscript"/>
        </w:rPr>
        <w:t>fgl</w:t>
      </w:r>
      <w:r>
        <w:rPr>
          <w:rFonts w:hint="eastAsia" w:ascii="仿宋" w:hAnsi="仿宋" w:eastAsia="仿宋" w:cs="仿宋"/>
          <w:color w:val="auto"/>
          <w:sz w:val="24"/>
        </w:rPr>
        <w:t>）、第四系全新统冲洪积卵石（Q</w:t>
      </w:r>
      <w:r>
        <w:rPr>
          <w:rFonts w:hint="eastAsia" w:ascii="仿宋" w:hAnsi="仿宋" w:eastAsia="仿宋" w:cs="仿宋"/>
          <w:color w:val="auto"/>
          <w:sz w:val="24"/>
          <w:vertAlign w:val="subscript"/>
        </w:rPr>
        <w:t>4</w:t>
      </w:r>
      <w:r>
        <w:rPr>
          <w:rFonts w:hint="eastAsia" w:ascii="仿宋" w:hAnsi="仿宋" w:eastAsia="仿宋" w:cs="仿宋"/>
          <w:color w:val="auto"/>
          <w:sz w:val="24"/>
          <w:vertAlign w:val="superscript"/>
        </w:rPr>
        <w:t>apl</w:t>
      </w:r>
      <w:r>
        <w:rPr>
          <w:rFonts w:hint="eastAsia" w:ascii="仿宋" w:hAnsi="仿宋" w:eastAsia="仿宋" w:cs="仿宋"/>
          <w:color w:val="auto"/>
          <w:sz w:val="24"/>
        </w:rPr>
        <w:t>）、第四系全新统洪积角砾（Q</w:t>
      </w:r>
      <w:r>
        <w:rPr>
          <w:rFonts w:hint="eastAsia" w:ascii="仿宋" w:hAnsi="仿宋" w:eastAsia="仿宋" w:cs="仿宋"/>
          <w:color w:val="auto"/>
          <w:sz w:val="24"/>
          <w:vertAlign w:val="subscript"/>
        </w:rPr>
        <w:t>4</w:t>
      </w:r>
      <w:r>
        <w:rPr>
          <w:rFonts w:hint="eastAsia" w:ascii="仿宋" w:hAnsi="仿宋" w:eastAsia="仿宋" w:cs="仿宋"/>
          <w:color w:val="auto"/>
          <w:sz w:val="24"/>
          <w:vertAlign w:val="superscript"/>
        </w:rPr>
        <w:t>pl</w:t>
      </w:r>
      <w:r>
        <w:rPr>
          <w:rFonts w:hint="eastAsia" w:ascii="仿宋" w:hAnsi="仿宋" w:eastAsia="仿宋" w:cs="仿宋"/>
          <w:color w:val="auto"/>
          <w:sz w:val="24"/>
        </w:rPr>
        <w:t>）分布于防治区泥石流河谷及两侧沟谷中，岩性为砂卵砾石或碎石土，干燥－稍湿，厚度3—20米。灰白色、浅灰色卵石、砾石、砂混杂堆积，松散、含水，碎屑成分主要由砂岩、砾岩及变质岩组成。卵石粒径一般2—15厘米，最大可达20厘米，含量40%—50%；粒径0.2—2米，含量30%—40%，砂含量20%—30%，分选差，磨圆为次棱角—圆状，无胶结。</w:t>
      </w:r>
    </w:p>
    <w:p>
      <w:pPr>
        <w:spacing w:line="540" w:lineRule="exact"/>
        <w:ind w:left="560"/>
        <w:rPr>
          <w:rFonts w:ascii="仿宋" w:hAnsi="仿宋" w:eastAsia="仿宋" w:cs="仿宋"/>
          <w:b/>
          <w:color w:val="auto"/>
          <w:sz w:val="24"/>
        </w:rPr>
      </w:pPr>
      <w:r>
        <w:rPr>
          <w:rFonts w:hint="eastAsia" w:ascii="仿宋" w:hAnsi="仿宋" w:eastAsia="仿宋" w:cs="仿宋"/>
          <w:b/>
          <w:color w:val="auto"/>
          <w:sz w:val="24"/>
        </w:rPr>
        <w:t>（三）地质构造</w:t>
      </w:r>
    </w:p>
    <w:p>
      <w:pPr>
        <w:pStyle w:val="36"/>
        <w:spacing w:line="500" w:lineRule="exact"/>
        <w:ind w:firstLine="480"/>
        <w:rPr>
          <w:rFonts w:ascii="仿宋" w:hAnsi="仿宋" w:eastAsia="仿宋" w:cs="仿宋"/>
          <w:color w:val="auto"/>
        </w:rPr>
      </w:pPr>
      <w:r>
        <w:rPr>
          <w:rFonts w:hint="eastAsia" w:ascii="仿宋" w:hAnsi="仿宋" w:eastAsia="仿宋" w:cs="仿宋"/>
          <w:color w:val="auto"/>
          <w:lang w:val="en-GB"/>
        </w:rPr>
        <w:t>防治区位于铁克里克台隆。防治区整体地势在抬升，作上升运动，山区峡谷上升相对缓慢、滞后，最终形成了中高山深切峡谷地貌。</w:t>
      </w:r>
    </w:p>
    <w:p>
      <w:pPr>
        <w:spacing w:line="540" w:lineRule="exact"/>
        <w:ind w:left="560"/>
        <w:rPr>
          <w:rFonts w:ascii="仿宋" w:hAnsi="仿宋" w:eastAsia="仿宋" w:cs="仿宋"/>
          <w:b/>
          <w:color w:val="auto"/>
          <w:sz w:val="24"/>
        </w:rPr>
      </w:pPr>
      <w:r>
        <w:rPr>
          <w:rFonts w:hint="eastAsia" w:ascii="仿宋" w:hAnsi="仿宋" w:eastAsia="仿宋" w:cs="仿宋"/>
          <w:b/>
          <w:color w:val="auto"/>
          <w:sz w:val="24"/>
        </w:rPr>
        <w:t>（四）水文地质条件</w:t>
      </w:r>
    </w:p>
    <w:p>
      <w:pPr>
        <w:pStyle w:val="36"/>
        <w:spacing w:line="500" w:lineRule="exact"/>
        <w:ind w:firstLine="480"/>
        <w:rPr>
          <w:rFonts w:ascii="仿宋" w:hAnsi="仿宋" w:eastAsia="仿宋" w:cs="仿宋"/>
          <w:color w:val="auto"/>
        </w:rPr>
      </w:pPr>
      <w:r>
        <w:rPr>
          <w:rFonts w:hint="eastAsia" w:ascii="仿宋" w:hAnsi="仿宋" w:eastAsia="仿宋" w:cs="仿宋"/>
          <w:color w:val="auto"/>
        </w:rPr>
        <w:t>防治区地处喀喇昆仑山腹地中高山区，含水岩性为元古界中酸性侵入岩，以花岗岩为主。受相邻含水层的侧向径流、大气降水和冰雪融水的补给，由于该区地形陡峭，汇水面积小，不利于地下水的补给。地下水在接受补给后，由东向西径流，以地下水侧向径流和泉水的方式向却普河谷排泄。</w:t>
      </w:r>
    </w:p>
    <w:p>
      <w:pPr>
        <w:spacing w:line="540" w:lineRule="exact"/>
        <w:ind w:left="560"/>
        <w:rPr>
          <w:rFonts w:ascii="仿宋" w:hAnsi="仿宋" w:eastAsia="仿宋" w:cs="仿宋"/>
          <w:b/>
          <w:color w:val="auto"/>
          <w:sz w:val="24"/>
        </w:rPr>
      </w:pPr>
      <w:r>
        <w:rPr>
          <w:rFonts w:hint="eastAsia" w:ascii="仿宋" w:hAnsi="仿宋" w:eastAsia="仿宋" w:cs="仿宋"/>
          <w:b/>
          <w:color w:val="auto"/>
          <w:sz w:val="24"/>
        </w:rPr>
        <w:t>（五）工程地质条件</w:t>
      </w:r>
    </w:p>
    <w:p>
      <w:pPr>
        <w:adjustRightIn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防治区岩土体分为较坚硬的岩浆岩岩组、粉土单层土体及碎石土单层土体。</w:t>
      </w:r>
    </w:p>
    <w:p>
      <w:pPr>
        <w:pStyle w:val="32"/>
        <w:spacing w:line="540" w:lineRule="exact"/>
        <w:ind w:firstLine="482"/>
        <w:rPr>
          <w:rFonts w:ascii="仿宋" w:hAnsi="仿宋" w:eastAsia="仿宋" w:cs="仿宋"/>
          <w:color w:val="auto"/>
        </w:rPr>
      </w:pPr>
      <w:r>
        <w:rPr>
          <w:rFonts w:hint="eastAsia" w:ascii="仿宋" w:hAnsi="仿宋" w:eastAsia="仿宋" w:cs="仿宋"/>
          <w:color w:val="auto"/>
        </w:rPr>
        <w:t>1.岩体工程地质条件</w:t>
      </w:r>
    </w:p>
    <w:p>
      <w:pPr>
        <w:pStyle w:val="32"/>
        <w:spacing w:line="540" w:lineRule="exact"/>
        <w:ind w:firstLine="482"/>
        <w:rPr>
          <w:rFonts w:ascii="仿宋" w:hAnsi="仿宋" w:eastAsia="仿宋" w:cs="仿宋"/>
          <w:color w:val="auto"/>
        </w:rPr>
      </w:pPr>
      <w:r>
        <w:rPr>
          <w:rFonts w:hint="eastAsia" w:ascii="仿宋" w:hAnsi="仿宋" w:eastAsia="仿宋" w:cs="仿宋"/>
          <w:color w:val="auto"/>
        </w:rPr>
        <w:t>主要为较坚硬的岩浆岩，总体为块状构造，单轴饱和抗压强度90.2-108.0MPa，平均100.73MPa，岩体工程地质性质良好。</w:t>
      </w:r>
    </w:p>
    <w:p>
      <w:pPr>
        <w:pStyle w:val="32"/>
        <w:spacing w:line="540" w:lineRule="exact"/>
        <w:ind w:firstLine="482"/>
        <w:rPr>
          <w:rFonts w:ascii="仿宋" w:hAnsi="仿宋" w:eastAsia="仿宋" w:cs="仿宋"/>
          <w:color w:val="auto"/>
        </w:rPr>
      </w:pPr>
      <w:r>
        <w:rPr>
          <w:rFonts w:hint="eastAsia" w:ascii="仿宋" w:hAnsi="仿宋" w:eastAsia="仿宋" w:cs="仿宋"/>
          <w:color w:val="auto"/>
        </w:rPr>
        <w:t>2.土体工程地质条件</w:t>
      </w:r>
    </w:p>
    <w:p>
      <w:pPr>
        <w:pStyle w:val="36"/>
        <w:spacing w:line="500" w:lineRule="exact"/>
        <w:ind w:firstLine="480"/>
        <w:rPr>
          <w:rFonts w:ascii="仿宋" w:hAnsi="仿宋" w:eastAsia="仿宋" w:cs="仿宋"/>
          <w:color w:val="auto"/>
        </w:rPr>
      </w:pPr>
      <w:r>
        <w:rPr>
          <w:rFonts w:hint="eastAsia" w:ascii="仿宋" w:hAnsi="仿宋" w:eastAsia="仿宋" w:cs="仿宋"/>
          <w:color w:val="auto"/>
        </w:rPr>
        <w:t>粉土单层土体，地基承载力80-120kPa，整体工程地质条件差；</w:t>
      </w:r>
    </w:p>
    <w:p>
      <w:pPr>
        <w:pStyle w:val="36"/>
        <w:spacing w:line="500" w:lineRule="exact"/>
        <w:ind w:firstLine="480"/>
        <w:rPr>
          <w:rFonts w:ascii="仿宋" w:hAnsi="仿宋" w:eastAsia="仿宋" w:cs="仿宋"/>
          <w:color w:val="auto"/>
        </w:rPr>
      </w:pPr>
      <w:r>
        <w:rPr>
          <w:rFonts w:hint="eastAsia" w:ascii="仿宋" w:hAnsi="仿宋" w:eastAsia="仿宋" w:cs="仿宋"/>
          <w:color w:val="auto"/>
        </w:rPr>
        <w:t>碎石土单层土体，地基土承载力特征值一般在280-350kPa，工程地质条件较好。</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五、主要地质灾害</w:t>
      </w:r>
    </w:p>
    <w:p>
      <w:pPr>
        <w:overflowPunct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本次防治的主要地质灾害为一处崩塌（编号BT1）、三处泥石流灾害（编号N1-N3）。地质灾害主要特征如下：</w:t>
      </w:r>
    </w:p>
    <w:p>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一）类型：N1、N2泥石流类型为暴雨型－坡面侵蚀型－沟谷型一水石型－稀性－高频率泥石流；N3泥石流类型为暴雨型－坡面侵蚀型－山坡型一水石型－稀性－高频率泥石流。BT1崩塌类型按崩塌岩性划分为岩质崩塌，按崩塌按破坏模式划分为坠落式崩塌。</w:t>
      </w:r>
    </w:p>
    <w:p>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（二）规模：N1-N3泥石流规模等级为小型，BT1崩塌规模等级为小型。</w:t>
      </w:r>
    </w:p>
    <w:p>
      <w:pPr>
        <w:adjustRightInd w:val="0"/>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三）灾情：N2泥石流沟，2021年7月发生过一次比较大的泥石流灾害，导致50米段的石子路受损，损坏方式主要表现为路面结构硬性破坏、道路淤积掩埋，造成经济损失约0.5万元。N3泥石流+BT1崩塌危岩带，2021年7月发生过一次比较大的泥石流灾害，导致40米水泥道路淤积掩埋，3户居民房屋及95间羊圈淤积泥沙（含部分石子），淤积厚度25—35cm，造成经济损失约7.8万元。</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（四）险情：N1泥石流，主要威胁泥石流沟口</w:t>
      </w:r>
      <w:r>
        <w:rPr>
          <w:rFonts w:hint="eastAsia" w:ascii="仿宋" w:hAnsi="仿宋" w:eastAsia="仿宋" w:cs="仿宋"/>
          <w:snapToGrid w:val="0"/>
          <w:color w:val="auto"/>
          <w:kern w:val="0"/>
          <w:sz w:val="24"/>
        </w:rPr>
        <w:t>商铺从业人员5人、商店5间、光伏板1200m</w:t>
      </w:r>
      <w:r>
        <w:rPr>
          <w:rFonts w:hint="eastAsia" w:ascii="仿宋" w:hAnsi="仿宋" w:eastAsia="仿宋" w:cs="仿宋"/>
          <w:snapToGrid w:val="0"/>
          <w:color w:val="auto"/>
          <w:kern w:val="0"/>
          <w:sz w:val="24"/>
          <w:vertAlign w:val="superscript"/>
        </w:rPr>
        <w:t>2</w:t>
      </w:r>
      <w:r>
        <w:rPr>
          <w:rFonts w:hint="eastAsia" w:ascii="仿宋" w:hAnsi="仿宋" w:eastAsia="仿宋" w:cs="仿宋"/>
          <w:snapToGrid w:val="0"/>
          <w:color w:val="auto"/>
          <w:kern w:val="0"/>
          <w:sz w:val="24"/>
        </w:rPr>
        <w:t>、水泥道路110m、电力线路110m、通信线路50m等，泥石流地质灾害威胁财产约103.58万元。</w:t>
      </w:r>
      <w:r>
        <w:rPr>
          <w:rFonts w:hint="eastAsia" w:ascii="仿宋" w:hAnsi="仿宋" w:eastAsia="仿宋" w:cs="仿宋"/>
          <w:color w:val="auto"/>
          <w:sz w:val="24"/>
        </w:rPr>
        <w:t>N2泥石流，主要威胁泥石流沟口</w:t>
      </w:r>
      <w:r>
        <w:rPr>
          <w:rFonts w:hint="eastAsia" w:ascii="仿宋" w:hAnsi="仿宋" w:eastAsia="仿宋" w:cs="仿宋"/>
          <w:snapToGrid w:val="0"/>
          <w:color w:val="auto"/>
          <w:kern w:val="0"/>
          <w:sz w:val="24"/>
        </w:rPr>
        <w:t>羊圈24间、石子道路105m，泥石流地质灾害威胁财产约15.45万元。</w:t>
      </w:r>
      <w:r>
        <w:rPr>
          <w:rFonts w:hint="eastAsia" w:ascii="仿宋" w:hAnsi="仿宋" w:eastAsia="仿宋" w:cs="仿宋"/>
          <w:color w:val="auto"/>
          <w:sz w:val="24"/>
        </w:rPr>
        <w:t>N3泥石流，主要威胁坡面下方居民624人、居民房屋135户、商店11间、羊圈95间、电力线路610m、通信线路610m、水泥道路610m、石子道路170m</w:t>
      </w:r>
      <w:r>
        <w:rPr>
          <w:rFonts w:hint="eastAsia" w:ascii="仿宋" w:hAnsi="仿宋" w:eastAsia="仿宋" w:cs="仿宋"/>
          <w:snapToGrid w:val="0"/>
          <w:color w:val="auto"/>
          <w:kern w:val="0"/>
          <w:sz w:val="24"/>
        </w:rPr>
        <w:t>，泥石流地质灾害威胁财产约933.56万元，</w:t>
      </w:r>
      <w:r>
        <w:rPr>
          <w:rFonts w:hint="eastAsia" w:ascii="仿宋" w:hAnsi="仿宋" w:eastAsia="仿宋" w:cs="仿宋"/>
          <w:color w:val="auto"/>
          <w:sz w:val="24"/>
        </w:rPr>
        <w:t>威胁对象受灾方式主要为建筑物和建筑设施被淤积掩埋。</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六、目标任务</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（一）目标</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通过对</w:t>
      </w:r>
      <w:r>
        <w:rPr>
          <w:rFonts w:hint="eastAsia" w:ascii="仿宋" w:hAnsi="仿宋" w:eastAsia="仿宋" w:cs="仿宋"/>
          <w:color w:val="auto"/>
          <w:kern w:val="0"/>
          <w:sz w:val="24"/>
        </w:rPr>
        <w:t>新疆叶城县西合休乡阿亚克却普村4组崩塌、泥石流防治工程</w:t>
      </w:r>
      <w:r>
        <w:rPr>
          <w:rFonts w:hint="eastAsia" w:ascii="仿宋" w:hAnsi="仿宋" w:eastAsia="仿宋" w:cs="仿宋"/>
          <w:color w:val="auto"/>
          <w:sz w:val="24"/>
        </w:rPr>
        <w:t>的设计与实施，减轻或消除</w:t>
      </w:r>
      <w:r>
        <w:rPr>
          <w:rFonts w:hint="eastAsia" w:ascii="仿宋" w:hAnsi="仿宋" w:eastAsia="仿宋" w:cs="仿宋"/>
          <w:color w:val="auto"/>
          <w:kern w:val="0"/>
          <w:sz w:val="24"/>
        </w:rPr>
        <w:t>阿亚克却普村4组崩塌、泥石流</w:t>
      </w:r>
      <w:r>
        <w:rPr>
          <w:rFonts w:hint="eastAsia" w:ascii="仿宋" w:hAnsi="仿宋" w:eastAsia="仿宋" w:cs="仿宋"/>
          <w:color w:val="auto"/>
          <w:sz w:val="24"/>
        </w:rPr>
        <w:t>地质灾害对该村居民及房屋的威胁，保障当地居民的生命和财产安全。</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（二）任务</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sz w:val="24"/>
        </w:rPr>
        <w:t>根据实地踏勘成果和勘查报告</w:t>
      </w:r>
      <w:r>
        <w:rPr>
          <w:rFonts w:hint="eastAsia" w:ascii="仿宋" w:hAnsi="仿宋" w:eastAsia="仿宋" w:cs="仿宋"/>
          <w:color w:val="auto"/>
          <w:kern w:val="0"/>
          <w:sz w:val="24"/>
        </w:rPr>
        <w:t>以及相关标准规范</w:t>
      </w:r>
      <w:r>
        <w:rPr>
          <w:rFonts w:hint="eastAsia" w:ascii="仿宋" w:hAnsi="仿宋" w:eastAsia="仿宋" w:cs="仿宋"/>
          <w:color w:val="auto"/>
          <w:sz w:val="24"/>
        </w:rPr>
        <w:t>编制地质灾害防治工程设计和施工组织设计</w:t>
      </w:r>
      <w:r>
        <w:rPr>
          <w:rFonts w:hint="eastAsia" w:ascii="仿宋" w:hAnsi="仿宋" w:eastAsia="仿宋" w:cs="仿宋"/>
          <w:color w:val="auto"/>
          <w:kern w:val="0"/>
          <w:sz w:val="24"/>
        </w:rPr>
        <w:t xml:space="preserve">； </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2.按照审批通过的防治工程设计，组织地质灾害防治工程施工；</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sz w:val="24"/>
        </w:rPr>
        <w:t>减轻或消除</w:t>
      </w:r>
      <w:r>
        <w:rPr>
          <w:rFonts w:hint="eastAsia" w:ascii="仿宋" w:hAnsi="仿宋" w:eastAsia="仿宋" w:cs="仿宋"/>
          <w:color w:val="auto"/>
          <w:kern w:val="0"/>
          <w:sz w:val="24"/>
        </w:rPr>
        <w:t>工作区及其周边居民</w:t>
      </w:r>
      <w:r>
        <w:rPr>
          <w:rFonts w:hint="eastAsia" w:ascii="仿宋" w:hAnsi="仿宋" w:eastAsia="仿宋" w:cs="仿宋"/>
          <w:color w:val="auto"/>
          <w:sz w:val="24"/>
        </w:rPr>
        <w:t>遭受灾害的威胁</w:t>
      </w:r>
      <w:r>
        <w:rPr>
          <w:rFonts w:hint="eastAsia" w:ascii="仿宋" w:hAnsi="仿宋" w:eastAsia="仿宋" w:cs="仿宋"/>
          <w:color w:val="auto"/>
          <w:kern w:val="0"/>
          <w:sz w:val="24"/>
        </w:rPr>
        <w:t>；</w:t>
      </w:r>
    </w:p>
    <w:p>
      <w:pPr>
        <w:spacing w:line="5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4.防治工程完成后，制作永久性工程说明碑。</w:t>
      </w:r>
    </w:p>
    <w:p>
      <w:pPr>
        <w:spacing w:line="540" w:lineRule="exact"/>
        <w:ind w:firstLine="480" w:firstLineChars="200"/>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rPr>
        <w:t>5.</w:t>
      </w:r>
      <w:r>
        <w:rPr>
          <w:rFonts w:hint="eastAsia" w:ascii="仿宋" w:hAnsi="仿宋" w:eastAsia="仿宋" w:cs="仿宋"/>
          <w:color w:val="auto"/>
          <w:kern w:val="0"/>
          <w:sz w:val="24"/>
          <w:lang w:val="en-US" w:eastAsia="zh-CN"/>
        </w:rPr>
        <w:t>开展地质灾害防治知识培训、地质灾害应急演练1-2期。</w:t>
      </w:r>
    </w:p>
    <w:p>
      <w:pPr>
        <w:spacing w:line="54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6.重点位置设置警示牌。                                                                                                                                                                                                                                                                                                                                                                                                                                                                                                        </w:t>
      </w:r>
    </w:p>
    <w:p>
      <w:pPr>
        <w:spacing w:line="54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7.结合实际情况编制地质灾害应急预案。</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七、主要技术要求</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1.《崩塌防治工程设计规范（试行）》（T/CAGHP 032-2018）；</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2.《崩塌防治工程施工技术规范（试行）》（T/CAGHP 041-2018）；</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3.《泥石流防治工程设计规范（试行）》（T/CAGHP 021—2018）；</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4.《泥石流防治工程施工技术规范（试行）》（T/CAGHP 061—2019）；</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kern w:val="0"/>
          <w:sz w:val="24"/>
        </w:rPr>
        <w:t>《崩塌·滑坡·泥石流监测规范》（DZ/T0221-2006）；</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6.《危岩落石柔性防护网工程技术规范（试行）》（T/CAGHP 066-2019）；</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7.《砌体结构设计规范》（GB50003-2011）；</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8.《混凝土结构设计规范》（GB50010-2010）；</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9.《建筑地基基础设计规范》（GB50007-2011）；</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10.《建筑边坡工程技术规范》（GB50330-2013）；</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11.《工程测量规范》（GB50026-2007）；</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12.《全球定位系统（GPS）测量规范》（GB/T18314-2009）；</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13.《岩土工程勘察规范（2009年版）》（GB50021-2001）；</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14.《建筑抗震设计规范（2016年版）》（GB50011-2010）；</w:t>
      </w:r>
    </w:p>
    <w:p>
      <w:pPr>
        <w:pStyle w:val="18"/>
        <w:spacing w:line="540" w:lineRule="exact"/>
        <w:rPr>
          <w:rFonts w:ascii="仿宋" w:hAnsi="仿宋" w:eastAsia="仿宋" w:cs="仿宋"/>
          <w:color w:val="auto"/>
        </w:rPr>
      </w:pPr>
      <w:r>
        <w:rPr>
          <w:rFonts w:hint="eastAsia" w:ascii="仿宋" w:hAnsi="仿宋" w:eastAsia="仿宋" w:cs="仿宋"/>
          <w:color w:val="auto"/>
        </w:rPr>
        <w:t>15.其它有关规范、规程和技术要求。</w:t>
      </w:r>
    </w:p>
    <w:p>
      <w:pPr>
        <w:pStyle w:val="18"/>
        <w:spacing w:line="540" w:lineRule="exact"/>
        <w:rPr>
          <w:rFonts w:ascii="仿宋" w:hAnsi="仿宋" w:eastAsia="仿宋" w:cs="仿宋"/>
          <w:color w:val="auto"/>
        </w:rPr>
      </w:pPr>
      <w:r>
        <w:rPr>
          <w:rFonts w:hint="eastAsia" w:ascii="仿宋" w:hAnsi="仿宋" w:eastAsia="仿宋" w:cs="仿宋"/>
          <w:color w:val="auto"/>
        </w:rPr>
        <w:t>同时满足招标文件、设计书及其审批意见书和有关规定的要求。</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八、主要实物工作量</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根据本项目的目标和任务，结合防治区崩塌、泥石流灾害特征和环境现状，以基本消除或减轻地质灾害对当地居民的威胁为目的，本次崩塌、泥石流灾害防治工程可以采取</w:t>
      </w:r>
      <w:r>
        <w:rPr>
          <w:rFonts w:hint="eastAsia" w:ascii="仿宋" w:hAnsi="仿宋" w:eastAsia="仿宋" w:cs="仿宋"/>
          <w:color w:val="auto"/>
          <w:sz w:val="24"/>
        </w:rPr>
        <w:t>危石清理、主被动防护网、排导、拦挡等措施。</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投标单位在现场踏勘后提出投标设计方案。</w:t>
      </w:r>
    </w:p>
    <w:p>
      <w:pPr>
        <w:spacing w:line="54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最终设计方案及工作量以审批后的防治工程项目设计书为准。</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九、预期提交成果</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（一）防治工程设计成果</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1.新疆叶城县西合休乡阿亚克却普村4组崩塌、泥石流防治工程设计书（施工设计和施工组织设计）；</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2.新疆叶城县西合休乡阿亚克却普村4组崩塌、泥石流防治工程平面部布置图及各单项防治工程设计图。</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（二）防治工程施工成果</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防治工程施工成果和资料汇交应按《新疆维吾尔自治区地质灾害防治项目管理办法（试行）》及附件《新疆维吾尔自治区地质灾害防治项目验收细则》要求执行。</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十、工作周期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Style w:val="73"/>
          <w:rFonts w:hint="default" w:ascii="仿宋" w:hAnsi="仿宋" w:eastAsia="仿宋" w:cs="仿宋"/>
          <w:color w:val="auto"/>
          <w:sz w:val="24"/>
          <w:szCs w:val="24"/>
        </w:rPr>
      </w:pPr>
      <w:r>
        <w:rPr>
          <w:rStyle w:val="73"/>
          <w:rFonts w:hint="eastAsia" w:ascii="仿宋" w:hAnsi="仿宋" w:eastAsia="仿宋" w:cs="仿宋"/>
          <w:color w:val="auto"/>
          <w:sz w:val="24"/>
          <w:szCs w:val="24"/>
          <w:lang w:val="en-US" w:eastAsia="zh-CN"/>
        </w:rPr>
        <w:t xml:space="preserve">     </w:t>
      </w:r>
      <w:r>
        <w:rPr>
          <w:rStyle w:val="73"/>
          <w:rFonts w:hint="default" w:ascii="仿宋" w:hAnsi="仿宋" w:eastAsia="仿宋" w:cs="仿宋"/>
          <w:color w:val="auto"/>
          <w:sz w:val="24"/>
          <w:szCs w:val="24"/>
        </w:rPr>
        <w:t>2023年3月-2024年1月。其中：2023年</w:t>
      </w:r>
      <w:r>
        <w:rPr>
          <w:rStyle w:val="73"/>
          <w:rFonts w:hint="eastAsia" w:ascii="仿宋" w:hAnsi="仿宋" w:eastAsia="仿宋" w:cs="仿宋"/>
          <w:color w:val="auto"/>
          <w:sz w:val="24"/>
          <w:szCs w:val="24"/>
          <w:lang w:val="en-US" w:eastAsia="zh-CN"/>
        </w:rPr>
        <w:t>8</w:t>
      </w:r>
      <w:r>
        <w:rPr>
          <w:rStyle w:val="73"/>
          <w:rFonts w:hint="default" w:ascii="仿宋" w:hAnsi="仿宋" w:eastAsia="仿宋" w:cs="仿宋"/>
          <w:color w:val="auto"/>
          <w:sz w:val="24"/>
          <w:szCs w:val="24"/>
        </w:rPr>
        <w:t>月</w:t>
      </w:r>
      <w:r>
        <w:rPr>
          <w:rStyle w:val="73"/>
          <w:rFonts w:hint="eastAsia" w:ascii="仿宋" w:hAnsi="仿宋" w:eastAsia="仿宋" w:cs="仿宋"/>
          <w:color w:val="auto"/>
          <w:sz w:val="24"/>
          <w:szCs w:val="24"/>
          <w:lang w:val="en-US" w:eastAsia="zh-CN"/>
        </w:rPr>
        <w:t>20</w:t>
      </w:r>
      <w:r>
        <w:rPr>
          <w:rStyle w:val="73"/>
          <w:rFonts w:hint="default" w:ascii="仿宋" w:hAnsi="仿宋" w:eastAsia="仿宋" w:cs="仿宋"/>
          <w:color w:val="auto"/>
          <w:sz w:val="24"/>
          <w:szCs w:val="24"/>
        </w:rPr>
        <w:t>日前完成野外调查工作；2023年</w:t>
      </w:r>
      <w:r>
        <w:rPr>
          <w:rStyle w:val="73"/>
          <w:rFonts w:hint="eastAsia" w:ascii="仿宋" w:hAnsi="仿宋" w:eastAsia="仿宋" w:cs="仿宋"/>
          <w:color w:val="auto"/>
          <w:sz w:val="24"/>
          <w:szCs w:val="24"/>
          <w:lang w:val="en-US" w:eastAsia="zh-CN"/>
        </w:rPr>
        <w:t>9</w:t>
      </w:r>
      <w:r>
        <w:rPr>
          <w:rStyle w:val="73"/>
          <w:rFonts w:hint="default" w:ascii="仿宋" w:hAnsi="仿宋" w:eastAsia="仿宋" w:cs="仿宋"/>
          <w:color w:val="auto"/>
          <w:sz w:val="24"/>
          <w:szCs w:val="24"/>
        </w:rPr>
        <w:t>月</w:t>
      </w:r>
      <w:r>
        <w:rPr>
          <w:rStyle w:val="73"/>
          <w:rFonts w:hint="eastAsia" w:ascii="仿宋" w:hAnsi="仿宋" w:eastAsia="仿宋" w:cs="仿宋"/>
          <w:color w:val="auto"/>
          <w:sz w:val="24"/>
          <w:szCs w:val="24"/>
          <w:lang w:val="en-US" w:eastAsia="zh-CN"/>
        </w:rPr>
        <w:t>15</w:t>
      </w:r>
      <w:r>
        <w:rPr>
          <w:rStyle w:val="73"/>
          <w:rFonts w:hint="default" w:ascii="仿宋" w:hAnsi="仿宋" w:eastAsia="仿宋" w:cs="仿宋"/>
          <w:color w:val="auto"/>
          <w:sz w:val="24"/>
          <w:szCs w:val="24"/>
        </w:rPr>
        <w:t>日前提交报告及数据库送审稿,2024年1月完成资料汇交。</w:t>
      </w:r>
    </w:p>
    <w:p>
      <w:pPr>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br w:type="page"/>
      </w:r>
    </w:p>
    <w:p>
      <w:pPr>
        <w:pStyle w:val="2"/>
        <w:rPr>
          <w:rStyle w:val="73"/>
          <w:rFonts w:hint="default" w:ascii="仿宋" w:hAnsi="仿宋" w:eastAsia="仿宋" w:cs="仿宋"/>
          <w:color w:val="auto"/>
          <w:sz w:val="24"/>
          <w:szCs w:val="24"/>
        </w:rPr>
      </w:pPr>
    </w:p>
    <w:bookmarkEnd w:id="225"/>
    <w:bookmarkEnd w:id="226"/>
    <w:bookmarkEnd w:id="227"/>
    <w:bookmarkEnd w:id="228"/>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仿宋" w:hAnsi="仿宋" w:eastAsia="仿宋"/>
          <w:b/>
          <w:bCs/>
          <w:color w:val="auto"/>
          <w:sz w:val="36"/>
          <w:szCs w:val="36"/>
        </w:rPr>
      </w:pPr>
      <w:bookmarkStart w:id="230" w:name="_Toc218935355"/>
      <w:bookmarkStart w:id="231" w:name="_Toc219175639"/>
      <w:bookmarkStart w:id="232" w:name="_Toc216582826"/>
      <w:r>
        <w:rPr>
          <w:rFonts w:hint="eastAsia" w:ascii="仿宋" w:hAnsi="仿宋" w:eastAsia="仿宋"/>
          <w:b/>
          <w:bCs/>
          <w:color w:val="auto"/>
          <w:sz w:val="24"/>
        </w:rPr>
        <w:t>标项四：新疆叶城县西合休乡西合休村崩塌、泥石流地质灾害防治工程</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一、项目名称、编号及费用</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项目名称：新疆叶城县西合休乡西合休村崩塌、泥石流地质灾害防治工程</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项目编号：</w:t>
      </w:r>
      <w:r>
        <w:rPr>
          <w:rStyle w:val="73"/>
          <w:rFonts w:hint="default" w:ascii="仿宋" w:hAnsi="仿宋" w:eastAsia="仿宋" w:cs="仿宋"/>
          <w:color w:val="auto"/>
          <w:sz w:val="24"/>
          <w:szCs w:val="24"/>
        </w:rPr>
        <w:t>GYZB-KSDZFZ2023-04</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项目费用人民币：532.14万元（伍佰叁拾贰万壹仟肆佰元整）</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二、工作范围</w:t>
      </w:r>
    </w:p>
    <w:p>
      <w:pPr>
        <w:autoSpaceDE w:val="0"/>
        <w:autoSpaceDN w:val="0"/>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位于叶城县西南部喀喇昆仑山区中高山区，在西合休村委会北侧山坡及东侧两条泥石流沟，其中一号泥石流沟位于西合休村委会东侧300m处，二号泥石流沟位于一号泥石流沟东侧约1000m处。中心坐标为东经76°41′5″，北纬36°58′26.7″。</w:t>
      </w:r>
    </w:p>
    <w:p>
      <w:pPr>
        <w:spacing w:line="54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最终防治工程区范围以投标单位现场踏勘并与当地自然资源部门充分沟通确定的为准。</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三、自然经济地理</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（一）交通位置</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叶城县隶属于新疆喀什地区，地处昆仑山北麓、塔里木盆地西南缘。西合休村位于叶城县西南部喀喇昆仑山区腹地的西合休乡，由西合休乡政府至219国道阿喀孜达坂间有X548县道相连，沿219国道可直达叶城县县城，总计里程176千米，交通较便利。</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（二）社会经济概况</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叶城县西合休乡总面积为1.39万平方千米，辖9个行政村，35个村民小组，有村民927户、4828人，以维吾尔族、柯尔克孜族、塔吉克族为主。西合休乡以牲畜业生产为主体。有自然草场163万亩，年末畜牧存栏57200头（只），人均占有牲畜12头（只）。全乡耕地总面积4200亩，以青稞、玉米为主，半数农作物不能成熟，不能自给，依靠国家供应。全乡农牧民人均纯收入约4942元。</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西合休乡基础设施相对落后，无路、无通讯设施、无水、无电问题十分突出。该乡各村均分布在大山沟里，至今，乡与村、村与村之间仍不通公路（村与村之</w:t>
      </w:r>
      <w:r>
        <w:rPr>
          <w:rFonts w:hint="eastAsia" w:ascii="仿宋" w:hAnsi="仿宋" w:eastAsia="仿宋" w:cs="仿宋"/>
          <w:color w:val="auto"/>
          <w:spacing w:val="-2"/>
          <w:sz w:val="24"/>
        </w:rPr>
        <w:t>间的距离均在50公里以上，最远的达300公里以上），山高路险，道路狭窄，不利于人和牲畜安全通行，农牧民只能靠马和驴代步，基本生活物资只能靠骆驼驮运。该乡各村无通讯设施，靠骑马传递信息。以上状况越来越不适应生产力的发</w:t>
      </w:r>
      <w:r>
        <w:rPr>
          <w:rFonts w:hint="eastAsia" w:ascii="仿宋" w:hAnsi="仿宋" w:eastAsia="仿宋" w:cs="仿宋"/>
          <w:color w:val="auto"/>
          <w:sz w:val="24"/>
        </w:rPr>
        <w:t>展，特别是不适应维护社会稳定和国家安全以及发生重大疫情、灾情后进行指挥调控的需要。</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四、地质环境条件和工作程度</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（一）地形地貌</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位于叶城县西南部昆仑山中高山区，地形起伏，沟谷深切，海拔高度2950—4450米，相对高差1500米，沟谷两侧山体坡度在30°-65°左右，泥石流沟坡体基岩多裸露，表层覆盖薄层残坡积物厚约0.2—0.5米，坡体植被稀疏，以草类为主。</w:t>
      </w:r>
    </w:p>
    <w:p>
      <w:pPr>
        <w:numPr>
          <w:ilvl w:val="0"/>
          <w:numId w:val="6"/>
        </w:num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地层岩性</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区内出露的地层主要有元古界（Pt）以及新生界的第四系（Q），地层由老至新分述如下：</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（1）元古界（Pt）</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分布于防治区内泥石流沟的两侧（崩塌岩带）及中山区（泥石流形成－流通区），岩性为灰绿，绿色绢云母、绢云母石英片岩、绿泥石片岩、千枚岩。含石英脉穿插，节理裂隙较发育。抗风化能力低，抗水能力低，岩石力学强度较低。</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（2）第四系</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第四系全新统冲洪积层：分布于防治区泥石流河谷及两侧沟谷中，岩性为砂卵砾石或碎石土，干燥－稍湿，厚度3—20米。灰白色、浅灰色卵石、砾石、砂混杂堆积，松散、含水，碎屑成分主要由砂岩、砾岩及变质岩组成。卵石粒径一般2—15厘米，最大可达20厘米，含量40%—50%；粒径0.2—2米，含量30%—40%，砂含量20%—30%，分选差，磨圆为次棱角—圆状，无胶结。</w:t>
      </w:r>
    </w:p>
    <w:p>
      <w:pPr>
        <w:spacing w:line="540" w:lineRule="exact"/>
        <w:ind w:left="560"/>
        <w:rPr>
          <w:rFonts w:ascii="仿宋" w:hAnsi="仿宋" w:eastAsia="仿宋" w:cs="仿宋"/>
          <w:b/>
          <w:color w:val="auto"/>
          <w:sz w:val="24"/>
        </w:rPr>
      </w:pPr>
      <w:r>
        <w:rPr>
          <w:rFonts w:hint="eastAsia" w:ascii="仿宋" w:hAnsi="仿宋" w:eastAsia="仿宋" w:cs="仿宋"/>
          <w:b/>
          <w:color w:val="auto"/>
          <w:sz w:val="24"/>
        </w:rPr>
        <w:t>（三）地质构造</w:t>
      </w:r>
    </w:p>
    <w:p>
      <w:pPr>
        <w:pStyle w:val="36"/>
        <w:spacing w:line="500" w:lineRule="exact"/>
        <w:ind w:firstLine="480"/>
        <w:rPr>
          <w:rFonts w:ascii="仿宋" w:hAnsi="仿宋" w:eastAsia="仿宋" w:cs="仿宋"/>
          <w:color w:val="auto"/>
        </w:rPr>
      </w:pPr>
      <w:r>
        <w:rPr>
          <w:rFonts w:hint="eastAsia" w:ascii="仿宋" w:hAnsi="仿宋" w:eastAsia="仿宋" w:cs="仿宋"/>
          <w:color w:val="auto"/>
          <w:lang w:val="en-GB"/>
        </w:rPr>
        <w:t>防治区位于铁克里克台隆，整体地势在抬升，作上升运动，山区峡谷上升相对缓慢、滞后，最终形成了中高山深切峡谷地貌。</w:t>
      </w:r>
    </w:p>
    <w:p>
      <w:pPr>
        <w:spacing w:line="540" w:lineRule="exact"/>
        <w:ind w:left="560"/>
        <w:rPr>
          <w:rFonts w:ascii="仿宋" w:hAnsi="仿宋" w:eastAsia="仿宋" w:cs="仿宋"/>
          <w:b/>
          <w:color w:val="auto"/>
          <w:sz w:val="24"/>
        </w:rPr>
      </w:pPr>
      <w:r>
        <w:rPr>
          <w:rFonts w:hint="eastAsia" w:ascii="仿宋" w:hAnsi="仿宋" w:eastAsia="仿宋" w:cs="仿宋"/>
          <w:b/>
          <w:color w:val="auto"/>
          <w:sz w:val="24"/>
        </w:rPr>
        <w:t>（四）水文地质条件</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根据地下水赋存条件、水力性质及水力特征，将防治区的地下水类型划分为第四系松散堆积层孔隙潜水和基岩裂隙水两大类。</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1.第四系松散堆积层孔隙潜水</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内河谷发育，有断续地表水流，补给条件较好。地下水富水性与含水层厚度及河流径流量关系极为密切。一般含水层厚、径流量大地下水丰富，反之亦然。水质类型受河流流域岩性影响其变化较大。本区地下水主要接受南部山区地下水的侧向径流补给。地下水的排泄方式，以大量蒸发以及在洼地、冲沟底部泉水溢出为主，少量人工开采为辅。含水层厚度一般21—46米，水位埋深3.16—63.48米，推算涌水量50.19-6231.14 立方米/日，矿化度0.35—5.56克/升，水质类型多为SO</w:t>
      </w:r>
      <w:r>
        <w:rPr>
          <w:rFonts w:hint="eastAsia" w:ascii="仿宋" w:hAnsi="仿宋" w:eastAsia="仿宋" w:cs="仿宋"/>
          <w:color w:val="auto"/>
          <w:sz w:val="24"/>
          <w:vertAlign w:val="subscript"/>
        </w:rPr>
        <w:t>4</w:t>
      </w:r>
      <w:r>
        <w:rPr>
          <w:rFonts w:hint="eastAsia" w:ascii="仿宋" w:hAnsi="仿宋" w:eastAsia="仿宋" w:cs="仿宋"/>
          <w:color w:val="auto"/>
          <w:sz w:val="24"/>
        </w:rPr>
        <w:t>•HCO</w:t>
      </w:r>
      <w:r>
        <w:rPr>
          <w:rFonts w:hint="eastAsia" w:ascii="仿宋" w:hAnsi="仿宋" w:eastAsia="仿宋" w:cs="仿宋"/>
          <w:color w:val="auto"/>
          <w:sz w:val="24"/>
          <w:vertAlign w:val="subscript"/>
        </w:rPr>
        <w:t>3</w:t>
      </w:r>
      <w:r>
        <w:rPr>
          <w:rFonts w:hint="eastAsia" w:ascii="仿宋" w:hAnsi="仿宋" w:eastAsia="仿宋" w:cs="仿宋"/>
          <w:color w:val="auto"/>
          <w:sz w:val="24"/>
        </w:rPr>
        <w:t>-Ca型。</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2.基岩裂隙水</w:t>
      </w:r>
    </w:p>
    <w:p>
      <w:pPr>
        <w:pStyle w:val="36"/>
        <w:spacing w:line="500" w:lineRule="exact"/>
        <w:ind w:firstLine="480"/>
        <w:rPr>
          <w:rFonts w:ascii="仿宋" w:hAnsi="仿宋" w:eastAsia="仿宋" w:cs="仿宋"/>
          <w:color w:val="auto"/>
        </w:rPr>
      </w:pPr>
      <w:r>
        <w:rPr>
          <w:rFonts w:hint="eastAsia" w:ascii="仿宋" w:hAnsi="仿宋" w:eastAsia="仿宋" w:cs="仿宋"/>
          <w:color w:val="auto"/>
        </w:rPr>
        <w:t>分布在防治区内泥石流沟的两侧（崩塌岩带）及上游南部低山区（泥石流形成－流通区），含水岩性为元古界、古生代深变质的各类片岩、砂岩、石灰岩。地下水主要接受冰雪融水和大气降水的补给。地下水在接受补给后，总体上由西向东径流，在下游多以泉的形式排泄。</w:t>
      </w:r>
    </w:p>
    <w:p>
      <w:pPr>
        <w:spacing w:line="540" w:lineRule="exact"/>
        <w:ind w:left="560"/>
        <w:rPr>
          <w:rFonts w:ascii="仿宋" w:hAnsi="仿宋" w:eastAsia="仿宋" w:cs="仿宋"/>
          <w:b/>
          <w:color w:val="auto"/>
          <w:sz w:val="24"/>
        </w:rPr>
      </w:pPr>
      <w:bookmarkStart w:id="233" w:name="_Toc172356668"/>
      <w:bookmarkStart w:id="234" w:name="_Toc172353180"/>
      <w:bookmarkStart w:id="235" w:name="_Toc172355312"/>
      <w:r>
        <w:rPr>
          <w:rFonts w:hint="eastAsia" w:ascii="仿宋" w:hAnsi="仿宋" w:eastAsia="仿宋" w:cs="仿宋"/>
          <w:b/>
          <w:color w:val="auto"/>
          <w:sz w:val="24"/>
        </w:rPr>
        <w:t>（五）工程地质条件</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根据防治区内地层的分布特征，岩土体分为岩体和土体两大类。按照岩石强度、结构以及土体的粒度成分及结构，将岩土体划分为坚硬－较坚硬岩组，土体包括卵石土单层土体和碎石土单层土体两种。</w:t>
      </w:r>
    </w:p>
    <w:p>
      <w:pPr>
        <w:snapToGrid w:val="0"/>
        <w:spacing w:line="500" w:lineRule="exact"/>
        <w:ind w:firstLine="480" w:firstLineChars="200"/>
        <w:rPr>
          <w:rFonts w:ascii="仿宋" w:hAnsi="仿宋" w:eastAsia="仿宋" w:cs="仿宋"/>
          <w:color w:val="auto"/>
          <w:sz w:val="24"/>
        </w:rPr>
      </w:pPr>
      <w:bookmarkStart w:id="236" w:name="_Toc205291786"/>
      <w:bookmarkStart w:id="237" w:name="_Toc205289809"/>
      <w:r>
        <w:rPr>
          <w:rFonts w:hint="eastAsia" w:ascii="仿宋" w:hAnsi="仿宋" w:eastAsia="仿宋" w:cs="仿宋"/>
          <w:color w:val="auto"/>
          <w:sz w:val="24"/>
        </w:rPr>
        <w:t>1.坚硬－较坚硬片状以片岩为主的岩组</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分布于防治区内泥石流沟的两侧（崩塌危岩带）及上游南部低山区（泥石流形成－流通区），出露面积较大。主要岩性为粉砂岩、凝灰岩。由于岩石的片理发育，力学强度各向异性，岩石破碎，构造裂隙发育，抗风化能力低，抗水能力低，因此岩石力学强度较低，浸水后常被软化。</w:t>
      </w:r>
    </w:p>
    <w:bookmarkEnd w:id="236"/>
    <w:bookmarkEnd w:id="237"/>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2.土体</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1）卵石土单层土体</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呈零星片状分布于防治区北部的堆积区和西合休河阶地下，岩性为卵石、砂砾石等，结构松散。</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2）碎石土单层土体</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呈条带状分布于泥石流沟底部，岩性为分选性差的片石和碎石土，碎石多为尖棱状，结构松散，工程地质条件较差，厚度不均匀，一般在0.5—1.5米。为防治区内泥石流灾害的主要物源。</w:t>
      </w:r>
    </w:p>
    <w:p>
      <w:pPr>
        <w:spacing w:line="540" w:lineRule="exact"/>
        <w:ind w:left="560"/>
        <w:rPr>
          <w:rFonts w:ascii="仿宋" w:hAnsi="仿宋" w:eastAsia="仿宋" w:cs="仿宋"/>
          <w:b/>
          <w:color w:val="auto"/>
          <w:sz w:val="24"/>
        </w:rPr>
      </w:pPr>
      <w:r>
        <w:rPr>
          <w:rFonts w:hint="eastAsia" w:ascii="仿宋" w:hAnsi="仿宋" w:eastAsia="仿宋" w:cs="仿宋"/>
          <w:b/>
          <w:color w:val="auto"/>
          <w:sz w:val="24"/>
        </w:rPr>
        <w:t>（六）人类工程活动</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防治区在崩塌灾害的影响范围内和泥石流堆积扇区的人类工程经济活动十分频繁，人类工程活动对地质环境的影响主要表现为建房、修路、农业活动等。由于当地</w:t>
      </w:r>
      <w:r>
        <w:rPr>
          <w:rFonts w:hint="eastAsia" w:ascii="仿宋" w:hAnsi="仿宋" w:eastAsia="仿宋" w:cs="仿宋"/>
          <w:color w:val="auto"/>
          <w:sz w:val="24"/>
          <w:lang w:val="en-GB" w:bidi="en-US"/>
        </w:rPr>
        <w:t>土地资源稀缺，村民</w:t>
      </w:r>
      <w:r>
        <w:rPr>
          <w:rFonts w:hint="eastAsia" w:ascii="仿宋" w:hAnsi="仿宋" w:eastAsia="仿宋" w:cs="仿宋"/>
          <w:color w:val="auto"/>
          <w:sz w:val="24"/>
        </w:rPr>
        <w:t>在崩塌的影响范围内和泥石流堆积区域进行生活、生产，从而成为崩塌、泥石流灾害的主要威胁对象。</w:t>
      </w:r>
    </w:p>
    <w:bookmarkEnd w:id="233"/>
    <w:bookmarkEnd w:id="234"/>
    <w:bookmarkEnd w:id="235"/>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五、主要地质灾害</w:t>
      </w:r>
    </w:p>
    <w:p>
      <w:pPr>
        <w:pStyle w:val="36"/>
        <w:spacing w:line="500" w:lineRule="exact"/>
        <w:ind w:firstLine="480"/>
        <w:rPr>
          <w:rFonts w:ascii="仿宋" w:hAnsi="仿宋" w:eastAsia="仿宋" w:cs="仿宋"/>
          <w:bCs/>
          <w:color w:val="auto"/>
        </w:rPr>
      </w:pPr>
      <w:r>
        <w:rPr>
          <w:rFonts w:hint="eastAsia" w:ascii="仿宋" w:hAnsi="仿宋" w:eastAsia="仿宋" w:cs="仿宋"/>
          <w:color w:val="auto"/>
        </w:rPr>
        <w:t>防治区主要地质灾害类型为崩塌、泥石流。</w:t>
      </w:r>
      <w:r>
        <w:rPr>
          <w:rFonts w:hint="eastAsia" w:ascii="仿宋" w:hAnsi="仿宋" w:eastAsia="仿宋" w:cs="仿宋"/>
          <w:bCs/>
          <w:color w:val="auto"/>
        </w:rPr>
        <w:t>灾害主要威胁当地居民520余人，村委会及周边居民房和易地搬迁扶贫安置房95户及林带、乡村公路的安全，由于</w:t>
      </w:r>
      <w:r>
        <w:rPr>
          <w:rFonts w:hint="eastAsia" w:ascii="仿宋" w:hAnsi="仿宋" w:eastAsia="仿宋" w:cs="仿宋"/>
          <w:color w:val="auto"/>
        </w:rPr>
        <w:t>西合休乡是屯垦戍边重点乡镇，无搬迁的可能</w:t>
      </w:r>
      <w:r>
        <w:rPr>
          <w:rFonts w:hint="eastAsia" w:ascii="仿宋" w:hAnsi="仿宋" w:eastAsia="仿宋" w:cs="仿宋"/>
          <w:bCs/>
          <w:color w:val="auto"/>
        </w:rPr>
        <w:t>，</w:t>
      </w:r>
      <w:r>
        <w:rPr>
          <w:rFonts w:hint="eastAsia" w:ascii="仿宋" w:hAnsi="仿宋" w:eastAsia="仿宋" w:cs="仿宋"/>
          <w:color w:val="auto"/>
        </w:rPr>
        <w:t>地质灾害直接威胁财产估算约</w:t>
      </w:r>
      <w:r>
        <w:rPr>
          <w:rFonts w:hint="eastAsia" w:ascii="仿宋" w:hAnsi="仿宋" w:eastAsia="仿宋" w:cs="仿宋"/>
          <w:bCs/>
          <w:color w:val="auto"/>
        </w:rPr>
        <w:t>4500万元。</w:t>
      </w:r>
    </w:p>
    <w:p>
      <w:pPr>
        <w:pStyle w:val="36"/>
        <w:spacing w:line="500" w:lineRule="exact"/>
        <w:ind w:firstLine="480"/>
        <w:rPr>
          <w:rFonts w:ascii="仿宋" w:hAnsi="仿宋" w:eastAsia="仿宋" w:cs="仿宋"/>
          <w:color w:val="auto"/>
        </w:rPr>
      </w:pPr>
      <w:r>
        <w:rPr>
          <w:rFonts w:hint="eastAsia" w:ascii="仿宋" w:hAnsi="仿宋" w:eastAsia="仿宋" w:cs="仿宋"/>
          <w:color w:val="auto"/>
        </w:rPr>
        <w:t>防治区发育1处崩塌、2处泥石流地质灾害，发育特征分述如下：</w:t>
      </w:r>
    </w:p>
    <w:p>
      <w:pPr>
        <w:spacing w:line="5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（一）崩塌灾害</w:t>
      </w:r>
    </w:p>
    <w:p>
      <w:pPr>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崩塌灾害位于西合休村村委会北侧斜坡，该崩塌灾害为倾倒式岩质崩塌，规模为小型，崩塌体在斜坡上表现为陡崖，斜坡坡高200米，坡长100米，坡向100°，坡面形态凹凸不平。崩塌危岩体突兀，高差在10—30米，崩塌危岩体长约70米，走向约66°，坡度80-85°。受风化及人为切坡影响危岩体裂隙较发育，危岩体最大粒径约2米，局部呈悬空状态。在坡脚散布巨大的块石，最大粒径4.5×1.5×1米。节理裂隙发育，岩体破碎，以风化剥、坠落为主要特点。坡脚分布崩塌堆积体，大小混杂，碎石块度相差较大，在1.0—0.01米之间，堆积体长度范围60米，体积约30立方米；危岩体稳定性现状为欠稳定。</w:t>
      </w:r>
    </w:p>
    <w:p>
      <w:pPr>
        <w:spacing w:line="5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（二）泥石流灾害</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1.N1泥石流沟</w:t>
      </w:r>
    </w:p>
    <w:p>
      <w:pPr>
        <w:spacing w:line="500" w:lineRule="exact"/>
        <w:ind w:firstLine="480" w:firstLineChars="200"/>
        <w:rPr>
          <w:rFonts w:ascii="仿宋" w:hAnsi="仿宋" w:eastAsia="仿宋" w:cs="仿宋"/>
          <w:color w:val="auto"/>
          <w:sz w:val="24"/>
          <w:lang w:val="en-GB" w:bidi="en-US"/>
        </w:rPr>
      </w:pPr>
      <w:r>
        <w:rPr>
          <w:rFonts w:hint="eastAsia" w:ascii="仿宋" w:hAnsi="仿宋" w:eastAsia="仿宋" w:cs="仿宋"/>
          <w:color w:val="auto"/>
          <w:sz w:val="24"/>
        </w:rPr>
        <w:t>N1泥石流沟位于西合休村委会东侧300米处，沟道</w:t>
      </w:r>
      <w:r>
        <w:rPr>
          <w:rFonts w:hint="eastAsia" w:ascii="仿宋" w:hAnsi="仿宋" w:eastAsia="仿宋" w:cs="仿宋"/>
          <w:color w:val="auto"/>
          <w:sz w:val="24"/>
          <w:lang w:val="en-GB" w:bidi="en-US"/>
        </w:rPr>
        <w:t>延展整体呈南－北向，流域面积约0.65平方千米，主沟总长约1.26千米，最大相对高差500米，沟道纵坡降为138‰，沟道宽2—50米，两侧山体坡度30-70°。沟道形态整体呈“U”型，沟槽较顺直，堵塞程度轻微。沟道基底主要由第四系含砾粉土构成，沟口堆积扇长120米，扇宽210米，扩散角99°。</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2.N2泥石流沟</w:t>
      </w:r>
    </w:p>
    <w:p>
      <w:pPr>
        <w:spacing w:line="500" w:lineRule="exact"/>
        <w:ind w:firstLine="480" w:firstLineChars="200"/>
        <w:rPr>
          <w:rFonts w:ascii="仿宋" w:hAnsi="仿宋" w:eastAsia="仿宋" w:cs="仿宋"/>
          <w:color w:val="auto"/>
          <w:sz w:val="24"/>
          <w:lang w:val="en-GB" w:bidi="en-US"/>
        </w:rPr>
      </w:pPr>
      <w:r>
        <w:rPr>
          <w:rFonts w:hint="eastAsia" w:ascii="仿宋" w:hAnsi="仿宋" w:eastAsia="仿宋" w:cs="仿宋"/>
          <w:color w:val="auto"/>
          <w:sz w:val="24"/>
          <w:lang w:bidi="en-US"/>
        </w:rPr>
        <w:t>N2</w:t>
      </w:r>
      <w:r>
        <w:rPr>
          <w:rFonts w:hint="eastAsia" w:ascii="仿宋" w:hAnsi="仿宋" w:eastAsia="仿宋" w:cs="仿宋"/>
          <w:color w:val="auto"/>
          <w:sz w:val="24"/>
          <w:lang w:val="en-GB" w:bidi="en-US"/>
        </w:rPr>
        <w:t>泥石流沟位于</w:t>
      </w:r>
      <w:r>
        <w:rPr>
          <w:rFonts w:hint="eastAsia" w:ascii="仿宋" w:hAnsi="仿宋" w:eastAsia="仿宋" w:cs="仿宋"/>
          <w:color w:val="auto"/>
          <w:sz w:val="24"/>
          <w:lang w:bidi="en-US"/>
        </w:rPr>
        <w:t>N1</w:t>
      </w:r>
      <w:r>
        <w:rPr>
          <w:rFonts w:hint="eastAsia" w:ascii="仿宋" w:hAnsi="仿宋" w:eastAsia="仿宋" w:cs="仿宋"/>
          <w:color w:val="auto"/>
          <w:sz w:val="24"/>
          <w:lang w:val="en-GB" w:bidi="en-US"/>
        </w:rPr>
        <w:t>泥石流沟东侧约1000米处，沟道延展整体呈南－北向，支沟不发育，流域面积约0.06平方千米，主沟总长约0.24千米，最大相对高差180米，沟道宽2—15米，两侧山体坡度30-70°。沟道形态呈“U”型。沟道基底主要由第四系含砾粉土构成，山体表层覆盖物主要为残坡积粉土，山体坡脚及沟底为第四系堆积物，岩性以含砾粉土为主。沟口堆积扇长40米，扇宽73米，扩散角93°。</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六、目标任务</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（一）目标</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通过对</w:t>
      </w:r>
      <w:r>
        <w:rPr>
          <w:rFonts w:hint="eastAsia" w:ascii="仿宋" w:hAnsi="仿宋" w:eastAsia="仿宋" w:cs="仿宋"/>
          <w:color w:val="auto"/>
          <w:kern w:val="0"/>
          <w:sz w:val="24"/>
        </w:rPr>
        <w:t>新疆叶城县西合休乡西合休村崩塌、泥石流地质灾害防治工程</w:t>
      </w:r>
      <w:r>
        <w:rPr>
          <w:rFonts w:hint="eastAsia" w:ascii="仿宋" w:hAnsi="仿宋" w:eastAsia="仿宋" w:cs="仿宋"/>
          <w:color w:val="auto"/>
          <w:sz w:val="24"/>
        </w:rPr>
        <w:t>的设计与实施，减轻或消除</w:t>
      </w:r>
      <w:r>
        <w:rPr>
          <w:rFonts w:hint="eastAsia" w:ascii="仿宋" w:hAnsi="仿宋" w:eastAsia="仿宋" w:cs="仿宋"/>
          <w:color w:val="auto"/>
          <w:kern w:val="0"/>
          <w:sz w:val="24"/>
        </w:rPr>
        <w:t>西合休村崩塌、泥石流</w:t>
      </w:r>
      <w:r>
        <w:rPr>
          <w:rFonts w:hint="eastAsia" w:ascii="仿宋" w:hAnsi="仿宋" w:eastAsia="仿宋" w:cs="仿宋"/>
          <w:color w:val="auto"/>
          <w:sz w:val="24"/>
        </w:rPr>
        <w:t>地质灾害对该村居民及房屋的威胁，保障当地居民的生命和财产安全。</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（二）任务</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sz w:val="24"/>
        </w:rPr>
        <w:t>根据实地踏勘成果和防治报告</w:t>
      </w:r>
      <w:r>
        <w:rPr>
          <w:rFonts w:hint="eastAsia" w:ascii="仿宋" w:hAnsi="仿宋" w:eastAsia="仿宋" w:cs="仿宋"/>
          <w:color w:val="auto"/>
          <w:kern w:val="0"/>
          <w:sz w:val="24"/>
        </w:rPr>
        <w:t>以及相关标准规范</w:t>
      </w:r>
      <w:r>
        <w:rPr>
          <w:rFonts w:hint="eastAsia" w:ascii="仿宋" w:hAnsi="仿宋" w:eastAsia="仿宋" w:cs="仿宋"/>
          <w:color w:val="auto"/>
          <w:sz w:val="24"/>
        </w:rPr>
        <w:t>编制地质灾害防治工程设计和施工组织设计</w:t>
      </w:r>
      <w:r>
        <w:rPr>
          <w:rFonts w:hint="eastAsia" w:ascii="仿宋" w:hAnsi="仿宋" w:eastAsia="仿宋" w:cs="仿宋"/>
          <w:color w:val="auto"/>
          <w:kern w:val="0"/>
          <w:sz w:val="24"/>
        </w:rPr>
        <w:t xml:space="preserve">； </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2.按照审批通过的</w:t>
      </w:r>
      <w:r>
        <w:rPr>
          <w:rFonts w:hint="eastAsia" w:ascii="仿宋" w:hAnsi="仿宋" w:eastAsia="仿宋" w:cs="仿宋"/>
          <w:color w:val="auto"/>
          <w:sz w:val="24"/>
        </w:rPr>
        <w:t>勘查</w:t>
      </w:r>
      <w:r>
        <w:rPr>
          <w:rFonts w:hint="eastAsia" w:ascii="仿宋" w:hAnsi="仿宋" w:eastAsia="仿宋" w:cs="仿宋"/>
          <w:color w:val="auto"/>
          <w:kern w:val="0"/>
          <w:sz w:val="24"/>
        </w:rPr>
        <w:t>工程设计，组织地质灾害防治工程施工；</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sz w:val="24"/>
        </w:rPr>
        <w:t>减轻或消除</w:t>
      </w:r>
      <w:r>
        <w:rPr>
          <w:rFonts w:hint="eastAsia" w:ascii="仿宋" w:hAnsi="仿宋" w:eastAsia="仿宋" w:cs="仿宋"/>
          <w:color w:val="auto"/>
          <w:kern w:val="0"/>
          <w:sz w:val="24"/>
        </w:rPr>
        <w:t>工作区及其周边居民</w:t>
      </w:r>
      <w:r>
        <w:rPr>
          <w:rFonts w:hint="eastAsia" w:ascii="仿宋" w:hAnsi="仿宋" w:eastAsia="仿宋" w:cs="仿宋"/>
          <w:color w:val="auto"/>
          <w:sz w:val="24"/>
        </w:rPr>
        <w:t>遭受灾害的威胁</w:t>
      </w:r>
      <w:r>
        <w:rPr>
          <w:rFonts w:hint="eastAsia" w:ascii="仿宋" w:hAnsi="仿宋" w:eastAsia="仿宋" w:cs="仿宋"/>
          <w:color w:val="auto"/>
          <w:kern w:val="0"/>
          <w:sz w:val="24"/>
        </w:rPr>
        <w:t>；</w:t>
      </w:r>
    </w:p>
    <w:p>
      <w:pPr>
        <w:spacing w:line="54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4.防治工程完成后，制作永久性工程说明碑。</w:t>
      </w:r>
    </w:p>
    <w:p>
      <w:pPr>
        <w:spacing w:line="540" w:lineRule="exact"/>
        <w:ind w:firstLine="480" w:firstLineChars="200"/>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rPr>
        <w:t>5.</w:t>
      </w:r>
      <w:r>
        <w:rPr>
          <w:rFonts w:hint="eastAsia" w:ascii="仿宋" w:hAnsi="仿宋" w:eastAsia="仿宋" w:cs="仿宋"/>
          <w:color w:val="auto"/>
          <w:kern w:val="0"/>
          <w:sz w:val="24"/>
          <w:lang w:val="en-US" w:eastAsia="zh-CN"/>
        </w:rPr>
        <w:t>开展地质灾害防治知识培训、地质灾害应急演练1-2期。</w:t>
      </w:r>
    </w:p>
    <w:p>
      <w:pPr>
        <w:spacing w:line="54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6.重点位置设置警示牌。                                                                                                                                                                                                                                                                                                                                                                                                                                                                                                        </w:t>
      </w:r>
    </w:p>
    <w:p>
      <w:pPr>
        <w:spacing w:line="54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7.结合实际情况编制地质灾害应急预案。</w:t>
      </w:r>
    </w:p>
    <w:p>
      <w:pPr>
        <w:pStyle w:val="2"/>
        <w:rPr>
          <w:color w:val="auto"/>
        </w:rPr>
      </w:pP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七、主要技术要求</w:t>
      </w:r>
    </w:p>
    <w:p>
      <w:pPr>
        <w:spacing w:line="540" w:lineRule="exact"/>
        <w:ind w:firstLine="480" w:firstLineChars="200"/>
        <w:rPr>
          <w:rFonts w:ascii="仿宋" w:hAnsi="仿宋" w:eastAsia="仿宋" w:cs="仿宋"/>
          <w:color w:val="auto"/>
          <w:sz w:val="24"/>
        </w:rPr>
      </w:pPr>
      <w:bookmarkStart w:id="238" w:name="_Hlk25767635"/>
      <w:r>
        <w:rPr>
          <w:rFonts w:hint="eastAsia" w:ascii="仿宋" w:hAnsi="仿宋" w:eastAsia="仿宋" w:cs="仿宋"/>
          <w:color w:val="auto"/>
          <w:sz w:val="24"/>
        </w:rPr>
        <w:t>1.《崩塌防治工程设计规范（试行）》（T/CAGHP 032-2018）；</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2.《崩塌防治工程施工技术规范（试行）》（T/CAGHP 041-2018）；</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3.《泥石流防治工程设计规范（试行）》（T/CAGHP 021—2018）；</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4.《泥石流防治工程施工技术规范（试行）》（T/CAGHP 061—2019）；</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kern w:val="0"/>
          <w:sz w:val="24"/>
        </w:rPr>
        <w:t>《崩塌·滑坡·泥石流监测规范》（DZ/T0221-2006）；</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6.《危岩落石柔性防护网工程技术规范（试行）》（T/CAGHP 066-2019）；</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7.《砌体结构设计规范》（GB50003-2011）；</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8.《混凝土结构设计规范》（GB50010-2010）；</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9.《建筑地基基础设计规范》（GB50007-2011）；</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10.《建筑边坡工程技术规范》（GB50330-2013）；</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11.《工程测量规范》（GB50026-2007）；</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12.《全球定位系统（GPS）测量规范》（GB/T18314-2009）；</w:t>
      </w:r>
      <w:bookmarkEnd w:id="238"/>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13.《岩土工程勘察规范（2009年版）》（GB50021-2001）；</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14.《建筑抗震设计规范（2016年版）》（GB50011-2010）；</w:t>
      </w:r>
    </w:p>
    <w:p>
      <w:pPr>
        <w:pStyle w:val="18"/>
        <w:spacing w:line="540" w:lineRule="exact"/>
        <w:rPr>
          <w:rFonts w:ascii="仿宋" w:hAnsi="仿宋" w:eastAsia="仿宋" w:cs="仿宋"/>
          <w:color w:val="auto"/>
        </w:rPr>
      </w:pPr>
      <w:r>
        <w:rPr>
          <w:rFonts w:hint="eastAsia" w:ascii="仿宋" w:hAnsi="仿宋" w:eastAsia="仿宋" w:cs="仿宋"/>
          <w:color w:val="auto"/>
        </w:rPr>
        <w:t>15.其它有关规范、规程和技术要求。</w:t>
      </w:r>
    </w:p>
    <w:p>
      <w:pPr>
        <w:pStyle w:val="18"/>
        <w:spacing w:line="540" w:lineRule="exact"/>
        <w:rPr>
          <w:rFonts w:ascii="仿宋" w:hAnsi="仿宋" w:eastAsia="仿宋" w:cs="仿宋"/>
          <w:color w:val="auto"/>
        </w:rPr>
      </w:pPr>
      <w:r>
        <w:rPr>
          <w:rFonts w:hint="eastAsia" w:ascii="仿宋" w:hAnsi="仿宋" w:eastAsia="仿宋" w:cs="仿宋"/>
          <w:color w:val="auto"/>
        </w:rPr>
        <w:t>同时满足招标文件、设计书及其审批意见书和有关规定的要求。</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八、主要实物工作量</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根据本项目的目标和任务，结合防治区崩塌、泥石流灾害特征和环境现状，以基本消除或减轻地质灾害对当地居民的威胁为目的，本次崩塌、泥石流灾害防治工程可以采取</w:t>
      </w:r>
      <w:r>
        <w:rPr>
          <w:rFonts w:hint="eastAsia" w:ascii="仿宋" w:hAnsi="仿宋" w:eastAsia="仿宋" w:cs="仿宋"/>
          <w:color w:val="auto"/>
          <w:sz w:val="24"/>
        </w:rPr>
        <w:t>危石清理、主被动防护网、拦挡、排导</w:t>
      </w:r>
      <w:r>
        <w:rPr>
          <w:rFonts w:hint="eastAsia" w:ascii="仿宋" w:hAnsi="仿宋" w:eastAsia="仿宋" w:cs="仿宋"/>
          <w:color w:val="auto"/>
          <w:kern w:val="0"/>
          <w:sz w:val="24"/>
        </w:rPr>
        <w:t>等措施进行防治。</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投标单位在现场踏勘后提出投标设计方案。</w:t>
      </w:r>
    </w:p>
    <w:p>
      <w:pPr>
        <w:spacing w:line="54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最终设计方案及工作量以审批后的防治工程项目设计书为准。</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九、预期提交成果</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（一）防治工程设计成果</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1.新疆叶城县西合休乡西合休村崩塌、泥石流地质灾害防治工程设计书（施工设计和施工组织设计）；</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2.新疆叶城县西合休乡西合休村崩塌、泥石流地质灾害防治工程平面部布置图及各单项防治工程设计图。</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（二）防治工程施工成果</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防治工程施工成果和资料汇交应按《新疆维吾尔自治区地质灾害防治项目管理办法（试行）》及附件《新疆维吾尔自治区地质灾害防治项目验收细则》要求执行。</w:t>
      </w:r>
    </w:p>
    <w:p>
      <w:pPr>
        <w:spacing w:line="54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十、工作周期</w:t>
      </w:r>
    </w:p>
    <w:p>
      <w:pPr>
        <w:autoSpaceDE w:val="0"/>
        <w:autoSpaceDN w:val="0"/>
        <w:adjustRightInd w:val="0"/>
        <w:snapToGrid w:val="0"/>
        <w:spacing w:line="560" w:lineRule="exact"/>
        <w:ind w:firstLine="480" w:firstLineChars="200"/>
        <w:rPr>
          <w:rFonts w:hint="eastAsia" w:ascii="仿宋" w:hAnsi="仿宋" w:eastAsia="仿宋" w:cs="仿宋"/>
          <w:color w:val="auto"/>
          <w:sz w:val="24"/>
        </w:rPr>
      </w:pPr>
      <w:r>
        <w:rPr>
          <w:rFonts w:hint="default" w:ascii="仿宋" w:hAnsi="仿宋" w:eastAsia="仿宋" w:cs="仿宋"/>
          <w:color w:val="auto"/>
          <w:sz w:val="24"/>
        </w:rPr>
        <w:t>2023年3月-2024年1月。其中：2023年</w:t>
      </w:r>
      <w:r>
        <w:rPr>
          <w:rFonts w:hint="eastAsia" w:ascii="仿宋" w:hAnsi="仿宋" w:eastAsia="仿宋" w:cs="仿宋"/>
          <w:color w:val="auto"/>
          <w:sz w:val="24"/>
          <w:lang w:val="en-US" w:eastAsia="zh-CN"/>
        </w:rPr>
        <w:t>8</w:t>
      </w:r>
      <w:r>
        <w:rPr>
          <w:rFonts w:hint="default" w:ascii="仿宋" w:hAnsi="仿宋" w:eastAsia="仿宋" w:cs="仿宋"/>
          <w:color w:val="auto"/>
          <w:sz w:val="24"/>
        </w:rPr>
        <w:t>月</w:t>
      </w:r>
      <w:r>
        <w:rPr>
          <w:rFonts w:hint="eastAsia" w:ascii="仿宋" w:hAnsi="仿宋" w:eastAsia="仿宋" w:cs="仿宋"/>
          <w:color w:val="auto"/>
          <w:sz w:val="24"/>
          <w:lang w:val="en-US" w:eastAsia="zh-CN"/>
        </w:rPr>
        <w:t>20</w:t>
      </w:r>
      <w:r>
        <w:rPr>
          <w:rFonts w:hint="default" w:ascii="仿宋" w:hAnsi="仿宋" w:eastAsia="仿宋" w:cs="仿宋"/>
          <w:color w:val="auto"/>
          <w:sz w:val="24"/>
        </w:rPr>
        <w:t>日前完成野外调查工作；2023年</w:t>
      </w:r>
      <w:r>
        <w:rPr>
          <w:rFonts w:hint="eastAsia" w:ascii="仿宋" w:hAnsi="仿宋" w:eastAsia="仿宋" w:cs="仿宋"/>
          <w:color w:val="auto"/>
          <w:sz w:val="24"/>
          <w:lang w:val="en-US" w:eastAsia="zh-CN"/>
        </w:rPr>
        <w:t>9</w:t>
      </w:r>
      <w:r>
        <w:rPr>
          <w:rFonts w:hint="default" w:ascii="仿宋" w:hAnsi="仿宋" w:eastAsia="仿宋" w:cs="仿宋"/>
          <w:color w:val="auto"/>
          <w:sz w:val="24"/>
        </w:rPr>
        <w:t>月</w:t>
      </w:r>
      <w:r>
        <w:rPr>
          <w:rFonts w:hint="eastAsia" w:ascii="仿宋" w:hAnsi="仿宋" w:eastAsia="仿宋" w:cs="仿宋"/>
          <w:color w:val="auto"/>
          <w:sz w:val="24"/>
          <w:lang w:val="en-US" w:eastAsia="zh-CN"/>
        </w:rPr>
        <w:t>15</w:t>
      </w:r>
      <w:r>
        <w:rPr>
          <w:rFonts w:hint="default" w:ascii="仿宋" w:hAnsi="仿宋" w:eastAsia="仿宋" w:cs="仿宋"/>
          <w:color w:val="auto"/>
          <w:sz w:val="24"/>
        </w:rPr>
        <w:t>日前提交报告及数据库送审稿,2024年1月完成资料汇交。</w:t>
      </w:r>
    </w:p>
    <w:p>
      <w:pPr>
        <w:rPr>
          <w:rFonts w:ascii="仿宋" w:hAnsi="仿宋" w:eastAsia="仿宋" w:cs="仿宋"/>
          <w:color w:val="auto"/>
          <w:sz w:val="24"/>
        </w:rPr>
      </w:pPr>
      <w:r>
        <w:rPr>
          <w:rFonts w:hint="eastAsia" w:ascii="仿宋" w:hAnsi="仿宋" w:eastAsia="仿宋" w:cs="仿宋"/>
          <w:color w:val="auto"/>
          <w:sz w:val="24"/>
        </w:rPr>
        <w:br w:type="page"/>
      </w:r>
    </w:p>
    <w:p>
      <w:pPr>
        <w:spacing w:line="480" w:lineRule="exact"/>
        <w:jc w:val="center"/>
        <w:outlineLvl w:val="1"/>
        <w:rPr>
          <w:rFonts w:ascii="仿宋" w:hAnsi="仿宋" w:eastAsia="仿宋"/>
          <w:b/>
          <w:bCs/>
          <w:color w:val="auto"/>
          <w:sz w:val="24"/>
        </w:rPr>
      </w:pPr>
      <w:r>
        <w:rPr>
          <w:rFonts w:hint="eastAsia" w:ascii="仿宋" w:hAnsi="仿宋" w:eastAsia="仿宋"/>
          <w:b/>
          <w:bCs/>
          <w:color w:val="auto"/>
          <w:sz w:val="24"/>
        </w:rPr>
        <w:t>标项五：新疆塔什库尔干县马尔洋乡努什墩村崩塌、泥石流防治工程</w:t>
      </w:r>
    </w:p>
    <w:p>
      <w:pPr>
        <w:spacing w:line="560" w:lineRule="exact"/>
        <w:ind w:firstLine="482" w:firstLineChars="200"/>
        <w:rPr>
          <w:rFonts w:ascii="仿宋" w:hAnsi="仿宋" w:eastAsia="仿宋" w:cs="仿宋"/>
          <w:b/>
          <w:color w:val="auto"/>
          <w:sz w:val="24"/>
        </w:rPr>
      </w:pP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一、项目名称、编号及费用</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项目名称：新疆塔什库尔干县马尔洋乡努什墩村崩塌、泥石流防治工程</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项目编号：GYZB-KSDZFZ2023-05 </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项目费用人民币：823.98万元（捌佰贰拾叁万玖仟捌佰元整）</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二、工作范围</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防治区位于塔什库尔干塔吉克自治县马尔洋乡努什墩村，距塔什库尔干县城140千米。防治区中心地理坐标为东经75°50′8.6″，北纬37°20′35.2″。</w:t>
      </w:r>
    </w:p>
    <w:p>
      <w:pPr>
        <w:spacing w:line="56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最终防治工程区范围以投标单位现场踏勘并与当地自然资源部门充分沟通确定的为准。</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三、自然经济地理</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（一）交通位置</w:t>
      </w:r>
    </w:p>
    <w:p>
      <w:pPr>
        <w:adjustRightIn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位于塔什库尔干塔吉克自治县马尔洋乡努什墩村。由X613县道向东经过下板地水库，向南沿X614县道可抵达，X614县道是通往该区域唯一一条道路，防治区距塔什库尔干县城165千米，距喀什市450千米，通行条件较差。</w:t>
      </w:r>
    </w:p>
    <w:p>
      <w:pPr>
        <w:adjustRightInd w:val="0"/>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（二）社会经济概况</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马尔洋乡位于塔什库尔干塔吉克自治县县城东南部，距县城130千米，从县城到乡政府所在地翻越4500米的唐勒达坂，乡政府所在地海拔3100米，马尔洋乡西南部与达布达尔乡相连，北部与瓦恰乡，东南部与塔什库尔干县接壤。四面环山，总面积7768平方千米，人口约1900人。平均海拔3700米，属于帕米尔高原气候。</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努什墩村，塔吉克语为杏花的意思，位于马尔洋乡东部距乡政府15千米，与乡政府之间由X614县道相连，西南部与原布伦木沙乡，北部与瓦恰乡相连，气候温暖，四季分明，无霜期150天左右，总户数约82户，人口475人，耕地面积549亩，粮食总产量8.9万千克，农作物由冬小麦、玉米、蚕豆，果树有杏、桃、李、苹果、核桃、沙枣、桑椹，药材有库鲁木提青兰、紫草等。</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四、地质环境条件和工作程度</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（一）地形地貌</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防治区位于塔什库尔干县马尔洋乡努什墩村，马尔洋河谷北侧，地貌类型为中高山区，地形起伏，沟谷深切，比高大于300米。总体地势北高南低，塔什库尔干河谷近东西向延展，河谷宽100-200米。防治区海拔</w:t>
      </w:r>
      <w:r>
        <w:rPr>
          <w:rFonts w:hint="eastAsia" w:ascii="仿宋" w:hAnsi="仿宋" w:eastAsia="仿宋" w:cs="仿宋"/>
          <w:snapToGrid w:val="0"/>
          <w:color w:val="auto"/>
          <w:kern w:val="0"/>
          <w:sz w:val="24"/>
        </w:rPr>
        <w:t>2715-4532米，相对高差1817米。</w:t>
      </w:r>
    </w:p>
    <w:p>
      <w:pPr>
        <w:numPr>
          <w:ilvl w:val="0"/>
          <w:numId w:val="6"/>
        </w:num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地层岩性</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防治区出露的地层主要有元古界（Pt）以及新生界的第四系（Q）。</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1.元古界（Pt）</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元古界（Pt）分布于沟谷两侧基岩山体，地层岩性以黑云母斜长片麻岩为主，透辉石斜长变粒岩、大理岩、透辉石方柱石（矽卡）岩等也广泛分布，节理裂隙较发育。</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2.第四系全新统冲洪积层（Q</w:t>
      </w:r>
      <w:r>
        <w:rPr>
          <w:rFonts w:hint="eastAsia" w:ascii="仿宋" w:hAnsi="仿宋" w:eastAsia="仿宋" w:cs="仿宋"/>
          <w:color w:val="auto"/>
          <w:sz w:val="24"/>
          <w:vertAlign w:val="subscript"/>
        </w:rPr>
        <w:t>4</w:t>
      </w:r>
      <w:r>
        <w:rPr>
          <w:rFonts w:hint="eastAsia" w:ascii="仿宋" w:hAnsi="仿宋" w:eastAsia="仿宋" w:cs="仿宋"/>
          <w:color w:val="auto"/>
          <w:sz w:val="24"/>
          <w:vertAlign w:val="superscript"/>
        </w:rPr>
        <w:t>apl</w:t>
      </w:r>
      <w:r>
        <w:rPr>
          <w:rFonts w:hint="eastAsia" w:ascii="仿宋" w:hAnsi="仿宋" w:eastAsia="仿宋" w:cs="仿宋"/>
          <w:color w:val="auto"/>
          <w:sz w:val="24"/>
        </w:rPr>
        <w:t>）</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分布于防治区内沟谷底部和马尔洋河谷地带，岩性主要为漂卵石、卵砾石、砂砾石等。颗粒粒径从上游至下游又大变小，分选差，磨圆差，沉积韵律不明显。在沟道内厚度为0.5-5米，在出山口后与马尔洋河道交汇处厚度最大，可达20米左右。</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3.第四系全新统残坡积层（Q</w:t>
      </w:r>
      <w:r>
        <w:rPr>
          <w:rFonts w:hint="eastAsia" w:ascii="仿宋" w:hAnsi="仿宋" w:eastAsia="仿宋" w:cs="仿宋"/>
          <w:color w:val="auto"/>
          <w:sz w:val="24"/>
          <w:vertAlign w:val="subscript"/>
        </w:rPr>
        <w:t>4</w:t>
      </w:r>
      <w:r>
        <w:rPr>
          <w:rFonts w:hint="eastAsia" w:ascii="仿宋" w:hAnsi="仿宋" w:eastAsia="仿宋" w:cs="仿宋"/>
          <w:color w:val="auto"/>
          <w:sz w:val="24"/>
          <w:vertAlign w:val="superscript"/>
        </w:rPr>
        <w:t>edl</w:t>
      </w:r>
      <w:r>
        <w:rPr>
          <w:rFonts w:hint="eastAsia" w:ascii="仿宋" w:hAnsi="仿宋" w:eastAsia="仿宋" w:cs="仿宋"/>
          <w:color w:val="auto"/>
          <w:sz w:val="24"/>
        </w:rPr>
        <w:t>）</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分布于防治区内中部斜坡处及各斜坡坡脚处，分布面积较小。岩性主要为角砾及中粗砂，分选一般，块度多为1-2厘米，呈棱角状，厚度一般为0.2-2米。</w:t>
      </w:r>
    </w:p>
    <w:p>
      <w:pPr>
        <w:numPr>
          <w:ilvl w:val="0"/>
          <w:numId w:val="6"/>
        </w:num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水文地质条件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防治区地下水类型主要为基岩裂隙水和第四系松散岩类孔隙潜水。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1.第四系松散岩类孔隙潜水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分布于防治区内沟谷第四系松散地层，含水层岩性为漂卵石、卵砾石层，主要接受河洪水的入渗补给、冰雪融水补给、大气降水入渗及上游的侧向径流补给，以蒸发蒸腾和向下游侧向径流排泄为主。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2.基岩裂隙水</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分布在防治区中高山区，含水岩性为元古界、古生代深变质的各类片岩、砂岩、石灰岩，地下水主要接受冰雪融水和大气降水的补给。地下水在接受补给后，经过短距离径流即溢出成泉，向山下河流、沟谷排泄。</w:t>
      </w:r>
    </w:p>
    <w:p>
      <w:pPr>
        <w:numPr>
          <w:ilvl w:val="0"/>
          <w:numId w:val="6"/>
        </w:num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工程地质条件</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根据防治区内地层的分布特征，将防治区工程地质条件划分为坚硬的块状侵入岩组和砾质单层土体两大类型。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1.坚硬的块状岩组</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分布于坡体基岩出露区，岩性为黑云母斜长片麻岩等，岩石性脆，节理裂隙发育，风化破碎强烈，岩石力学强度高，工程地质条件良好。</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2.砾质单层土体</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碎石单层土体，主要分布于坡脚及山坡表面，岩性为第四系上更新统-全新统残坡积碎石，多为尖棱状，结构松散，分层厚度不均，山坡表面厚度较薄至坡脚逐渐变厚，工程地质条件较差。</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五、主要地质灾害</w:t>
      </w:r>
    </w:p>
    <w:p>
      <w:pPr>
        <w:adjustRightInd w:val="0"/>
        <w:snapToGrid w:val="0"/>
        <w:spacing w:line="560" w:lineRule="exact"/>
        <w:ind w:firstLine="480" w:firstLineChars="200"/>
        <w:rPr>
          <w:rFonts w:ascii="仿宋" w:hAnsi="仿宋" w:eastAsia="仿宋" w:cs="仿宋"/>
          <w:snapToGrid w:val="0"/>
          <w:color w:val="auto"/>
          <w:kern w:val="0"/>
          <w:sz w:val="24"/>
        </w:rPr>
      </w:pPr>
      <w:r>
        <w:rPr>
          <w:rFonts w:hint="eastAsia" w:ascii="仿宋" w:hAnsi="仿宋" w:eastAsia="仿宋" w:cs="仿宋"/>
          <w:color w:val="auto"/>
          <w:sz w:val="24"/>
        </w:rPr>
        <w:t>防治区主要发育地质灾害有崩塌和泥石流灾害，其中发育崩塌危岩带3处（</w:t>
      </w:r>
      <w:r>
        <w:rPr>
          <w:rFonts w:hint="eastAsia" w:ascii="仿宋" w:hAnsi="仿宋" w:eastAsia="仿宋" w:cs="仿宋"/>
          <w:snapToGrid w:val="0"/>
          <w:color w:val="auto"/>
          <w:kern w:val="0"/>
          <w:sz w:val="24"/>
        </w:rPr>
        <w:t>WYD1、WYD2、WYD3</w:t>
      </w:r>
      <w:r>
        <w:rPr>
          <w:rFonts w:hint="eastAsia" w:ascii="仿宋" w:hAnsi="仿宋" w:eastAsia="仿宋" w:cs="仿宋"/>
          <w:color w:val="auto"/>
          <w:sz w:val="24"/>
        </w:rPr>
        <w:t>），滑坡隐患1处、泥石流灾害1处。</w:t>
      </w:r>
      <w:r>
        <w:rPr>
          <w:rFonts w:hint="eastAsia" w:ascii="仿宋" w:hAnsi="仿宋" w:eastAsia="仿宋" w:cs="仿宋"/>
          <w:snapToGrid w:val="0"/>
          <w:color w:val="auto"/>
          <w:kern w:val="0"/>
          <w:sz w:val="24"/>
        </w:rPr>
        <w:t>现对其分述如下：</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snapToGrid w:val="0"/>
          <w:color w:val="auto"/>
          <w:kern w:val="0"/>
          <w:sz w:val="24"/>
        </w:rPr>
        <w:t>1.WYD1危岩带：位于防治区东侧，危岩带顶部位置标高2863米，局部直立。坡体基岩出露，</w:t>
      </w:r>
      <w:r>
        <w:rPr>
          <w:rFonts w:hint="eastAsia" w:ascii="仿宋" w:hAnsi="仿宋" w:eastAsia="仿宋" w:cs="仿宋"/>
          <w:color w:val="auto"/>
          <w:sz w:val="24"/>
        </w:rPr>
        <w:t>危岩体多呈块状，属小型危岩体，为倾倒式、滑移式崩塌。其危岩体主要分布在距离崖底50-100米处，属高位危岩。</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2.WYD2危岩带：</w:t>
      </w:r>
      <w:r>
        <w:rPr>
          <w:rFonts w:hint="eastAsia" w:ascii="仿宋" w:hAnsi="仿宋" w:eastAsia="仿宋" w:cs="仿宋"/>
          <w:snapToGrid w:val="0"/>
          <w:color w:val="auto"/>
          <w:kern w:val="0"/>
          <w:sz w:val="24"/>
        </w:rPr>
        <w:t>位于泥石流沟谷东岸，村委会北侧，危岩带顶部位置标高2946米，局部直立。坡体基岩出露，</w:t>
      </w:r>
      <w:r>
        <w:rPr>
          <w:rFonts w:hint="eastAsia" w:ascii="仿宋" w:hAnsi="仿宋" w:eastAsia="仿宋" w:cs="仿宋"/>
          <w:color w:val="auto"/>
          <w:sz w:val="24"/>
        </w:rPr>
        <w:t>表层岩体多呈块裂状，属小型危岩体，为倾倒式、滑移式崩塌。主要的危岩体主要分布在距离崖底的20-60米处，属中—高位危岩。</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3.WYD3危岩带：位于泥石流沟谷堆积区西岸，崩塌危岩带顶部位置标高为2780米，斜坡陡峭，近视直立。坡体岩性为第四系洪积物，垂直裂隙发育，为倾倒式土质崩塌。属小型危岩体，低位危岩。</w:t>
      </w:r>
    </w:p>
    <w:p>
      <w:pPr>
        <w:adjustRightInd w:val="0"/>
        <w:snapToGrid w:val="0"/>
        <w:spacing w:line="560" w:lineRule="exact"/>
        <w:ind w:firstLine="480" w:firstLineChars="200"/>
        <w:rPr>
          <w:rFonts w:ascii="仿宋" w:hAnsi="仿宋" w:eastAsia="仿宋" w:cs="仿宋"/>
          <w:snapToGrid w:val="0"/>
          <w:color w:val="auto"/>
          <w:kern w:val="0"/>
          <w:sz w:val="24"/>
        </w:rPr>
      </w:pPr>
      <w:r>
        <w:rPr>
          <w:rFonts w:hint="eastAsia" w:ascii="仿宋" w:hAnsi="仿宋" w:eastAsia="仿宋" w:cs="仿宋"/>
          <w:color w:val="auto"/>
          <w:sz w:val="24"/>
        </w:rPr>
        <w:t>4.滑坡隐患发育于村委会北侧斜坡坡面中下部，滑坡隐患体长283米，</w:t>
      </w:r>
      <w:r>
        <w:rPr>
          <w:rFonts w:hint="eastAsia" w:ascii="仿宋" w:hAnsi="仿宋" w:eastAsia="仿宋" w:cs="仿宋"/>
          <w:snapToGrid w:val="0"/>
          <w:color w:val="auto"/>
          <w:kern w:val="0"/>
          <w:sz w:val="24"/>
        </w:rPr>
        <w:t>宽156米，滑坡后缘坡面较完整，未见拉张裂隙，属于滑坡隐患。滑坡堆积体为角砾、砂等，地表植不发育。</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snapToGrid w:val="0"/>
          <w:color w:val="auto"/>
          <w:kern w:val="0"/>
          <w:sz w:val="24"/>
        </w:rPr>
        <w:t>5.防治区泥石流灾害为沟谷型泥石流，汇水面积约7.11平方千米，沟谷沿南北向展布，其最终汇入马尔洋河内。泥石流沟谷流域地貌为中切的高山区，流域高程在2715-4532米，相对高差1817米，沟谷总长约4.6千米，沟谷纵坡度为10-15°，沟谷截面呈深“V”型，沟谷两侧基岩裸露，植被不发育。其水源主要是降雨及冰雪融水，</w:t>
      </w:r>
      <w:r>
        <w:rPr>
          <w:rFonts w:hint="eastAsia" w:ascii="仿宋" w:hAnsi="仿宋" w:eastAsia="仿宋" w:cs="仿宋"/>
          <w:color w:val="auto"/>
          <w:sz w:val="24"/>
        </w:rPr>
        <w:t>泥石流物源补给多为坡面碎块石补给及沟槽底部碎块石再搬运</w:t>
      </w:r>
      <w:r>
        <w:rPr>
          <w:rFonts w:hint="eastAsia" w:ascii="仿宋" w:hAnsi="仿宋" w:eastAsia="仿宋" w:cs="仿宋"/>
          <w:snapToGrid w:val="0"/>
          <w:color w:val="auto"/>
          <w:kern w:val="0"/>
          <w:sz w:val="24"/>
        </w:rPr>
        <w:t>。</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地质灾害主要威胁对象包括人口48人(当地居民3户18人，村委会工作人员18人，幼儿园教职工与学生12人)，村委会大院、大院东侧8间房，光伏电站2处，幼儿园1所，民房3间，水泥路0.55千米，砂石路0.43千米，棚圈4所，牧草地16亩，牛12头，羊61只，威胁财产784.81万元。</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六、目标任务</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（一）目标</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过对新疆塔什库尔干县马尔洋乡努什墩村崩塌、泥石流地质灾害防治工程</w:t>
      </w:r>
      <w:r>
        <w:rPr>
          <w:rFonts w:hint="eastAsia" w:ascii="仿宋" w:hAnsi="仿宋" w:eastAsia="仿宋" w:cs="仿宋"/>
          <w:color w:val="auto"/>
          <w:kern w:val="0"/>
          <w:sz w:val="24"/>
        </w:rPr>
        <w:t>的</w:t>
      </w:r>
      <w:r>
        <w:rPr>
          <w:rFonts w:hint="eastAsia" w:ascii="仿宋" w:hAnsi="仿宋" w:eastAsia="仿宋" w:cs="仿宋"/>
          <w:color w:val="auto"/>
          <w:sz w:val="24"/>
        </w:rPr>
        <w:t>实施，减轻或消除地质灾害对村委会、居民、幼儿园、光伏电站、农田、牲畜等的威胁，保障人民生命和财产安全。</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（二）任务</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sz w:val="24"/>
        </w:rPr>
        <w:t>根据实地踏勘成果和勘查报告</w:t>
      </w:r>
      <w:r>
        <w:rPr>
          <w:rFonts w:hint="eastAsia" w:ascii="仿宋" w:hAnsi="仿宋" w:eastAsia="仿宋" w:cs="仿宋"/>
          <w:color w:val="auto"/>
          <w:kern w:val="0"/>
          <w:sz w:val="24"/>
        </w:rPr>
        <w:t>以及相关标准规范</w:t>
      </w:r>
      <w:r>
        <w:rPr>
          <w:rFonts w:hint="eastAsia" w:ascii="仿宋" w:hAnsi="仿宋" w:eastAsia="仿宋" w:cs="仿宋"/>
          <w:color w:val="auto"/>
          <w:sz w:val="24"/>
        </w:rPr>
        <w:t>编制地质灾害防治工程设计和施工组织设计</w:t>
      </w:r>
      <w:r>
        <w:rPr>
          <w:rFonts w:hint="eastAsia" w:ascii="仿宋" w:hAnsi="仿宋" w:eastAsia="仿宋" w:cs="仿宋"/>
          <w:color w:val="auto"/>
          <w:kern w:val="0"/>
          <w:sz w:val="24"/>
        </w:rPr>
        <w:t>；</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2.按照审批通过的防治工程设计，组织地质灾害防治工程施工；</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sz w:val="24"/>
        </w:rPr>
        <w:t>减轻或消除</w:t>
      </w:r>
      <w:r>
        <w:rPr>
          <w:rFonts w:hint="eastAsia" w:ascii="仿宋" w:hAnsi="仿宋" w:eastAsia="仿宋" w:cs="仿宋"/>
          <w:color w:val="auto"/>
          <w:kern w:val="0"/>
          <w:sz w:val="24"/>
        </w:rPr>
        <w:t>工作区及其周边居民</w:t>
      </w:r>
      <w:r>
        <w:rPr>
          <w:rFonts w:hint="eastAsia" w:ascii="仿宋" w:hAnsi="仿宋" w:eastAsia="仿宋" w:cs="仿宋"/>
          <w:color w:val="auto"/>
          <w:sz w:val="24"/>
        </w:rPr>
        <w:t>遭受灾害的威胁；</w:t>
      </w:r>
    </w:p>
    <w:p>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4.防治工程完成后，制作永久性工程说明碑。</w:t>
      </w:r>
    </w:p>
    <w:p>
      <w:pPr>
        <w:spacing w:line="540" w:lineRule="exact"/>
        <w:ind w:firstLine="480" w:firstLineChars="200"/>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rPr>
        <w:t>5.</w:t>
      </w:r>
      <w:r>
        <w:rPr>
          <w:rFonts w:hint="eastAsia" w:ascii="仿宋" w:hAnsi="仿宋" w:eastAsia="仿宋" w:cs="仿宋"/>
          <w:color w:val="auto"/>
          <w:kern w:val="0"/>
          <w:sz w:val="24"/>
          <w:lang w:val="en-US" w:eastAsia="zh-CN"/>
        </w:rPr>
        <w:t>开展地质灾害防治知识培训、地质灾害应急演练1-2期。</w:t>
      </w:r>
    </w:p>
    <w:p>
      <w:pPr>
        <w:spacing w:line="54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6.重点位置设置警示牌。                                                                                                                                                                                                                                                                                                                                                                                                                                                                                                        </w:t>
      </w:r>
    </w:p>
    <w:p>
      <w:pPr>
        <w:spacing w:line="54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7.结合实际情况编制地质灾害应急预案。</w:t>
      </w:r>
    </w:p>
    <w:p>
      <w:pPr>
        <w:pStyle w:val="2"/>
        <w:rPr>
          <w:color w:val="auto"/>
        </w:rPr>
      </w:pP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七、主要技术要求</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1.《崩塌防治工程设计规范（试行）》（T/CAGHP 032-2018）；</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2.《崩塌防治工程施工技术规范（试行）》（T/CAGHP 041-2018）；</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3.《崩塌监测规范（试行）》（T/CAGHP 07-2018）；</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4.《滑坡防治设计规范》（GB/T38509-2020）；</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5.《滑坡防治工程施工技术规范（试行）》（（T/CAGHP 038-2018））；</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6.《泥石流防治工程设计规范》（T/CAGHP 021—2018）；</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7.《泥石流防治工程施工技术规范（试行）》（T∕CAGHP 061-2019）；</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8.《崩塌·滑坡·泥石流监测规范》（DZ/T0221-2006）；</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9.《危岩落石柔性防护网工程技术规范（试行）》（T/CAGHP 066-2019）；</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10.《砌体结构设计规范》（GB50003-2011）；</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11.《混凝土结构设计规范》（GB50010-2010）；</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12.《建筑地基基础设计规范》（GB50007-2011）；</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13.《建筑边坡工程技术规范》（GB50330-2013）；</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14.《工程测量标准》（GB50026-2020）；</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15.《全球定位系统（GPS）测量规范》（GB/T18314-2009）；</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16.《岩土工程勘察规范（2009年版）》（GB50021-2001）；</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17.《建筑抗震设计规范（2016年版）》（GB50011-2010）；</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18.其它有关规范、规程和技术要求。</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同时满足招标文件、设计书及其审批意见书和有关规定的要求。</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八、主要实物工作量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根据本项目的目标和任务，结合防治区崩塌、泥石流灾害特征和环境现状，以基本消除或减轻地质灾害对当地居民的威胁为目的，本次地质灾害防治工程可以采用危岩清理、主被动防护网、拦挡、排导、坡面整饰、桩、墙等措施。</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投标单位在现场踏勘后提出投标设计方案。</w:t>
      </w:r>
    </w:p>
    <w:p>
      <w:pPr>
        <w:spacing w:line="56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最终设计方案及工作量以审批后的防治工程项目设计书为准。</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九、预期提交成果</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（一）防治工程设计成果</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1.新疆塔什库尔干县马尔洋乡努什墩村崩塌、泥石流防治工程设计书（施工设计和施工组织设计）；</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2.新疆塔什库尔干县马尔洋乡努什墩村崩塌、泥石流防治工程平面布置图及各单项防治工程设计图。</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（二）防治工程施工成果</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防治工程施工成果和资料汇交应按《新疆维吾尔自治区地质灾害防治项目管理办法（试行）》及《新疆维吾尔自治区地质灾害防治项目验收细则》要求执行。</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十、工作周期</w:t>
      </w:r>
    </w:p>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2023年3月-2024年9月，2023年8月31日前完成野外竣工验收，2023年11月30日前提交全套竣工资料，2024年8月31日前完成工程复验。</w:t>
      </w:r>
    </w:p>
    <w:p>
      <w:pPr>
        <w:rPr>
          <w:rFonts w:ascii="仿宋" w:hAnsi="仿宋" w:eastAsia="仿宋" w:cs="仿宋"/>
          <w:color w:val="auto"/>
          <w:sz w:val="24"/>
        </w:rPr>
      </w:pPr>
      <w:r>
        <w:rPr>
          <w:rFonts w:hint="eastAsia" w:ascii="仿宋" w:hAnsi="仿宋" w:eastAsia="仿宋" w:cs="仿宋"/>
          <w:color w:val="auto"/>
          <w:sz w:val="24"/>
        </w:rPr>
        <w:br w:type="page"/>
      </w:r>
    </w:p>
    <w:p>
      <w:pPr>
        <w:spacing w:line="480" w:lineRule="exact"/>
        <w:jc w:val="center"/>
        <w:outlineLvl w:val="1"/>
        <w:rPr>
          <w:rFonts w:ascii="仿宋" w:hAnsi="仿宋" w:eastAsia="仿宋"/>
          <w:b/>
          <w:bCs/>
          <w:color w:val="auto"/>
          <w:sz w:val="24"/>
        </w:rPr>
      </w:pPr>
      <w:r>
        <w:rPr>
          <w:rFonts w:hint="eastAsia" w:ascii="仿宋" w:hAnsi="仿宋" w:eastAsia="仿宋"/>
          <w:b/>
          <w:bCs/>
          <w:color w:val="auto"/>
          <w:sz w:val="24"/>
        </w:rPr>
        <w:t>标项六：新疆塔什库尔干县大同乡阿克托尕兰干村幼儿园崩塌防治工程</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一、项目名称、编号及费用</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项目名称：新疆塔什库尔干县大同乡阿克托尕兰干村幼儿园崩塌防治工程</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项目编号：GYZB-KSDZFZ2023-06 </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项目费用人民币：512.684万元（伍佰壹拾贰万陆仟捌佰肆拾元整）</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二、工作范围</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防治区位于塔什库尔干县大同乡阿克托尕兰干村，处于叶尔羌河中下游左岸阶地上。防治区中心地理坐标为东经 76°11′13″，北纬 37°44′58″。</w:t>
      </w:r>
    </w:p>
    <w:p>
      <w:pPr>
        <w:spacing w:line="56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最终防治工程区范围以投标单位现场踏勘并与当地自然资源部门充分沟通确定的为准。</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三、自然经济地理</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（一）交通位置</w:t>
      </w:r>
    </w:p>
    <w:p>
      <w:pPr>
        <w:adjustRightIn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防治区行政区划隶属于喀什地区塔什库尔干县大同乡管辖。防治区南距大同乡政府路线距离约31千米，交通较为便利。</w:t>
      </w:r>
      <w:r>
        <w:rPr>
          <w:rFonts w:hint="eastAsia" w:ascii="仿宋" w:hAnsi="仿宋" w:eastAsia="仿宋" w:cs="仿宋"/>
          <w:color w:val="auto"/>
          <w:sz w:val="24"/>
        </w:rPr>
        <w:tab/>
      </w:r>
    </w:p>
    <w:p>
      <w:pPr>
        <w:adjustRightInd w:val="0"/>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（二）社会经济概况</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大同乡，隶属于新疆维吾尔自治区喀什地区塔什库尔干塔吉克自治县，地处塔什库尔干塔吉克自治县东部，东与莎车县达木斯乡、霍什拉甫乡相接，南与布伦木沙乡相连，西与瓦恰乡、马尔洋乡、库科西鲁格乡毗邻，北与阿克陶县塔尔塔吉克民族乡相接，距塔什库尔干塔吉克自治县县城180千米。截至2018年末，大同乡户籍人口为1849人，大同乡下辖5个行政村，人民政府驻阿依克日克村。大同乡粮食作物以小麦、玉米为主；畜牧业以饲养牲畜、家禽为主；工业以开矿业为主。2011年末，大同乡农业总产值738万元。生产粮食547吨，人均274.3千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阿克托尕兰干村共有56户居民，共198人，居民房屋均为富民安居房。受地形条件限制，耕地资源有限，共有耕地103亩,当地居民主要收入来源为放牧所得，其次为临时务工，经济来源十分有限。</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四、地质环境条件和工作程度</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（一）地形地貌</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处于叶尔羌河左岸二级阶地，地势南高北低，西高东低，承灾体分布于冲洪积阶地山的狭长谷地内。防治区南北向分布于阿克托尕兰干村西部，平均海拔1910米以上，最高海拔2105米，地势西高东低，坡度较大，一般在30-85°，地形比高较大，高差约195米，崩塌坡面形态为陡坎-斜坡-陡坎，西高东低。</w:t>
      </w:r>
    </w:p>
    <w:p>
      <w:pPr>
        <w:numPr>
          <w:ilvl w:val="0"/>
          <w:numId w:val="6"/>
        </w:num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地层岩性</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防治区出露地层主要为中元古界西昆仑地层分区变质岩系(Pt2）、第四系（Q），现将各地层的分布及其野外特征由老到新叙述如下：</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1.中元古界西昆仑地层分区变质岩系(Pt2）</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该地层主要分布在防治区西部，靠近幼儿园，呈条带状展布。为一套中一深成相区域变质岩，变质程度达高绿片岩相—高角闪岩相，部分叠加接触变质。岩性上部为黑云石英片岩，红柱十字黑云母石英片岩夹石英岩。下部为石英岩，黑云角闪斜长片麻岩，角闪片岩等。在防治区一带厚230米，地层呈单斜，倾角陡，产状零乱多变。</w:t>
      </w:r>
    </w:p>
    <w:p>
      <w:pPr>
        <w:numPr>
          <w:ilvl w:val="0"/>
          <w:numId w:val="7"/>
        </w:num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第四系（Q）</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第四系（Q）在防治区内广泛分布，分布于坡脚、坡面斜坡段、河流阶地处，为全新统残积物(Q</w:t>
      </w:r>
      <w:r>
        <w:rPr>
          <w:rFonts w:hint="eastAsia" w:ascii="仿宋" w:hAnsi="仿宋" w:eastAsia="仿宋" w:cs="仿宋"/>
          <w:color w:val="auto"/>
          <w:sz w:val="24"/>
          <w:vertAlign w:val="subscript"/>
        </w:rPr>
        <w:t>h</w:t>
      </w:r>
      <w:r>
        <w:rPr>
          <w:rFonts w:hint="eastAsia" w:ascii="仿宋" w:hAnsi="仿宋" w:eastAsia="仿宋" w:cs="仿宋"/>
          <w:color w:val="auto"/>
          <w:sz w:val="24"/>
          <w:vertAlign w:val="superscript"/>
        </w:rPr>
        <w:t>el</w:t>
      </w:r>
      <w:r>
        <w:rPr>
          <w:rFonts w:hint="eastAsia" w:ascii="仿宋" w:hAnsi="仿宋" w:eastAsia="仿宋" w:cs="仿宋"/>
          <w:color w:val="auto"/>
          <w:sz w:val="24"/>
        </w:rPr>
        <w:t>)和全新统冲洪积(Q</w:t>
      </w:r>
      <w:r>
        <w:rPr>
          <w:rFonts w:hint="eastAsia" w:ascii="仿宋" w:hAnsi="仿宋" w:eastAsia="仿宋" w:cs="仿宋"/>
          <w:color w:val="auto"/>
          <w:sz w:val="24"/>
          <w:vertAlign w:val="subscript"/>
        </w:rPr>
        <w:t>h</w:t>
      </w:r>
      <w:r>
        <w:rPr>
          <w:rFonts w:hint="eastAsia" w:ascii="仿宋" w:hAnsi="仿宋" w:eastAsia="仿宋" w:cs="仿宋"/>
          <w:color w:val="auto"/>
          <w:sz w:val="24"/>
          <w:vertAlign w:val="superscript"/>
        </w:rPr>
        <w:t>al+pl</w:t>
      </w:r>
      <w:r>
        <w:rPr>
          <w:rFonts w:hint="eastAsia" w:ascii="仿宋" w:hAnsi="仿宋" w:eastAsia="仿宋" w:cs="仿宋"/>
          <w:color w:val="auto"/>
          <w:sz w:val="24"/>
        </w:rPr>
        <w:t>)。</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（1）第四系全新统残积物(Q</w:t>
      </w:r>
      <w:r>
        <w:rPr>
          <w:rFonts w:hint="eastAsia" w:ascii="仿宋" w:hAnsi="仿宋" w:eastAsia="仿宋" w:cs="仿宋"/>
          <w:color w:val="auto"/>
          <w:sz w:val="24"/>
          <w:vertAlign w:val="subscript"/>
        </w:rPr>
        <w:t>h</w:t>
      </w:r>
      <w:r>
        <w:rPr>
          <w:rFonts w:hint="eastAsia" w:ascii="仿宋" w:hAnsi="仿宋" w:eastAsia="仿宋" w:cs="仿宋"/>
          <w:color w:val="auto"/>
          <w:sz w:val="24"/>
          <w:vertAlign w:val="superscript"/>
        </w:rPr>
        <w:t>el</w:t>
      </w:r>
      <w:r>
        <w:rPr>
          <w:rFonts w:hint="eastAsia" w:ascii="仿宋" w:hAnsi="仿宋" w:eastAsia="仿宋" w:cs="仿宋"/>
          <w:color w:val="auto"/>
          <w:sz w:val="24"/>
        </w:rPr>
        <w:t>)：主要分布于危岩带之间的坡面，岩性以风化破碎角砾及风积粉土为主为主，破碎角砾母岩成分主要为灰黑色角闪石英片岩，结构松散，分选性差被粉土覆盖。</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（2）第四系全新统冲洪积物(Q</w:t>
      </w:r>
      <w:r>
        <w:rPr>
          <w:rFonts w:hint="eastAsia" w:ascii="仿宋" w:hAnsi="仿宋" w:eastAsia="仿宋" w:cs="仿宋"/>
          <w:color w:val="auto"/>
          <w:sz w:val="24"/>
          <w:vertAlign w:val="subscript"/>
        </w:rPr>
        <w:t>h</w:t>
      </w:r>
      <w:r>
        <w:rPr>
          <w:rFonts w:hint="eastAsia" w:ascii="仿宋" w:hAnsi="仿宋" w:eastAsia="仿宋" w:cs="仿宋"/>
          <w:color w:val="auto"/>
          <w:sz w:val="24"/>
          <w:vertAlign w:val="superscript"/>
        </w:rPr>
        <w:t>al+pl</w:t>
      </w:r>
      <w:r>
        <w:rPr>
          <w:rFonts w:hint="eastAsia" w:ascii="仿宋" w:hAnsi="仿宋" w:eastAsia="仿宋" w:cs="仿宋"/>
          <w:color w:val="auto"/>
          <w:sz w:val="24"/>
        </w:rPr>
        <w:t>)：主要分布叶尔羌河西侧的阶地上，宽度140-190米不等。沟谷内第四系分布规律为沟谷上游颗粒大，粒径多在0.3-0.8米，最大砾径可达1.8米，厚度在10-24米之间，岩性为漂石，层状结构，不均匀，分选性较差，结构单一，母岩成分多以石英岩和石英片岩为主，骨架颗粒之间以卵砾石、中粗砂充填。沟谷下游至沟口段颗粒相对变小、粒径多在0.3-0.8米，最大砾径可达1.5米，厚度在10-20米之间。岩性为漂石，层状结构，磨圆度多以次圆状为主，不均匀，松散，稍湿，可塑，分选性较差，颗粒级配良好，母岩成分多以石英岩、石英片岩为主，骨架颗粒之间以卵砾石、中、粗砂充填。</w:t>
      </w:r>
    </w:p>
    <w:p>
      <w:pPr>
        <w:numPr>
          <w:ilvl w:val="0"/>
          <w:numId w:val="6"/>
        </w:num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水文地质条件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防治区内赋存的地下水类型为第四系松散岩类孔隙潜水和基岩裂隙水。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1.第四系松散岩类孔隙潜水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主要分布于坡顶第四系松散土内，崩塌坡顶斜坡第四系厚度1-5米，含水层岩性为漂石、卵砾石等，结构单一，含水层厚度在0.5-1米。 </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2.基岩裂隙水</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内的基岩裂隙水，含水层岩性由中元古界库浪那古岩组的黑云角闪斜长片麻岩、黑云石英片岩、角闪片岩及石英岩等组成。基岩裂隙水富水性分布极不均匀，主要以冰雪融化水、大气降水补给为主，在沟谷中以泉的方式排泄。</w:t>
      </w:r>
    </w:p>
    <w:p>
      <w:pPr>
        <w:numPr>
          <w:ilvl w:val="0"/>
          <w:numId w:val="6"/>
        </w:num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工程地质条件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根据防治区内地层的分布特征，岩土体分为岩体和土体两大类。按照岩石强度、结构以及土体的粒度成分及结构，将岩体划分为较坚硬-坚硬岩组，土体为碎石土单层土体。</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1.岩体</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防治区内分布的岩体为较坚硬-坚硬的灰褐色黑云石英片岩、石英岩与青灰色石英二长闪长岩，出露面积大。岩体完整性一般-较好，微风化-中风化，岩体基本质量等级为Ⅲ级-Ⅳ级偏强。</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2.土体</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主要分布于防治区坡脚、坡顶。岩性为碎石土，成因主要为残坡积堆积，呈杂色，含块石、碎石、角砾、粉土等，结构松散-稍密，干燥-稍湿，级配一般，多为棱角状、次棱角状，厚度不均匀，工程地质条件一般-良好。工程地质条件良好，承载力特征值250-350kPa。</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3.冻土深度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防治区位于塔什库尔干塔吉克自治县大同乡，该区标准冻结深度为1.77米。</w:t>
      </w:r>
    </w:p>
    <w:p>
      <w:pPr>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防治区内土的不均匀系数为1.9-150.2，曲率系数为0.1—0.9，细粒充填物主要为细砂、角砾、砾砂成份主要为石英、长石、云母。</w:t>
      </w:r>
    </w:p>
    <w:p>
      <w:pPr>
        <w:adjustRightInd w:val="0"/>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防治区地震基本烈度为</w:t>
      </w:r>
      <w:r>
        <w:rPr>
          <w:rFonts w:hint="eastAsia" w:ascii="仿宋" w:hAnsi="仿宋" w:eastAsia="仿宋" w:cs="仿宋"/>
          <w:color w:val="auto"/>
          <w:sz w:val="24"/>
        </w:rPr>
        <w:t>Ⅷ度，动峰值加速度0.2g，地壳稳定性为</w:t>
      </w:r>
      <w:r>
        <w:rPr>
          <w:rFonts w:hint="eastAsia" w:ascii="仿宋" w:hAnsi="仿宋" w:eastAsia="仿宋" w:cs="仿宋"/>
          <w:color w:val="auto"/>
          <w:spacing w:val="-20"/>
          <w:sz w:val="24"/>
        </w:rPr>
        <w:t>次不</w:t>
      </w:r>
      <w:r>
        <w:rPr>
          <w:rFonts w:hint="eastAsia" w:ascii="仿宋" w:hAnsi="仿宋" w:eastAsia="仿宋" w:cs="仿宋"/>
          <w:color w:val="auto"/>
          <w:sz w:val="24"/>
        </w:rPr>
        <w:t>稳定区。</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五、主要地质灾害</w:t>
      </w:r>
    </w:p>
    <w:p>
      <w:pPr>
        <w:overflowPunct w:val="0"/>
        <w:snapToGrid w:val="0"/>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防治区发育的地质灾害为崩塌灾害，主要以山区基岩崩塌为主，多为岩体风化剥落、人工切坡所形成。防治区地处山区，在风化作用和降雨、融雪及冻融作用下易形成崩塌灾害。</w:t>
      </w:r>
      <w:r>
        <w:rPr>
          <w:rFonts w:hint="eastAsia" w:ascii="仿宋" w:hAnsi="仿宋" w:eastAsia="仿宋" w:cs="仿宋"/>
          <w:color w:val="auto"/>
          <w:kern w:val="0"/>
          <w:sz w:val="24"/>
        </w:rPr>
        <w:t>按斜坡空间分布特征，将防治区崩塌灾害划分为两处危岩段（7处危岩体）编号为WYD1、WYD2。</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WYD1危岩段发育在斜坡坡顶相对高度79米以上地段，危岩段分布高程2025-2099米，</w:t>
      </w:r>
      <w:r>
        <w:rPr>
          <w:rFonts w:hint="eastAsia" w:ascii="仿宋" w:hAnsi="仿宋" w:eastAsia="仿宋" w:cs="仿宋"/>
          <w:color w:val="auto"/>
          <w:sz w:val="24"/>
        </w:rPr>
        <w:t>危岩段分布的坡面整体坡度48°左右，危岩体坡度较大，</w:t>
      </w:r>
      <w:r>
        <w:rPr>
          <w:rFonts w:hint="eastAsia" w:ascii="仿宋" w:hAnsi="仿宋" w:eastAsia="仿宋" w:cs="仿宋"/>
          <w:color w:val="auto"/>
          <w:kern w:val="0"/>
          <w:sz w:val="24"/>
        </w:rPr>
        <w:t>危岩段整体风化程度一般，</w:t>
      </w:r>
      <w:r>
        <w:rPr>
          <w:rFonts w:hint="eastAsia" w:ascii="仿宋" w:hAnsi="仿宋" w:eastAsia="仿宋" w:cs="仿宋"/>
          <w:color w:val="auto"/>
          <w:sz w:val="24"/>
        </w:rPr>
        <w:t>主要向两侧泥石流沟及冲沟内崩解，崩塌主要模式为倾倒式，崩积体总方量大约50-100立方米，危岩体稳定性现状为欠稳定。</w:t>
      </w:r>
    </w:p>
    <w:p>
      <w:pPr>
        <w:snapToGrid w:val="0"/>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WYD2危岩段发育在山坡坡顶相对高度20-30米，危岩段分布高程1945-1955米，危岩段整体坡度60°-75°左右，危岩体坡度较大，部分危岩直立，形成鹰嘴，危岩段整体风化程度一般。</w:t>
      </w:r>
      <w:r>
        <w:rPr>
          <w:rFonts w:hint="eastAsia" w:ascii="仿宋" w:hAnsi="仿宋" w:eastAsia="仿宋" w:cs="仿宋"/>
          <w:color w:val="auto"/>
          <w:sz w:val="24"/>
        </w:rPr>
        <w:t>WYD2坡脚堆积体分布于坡脚，主要为崩积砂砾土，偶见块石，粒径小于20厘米，崩积体稳定性好，崩积体总方量大约100-200立方米。</w:t>
      </w:r>
    </w:p>
    <w:p>
      <w:pPr>
        <w:overflowPunct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崩塌地质灾害对坡脚处幼儿园、村委会、农贸市场等安全构成较大威胁，威胁师生30人，村委会工作人员20人共计50人，威胁财产幼儿园200万元，村委会500万元。</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六、目标任务</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（一）目标</w:t>
      </w:r>
    </w:p>
    <w:p>
      <w:pPr>
        <w:adjustRightInd w:val="0"/>
        <w:snapToGrid w:val="0"/>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通过新疆塔什库尔干县大同乡阿克托尕兰干村幼儿园崩塌灾害防治工程的设计与实施，减轻或消除崩塌灾害对人口50人、村委会、幼儿园、农贸市场等的威胁，保障人民生命和财产安全。</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（二）任务</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sz w:val="24"/>
        </w:rPr>
        <w:t>根据实地踏勘成果和勘查报告</w:t>
      </w:r>
      <w:r>
        <w:rPr>
          <w:rFonts w:hint="eastAsia" w:ascii="仿宋" w:hAnsi="仿宋" w:eastAsia="仿宋" w:cs="仿宋"/>
          <w:color w:val="auto"/>
          <w:kern w:val="0"/>
          <w:sz w:val="24"/>
        </w:rPr>
        <w:t>以及相关标准规范</w:t>
      </w:r>
      <w:r>
        <w:rPr>
          <w:rFonts w:hint="eastAsia" w:ascii="仿宋" w:hAnsi="仿宋" w:eastAsia="仿宋" w:cs="仿宋"/>
          <w:color w:val="auto"/>
          <w:sz w:val="24"/>
        </w:rPr>
        <w:t>编制地质灾害防治工程设计和施工组织设计</w:t>
      </w:r>
      <w:r>
        <w:rPr>
          <w:rFonts w:hint="eastAsia" w:ascii="仿宋" w:hAnsi="仿宋" w:eastAsia="仿宋" w:cs="仿宋"/>
          <w:color w:val="auto"/>
          <w:kern w:val="0"/>
          <w:sz w:val="24"/>
        </w:rPr>
        <w:t>；</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2.按照审批通过的防治工程设计，组织地质灾害防治工程施工；</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sz w:val="24"/>
        </w:rPr>
        <w:t>减轻或消除</w:t>
      </w:r>
      <w:r>
        <w:rPr>
          <w:rFonts w:hint="eastAsia" w:ascii="仿宋" w:hAnsi="仿宋" w:eastAsia="仿宋" w:cs="仿宋"/>
          <w:color w:val="auto"/>
          <w:kern w:val="0"/>
          <w:sz w:val="24"/>
        </w:rPr>
        <w:t>工作区及其周边居民</w:t>
      </w:r>
      <w:r>
        <w:rPr>
          <w:rFonts w:hint="eastAsia" w:ascii="仿宋" w:hAnsi="仿宋" w:eastAsia="仿宋" w:cs="仿宋"/>
          <w:color w:val="auto"/>
          <w:sz w:val="24"/>
        </w:rPr>
        <w:t>遭受灾害的威胁；</w:t>
      </w:r>
    </w:p>
    <w:p>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4.防治工程完成后，制作永久性工程说明碑。</w:t>
      </w:r>
    </w:p>
    <w:p>
      <w:pPr>
        <w:spacing w:line="540" w:lineRule="exact"/>
        <w:ind w:firstLine="480" w:firstLineChars="200"/>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rPr>
        <w:t>5.</w:t>
      </w:r>
      <w:r>
        <w:rPr>
          <w:rFonts w:hint="eastAsia" w:ascii="仿宋" w:hAnsi="仿宋" w:eastAsia="仿宋" w:cs="仿宋"/>
          <w:color w:val="auto"/>
          <w:kern w:val="0"/>
          <w:sz w:val="24"/>
          <w:lang w:val="en-US" w:eastAsia="zh-CN"/>
        </w:rPr>
        <w:t>开展地质灾害防治知识培训、地质灾害应急演练1-2期。</w:t>
      </w:r>
    </w:p>
    <w:p>
      <w:pPr>
        <w:spacing w:line="54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6.重点位置设置警示牌。                                                                                                                                                                                                                                                                                                                                                                                                                                                                                                        </w:t>
      </w:r>
    </w:p>
    <w:p>
      <w:pPr>
        <w:spacing w:line="54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7.结合实际情况编制地质灾害应急预案。</w:t>
      </w:r>
    </w:p>
    <w:p>
      <w:pPr>
        <w:pStyle w:val="2"/>
        <w:rPr>
          <w:color w:val="auto"/>
        </w:rPr>
      </w:pP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七、主要技术要求</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1.《崩塌防治工程设计规范（试行）》（T/CAGHP 032-2018）；</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2.《崩塌防治工程施工技术规范（试行）》（T/CAGHP 041-2018）；</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3.《崩塌监测规范（试行）》（T/CAGHP 07-2018）；</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4.《危岩落石柔性防护网工程技术规范（试行）》（T/CAGHP 066-2019）；</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5.《砌体结构设计规范》（GB50003-2011）；</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6.《混凝土结构设计规范》（GB50010-2010）；</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7.《建筑地基基础设计规范》（GB50007-2011）；</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8.《建筑边坡工程技术规范》（GB50330-2013）；</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9.《工程测量标准》（GB50026-2020）；</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10.《全球定位系统（GPS）测量规范》（GB/T18314-2009）；</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11.《岩土工程勘察规范（2009年版）》（GB50021-2001）；</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12.《建筑抗震设计规范（2016年版）》（GB50011-2010）；</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13.其它有关规范、规程和技术要求。</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同时满足招标文件、设计书及其审批意见书和有关规定的要求。</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八、主要实物工作量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kern w:val="0"/>
          <w:sz w:val="24"/>
        </w:rPr>
        <w:t>根据本项目的目标和任务，结合防治区崩塌灾害特征和环境现状，以基本消除或减轻地质灾害对当地居民的威胁为目的，本次崩塌灾害防治工程可以采用危岩清理、主被动防护网等措施。</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投标单位在现场踏勘后提出投标设计方案。</w:t>
      </w:r>
    </w:p>
    <w:p>
      <w:pPr>
        <w:spacing w:line="56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最终设计方案及工作量以审批后的防治工程项目设计书为准。</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九、预期提交成果</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（一）防治工程设计成果</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1.新疆塔什库尔干县大同乡阿克托尕兰干村幼儿园崩塌防治工程设计书（施工设计和施工组织设计）；</w:t>
      </w:r>
    </w:p>
    <w:p>
      <w:pPr>
        <w:spacing w:line="5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2.新疆塔什库尔干县大同乡阿克托尕兰干村幼儿园崩塌防治工程平面布置图及各单项防治工程设计图。</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（二）防治工程施工成果</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防治工程施工成果和资料汇交应按《新疆维吾尔自治区地质灾害防治项目管理办法（试行）》及《新疆维吾尔自治区地质灾害防治项目验收细则》要求执行。</w:t>
      </w:r>
    </w:p>
    <w:p>
      <w:pPr>
        <w:spacing w:line="56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十、工作周期</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2023年3月-2024年9月，2023年8月31日前完成野外竣工验收，2023年11月30日前提交全套竣工资料，2024年8月31日前完成工程复验。</w:t>
      </w:r>
    </w:p>
    <w:p>
      <w:pPr>
        <w:rPr>
          <w:rFonts w:ascii="仿宋" w:hAnsi="仿宋" w:eastAsia="仿宋" w:cs="仿宋"/>
          <w:color w:val="auto"/>
          <w:sz w:val="24"/>
        </w:rPr>
      </w:pPr>
      <w:r>
        <w:rPr>
          <w:rFonts w:hint="eastAsia" w:ascii="仿宋" w:hAnsi="仿宋" w:eastAsia="仿宋" w:cs="仿宋"/>
          <w:color w:val="auto"/>
          <w:sz w:val="24"/>
        </w:rPr>
        <w:br w:type="page"/>
      </w:r>
    </w:p>
    <w:p>
      <w:pPr>
        <w:pStyle w:val="5"/>
        <w:autoSpaceDE/>
        <w:autoSpaceDN/>
        <w:adjustRightInd/>
        <w:spacing w:line="377" w:lineRule="auto"/>
        <w:rPr>
          <w:color w:val="auto"/>
          <w:sz w:val="32"/>
          <w:szCs w:val="32"/>
        </w:rPr>
      </w:pPr>
      <w:r>
        <w:rPr>
          <w:rFonts w:hint="eastAsia" w:ascii="仿宋" w:hAnsi="仿宋" w:eastAsia="仿宋"/>
          <w:bCs/>
          <w:color w:val="auto"/>
          <w:kern w:val="2"/>
          <w:sz w:val="28"/>
          <w:szCs w:val="28"/>
        </w:rPr>
        <w:t>标项七：</w:t>
      </w:r>
      <w:r>
        <w:rPr>
          <w:rFonts w:hint="eastAsia" w:ascii="仿宋" w:hAnsi="仿宋" w:eastAsia="仿宋" w:cs="仿宋"/>
          <w:color w:val="auto"/>
          <w:sz w:val="28"/>
          <w:szCs w:val="28"/>
        </w:rPr>
        <w:t>新疆喀什地区群专结合监测预警点建设（2023年度）</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一、项目名称、编号及费用</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项目名称：新疆喀什地区群专结合监测预警点建设（2023年度）</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项目编号：GYZB-KSDZFZ2023-07</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项目费用人民币：192万元（壹佰玖拾贰万元整）</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二、工作范围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监测区位于喀什地区境内，本次工作范围主要分布在叶城县、莎车县、塔县、英吉沙县。地理坐标东经74°20′-79°57′，北纬35°20′-40°18′。</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最终地质灾害监测预警点位置以投标单位现场踏勘并与当地自然资源主管部门充分沟通确定的为准。</w:t>
      </w:r>
    </w:p>
    <w:p>
      <w:pPr>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三、自然经济地理</w:t>
      </w:r>
    </w:p>
    <w:p>
      <w:pPr>
        <w:spacing w:line="5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（一）交通位置</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sz w:val="24"/>
        </w:rPr>
        <w:t>监测区位于</w:t>
      </w:r>
      <w:r>
        <w:rPr>
          <w:color w:val="auto"/>
        </w:rPr>
        <w:fldChar w:fldCharType="begin"/>
      </w:r>
      <w:r>
        <w:rPr>
          <w:color w:val="auto"/>
        </w:rPr>
        <w:instrText xml:space="preserve"> HYPERLINK "https://baike.baidu.com/item/%E5%96%80%E4%BB%80%E5%9C%B0%E5%8C%BA" \t "https://baike.baidu.com/item/%E5%96%80%E4%BB%80%E7%BB%8F%E6%B5%8E%E7%89%B9%E5%8C%BA/_blank" </w:instrText>
      </w:r>
      <w:r>
        <w:rPr>
          <w:color w:val="auto"/>
        </w:rPr>
        <w:fldChar w:fldCharType="separate"/>
      </w:r>
      <w:r>
        <w:rPr>
          <w:rFonts w:hint="eastAsia" w:ascii="仿宋" w:hAnsi="仿宋" w:eastAsia="仿宋" w:cs="仿宋"/>
          <w:color w:val="auto"/>
          <w:sz w:val="24"/>
        </w:rPr>
        <w:t>喀什地区</w:t>
      </w:r>
      <w:r>
        <w:rPr>
          <w:rFonts w:hint="eastAsia" w:ascii="仿宋" w:hAnsi="仿宋" w:eastAsia="仿宋" w:cs="仿宋"/>
          <w:color w:val="auto"/>
          <w:sz w:val="24"/>
        </w:rPr>
        <w:fldChar w:fldCharType="end"/>
      </w:r>
      <w:r>
        <w:rPr>
          <w:rFonts w:hint="eastAsia" w:ascii="仿宋" w:hAnsi="仿宋" w:eastAsia="仿宋" w:cs="仿宋"/>
          <w:color w:val="auto"/>
          <w:sz w:val="24"/>
        </w:rPr>
        <w:t>，地处中国西北地区，东临</w:t>
      </w:r>
      <w:r>
        <w:rPr>
          <w:color w:val="auto"/>
        </w:rPr>
        <w:fldChar w:fldCharType="begin"/>
      </w:r>
      <w:r>
        <w:rPr>
          <w:color w:val="auto"/>
        </w:rPr>
        <w:instrText xml:space="preserve"> HYPERLINK "https://baike.baidu.com/item/%E5%A1%94%20%E5%85%8B%E6%8B%89%E7%8E%9B%E5%B9%B2%E6%B2%99%E6%BC%A0" \t "https://baike.baidu.com/item/%E5%96%80%E4%BB%80%E7%BB%8F%E6%B5%8E%E7%89%B9%E5%8C%BA/_blank" </w:instrText>
      </w:r>
      <w:r>
        <w:rPr>
          <w:color w:val="auto"/>
        </w:rPr>
        <w:fldChar w:fldCharType="separate"/>
      </w:r>
      <w:r>
        <w:rPr>
          <w:rFonts w:hint="eastAsia" w:ascii="仿宋" w:hAnsi="仿宋" w:eastAsia="仿宋" w:cs="仿宋"/>
          <w:color w:val="auto"/>
          <w:sz w:val="24"/>
        </w:rPr>
        <w:t>塔克拉玛干沙漠</w:t>
      </w:r>
      <w:r>
        <w:rPr>
          <w:rFonts w:hint="eastAsia" w:ascii="仿宋" w:hAnsi="仿宋" w:eastAsia="仿宋" w:cs="仿宋"/>
          <w:color w:val="auto"/>
          <w:sz w:val="24"/>
        </w:rPr>
        <w:fldChar w:fldCharType="end"/>
      </w:r>
      <w:r>
        <w:rPr>
          <w:rFonts w:hint="eastAsia" w:ascii="仿宋" w:hAnsi="仿宋" w:eastAsia="仿宋" w:cs="仿宋"/>
          <w:color w:val="auto"/>
          <w:sz w:val="24"/>
        </w:rPr>
        <w:t>，南依</w:t>
      </w:r>
      <w:r>
        <w:rPr>
          <w:color w:val="auto"/>
        </w:rPr>
        <w:fldChar w:fldCharType="begin"/>
      </w:r>
      <w:r>
        <w:rPr>
          <w:color w:val="auto"/>
        </w:rPr>
        <w:instrText xml:space="preserve"> HYPERLINK "https://baike.baidu.com/item/%E5%96%80%E5%96%87%E6%98%86%E4%BB%91%E5%B1%B1/2112564" \t "https://baike.baidu.com/item/%E5%96%80%E4%BB%80%E7%BB%8F%E6%B5%8E%E7%89%B9%E5%8C%BA/_blank" </w:instrText>
      </w:r>
      <w:r>
        <w:rPr>
          <w:color w:val="auto"/>
        </w:rPr>
        <w:fldChar w:fldCharType="separate"/>
      </w:r>
      <w:r>
        <w:rPr>
          <w:rFonts w:hint="eastAsia" w:ascii="仿宋" w:hAnsi="仿宋" w:eastAsia="仿宋" w:cs="仿宋"/>
          <w:color w:val="auto"/>
          <w:sz w:val="24"/>
        </w:rPr>
        <w:t>喀喇昆仑山</w:t>
      </w:r>
      <w:r>
        <w:rPr>
          <w:rFonts w:hint="eastAsia" w:ascii="仿宋" w:hAnsi="仿宋" w:eastAsia="仿宋" w:cs="仿宋"/>
          <w:color w:val="auto"/>
          <w:sz w:val="24"/>
        </w:rPr>
        <w:fldChar w:fldCharType="end"/>
      </w:r>
      <w:r>
        <w:rPr>
          <w:rFonts w:hint="eastAsia" w:ascii="仿宋" w:hAnsi="仿宋" w:eastAsia="仿宋" w:cs="仿宋"/>
          <w:color w:val="auto"/>
          <w:sz w:val="24"/>
        </w:rPr>
        <w:t>与西藏阿里地区，西靠</w:t>
      </w:r>
      <w:r>
        <w:rPr>
          <w:color w:val="auto"/>
        </w:rPr>
        <w:fldChar w:fldCharType="begin"/>
      </w:r>
      <w:r>
        <w:rPr>
          <w:color w:val="auto"/>
        </w:rPr>
        <w:instrText xml:space="preserve"> HYPERLINK "https://baike.baidu.com/item/%E5%B8%95%20%E7%B1%B3%E5%B0%94%E9%AB%98%E5%8E%9F" \t "https://baike.baidu.com/item/%E5%96%80%E4%BB%80%E7%BB%8F%E6%B5%8E%E7%89%B9%E5%8C%BA/_blank" </w:instrText>
      </w:r>
      <w:r>
        <w:rPr>
          <w:color w:val="auto"/>
        </w:rPr>
        <w:fldChar w:fldCharType="separate"/>
      </w:r>
      <w:r>
        <w:rPr>
          <w:rFonts w:hint="eastAsia" w:ascii="仿宋" w:hAnsi="仿宋" w:eastAsia="仿宋" w:cs="仿宋"/>
          <w:color w:val="auto"/>
          <w:sz w:val="24"/>
        </w:rPr>
        <w:t>帕米尔高原</w:t>
      </w:r>
      <w:r>
        <w:rPr>
          <w:rFonts w:hint="eastAsia" w:ascii="仿宋" w:hAnsi="仿宋" w:eastAsia="仿宋" w:cs="仿宋"/>
          <w:color w:val="auto"/>
          <w:sz w:val="24"/>
        </w:rPr>
        <w:fldChar w:fldCharType="end"/>
      </w:r>
      <w:r>
        <w:rPr>
          <w:rFonts w:hint="eastAsia" w:ascii="仿宋" w:hAnsi="仿宋" w:eastAsia="仿宋" w:cs="仿宋"/>
          <w:color w:val="auto"/>
          <w:sz w:val="24"/>
        </w:rPr>
        <w:t>，东北与</w:t>
      </w:r>
      <w:r>
        <w:rPr>
          <w:color w:val="auto"/>
        </w:rPr>
        <w:fldChar w:fldCharType="begin"/>
      </w:r>
      <w:r>
        <w:rPr>
          <w:color w:val="auto"/>
        </w:rPr>
        <w:instrText xml:space="preserve"> HYPERLINK "https://baike.baidu.com/item/%E9%98%BF%E5%85%8B%E8%8B%8F%E5%9C%B0%E5%8C%BA" \t "https://baike.baidu.com/item/%E5%96%80%E4%BB%80%E7%BB%8F%E6%B5%8E%E7%89%B9%E5%8C%BA/_blank" </w:instrText>
      </w:r>
      <w:r>
        <w:rPr>
          <w:color w:val="auto"/>
        </w:rPr>
        <w:fldChar w:fldCharType="separate"/>
      </w:r>
      <w:r>
        <w:rPr>
          <w:rFonts w:hint="eastAsia" w:ascii="仿宋" w:hAnsi="仿宋" w:eastAsia="仿宋" w:cs="仿宋"/>
          <w:color w:val="auto"/>
          <w:sz w:val="24"/>
        </w:rPr>
        <w:t>阿克苏地区</w:t>
      </w:r>
      <w:r>
        <w:rPr>
          <w:rFonts w:hint="eastAsia" w:ascii="仿宋" w:hAnsi="仿宋" w:eastAsia="仿宋" w:cs="仿宋"/>
          <w:color w:val="auto"/>
          <w:sz w:val="24"/>
        </w:rPr>
        <w:fldChar w:fldCharType="end"/>
      </w:r>
      <w:r>
        <w:rPr>
          <w:color w:val="auto"/>
        </w:rPr>
        <w:fldChar w:fldCharType="begin"/>
      </w:r>
      <w:r>
        <w:rPr>
          <w:color w:val="auto"/>
        </w:rPr>
        <w:instrText xml:space="preserve"> HYPERLINK "https://baike.baidu.com/item/%E6%9F%AF%E5%9D%AA%E5%8E%BF" \t "https://baike.baidu.com/item/%E5%96%80%E4%BB%80%E7%BB%8F%E6%B5%8E%E7%89%B9%E5%8C%BA/_blank" </w:instrText>
      </w:r>
      <w:r>
        <w:rPr>
          <w:color w:val="auto"/>
        </w:rPr>
        <w:fldChar w:fldCharType="separate"/>
      </w:r>
      <w:r>
        <w:rPr>
          <w:rFonts w:hint="eastAsia" w:ascii="仿宋" w:hAnsi="仿宋" w:eastAsia="仿宋" w:cs="仿宋"/>
          <w:color w:val="auto"/>
          <w:sz w:val="24"/>
        </w:rPr>
        <w:t>柯坪县</w:t>
      </w:r>
      <w:r>
        <w:rPr>
          <w:rFonts w:hint="eastAsia" w:ascii="仿宋" w:hAnsi="仿宋" w:eastAsia="仿宋" w:cs="仿宋"/>
          <w:color w:val="auto"/>
          <w:sz w:val="24"/>
        </w:rPr>
        <w:fldChar w:fldCharType="end"/>
      </w:r>
      <w:r>
        <w:rPr>
          <w:rFonts w:hint="eastAsia" w:ascii="仿宋" w:hAnsi="仿宋" w:eastAsia="仿宋" w:cs="仿宋"/>
          <w:color w:val="auto"/>
          <w:sz w:val="24"/>
        </w:rPr>
        <w:t>、</w:t>
      </w:r>
      <w:r>
        <w:rPr>
          <w:color w:val="auto"/>
        </w:rPr>
        <w:fldChar w:fldCharType="begin"/>
      </w:r>
      <w:r>
        <w:rPr>
          <w:color w:val="auto"/>
        </w:rPr>
        <w:instrText xml:space="preserve"> HYPERLINK "https://baike.baidu.com/item/%E9%98%BF%E7%93%A6%E6%8F%90%E5%8E%BF" \t "https://baike.baidu.com/item/%E5%96%80%E4%BB%80%E7%BB%8F%E6%B5%8E%E7%89%B9%E5%8C%BA/_blank" </w:instrText>
      </w:r>
      <w:r>
        <w:rPr>
          <w:color w:val="auto"/>
        </w:rPr>
        <w:fldChar w:fldCharType="separate"/>
      </w:r>
      <w:r>
        <w:rPr>
          <w:rFonts w:hint="eastAsia" w:ascii="仿宋" w:hAnsi="仿宋" w:eastAsia="仿宋" w:cs="仿宋"/>
          <w:color w:val="auto"/>
          <w:sz w:val="24"/>
        </w:rPr>
        <w:t>阿瓦提县</w:t>
      </w:r>
      <w:r>
        <w:rPr>
          <w:rFonts w:hint="eastAsia" w:ascii="仿宋" w:hAnsi="仿宋" w:eastAsia="仿宋" w:cs="仿宋"/>
          <w:color w:val="auto"/>
          <w:sz w:val="24"/>
        </w:rPr>
        <w:fldChar w:fldCharType="end"/>
      </w:r>
      <w:r>
        <w:rPr>
          <w:rFonts w:hint="eastAsia" w:ascii="仿宋" w:hAnsi="仿宋" w:eastAsia="仿宋" w:cs="仿宋"/>
          <w:color w:val="auto"/>
          <w:sz w:val="24"/>
        </w:rPr>
        <w:t>相连，西北与克孜勒苏柯尔克孜自治州的阿图什市、</w:t>
      </w:r>
      <w:r>
        <w:rPr>
          <w:color w:val="auto"/>
        </w:rPr>
        <w:fldChar w:fldCharType="begin"/>
      </w:r>
      <w:r>
        <w:rPr>
          <w:color w:val="auto"/>
        </w:rPr>
        <w:instrText xml:space="preserve"> HYPERLINK "https://baike.baidu.com/item/%E4%B9%8C%E6%81%B0%E5%8E%BF" \t "https://baike.baidu.com/item/%E5%96%80%E4%BB%80%E7%BB%8F%E6%B5%8E%E7%89%B9%E5%8C%BA/_blank" </w:instrText>
      </w:r>
      <w:r>
        <w:rPr>
          <w:color w:val="auto"/>
        </w:rPr>
        <w:fldChar w:fldCharType="separate"/>
      </w:r>
      <w:r>
        <w:rPr>
          <w:rFonts w:hint="eastAsia" w:ascii="仿宋" w:hAnsi="仿宋" w:eastAsia="仿宋" w:cs="仿宋"/>
          <w:color w:val="auto"/>
          <w:sz w:val="24"/>
        </w:rPr>
        <w:t>乌恰县</w:t>
      </w:r>
      <w:r>
        <w:rPr>
          <w:rFonts w:hint="eastAsia" w:ascii="仿宋" w:hAnsi="仿宋" w:eastAsia="仿宋" w:cs="仿宋"/>
          <w:color w:val="auto"/>
          <w:sz w:val="24"/>
        </w:rPr>
        <w:fldChar w:fldCharType="end"/>
      </w:r>
      <w:r>
        <w:rPr>
          <w:rFonts w:hint="eastAsia" w:ascii="仿宋" w:hAnsi="仿宋" w:eastAsia="仿宋" w:cs="仿宋"/>
          <w:color w:val="auto"/>
          <w:sz w:val="24"/>
        </w:rPr>
        <w:t>、</w:t>
      </w:r>
      <w:r>
        <w:rPr>
          <w:color w:val="auto"/>
        </w:rPr>
        <w:fldChar w:fldCharType="begin"/>
      </w:r>
      <w:r>
        <w:rPr>
          <w:color w:val="auto"/>
        </w:rPr>
        <w:instrText xml:space="preserve"> HYPERLINK "https://baike.baidu.com/item/%E9%98%BF%E5%85%8B%E9%99%B6%E5%8E%BF" \t "https://baike.baidu.com/item/%E5%96%80%E4%BB%80%E7%BB%8F%E6%B5%8E%E7%89%B9%E5%8C%BA/_blank" </w:instrText>
      </w:r>
      <w:r>
        <w:rPr>
          <w:color w:val="auto"/>
        </w:rPr>
        <w:fldChar w:fldCharType="separate"/>
      </w:r>
      <w:r>
        <w:rPr>
          <w:rFonts w:hint="eastAsia" w:ascii="仿宋" w:hAnsi="仿宋" w:eastAsia="仿宋" w:cs="仿宋"/>
          <w:color w:val="auto"/>
          <w:sz w:val="24"/>
        </w:rPr>
        <w:t>阿克陶县</w:t>
      </w:r>
      <w:r>
        <w:rPr>
          <w:rFonts w:hint="eastAsia" w:ascii="仿宋" w:hAnsi="仿宋" w:eastAsia="仿宋" w:cs="仿宋"/>
          <w:color w:val="auto"/>
          <w:sz w:val="24"/>
        </w:rPr>
        <w:fldChar w:fldCharType="end"/>
      </w:r>
      <w:r>
        <w:rPr>
          <w:rFonts w:hint="eastAsia" w:ascii="仿宋" w:hAnsi="仿宋" w:eastAsia="仿宋" w:cs="仿宋"/>
          <w:color w:val="auto"/>
          <w:sz w:val="24"/>
        </w:rPr>
        <w:t>相连，东南与</w:t>
      </w:r>
      <w:r>
        <w:rPr>
          <w:color w:val="auto"/>
        </w:rPr>
        <w:fldChar w:fldCharType="begin"/>
      </w:r>
      <w:r>
        <w:rPr>
          <w:color w:val="auto"/>
        </w:rPr>
        <w:instrText xml:space="preserve"> HYPERLINK "https://baike.baidu.com/item/%E5%92%8C%20%E7%94%B0%E5%9C%B0%E5%8C%BA" \t "https://baike.baidu.com/item/%E5%96%80%E4%BB%80%E7%BB%8F%E6%B5%8E%E7%89%B9%E5%8C%BA/_blank" </w:instrText>
      </w:r>
      <w:r>
        <w:rPr>
          <w:color w:val="auto"/>
        </w:rPr>
        <w:fldChar w:fldCharType="separate"/>
      </w:r>
      <w:r>
        <w:rPr>
          <w:rFonts w:hint="eastAsia" w:ascii="仿宋" w:hAnsi="仿宋" w:eastAsia="仿宋" w:cs="仿宋"/>
          <w:color w:val="auto"/>
          <w:sz w:val="24"/>
        </w:rPr>
        <w:t>和田地区</w:t>
      </w:r>
      <w:r>
        <w:rPr>
          <w:rFonts w:hint="eastAsia" w:ascii="仿宋" w:hAnsi="仿宋" w:eastAsia="仿宋" w:cs="仿宋"/>
          <w:color w:val="auto"/>
          <w:sz w:val="24"/>
        </w:rPr>
        <w:fldChar w:fldCharType="end"/>
      </w:r>
      <w:r>
        <w:rPr>
          <w:color w:val="auto"/>
        </w:rPr>
        <w:fldChar w:fldCharType="begin"/>
      </w:r>
      <w:r>
        <w:rPr>
          <w:color w:val="auto"/>
        </w:rPr>
        <w:instrText xml:space="preserve"> HYPERLINK "https://baike.baidu.com/item/%E7%9A%AE%E5%B1%B1%E5%8E%BF" \t "https://baike.baidu.com/item/%E5%96%80%E4%BB%80%E7%BB%8F%E6%B5%8E%E7%89%B9%E5%8C%BA/_blank" </w:instrText>
      </w:r>
      <w:r>
        <w:rPr>
          <w:color w:val="auto"/>
        </w:rPr>
        <w:fldChar w:fldCharType="separate"/>
      </w:r>
      <w:r>
        <w:rPr>
          <w:rFonts w:hint="eastAsia" w:ascii="仿宋" w:hAnsi="仿宋" w:eastAsia="仿宋" w:cs="仿宋"/>
          <w:color w:val="auto"/>
          <w:sz w:val="24"/>
        </w:rPr>
        <w:t>皮山县</w:t>
      </w:r>
      <w:r>
        <w:rPr>
          <w:rFonts w:hint="eastAsia" w:ascii="仿宋" w:hAnsi="仿宋" w:eastAsia="仿宋" w:cs="仿宋"/>
          <w:color w:val="auto"/>
          <w:sz w:val="24"/>
        </w:rPr>
        <w:fldChar w:fldCharType="end"/>
      </w:r>
      <w:r>
        <w:rPr>
          <w:rFonts w:hint="eastAsia" w:ascii="仿宋" w:hAnsi="仿宋" w:eastAsia="仿宋" w:cs="仿宋"/>
          <w:color w:val="auto"/>
          <w:sz w:val="24"/>
        </w:rPr>
        <w:t>相连，总面积16.2万平方公里。本次工作涉及的县市有叶城县、莎车县、塔什库尔干塔吉克自治县、英吉沙县四个县</w:t>
      </w:r>
      <w:r>
        <w:rPr>
          <w:rFonts w:hint="eastAsia" w:ascii="仿宋" w:hAnsi="仿宋" w:eastAsia="仿宋" w:cs="仿宋"/>
          <w:color w:val="auto"/>
          <w:kern w:val="0"/>
          <w:sz w:val="24"/>
        </w:rPr>
        <w:t>。</w:t>
      </w:r>
    </w:p>
    <w:p>
      <w:pPr>
        <w:spacing w:line="5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（二）社会经济概况</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喀什地区处在中亚腹部，新疆西南部，全区共辖1个</w:t>
      </w:r>
      <w:r>
        <w:rPr>
          <w:color w:val="auto"/>
        </w:rPr>
        <w:fldChar w:fldCharType="begin"/>
      </w:r>
      <w:r>
        <w:rPr>
          <w:color w:val="auto"/>
        </w:rPr>
        <w:instrText xml:space="preserve"> HYPERLINK "https://baike.baidu.com/item/%E5%8E%BF%E7%BA%A7%E5%B8%82/1659674" \t "_blank" </w:instrText>
      </w:r>
      <w:r>
        <w:rPr>
          <w:color w:val="auto"/>
        </w:rPr>
        <w:fldChar w:fldCharType="separate"/>
      </w:r>
      <w:r>
        <w:rPr>
          <w:rFonts w:hint="eastAsia" w:ascii="仿宋" w:hAnsi="仿宋" w:eastAsia="仿宋" w:cs="仿宋"/>
          <w:color w:val="auto"/>
          <w:sz w:val="24"/>
        </w:rPr>
        <w:t>县级市</w:t>
      </w:r>
      <w:r>
        <w:rPr>
          <w:rFonts w:hint="eastAsia" w:ascii="仿宋" w:hAnsi="仿宋" w:eastAsia="仿宋" w:cs="仿宋"/>
          <w:color w:val="auto"/>
          <w:sz w:val="24"/>
        </w:rPr>
        <w:fldChar w:fldCharType="end"/>
      </w:r>
      <w:r>
        <w:rPr>
          <w:rFonts w:hint="eastAsia" w:ascii="仿宋" w:hAnsi="仿宋" w:eastAsia="仿宋" w:cs="仿宋"/>
          <w:color w:val="auto"/>
          <w:sz w:val="24"/>
        </w:rPr>
        <w:t>、10个</w:t>
      </w:r>
      <w:r>
        <w:rPr>
          <w:color w:val="auto"/>
        </w:rPr>
        <w:fldChar w:fldCharType="begin"/>
      </w:r>
      <w:r>
        <w:rPr>
          <w:color w:val="auto"/>
        </w:rPr>
        <w:instrText xml:space="preserve"> HYPERLINK "https://baike.baidu.com/item/%E5%8E%BF/7258656" \t "_blank" </w:instrText>
      </w:r>
      <w:r>
        <w:rPr>
          <w:color w:val="auto"/>
        </w:rPr>
        <w:fldChar w:fldCharType="separate"/>
      </w:r>
      <w:r>
        <w:rPr>
          <w:rFonts w:hint="eastAsia" w:ascii="仿宋" w:hAnsi="仿宋" w:eastAsia="仿宋" w:cs="仿宋"/>
          <w:color w:val="auto"/>
          <w:sz w:val="24"/>
        </w:rPr>
        <w:t>县</w:t>
      </w:r>
      <w:r>
        <w:rPr>
          <w:rFonts w:hint="eastAsia" w:ascii="仿宋" w:hAnsi="仿宋" w:eastAsia="仿宋" w:cs="仿宋"/>
          <w:color w:val="auto"/>
          <w:sz w:val="24"/>
        </w:rPr>
        <w:fldChar w:fldCharType="end"/>
      </w:r>
      <w:r>
        <w:rPr>
          <w:rFonts w:hint="eastAsia" w:ascii="仿宋" w:hAnsi="仿宋" w:eastAsia="仿宋" w:cs="仿宋"/>
          <w:color w:val="auto"/>
          <w:sz w:val="24"/>
        </w:rPr>
        <w:t>、1个</w:t>
      </w:r>
      <w:r>
        <w:rPr>
          <w:color w:val="auto"/>
        </w:rPr>
        <w:fldChar w:fldCharType="begin"/>
      </w:r>
      <w:r>
        <w:rPr>
          <w:color w:val="auto"/>
        </w:rPr>
        <w:instrText xml:space="preserve"> HYPERLINK "https://baike.baidu.com/item/%E8%87%AA%E6%B2%BB%E5%8E%BF/1660044" \t "_blank" </w:instrText>
      </w:r>
      <w:r>
        <w:rPr>
          <w:color w:val="auto"/>
        </w:rPr>
        <w:fldChar w:fldCharType="separate"/>
      </w:r>
      <w:r>
        <w:rPr>
          <w:rFonts w:hint="eastAsia" w:ascii="仿宋" w:hAnsi="仿宋" w:eastAsia="仿宋" w:cs="仿宋"/>
          <w:color w:val="auto"/>
          <w:sz w:val="24"/>
        </w:rPr>
        <w:t>自治县</w:t>
      </w:r>
      <w:r>
        <w:rPr>
          <w:rFonts w:hint="eastAsia" w:ascii="仿宋" w:hAnsi="仿宋" w:eastAsia="仿宋" w:cs="仿宋"/>
          <w:color w:val="auto"/>
          <w:sz w:val="24"/>
        </w:rPr>
        <w:fldChar w:fldCharType="end"/>
      </w:r>
      <w:r>
        <w:rPr>
          <w:rFonts w:hint="eastAsia" w:ascii="仿宋" w:hAnsi="仿宋" w:eastAsia="仿宋" w:cs="仿宋"/>
          <w:color w:val="auto"/>
          <w:sz w:val="24"/>
        </w:rPr>
        <w:t>，总人口为449.6万人（2020年），主体民族为维吾尔族，次为汉、塔吉克、回、柯尔克孜、乌孜别克、哈萨克、满、锡伯、蒙古、藏、俄罗斯等民族。</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据地区2021年生产总值统一核算结果，全年实现地区生产总值（GDP）1298.98亿元，比上年增长7.6%，两年平均增长6.2%。其中，第一产业增加值387.03亿元，增长7.7%；第二产业增加值270.23亿元，增长11.0%；第三产业增加值641.72亿元，增长6.2%。第一产业增加值占地区生产总值的比重为29.8%，第二产业增加值占地区生产总值的比重为20.8%，第三产业增加值占地区生产总值的比重为49.4%，第三产业成为拉动经济增长的第一动力。全年人均地区生产总值27266元，比上年增长7.5%。</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四、地质环境条件和工作程度</w:t>
      </w:r>
    </w:p>
    <w:p>
      <w:pPr>
        <w:spacing w:line="5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（一）地形地貌</w:t>
      </w:r>
    </w:p>
    <w:p>
      <w:pPr>
        <w:spacing w:line="540" w:lineRule="exact"/>
        <w:ind w:firstLine="560"/>
        <w:rPr>
          <w:rFonts w:ascii="仿宋" w:hAnsi="仿宋" w:eastAsia="仿宋" w:cs="仿宋"/>
          <w:color w:val="auto"/>
          <w:sz w:val="24"/>
        </w:rPr>
      </w:pPr>
      <w:r>
        <w:rPr>
          <w:rFonts w:hint="eastAsia" w:ascii="仿宋" w:hAnsi="仿宋" w:eastAsia="仿宋" w:cs="仿宋"/>
          <w:color w:val="auto"/>
          <w:sz w:val="24"/>
        </w:rPr>
        <w:t>监测区地处昆仑山北麓、塔里木盆地西南缘，地形地貌较为复杂。总体地势为南、西、北方向高，东部低，地势由西南向东北倾斜。按成因监测区内的主要地貌类型为侵蚀剥蚀中高山和剥蚀低山丘陵。境内最高的乔戈里峰海拔8611米，最低处塔克拉玛干大沙漠海拔1100米，喀什市城区的平均海拔1289米。</w:t>
      </w:r>
    </w:p>
    <w:p>
      <w:pPr>
        <w:spacing w:line="5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（二）地层岩性</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监测区出露地层较齐全，前第四纪地层除缺失太古界外，从元古界至新生界均有分布。</w:t>
      </w:r>
    </w:p>
    <w:p>
      <w:pPr>
        <w:spacing w:line="5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（三）水文地质条件</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监测区各地质时代的含水岩组按地层岩性、地下水赋存条件、水理性质及水力特征归并组合，划分为三个含水岩组，即第四系松散岩类孔隙水、碎屑岩类裂隙孔隙水、基岩裂隙水。</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五、主要地质灾害</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截至2022年12月31日全区登记在册的滑坡、崩塌（危岩）、地面塌陷、泥石流地质灾害隐患点共计1389处。</w:t>
      </w:r>
      <w:r>
        <w:rPr>
          <w:rFonts w:hint="eastAsia" w:ascii="仿宋" w:hAnsi="仿宋" w:eastAsia="仿宋" w:cs="仿宋"/>
          <w:color w:val="auto"/>
          <w:sz w:val="24"/>
        </w:rPr>
        <w:t>其中崩塌594处，占总数的42.76%；滑坡94处，占总数的6.77%；泥石流701处，占总数的50.47%。从灾害类型看，地质灾害以泥石流、崩塌为主，规模上以小型和中型为主。</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六、目标任务</w:t>
      </w:r>
    </w:p>
    <w:p>
      <w:pPr>
        <w:spacing w:line="5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（一）目标</w:t>
      </w:r>
    </w:p>
    <w:p>
      <w:pPr>
        <w:spacing w:line="54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通过在喀什地区选取 20处地质灾害隐患点，实施</w:t>
      </w:r>
      <w:r>
        <w:rPr>
          <w:rFonts w:hint="eastAsia" w:ascii="仿宋" w:hAnsi="仿宋" w:eastAsia="仿宋" w:cs="仿宋"/>
          <w:color w:val="auto"/>
          <w:sz w:val="24"/>
        </w:rPr>
        <w:t>新疆</w:t>
      </w:r>
      <w:r>
        <w:rPr>
          <w:rFonts w:hint="eastAsia" w:ascii="仿宋" w:hAnsi="仿宋" w:eastAsia="仿宋" w:cs="仿宋"/>
          <w:color w:val="auto"/>
          <w:kern w:val="0"/>
          <w:sz w:val="24"/>
        </w:rPr>
        <w:t>喀什地区</w:t>
      </w:r>
      <w:r>
        <w:rPr>
          <w:rFonts w:hint="eastAsia" w:ascii="仿宋" w:hAnsi="仿宋" w:eastAsia="仿宋" w:cs="仿宋"/>
          <w:color w:val="auto"/>
          <w:sz w:val="24"/>
        </w:rPr>
        <w:t>群专结合监测预警点</w:t>
      </w:r>
      <w:r>
        <w:rPr>
          <w:rFonts w:hint="eastAsia" w:ascii="仿宋" w:hAnsi="仿宋" w:eastAsia="仿宋" w:cs="仿宋"/>
          <w:color w:val="auto"/>
          <w:kern w:val="0"/>
          <w:sz w:val="24"/>
        </w:rPr>
        <w:t>建设（2023年度），进一步提高监测区地质灾害群测群防专业化水平，降低群测群防员监测预警工作强度和压力，提升监测区地质灾害自动化、专业化和标准化监测预警覆盖面，提高防灾减灾能力，支撑监测区地质灾害风险管理，最大限度减少人员伤亡和财产损失。</w:t>
      </w:r>
    </w:p>
    <w:p>
      <w:pPr>
        <w:spacing w:line="5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（二）任务</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1.制定监测设计方案。包括确定监测对象、监测内容、监测指标、监测设备与布设方案等。</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2.开展设备安装与运行维护。结合现场情况与监测设计方案开展安装，组织监测设备现场验收，并对设备进行状态监控与维修维护。</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3.进行数据库与系统建设，为地质灾害群专结合监测预警工作提供全流程信息服务支撑。</w:t>
      </w:r>
    </w:p>
    <w:p>
      <w:pPr>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4.实施预警与响应。通过宏观预警、专业预警与区域地质灾害气象预警综合分析实施预警分级与响应。</w:t>
      </w:r>
    </w:p>
    <w:p>
      <w:pPr>
        <w:spacing w:line="540" w:lineRule="exact"/>
        <w:ind w:firstLine="480" w:firstLineChars="200"/>
        <w:rPr>
          <w:rFonts w:hint="eastAsia" w:ascii="仿宋" w:hAnsi="仿宋" w:eastAsia="仿宋" w:cs="仿宋"/>
          <w:color w:val="auto"/>
          <w:kern w:val="0"/>
          <w:sz w:val="24"/>
          <w:lang w:val="en-US" w:eastAsia="zh-CN"/>
        </w:rPr>
      </w:pPr>
      <w:r>
        <w:rPr>
          <w:rFonts w:hint="default" w:ascii="仿宋" w:hAnsi="仿宋" w:eastAsia="仿宋" w:cs="仿宋"/>
          <w:color w:val="auto"/>
          <w:kern w:val="0"/>
          <w:sz w:val="24"/>
          <w:lang w:val="en-US"/>
        </w:rPr>
        <w:t>5.</w:t>
      </w:r>
      <w:r>
        <w:rPr>
          <w:rFonts w:hint="eastAsia" w:ascii="仿宋" w:hAnsi="仿宋" w:eastAsia="仿宋" w:cs="仿宋"/>
          <w:color w:val="auto"/>
          <w:kern w:val="0"/>
          <w:sz w:val="24"/>
          <w:lang w:val="en-US" w:eastAsia="zh-CN"/>
        </w:rPr>
        <w:t>地质灾害群专结合监测预警点开展地质灾害防治知识培训、地质灾害应急演练。</w:t>
      </w:r>
    </w:p>
    <w:p>
      <w:pPr>
        <w:spacing w:line="54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6.地质灾害群专结合监测预警点设置警示牌。                                                                                                                                                                                                                                                                                                                                                                                                                                                                                                        </w:t>
      </w:r>
    </w:p>
    <w:p>
      <w:pPr>
        <w:adjustRightInd w:val="0"/>
        <w:snapToGrid w:val="0"/>
        <w:spacing w:line="540" w:lineRule="exact"/>
        <w:ind w:firstLine="480" w:firstLineChars="200"/>
        <w:rPr>
          <w:color w:val="auto"/>
        </w:rPr>
      </w:pPr>
      <w:r>
        <w:rPr>
          <w:rFonts w:hint="eastAsia" w:ascii="仿宋" w:hAnsi="仿宋" w:eastAsia="仿宋" w:cs="仿宋"/>
          <w:color w:val="auto"/>
          <w:kern w:val="0"/>
          <w:sz w:val="24"/>
          <w:lang w:val="en-US" w:eastAsia="zh-CN"/>
        </w:rPr>
        <w:t>7.结合实际情况编制地质灾害群专结合监测预警点地质灾害应急预案。</w:t>
      </w:r>
    </w:p>
    <w:p>
      <w:pPr>
        <w:adjustRightInd w:val="0"/>
        <w:snapToGrid w:val="0"/>
        <w:spacing w:line="5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七、主要技术要求</w:t>
      </w:r>
    </w:p>
    <w:p>
      <w:pPr>
        <w:spacing w:line="5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（一）标准规范</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1.《2023年地质灾害监测预警实验工作方案》；</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2.《地质灾害普适型仪器监测预警规范（报批稿）》；</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3.《地质灾害监测通信技术要求（报批稿）》；</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4.《地质灾害监测数据通信技术要求》；</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5.《地质灾害监测预警数据库建设规范（报批稿）》；</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6.《地质灾害监测预警设备检测技术要求（报批稿）》；</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7.《地质灾害普适型仪器监测预警点建设与运维预算标准（试行）》；</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8.《工程测量规范》，GB50026-2007；</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9.《全球定位系统（GPS）测量规范》,GB/T18314-2009；</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同时满足招标文件、设计书及其审批意见书和有关规定的要求。</w:t>
      </w:r>
    </w:p>
    <w:p>
      <w:pPr>
        <w:spacing w:line="54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（二）监测设备技术要求</w:t>
      </w:r>
    </w:p>
    <w:p>
      <w:pPr>
        <w:pStyle w:val="11"/>
        <w:snapToGrid w:val="0"/>
        <w:spacing w:line="240" w:lineRule="auto"/>
        <w:ind w:firstLine="480"/>
        <w:jc w:val="center"/>
        <w:rPr>
          <w:rFonts w:ascii="仿宋" w:hAnsi="仿宋" w:eastAsia="仿宋" w:cs="仿宋"/>
          <w:color w:val="auto"/>
          <w:szCs w:val="32"/>
        </w:rPr>
      </w:pPr>
      <w:r>
        <w:rPr>
          <w:rFonts w:hint="eastAsia" w:ascii="仿宋" w:hAnsi="仿宋" w:eastAsia="仿宋" w:cs="仿宋"/>
          <w:color w:val="auto"/>
          <w:szCs w:val="32"/>
        </w:rPr>
        <w:t>表1  雨量计主要技术参数</w:t>
      </w:r>
    </w:p>
    <w:tbl>
      <w:tblPr>
        <w:tblStyle w:val="37"/>
        <w:tblpPr w:leftFromText="180" w:rightFromText="180" w:vertAnchor="text" w:horzAnchor="page" w:tblpXSpec="center" w:tblpY="65"/>
        <w:tblOverlap w:val="never"/>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5176"/>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47" w:type="dxa"/>
          </w:tcPr>
          <w:p>
            <w:pPr>
              <w:pStyle w:val="74"/>
              <w:snapToGrid w:val="0"/>
              <w:ind w:right="289"/>
              <w:rPr>
                <w:rFonts w:ascii="仿宋" w:hAnsi="仿宋" w:eastAsia="仿宋" w:cs="仿宋"/>
                <w:b/>
                <w:color w:val="auto"/>
              </w:rPr>
            </w:pPr>
            <w:r>
              <w:rPr>
                <w:rFonts w:hint="eastAsia" w:ascii="仿宋" w:hAnsi="仿宋" w:eastAsia="仿宋" w:cs="仿宋"/>
                <w:b/>
                <w:color w:val="auto"/>
              </w:rPr>
              <w:t>参数类型</w:t>
            </w:r>
          </w:p>
        </w:tc>
        <w:tc>
          <w:tcPr>
            <w:tcW w:w="5176" w:type="dxa"/>
          </w:tcPr>
          <w:p>
            <w:pPr>
              <w:pStyle w:val="74"/>
              <w:snapToGrid w:val="0"/>
              <w:ind w:left="639" w:right="529"/>
              <w:rPr>
                <w:rFonts w:ascii="仿宋" w:hAnsi="仿宋" w:eastAsia="仿宋" w:cs="仿宋"/>
                <w:b/>
                <w:color w:val="auto"/>
              </w:rPr>
            </w:pPr>
            <w:r>
              <w:rPr>
                <w:rFonts w:hint="eastAsia" w:ascii="仿宋" w:hAnsi="仿宋" w:eastAsia="仿宋" w:cs="仿宋"/>
                <w:b/>
                <w:color w:val="auto"/>
              </w:rPr>
              <w:t>技术指标</w:t>
            </w:r>
            <w:r>
              <w:rPr>
                <w:rFonts w:hint="eastAsia" w:ascii="仿宋" w:hAnsi="仿宋" w:eastAsia="仿宋" w:cs="仿宋"/>
                <w:b/>
                <w:color w:val="auto"/>
                <w:w w:val="99"/>
              </w:rPr>
              <w:t xml:space="preserve"> </w:t>
            </w:r>
          </w:p>
        </w:tc>
        <w:tc>
          <w:tcPr>
            <w:tcW w:w="1654" w:type="dxa"/>
          </w:tcPr>
          <w:p>
            <w:pPr>
              <w:pStyle w:val="74"/>
              <w:snapToGrid w:val="0"/>
              <w:ind w:left="262" w:right="152"/>
              <w:rPr>
                <w:rFonts w:ascii="仿宋" w:hAnsi="仿宋" w:eastAsia="仿宋" w:cs="仿宋"/>
                <w:b/>
                <w:color w:val="auto"/>
              </w:rPr>
            </w:pPr>
            <w:r>
              <w:rPr>
                <w:rFonts w:hint="eastAsia" w:ascii="仿宋" w:hAnsi="仿宋" w:eastAsia="仿宋" w:cs="仿宋"/>
                <w:b/>
                <w:color w:val="auto"/>
              </w:rPr>
              <w:t>备注</w:t>
            </w:r>
            <w:r>
              <w:rPr>
                <w:rFonts w:hint="eastAsia" w:ascii="仿宋" w:hAnsi="仿宋" w:eastAsia="仿宋" w:cs="仿宋"/>
                <w:b/>
                <w:color w:val="auto"/>
                <w:w w:val="9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测量范围</w:t>
            </w:r>
          </w:p>
        </w:tc>
        <w:tc>
          <w:tcPr>
            <w:tcW w:w="5176" w:type="dxa"/>
          </w:tcPr>
          <w:p>
            <w:pPr>
              <w:pStyle w:val="74"/>
              <w:snapToGrid w:val="0"/>
              <w:ind w:left="1395"/>
              <w:rPr>
                <w:rFonts w:ascii="仿宋" w:hAnsi="仿宋" w:eastAsia="仿宋" w:cs="仿宋"/>
                <w:color w:val="auto"/>
              </w:rPr>
            </w:pPr>
            <w:r>
              <w:rPr>
                <w:rFonts w:hint="eastAsia" w:ascii="仿宋" w:hAnsi="仿宋" w:eastAsia="仿宋" w:cs="仿宋"/>
                <w:color w:val="auto"/>
                <w:spacing w:val="-1"/>
              </w:rPr>
              <w:t>0～8mm/min（</w:t>
            </w:r>
            <w:r>
              <w:rPr>
                <w:rFonts w:hint="eastAsia" w:ascii="仿宋" w:hAnsi="仿宋" w:eastAsia="仿宋" w:cs="仿宋"/>
                <w:color w:val="auto"/>
              </w:rPr>
              <w:t>毫米/分）（压电式）</w:t>
            </w:r>
          </w:p>
          <w:p>
            <w:pPr>
              <w:pStyle w:val="74"/>
              <w:snapToGrid w:val="0"/>
              <w:ind w:left="1395"/>
              <w:rPr>
                <w:rFonts w:ascii="仿宋" w:hAnsi="仿宋" w:eastAsia="仿宋" w:cs="仿宋"/>
                <w:color w:val="auto"/>
              </w:rPr>
            </w:pPr>
            <w:r>
              <w:rPr>
                <w:rFonts w:hint="eastAsia" w:ascii="仿宋" w:hAnsi="仿宋" w:eastAsia="仿宋" w:cs="仿宋"/>
                <w:color w:val="auto"/>
                <w:spacing w:val="-1"/>
              </w:rPr>
              <w:t>0～4mm/min（</w:t>
            </w:r>
            <w:r>
              <w:rPr>
                <w:rFonts w:hint="eastAsia" w:ascii="仿宋" w:hAnsi="仿宋" w:eastAsia="仿宋" w:cs="仿宋"/>
                <w:color w:val="auto"/>
              </w:rPr>
              <w:t>毫米/分）（翻斗式）</w:t>
            </w:r>
          </w:p>
        </w:tc>
        <w:tc>
          <w:tcPr>
            <w:tcW w:w="1654" w:type="dxa"/>
          </w:tcPr>
          <w:p>
            <w:pPr>
              <w:pStyle w:val="74"/>
              <w:snapToGrid w:val="0"/>
              <w:ind w:left="111"/>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测量精度</w:t>
            </w:r>
          </w:p>
        </w:tc>
        <w:tc>
          <w:tcPr>
            <w:tcW w:w="5176" w:type="dxa"/>
          </w:tcPr>
          <w:p>
            <w:pPr>
              <w:pStyle w:val="74"/>
              <w:snapToGrid w:val="0"/>
              <w:ind w:left="639" w:right="527"/>
              <w:rPr>
                <w:rFonts w:ascii="仿宋" w:hAnsi="仿宋" w:eastAsia="仿宋" w:cs="仿宋"/>
                <w:color w:val="auto"/>
              </w:rPr>
            </w:pPr>
            <w:r>
              <w:rPr>
                <w:rFonts w:hint="eastAsia" w:ascii="仿宋" w:hAnsi="仿宋" w:eastAsia="仿宋" w:cs="仿宋"/>
                <w:color w:val="auto"/>
              </w:rPr>
              <w:t>±4%</w:t>
            </w:r>
          </w:p>
        </w:tc>
        <w:tc>
          <w:tcPr>
            <w:tcW w:w="1654" w:type="dxa"/>
          </w:tcPr>
          <w:p>
            <w:pPr>
              <w:pStyle w:val="74"/>
              <w:snapToGrid w:val="0"/>
              <w:ind w:left="111"/>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分辨率</w:t>
            </w:r>
          </w:p>
        </w:tc>
        <w:tc>
          <w:tcPr>
            <w:tcW w:w="5176" w:type="dxa"/>
          </w:tcPr>
          <w:p>
            <w:pPr>
              <w:pStyle w:val="74"/>
              <w:snapToGrid w:val="0"/>
              <w:ind w:left="639" w:right="529"/>
              <w:rPr>
                <w:rFonts w:ascii="仿宋" w:hAnsi="仿宋" w:eastAsia="仿宋" w:cs="仿宋"/>
                <w:color w:val="auto"/>
              </w:rPr>
            </w:pPr>
            <w:r>
              <w:rPr>
                <w:rFonts w:hint="eastAsia" w:ascii="仿宋" w:hAnsi="仿宋" w:eastAsia="仿宋" w:cs="仿宋"/>
                <w:color w:val="auto"/>
              </w:rPr>
              <w:t>0.2mm</w:t>
            </w:r>
          </w:p>
        </w:tc>
        <w:tc>
          <w:tcPr>
            <w:tcW w:w="1654" w:type="dxa"/>
          </w:tcPr>
          <w:p>
            <w:pPr>
              <w:pStyle w:val="74"/>
              <w:snapToGrid w:val="0"/>
              <w:ind w:left="111"/>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采样间隔</w:t>
            </w:r>
          </w:p>
        </w:tc>
        <w:tc>
          <w:tcPr>
            <w:tcW w:w="5176" w:type="dxa"/>
          </w:tcPr>
          <w:p>
            <w:pPr>
              <w:pStyle w:val="74"/>
              <w:snapToGrid w:val="0"/>
              <w:ind w:left="639" w:right="527"/>
              <w:rPr>
                <w:rFonts w:ascii="仿宋" w:hAnsi="仿宋" w:eastAsia="仿宋" w:cs="仿宋"/>
                <w:color w:val="auto"/>
              </w:rPr>
            </w:pPr>
            <w:r>
              <w:rPr>
                <w:rFonts w:hint="eastAsia" w:ascii="仿宋" w:hAnsi="仿宋" w:eastAsia="仿宋" w:cs="仿宋"/>
                <w:color w:val="auto"/>
              </w:rPr>
              <w:t>0s～24h</w:t>
            </w:r>
          </w:p>
        </w:tc>
        <w:tc>
          <w:tcPr>
            <w:tcW w:w="1654" w:type="dxa"/>
          </w:tcPr>
          <w:p>
            <w:pPr>
              <w:pStyle w:val="74"/>
              <w:snapToGrid w:val="0"/>
              <w:ind w:right="15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上传间隔</w:t>
            </w:r>
          </w:p>
        </w:tc>
        <w:tc>
          <w:tcPr>
            <w:tcW w:w="5176" w:type="dxa"/>
          </w:tcPr>
          <w:p>
            <w:pPr>
              <w:pStyle w:val="74"/>
              <w:snapToGrid w:val="0"/>
              <w:ind w:left="639" w:right="527"/>
              <w:rPr>
                <w:rFonts w:ascii="仿宋" w:hAnsi="仿宋" w:eastAsia="仿宋" w:cs="仿宋"/>
                <w:color w:val="auto"/>
              </w:rPr>
            </w:pPr>
            <w:r>
              <w:rPr>
                <w:rFonts w:hint="eastAsia" w:ascii="仿宋" w:hAnsi="仿宋" w:eastAsia="仿宋" w:cs="仿宋"/>
                <w:color w:val="auto"/>
              </w:rPr>
              <w:t>0s～72h</w:t>
            </w:r>
          </w:p>
        </w:tc>
        <w:tc>
          <w:tcPr>
            <w:tcW w:w="1654" w:type="dxa"/>
          </w:tcPr>
          <w:p>
            <w:pPr>
              <w:pStyle w:val="74"/>
              <w:snapToGrid w:val="0"/>
              <w:ind w:right="15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输出信号</w:t>
            </w:r>
          </w:p>
        </w:tc>
        <w:tc>
          <w:tcPr>
            <w:tcW w:w="5176" w:type="dxa"/>
          </w:tcPr>
          <w:p>
            <w:pPr>
              <w:pStyle w:val="74"/>
              <w:snapToGrid w:val="0"/>
              <w:ind w:left="639" w:right="528"/>
              <w:rPr>
                <w:rFonts w:ascii="仿宋" w:hAnsi="仿宋" w:eastAsia="仿宋" w:cs="仿宋"/>
                <w:color w:val="auto"/>
              </w:rPr>
            </w:pPr>
            <w:r>
              <w:rPr>
                <w:rFonts w:hint="eastAsia" w:ascii="仿宋" w:hAnsi="仿宋" w:eastAsia="仿宋" w:cs="仿宋"/>
                <w:color w:val="auto"/>
              </w:rPr>
              <w:t>RS485/NB-IoT/LoRa/α/2/4/5G等</w:t>
            </w:r>
          </w:p>
        </w:tc>
        <w:tc>
          <w:tcPr>
            <w:tcW w:w="1654" w:type="dxa"/>
          </w:tcPr>
          <w:p>
            <w:pPr>
              <w:pStyle w:val="74"/>
              <w:snapToGrid w:val="0"/>
              <w:ind w:left="111"/>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工作温度</w:t>
            </w:r>
          </w:p>
        </w:tc>
        <w:tc>
          <w:tcPr>
            <w:tcW w:w="5176" w:type="dxa"/>
          </w:tcPr>
          <w:p>
            <w:pPr>
              <w:pStyle w:val="74"/>
              <w:snapToGrid w:val="0"/>
              <w:ind w:right="529"/>
              <w:rPr>
                <w:rFonts w:ascii="仿宋" w:hAnsi="仿宋" w:eastAsia="仿宋" w:cs="仿宋"/>
                <w:color w:val="auto"/>
              </w:rPr>
            </w:pPr>
            <w:r>
              <w:rPr>
                <w:rFonts w:hint="eastAsia" w:ascii="仿宋" w:hAnsi="仿宋" w:eastAsia="仿宋" w:cs="仿宋"/>
                <w:color w:val="auto"/>
              </w:rPr>
              <w:t>0℃～+65℃</w:t>
            </w:r>
          </w:p>
        </w:tc>
        <w:tc>
          <w:tcPr>
            <w:tcW w:w="1654" w:type="dxa"/>
          </w:tcPr>
          <w:p>
            <w:pPr>
              <w:pStyle w:val="74"/>
              <w:snapToGrid w:val="0"/>
              <w:ind w:right="151"/>
              <w:rPr>
                <w:rFonts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47" w:type="dxa"/>
          </w:tcPr>
          <w:p>
            <w:pPr>
              <w:pStyle w:val="74"/>
              <w:snapToGrid w:val="0"/>
              <w:ind w:right="529"/>
              <w:jc w:val="center"/>
              <w:rPr>
                <w:rFonts w:ascii="仿宋" w:hAnsi="仿宋" w:eastAsia="仿宋" w:cs="仿宋"/>
                <w:color w:val="auto"/>
              </w:rPr>
            </w:pPr>
            <w:r>
              <w:rPr>
                <w:rFonts w:hint="eastAsia" w:ascii="仿宋" w:hAnsi="仿宋" w:eastAsia="仿宋" w:cs="仿宋"/>
                <w:color w:val="auto"/>
              </w:rPr>
              <w:t>通信标准</w:t>
            </w:r>
          </w:p>
        </w:tc>
        <w:tc>
          <w:tcPr>
            <w:tcW w:w="5176" w:type="dxa"/>
          </w:tcPr>
          <w:p>
            <w:pPr>
              <w:pStyle w:val="74"/>
              <w:snapToGrid w:val="0"/>
              <w:ind w:right="529"/>
              <w:jc w:val="center"/>
              <w:rPr>
                <w:rFonts w:ascii="仿宋" w:hAnsi="仿宋" w:eastAsia="仿宋" w:cs="仿宋"/>
                <w:color w:val="auto"/>
              </w:rPr>
            </w:pPr>
            <w:r>
              <w:rPr>
                <w:rFonts w:hint="eastAsia" w:ascii="仿宋" w:hAnsi="仿宋" w:eastAsia="仿宋" w:cs="仿宋"/>
                <w:color w:val="auto"/>
              </w:rPr>
              <w:t>符合《地质灾害监测数据通讯技术要求》（计划号： 201912007）</w:t>
            </w:r>
          </w:p>
        </w:tc>
        <w:tc>
          <w:tcPr>
            <w:tcW w:w="1654" w:type="dxa"/>
          </w:tcPr>
          <w:p>
            <w:pPr>
              <w:pStyle w:val="74"/>
              <w:snapToGrid w:val="0"/>
              <w:ind w:left="111"/>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防护等级</w:t>
            </w:r>
          </w:p>
        </w:tc>
        <w:tc>
          <w:tcPr>
            <w:tcW w:w="5176" w:type="dxa"/>
          </w:tcPr>
          <w:p>
            <w:pPr>
              <w:pStyle w:val="74"/>
              <w:snapToGrid w:val="0"/>
              <w:ind w:left="639" w:right="527"/>
              <w:rPr>
                <w:rFonts w:ascii="仿宋" w:hAnsi="仿宋" w:eastAsia="仿宋" w:cs="仿宋"/>
                <w:color w:val="auto"/>
              </w:rPr>
            </w:pPr>
            <w:r>
              <w:rPr>
                <w:rFonts w:hint="eastAsia" w:ascii="仿宋" w:hAnsi="仿宋" w:eastAsia="仿宋" w:cs="仿宋"/>
                <w:color w:val="auto"/>
              </w:rPr>
              <w:t>IP65以上</w:t>
            </w:r>
          </w:p>
        </w:tc>
        <w:tc>
          <w:tcPr>
            <w:tcW w:w="1654" w:type="dxa"/>
          </w:tcPr>
          <w:p>
            <w:pPr>
              <w:pStyle w:val="74"/>
              <w:snapToGrid w:val="0"/>
              <w:ind w:left="111"/>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安装方式</w:t>
            </w:r>
          </w:p>
        </w:tc>
        <w:tc>
          <w:tcPr>
            <w:tcW w:w="5176" w:type="dxa"/>
          </w:tcPr>
          <w:p>
            <w:pPr>
              <w:pStyle w:val="74"/>
              <w:snapToGrid w:val="0"/>
              <w:ind w:right="529"/>
              <w:rPr>
                <w:rFonts w:ascii="仿宋" w:hAnsi="仿宋" w:eastAsia="仿宋" w:cs="仿宋"/>
                <w:color w:val="auto"/>
              </w:rPr>
            </w:pPr>
            <w:r>
              <w:rPr>
                <w:rFonts w:hint="eastAsia" w:ascii="仿宋" w:hAnsi="仿宋" w:eastAsia="仿宋" w:cs="仿宋"/>
                <w:color w:val="auto"/>
              </w:rPr>
              <w:t>立杆胀杆固定、一体化基座安装箱、浇筑基础等</w:t>
            </w:r>
          </w:p>
        </w:tc>
        <w:tc>
          <w:tcPr>
            <w:tcW w:w="1654" w:type="dxa"/>
          </w:tcPr>
          <w:p>
            <w:pPr>
              <w:pStyle w:val="74"/>
              <w:snapToGrid w:val="0"/>
              <w:ind w:left="111"/>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供电方式</w:t>
            </w:r>
          </w:p>
        </w:tc>
        <w:tc>
          <w:tcPr>
            <w:tcW w:w="5176" w:type="dxa"/>
          </w:tcPr>
          <w:p>
            <w:pPr>
              <w:pStyle w:val="74"/>
              <w:snapToGrid w:val="0"/>
              <w:ind w:right="527"/>
              <w:rPr>
                <w:rFonts w:ascii="仿宋" w:hAnsi="仿宋" w:eastAsia="仿宋" w:cs="仿宋"/>
                <w:color w:val="auto"/>
              </w:rPr>
            </w:pPr>
            <w:r>
              <w:rPr>
                <w:rFonts w:hint="eastAsia" w:ascii="仿宋" w:hAnsi="仿宋" w:eastAsia="仿宋" w:cs="仿宋"/>
                <w:color w:val="auto"/>
              </w:rPr>
              <w:t>按需供电方式，满足连续30个阴雨日正常工作</w:t>
            </w:r>
          </w:p>
        </w:tc>
        <w:tc>
          <w:tcPr>
            <w:tcW w:w="1654" w:type="dxa"/>
          </w:tcPr>
          <w:p>
            <w:pPr>
              <w:pStyle w:val="74"/>
              <w:snapToGrid w:val="0"/>
              <w:ind w:right="152"/>
              <w:rPr>
                <w:rFonts w:ascii="仿宋" w:hAnsi="仿宋" w:eastAsia="仿宋" w:cs="仿宋"/>
                <w:color w:val="auto"/>
              </w:rPr>
            </w:pPr>
            <w:r>
              <w:rPr>
                <w:rFonts w:hint="eastAsia" w:ascii="仿宋" w:hAnsi="仿宋" w:eastAsia="仿宋" w:cs="仿宋"/>
                <w:color w:val="auto"/>
                <w:lang w:val="en-US"/>
              </w:rPr>
              <w:t>具备</w:t>
            </w:r>
            <w:r>
              <w:rPr>
                <w:rFonts w:hint="eastAsia" w:ascii="仿宋" w:hAnsi="仿宋" w:eastAsia="仿宋" w:cs="仿宋"/>
                <w:color w:val="auto"/>
              </w:rPr>
              <w:t>过压及欠压保护</w:t>
            </w:r>
          </w:p>
        </w:tc>
      </w:tr>
    </w:tbl>
    <w:p>
      <w:pPr>
        <w:pStyle w:val="11"/>
        <w:snapToGrid w:val="0"/>
        <w:spacing w:line="240" w:lineRule="auto"/>
        <w:jc w:val="center"/>
        <w:rPr>
          <w:rFonts w:ascii="仿宋" w:hAnsi="仿宋" w:eastAsia="仿宋" w:cs="仿宋"/>
          <w:color w:val="auto"/>
          <w:szCs w:val="32"/>
        </w:rPr>
      </w:pPr>
      <w:r>
        <w:rPr>
          <w:rFonts w:hint="eastAsia" w:ascii="仿宋" w:hAnsi="仿宋" w:eastAsia="仿宋" w:cs="仿宋"/>
          <w:color w:val="auto"/>
          <w:szCs w:val="32"/>
        </w:rPr>
        <w:t>表2  管式含水率仪（含水率/倾角两参数）主要技术参数</w:t>
      </w:r>
    </w:p>
    <w:tbl>
      <w:tblPr>
        <w:tblStyle w:val="37"/>
        <w:tblpPr w:leftFromText="180" w:rightFromText="180" w:vertAnchor="text" w:horzAnchor="page" w:tblpXSpec="center" w:tblpY="207"/>
        <w:tblOverlap w:val="never"/>
        <w:tblW w:w="84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7"/>
        <w:gridCol w:w="5320"/>
        <w:gridCol w:w="1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47" w:type="dxa"/>
          </w:tcPr>
          <w:p>
            <w:pPr>
              <w:pStyle w:val="74"/>
              <w:snapToGrid w:val="0"/>
              <w:ind w:right="252"/>
              <w:rPr>
                <w:rFonts w:ascii="仿宋" w:hAnsi="仿宋" w:eastAsia="仿宋" w:cs="仿宋"/>
                <w:b/>
                <w:color w:val="auto"/>
              </w:rPr>
            </w:pPr>
            <w:r>
              <w:rPr>
                <w:rFonts w:hint="eastAsia" w:ascii="仿宋" w:hAnsi="仿宋" w:eastAsia="仿宋" w:cs="仿宋"/>
                <w:b/>
                <w:color w:val="auto"/>
                <w:w w:val="95"/>
              </w:rPr>
              <w:t>参数类型</w:t>
            </w:r>
          </w:p>
        </w:tc>
        <w:tc>
          <w:tcPr>
            <w:tcW w:w="5320" w:type="dxa"/>
          </w:tcPr>
          <w:p>
            <w:pPr>
              <w:pStyle w:val="74"/>
              <w:snapToGrid w:val="0"/>
              <w:ind w:left="844" w:right="730"/>
              <w:rPr>
                <w:rFonts w:ascii="仿宋" w:hAnsi="仿宋" w:eastAsia="仿宋" w:cs="仿宋"/>
                <w:b/>
                <w:color w:val="auto"/>
              </w:rPr>
            </w:pPr>
            <w:r>
              <w:rPr>
                <w:rFonts w:hint="eastAsia" w:ascii="仿宋" w:hAnsi="仿宋" w:eastAsia="仿宋" w:cs="仿宋"/>
                <w:b/>
                <w:color w:val="auto"/>
              </w:rPr>
              <w:t>技术指标</w:t>
            </w:r>
          </w:p>
        </w:tc>
        <w:tc>
          <w:tcPr>
            <w:tcW w:w="1669" w:type="dxa"/>
          </w:tcPr>
          <w:p>
            <w:pPr>
              <w:pStyle w:val="74"/>
              <w:snapToGrid w:val="0"/>
              <w:ind w:left="376" w:right="264"/>
              <w:rPr>
                <w:rFonts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测量范围</w:t>
            </w:r>
          </w:p>
        </w:tc>
        <w:tc>
          <w:tcPr>
            <w:tcW w:w="5320" w:type="dxa"/>
          </w:tcPr>
          <w:p>
            <w:pPr>
              <w:pStyle w:val="74"/>
              <w:snapToGrid w:val="0"/>
              <w:ind w:right="729"/>
              <w:rPr>
                <w:rFonts w:ascii="仿宋" w:hAnsi="仿宋" w:eastAsia="仿宋" w:cs="仿宋"/>
                <w:color w:val="auto"/>
              </w:rPr>
            </w:pPr>
            <w:r>
              <w:rPr>
                <w:rFonts w:hint="eastAsia" w:ascii="仿宋" w:hAnsi="仿宋" w:eastAsia="仿宋" w:cs="仿宋"/>
                <w:color w:val="auto"/>
              </w:rPr>
              <w:t>干土～饱和土</w:t>
            </w:r>
          </w:p>
        </w:tc>
        <w:tc>
          <w:tcPr>
            <w:tcW w:w="1669" w:type="dxa"/>
          </w:tcPr>
          <w:p>
            <w:pPr>
              <w:pStyle w:val="74"/>
              <w:snapToGrid w:val="0"/>
              <w:ind w:left="114"/>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测量精度</w:t>
            </w:r>
          </w:p>
        </w:tc>
        <w:tc>
          <w:tcPr>
            <w:tcW w:w="5320" w:type="dxa"/>
          </w:tcPr>
          <w:p>
            <w:pPr>
              <w:pStyle w:val="74"/>
              <w:snapToGrid w:val="0"/>
              <w:ind w:right="729"/>
              <w:rPr>
                <w:rFonts w:ascii="仿宋" w:hAnsi="仿宋" w:eastAsia="仿宋" w:cs="仿宋"/>
                <w:color w:val="auto"/>
              </w:rPr>
            </w:pPr>
            <w:r>
              <w:rPr>
                <w:rFonts w:hint="eastAsia" w:ascii="仿宋" w:hAnsi="仿宋" w:eastAsia="仿宋" w:cs="仿宋"/>
                <w:color w:val="auto"/>
              </w:rPr>
              <w:t>±4%</w:t>
            </w:r>
          </w:p>
        </w:tc>
        <w:tc>
          <w:tcPr>
            <w:tcW w:w="1669" w:type="dxa"/>
          </w:tcPr>
          <w:p>
            <w:pPr>
              <w:pStyle w:val="74"/>
              <w:snapToGrid w:val="0"/>
              <w:ind w:left="114"/>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采样间隔</w:t>
            </w:r>
          </w:p>
        </w:tc>
        <w:tc>
          <w:tcPr>
            <w:tcW w:w="5320" w:type="dxa"/>
          </w:tcPr>
          <w:p>
            <w:pPr>
              <w:pStyle w:val="74"/>
              <w:snapToGrid w:val="0"/>
              <w:ind w:right="729"/>
              <w:rPr>
                <w:rFonts w:ascii="仿宋" w:hAnsi="仿宋" w:eastAsia="仿宋" w:cs="仿宋"/>
                <w:color w:val="auto"/>
              </w:rPr>
            </w:pPr>
            <w:r>
              <w:rPr>
                <w:rFonts w:hint="eastAsia" w:ascii="仿宋" w:hAnsi="仿宋" w:eastAsia="仿宋" w:cs="仿宋"/>
                <w:color w:val="auto"/>
              </w:rPr>
              <w:t>0s～24h</w:t>
            </w:r>
          </w:p>
        </w:tc>
        <w:tc>
          <w:tcPr>
            <w:tcW w:w="1669" w:type="dxa"/>
          </w:tcPr>
          <w:p>
            <w:pPr>
              <w:pStyle w:val="74"/>
              <w:snapToGrid w:val="0"/>
              <w:ind w:right="20"/>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上传间隔</w:t>
            </w:r>
          </w:p>
        </w:tc>
        <w:tc>
          <w:tcPr>
            <w:tcW w:w="5320" w:type="dxa"/>
          </w:tcPr>
          <w:p>
            <w:pPr>
              <w:pStyle w:val="74"/>
              <w:snapToGrid w:val="0"/>
              <w:ind w:right="729"/>
              <w:rPr>
                <w:rFonts w:ascii="仿宋" w:hAnsi="仿宋" w:eastAsia="仿宋" w:cs="仿宋"/>
                <w:color w:val="auto"/>
              </w:rPr>
            </w:pPr>
            <w:r>
              <w:rPr>
                <w:rFonts w:hint="eastAsia" w:ascii="仿宋" w:hAnsi="仿宋" w:eastAsia="仿宋" w:cs="仿宋"/>
                <w:color w:val="auto"/>
              </w:rPr>
              <w:t>0s～72h</w:t>
            </w:r>
          </w:p>
        </w:tc>
        <w:tc>
          <w:tcPr>
            <w:tcW w:w="1669" w:type="dxa"/>
          </w:tcPr>
          <w:p>
            <w:pPr>
              <w:pStyle w:val="74"/>
              <w:snapToGrid w:val="0"/>
              <w:ind w:right="20"/>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通信方式</w:t>
            </w:r>
          </w:p>
        </w:tc>
        <w:tc>
          <w:tcPr>
            <w:tcW w:w="5320" w:type="dxa"/>
          </w:tcPr>
          <w:p>
            <w:pPr>
              <w:snapToGrid w:val="0"/>
              <w:jc w:val="center"/>
              <w:rPr>
                <w:rFonts w:ascii="仿宋" w:hAnsi="仿宋" w:eastAsia="仿宋" w:cs="仿宋"/>
                <w:color w:val="auto"/>
                <w:lang w:bidi="en-US"/>
              </w:rPr>
            </w:pPr>
            <w:r>
              <w:rPr>
                <w:rFonts w:hint="eastAsia" w:ascii="仿宋" w:hAnsi="仿宋" w:eastAsia="仿宋" w:cs="仿宋"/>
                <w:color w:val="auto"/>
                <w:lang w:bidi="en-US"/>
              </w:rPr>
              <w:t>移动通信/低功率广域网/高低轨卫星通信</w:t>
            </w:r>
          </w:p>
        </w:tc>
        <w:tc>
          <w:tcPr>
            <w:tcW w:w="1669" w:type="dxa"/>
          </w:tcPr>
          <w:p>
            <w:pPr>
              <w:pStyle w:val="74"/>
              <w:snapToGrid w:val="0"/>
              <w:ind w:left="114"/>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通信标准</w:t>
            </w:r>
          </w:p>
        </w:tc>
        <w:tc>
          <w:tcPr>
            <w:tcW w:w="5320" w:type="dxa"/>
          </w:tcPr>
          <w:p>
            <w:pPr>
              <w:snapToGrid w:val="0"/>
              <w:rPr>
                <w:rFonts w:ascii="仿宋" w:hAnsi="仿宋" w:eastAsia="仿宋" w:cs="仿宋"/>
                <w:color w:val="auto"/>
                <w:lang w:bidi="en-US"/>
              </w:rPr>
            </w:pPr>
            <w:r>
              <w:rPr>
                <w:rFonts w:hint="eastAsia" w:ascii="仿宋" w:hAnsi="仿宋" w:eastAsia="仿宋" w:cs="仿宋"/>
                <w:color w:val="auto"/>
                <w:lang w:bidi="en-US"/>
              </w:rPr>
              <w:t>符合《地质灾害监测数据通信技术要求》（计划号： 201912007）</w:t>
            </w:r>
          </w:p>
        </w:tc>
        <w:tc>
          <w:tcPr>
            <w:tcW w:w="1669" w:type="dxa"/>
          </w:tcPr>
          <w:p>
            <w:pPr>
              <w:pStyle w:val="74"/>
              <w:snapToGrid w:val="0"/>
              <w:ind w:left="87"/>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输出参数</w:t>
            </w:r>
          </w:p>
        </w:tc>
        <w:tc>
          <w:tcPr>
            <w:tcW w:w="5320" w:type="dxa"/>
          </w:tcPr>
          <w:p>
            <w:pPr>
              <w:pStyle w:val="74"/>
              <w:snapToGrid w:val="0"/>
              <w:ind w:right="729"/>
              <w:rPr>
                <w:rFonts w:ascii="仿宋" w:hAnsi="仿宋" w:eastAsia="仿宋" w:cs="仿宋"/>
                <w:color w:val="auto"/>
              </w:rPr>
            </w:pPr>
            <w:r>
              <w:rPr>
                <w:rFonts w:hint="eastAsia" w:ascii="仿宋" w:hAnsi="仿宋" w:eastAsia="仿宋" w:cs="仿宋"/>
                <w:color w:val="auto"/>
              </w:rPr>
              <w:t>分层含水率、温度、振动加速度、倾角等</w:t>
            </w:r>
          </w:p>
        </w:tc>
        <w:tc>
          <w:tcPr>
            <w:tcW w:w="1669" w:type="dxa"/>
          </w:tcPr>
          <w:p>
            <w:pPr>
              <w:pStyle w:val="74"/>
              <w:snapToGrid w:val="0"/>
              <w:ind w:left="114"/>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47" w:type="dxa"/>
          </w:tcPr>
          <w:p>
            <w:pPr>
              <w:pStyle w:val="74"/>
              <w:snapToGrid w:val="0"/>
              <w:ind w:right="-59"/>
              <w:rPr>
                <w:rFonts w:ascii="仿宋" w:hAnsi="仿宋" w:eastAsia="仿宋" w:cs="仿宋"/>
                <w:color w:val="auto"/>
              </w:rPr>
            </w:pPr>
            <w:r>
              <w:rPr>
                <w:rFonts w:hint="eastAsia" w:ascii="仿宋" w:hAnsi="仿宋" w:eastAsia="仿宋" w:cs="仿宋"/>
                <w:color w:val="auto"/>
              </w:rPr>
              <w:t>工作温度</w:t>
            </w:r>
          </w:p>
        </w:tc>
        <w:tc>
          <w:tcPr>
            <w:tcW w:w="5320" w:type="dxa"/>
          </w:tcPr>
          <w:p>
            <w:pPr>
              <w:pStyle w:val="74"/>
              <w:snapToGrid w:val="0"/>
              <w:ind w:right="529"/>
              <w:rPr>
                <w:rFonts w:ascii="仿宋" w:hAnsi="仿宋" w:eastAsia="仿宋" w:cs="仿宋"/>
                <w:color w:val="auto"/>
              </w:rPr>
            </w:pPr>
            <w:r>
              <w:rPr>
                <w:rFonts w:hint="eastAsia" w:ascii="仿宋" w:hAnsi="仿宋" w:eastAsia="仿宋" w:cs="仿宋"/>
                <w:color w:val="auto"/>
              </w:rPr>
              <w:t>-20℃～+65℃</w:t>
            </w:r>
          </w:p>
        </w:tc>
        <w:tc>
          <w:tcPr>
            <w:tcW w:w="1669" w:type="dxa"/>
          </w:tcPr>
          <w:p>
            <w:pPr>
              <w:pStyle w:val="74"/>
              <w:snapToGrid w:val="0"/>
              <w:ind w:right="20"/>
              <w:rPr>
                <w:rFonts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防护等级</w:t>
            </w:r>
          </w:p>
        </w:tc>
        <w:tc>
          <w:tcPr>
            <w:tcW w:w="5320" w:type="dxa"/>
          </w:tcPr>
          <w:p>
            <w:pPr>
              <w:pStyle w:val="74"/>
              <w:snapToGrid w:val="0"/>
              <w:ind w:right="729"/>
              <w:rPr>
                <w:rFonts w:ascii="仿宋" w:hAnsi="仿宋" w:eastAsia="仿宋" w:cs="仿宋"/>
                <w:color w:val="auto"/>
              </w:rPr>
            </w:pPr>
            <w:r>
              <w:rPr>
                <w:rFonts w:hint="eastAsia" w:ascii="仿宋" w:hAnsi="仿宋" w:eastAsia="仿宋" w:cs="仿宋"/>
                <w:color w:val="auto"/>
              </w:rPr>
              <w:t>IP68</w:t>
            </w:r>
          </w:p>
        </w:tc>
        <w:tc>
          <w:tcPr>
            <w:tcW w:w="1669" w:type="dxa"/>
          </w:tcPr>
          <w:p>
            <w:pPr>
              <w:pStyle w:val="74"/>
              <w:snapToGrid w:val="0"/>
              <w:ind w:left="114"/>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安装方式</w:t>
            </w:r>
          </w:p>
        </w:tc>
        <w:tc>
          <w:tcPr>
            <w:tcW w:w="5320" w:type="dxa"/>
          </w:tcPr>
          <w:p>
            <w:pPr>
              <w:pStyle w:val="74"/>
              <w:snapToGrid w:val="0"/>
              <w:ind w:right="729"/>
              <w:rPr>
                <w:rFonts w:ascii="仿宋" w:hAnsi="仿宋" w:eastAsia="仿宋" w:cs="仿宋"/>
                <w:color w:val="auto"/>
              </w:rPr>
            </w:pPr>
            <w:r>
              <w:rPr>
                <w:rFonts w:hint="eastAsia" w:ascii="仿宋" w:hAnsi="仿宋" w:eastAsia="仿宋" w:cs="仿宋"/>
                <w:color w:val="auto"/>
              </w:rPr>
              <w:t>原状土回灌泥浆等</w:t>
            </w:r>
          </w:p>
        </w:tc>
        <w:tc>
          <w:tcPr>
            <w:tcW w:w="1669" w:type="dxa"/>
          </w:tcPr>
          <w:p>
            <w:pPr>
              <w:pStyle w:val="74"/>
              <w:snapToGrid w:val="0"/>
              <w:ind w:left="114"/>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47" w:type="dxa"/>
          </w:tcPr>
          <w:p>
            <w:pPr>
              <w:pStyle w:val="74"/>
              <w:snapToGrid w:val="0"/>
              <w:ind w:right="289"/>
              <w:rPr>
                <w:rFonts w:ascii="仿宋" w:hAnsi="仿宋" w:eastAsia="仿宋" w:cs="仿宋"/>
                <w:color w:val="auto"/>
              </w:rPr>
            </w:pPr>
            <w:r>
              <w:rPr>
                <w:rFonts w:hint="eastAsia" w:ascii="仿宋" w:hAnsi="仿宋" w:eastAsia="仿宋" w:cs="仿宋"/>
                <w:color w:val="auto"/>
              </w:rPr>
              <w:t>供电方式</w:t>
            </w:r>
          </w:p>
        </w:tc>
        <w:tc>
          <w:tcPr>
            <w:tcW w:w="5320" w:type="dxa"/>
          </w:tcPr>
          <w:p>
            <w:pPr>
              <w:pStyle w:val="74"/>
              <w:snapToGrid w:val="0"/>
              <w:ind w:right="86"/>
              <w:rPr>
                <w:rFonts w:ascii="仿宋" w:hAnsi="仿宋" w:eastAsia="仿宋" w:cs="仿宋"/>
                <w:color w:val="auto"/>
              </w:rPr>
            </w:pPr>
            <w:r>
              <w:rPr>
                <w:rFonts w:hint="eastAsia" w:ascii="仿宋" w:hAnsi="仿宋" w:eastAsia="仿宋" w:cs="仿宋"/>
                <w:color w:val="auto"/>
              </w:rPr>
              <w:t>按需供电方式，满足连续 30 个阴雨日正常工作</w:t>
            </w:r>
          </w:p>
        </w:tc>
        <w:tc>
          <w:tcPr>
            <w:tcW w:w="1669" w:type="dxa"/>
          </w:tcPr>
          <w:p>
            <w:pPr>
              <w:pStyle w:val="74"/>
              <w:snapToGrid w:val="0"/>
              <w:ind w:left="114"/>
              <w:rPr>
                <w:rFonts w:ascii="仿宋" w:hAnsi="仿宋" w:eastAsia="仿宋" w:cs="仿宋"/>
                <w:color w:val="auto"/>
              </w:rPr>
            </w:pPr>
            <w:r>
              <w:rPr>
                <w:rFonts w:hint="eastAsia" w:ascii="仿宋" w:hAnsi="仿宋" w:eastAsia="仿宋" w:cs="仿宋"/>
                <w:color w:val="auto"/>
                <w:lang w:val="en-US"/>
              </w:rPr>
              <w:t>具备</w:t>
            </w:r>
            <w:r>
              <w:rPr>
                <w:rFonts w:hint="eastAsia" w:ascii="仿宋" w:hAnsi="仿宋" w:eastAsia="仿宋" w:cs="仿宋"/>
                <w:color w:val="auto"/>
              </w:rPr>
              <w:t>过压及欠压保护</w:t>
            </w:r>
          </w:p>
        </w:tc>
      </w:tr>
    </w:tbl>
    <w:p>
      <w:pPr>
        <w:pStyle w:val="11"/>
        <w:snapToGrid w:val="0"/>
        <w:spacing w:line="240" w:lineRule="auto"/>
        <w:ind w:firstLine="480"/>
        <w:jc w:val="center"/>
        <w:rPr>
          <w:rFonts w:ascii="仿宋" w:hAnsi="仿宋" w:eastAsia="仿宋" w:cs="仿宋"/>
          <w:color w:val="auto"/>
          <w:szCs w:val="32"/>
        </w:rPr>
      </w:pPr>
    </w:p>
    <w:p>
      <w:pPr>
        <w:pStyle w:val="11"/>
        <w:snapToGrid w:val="0"/>
        <w:spacing w:line="240" w:lineRule="auto"/>
        <w:ind w:firstLine="480"/>
        <w:jc w:val="center"/>
        <w:rPr>
          <w:rFonts w:ascii="仿宋" w:hAnsi="仿宋" w:eastAsia="仿宋" w:cs="仿宋"/>
          <w:color w:val="auto"/>
          <w:szCs w:val="32"/>
        </w:rPr>
      </w:pPr>
    </w:p>
    <w:p>
      <w:pPr>
        <w:snapToGrid w:val="0"/>
        <w:jc w:val="center"/>
        <w:rPr>
          <w:rFonts w:ascii="仿宋" w:hAnsi="仿宋" w:eastAsia="仿宋" w:cs="仿宋"/>
          <w:color w:val="auto"/>
          <w:sz w:val="24"/>
          <w:szCs w:val="32"/>
        </w:rPr>
      </w:pPr>
      <w:r>
        <w:rPr>
          <w:rFonts w:hint="eastAsia" w:ascii="仿宋" w:hAnsi="仿宋" w:eastAsia="仿宋" w:cs="仿宋"/>
          <w:color w:val="auto"/>
          <w:sz w:val="24"/>
          <w:szCs w:val="32"/>
        </w:rPr>
        <w:t>表3  GNSS（位移/倾角/加速度三参数）主要技术参数</w:t>
      </w:r>
    </w:p>
    <w:tbl>
      <w:tblPr>
        <w:tblStyle w:val="37"/>
        <w:tblpPr w:leftFromText="180" w:rightFromText="180" w:vertAnchor="text" w:horzAnchor="page" w:tblpXSpec="center" w:tblpY="206"/>
        <w:tblOverlap w:val="never"/>
        <w:tblW w:w="8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2311"/>
        <w:gridCol w:w="3042"/>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86" w:type="dxa"/>
          </w:tcPr>
          <w:p>
            <w:pPr>
              <w:pStyle w:val="74"/>
              <w:snapToGrid w:val="0"/>
              <w:ind w:right="729"/>
              <w:rPr>
                <w:rFonts w:ascii="仿宋" w:hAnsi="仿宋" w:eastAsia="仿宋" w:cs="仿宋"/>
                <w:color w:val="auto"/>
              </w:rPr>
            </w:pPr>
            <w:r>
              <w:rPr>
                <w:rFonts w:hint="eastAsia" w:ascii="仿宋" w:hAnsi="仿宋" w:eastAsia="仿宋" w:cs="仿宋"/>
                <w:color w:val="auto"/>
              </w:rPr>
              <w:t>参数类型</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技术指标 </w:t>
            </w:r>
          </w:p>
        </w:tc>
        <w:tc>
          <w:tcPr>
            <w:tcW w:w="1551" w:type="dxa"/>
          </w:tcPr>
          <w:p>
            <w:pPr>
              <w:pStyle w:val="74"/>
              <w:snapToGrid w:val="0"/>
              <w:ind w:right="729"/>
              <w:rPr>
                <w:rFonts w:ascii="仿宋" w:hAnsi="仿宋" w:eastAsia="仿宋" w:cs="仿宋"/>
                <w:color w:val="auto"/>
              </w:rPr>
            </w:pPr>
            <w:r>
              <w:rPr>
                <w:rFonts w:hint="eastAsia" w:ascii="仿宋" w:hAnsi="仿宋" w:eastAsia="仿宋" w:cs="仿宋"/>
                <w:color w:val="auto"/>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vMerge w:val="restart"/>
          </w:tcPr>
          <w:p>
            <w:pPr>
              <w:pStyle w:val="11"/>
              <w:tabs>
                <w:tab w:val="left" w:pos="1470"/>
                <w:tab w:val="clear" w:pos="567"/>
              </w:tabs>
              <w:snapToGrid w:val="0"/>
              <w:spacing w:line="240" w:lineRule="auto"/>
              <w:ind w:right="67" w:rightChars="32"/>
              <w:jc w:val="center"/>
              <w:rPr>
                <w:rFonts w:ascii="仿宋" w:hAnsi="仿宋" w:eastAsia="仿宋" w:cs="仿宋"/>
                <w:color w:val="auto"/>
                <w:lang w:bidi="en-US"/>
              </w:rPr>
            </w:pPr>
          </w:p>
          <w:p>
            <w:pPr>
              <w:pStyle w:val="11"/>
              <w:tabs>
                <w:tab w:val="left" w:pos="1470"/>
                <w:tab w:val="clear" w:pos="567"/>
              </w:tabs>
              <w:snapToGrid w:val="0"/>
              <w:spacing w:line="240" w:lineRule="auto"/>
              <w:ind w:right="67" w:rightChars="32"/>
              <w:jc w:val="center"/>
              <w:rPr>
                <w:rFonts w:ascii="仿宋" w:hAnsi="仿宋" w:eastAsia="仿宋" w:cs="仿宋"/>
                <w:color w:val="auto"/>
                <w:lang w:eastAsia="en-US" w:bidi="en-US"/>
              </w:rPr>
            </w:pPr>
            <w:r>
              <w:rPr>
                <w:rFonts w:hint="eastAsia" w:ascii="仿宋" w:hAnsi="仿宋" w:eastAsia="仿宋" w:cs="仿宋"/>
                <w:color w:val="auto"/>
                <w:lang w:bidi="en-US"/>
              </w:rPr>
              <w:t>测量精度</w:t>
            </w:r>
            <w:r>
              <w:rPr>
                <w:rFonts w:hint="eastAsia" w:ascii="仿宋" w:hAnsi="仿宋" w:eastAsia="仿宋" w:cs="仿宋"/>
                <w:color w:val="auto"/>
                <w:lang w:eastAsia="en-US" w:bidi="en-US"/>
              </w:rPr>
              <w:t xml:space="preserve"> </w:t>
            </w:r>
          </w:p>
        </w:tc>
        <w:tc>
          <w:tcPr>
            <w:tcW w:w="2311" w:type="dxa"/>
            <w:vMerge w:val="restart"/>
          </w:tcPr>
          <w:p>
            <w:pPr>
              <w:pStyle w:val="74"/>
              <w:snapToGrid w:val="0"/>
              <w:rPr>
                <w:rFonts w:ascii="仿宋" w:hAnsi="仿宋" w:eastAsia="仿宋" w:cs="仿宋"/>
                <w:color w:val="auto"/>
              </w:rPr>
            </w:pPr>
            <w:r>
              <w:rPr>
                <w:rFonts w:hint="eastAsia" w:ascii="仿宋" w:hAnsi="仿宋" w:eastAsia="仿宋" w:cs="仿宋"/>
                <w:color w:val="auto"/>
              </w:rPr>
              <w:t>静态相对定位精度</w:t>
            </w:r>
          </w:p>
        </w:tc>
        <w:tc>
          <w:tcPr>
            <w:tcW w:w="3042" w:type="dxa"/>
          </w:tcPr>
          <w:p>
            <w:pPr>
              <w:pStyle w:val="74"/>
              <w:snapToGrid w:val="0"/>
              <w:ind w:right="350"/>
              <w:jc w:val="right"/>
              <w:rPr>
                <w:rFonts w:ascii="仿宋" w:hAnsi="仿宋" w:eastAsia="仿宋" w:cs="仿宋"/>
                <w:color w:val="auto"/>
              </w:rPr>
            </w:pPr>
            <w:r>
              <w:rPr>
                <w:rFonts w:hint="eastAsia" w:ascii="仿宋" w:hAnsi="仿宋" w:eastAsia="仿宋" w:cs="仿宋"/>
                <w:color w:val="auto"/>
              </w:rPr>
              <w:t xml:space="preserve">水平：5mm+1ppm RMS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vMerge w:val="continue"/>
            <w:tcBorders>
              <w:top w:val="nil"/>
            </w:tcBorders>
          </w:tcPr>
          <w:p>
            <w:pPr>
              <w:tabs>
                <w:tab w:val="left" w:pos="1470"/>
              </w:tabs>
              <w:snapToGrid w:val="0"/>
              <w:ind w:right="67" w:rightChars="32"/>
              <w:rPr>
                <w:rFonts w:ascii="仿宋" w:hAnsi="仿宋" w:eastAsia="仿宋" w:cs="仿宋"/>
                <w:color w:val="auto"/>
                <w:lang w:eastAsia="en-US" w:bidi="en-US"/>
              </w:rPr>
            </w:pPr>
          </w:p>
        </w:tc>
        <w:tc>
          <w:tcPr>
            <w:tcW w:w="2311" w:type="dxa"/>
            <w:vMerge w:val="continue"/>
            <w:tcBorders>
              <w:top w:val="nil"/>
            </w:tcBorders>
          </w:tcPr>
          <w:p>
            <w:pPr>
              <w:snapToGrid w:val="0"/>
              <w:jc w:val="center"/>
              <w:rPr>
                <w:rFonts w:ascii="仿宋" w:hAnsi="仿宋" w:eastAsia="仿宋" w:cs="仿宋"/>
                <w:color w:val="auto"/>
                <w:lang w:eastAsia="en-US" w:bidi="en-US"/>
              </w:rPr>
            </w:pPr>
          </w:p>
        </w:tc>
        <w:tc>
          <w:tcPr>
            <w:tcW w:w="3042" w:type="dxa"/>
          </w:tcPr>
          <w:p>
            <w:pPr>
              <w:pStyle w:val="74"/>
              <w:snapToGrid w:val="0"/>
              <w:ind w:right="297"/>
              <w:jc w:val="right"/>
              <w:rPr>
                <w:rFonts w:ascii="仿宋" w:hAnsi="仿宋" w:eastAsia="仿宋" w:cs="仿宋"/>
                <w:color w:val="auto"/>
              </w:rPr>
            </w:pPr>
            <w:r>
              <w:rPr>
                <w:rFonts w:hint="eastAsia" w:ascii="仿宋" w:hAnsi="仿宋" w:eastAsia="仿宋" w:cs="仿宋"/>
                <w:color w:val="auto"/>
              </w:rPr>
              <w:t xml:space="preserve">垂直：10mm+1ppm RMS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vMerge w:val="continue"/>
            <w:tcBorders>
              <w:top w:val="nil"/>
            </w:tcBorders>
          </w:tcPr>
          <w:p>
            <w:pPr>
              <w:tabs>
                <w:tab w:val="left" w:pos="1470"/>
              </w:tabs>
              <w:snapToGrid w:val="0"/>
              <w:ind w:right="67" w:rightChars="32"/>
              <w:rPr>
                <w:rFonts w:ascii="仿宋" w:hAnsi="仿宋" w:eastAsia="仿宋" w:cs="仿宋"/>
                <w:color w:val="auto"/>
                <w:lang w:eastAsia="en-US" w:bidi="en-US"/>
              </w:rPr>
            </w:pPr>
          </w:p>
        </w:tc>
        <w:tc>
          <w:tcPr>
            <w:tcW w:w="2311" w:type="dxa"/>
            <w:vMerge w:val="restart"/>
          </w:tcPr>
          <w:p>
            <w:pPr>
              <w:pStyle w:val="74"/>
              <w:snapToGrid w:val="0"/>
              <w:rPr>
                <w:rFonts w:ascii="仿宋" w:hAnsi="仿宋" w:eastAsia="仿宋" w:cs="仿宋"/>
                <w:color w:val="auto"/>
              </w:rPr>
            </w:pPr>
            <w:r>
              <w:rPr>
                <w:rFonts w:hint="eastAsia" w:ascii="仿宋" w:hAnsi="仿宋" w:eastAsia="仿宋" w:cs="仿宋"/>
                <w:color w:val="auto"/>
              </w:rPr>
              <w:t>动态相对定位精度</w:t>
            </w:r>
          </w:p>
        </w:tc>
        <w:tc>
          <w:tcPr>
            <w:tcW w:w="3042" w:type="dxa"/>
          </w:tcPr>
          <w:p>
            <w:pPr>
              <w:pStyle w:val="74"/>
              <w:snapToGrid w:val="0"/>
              <w:ind w:right="297"/>
              <w:jc w:val="right"/>
              <w:rPr>
                <w:rFonts w:ascii="仿宋" w:hAnsi="仿宋" w:eastAsia="仿宋" w:cs="仿宋"/>
                <w:color w:val="auto"/>
              </w:rPr>
            </w:pPr>
            <w:r>
              <w:rPr>
                <w:rFonts w:hint="eastAsia" w:ascii="仿宋" w:hAnsi="仿宋" w:eastAsia="仿宋" w:cs="仿宋"/>
                <w:color w:val="auto"/>
              </w:rPr>
              <w:t xml:space="preserve">水平：10mm+1ppm RMS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vMerge w:val="continue"/>
            <w:tcBorders>
              <w:top w:val="nil"/>
            </w:tcBorders>
          </w:tcPr>
          <w:p>
            <w:pPr>
              <w:tabs>
                <w:tab w:val="left" w:pos="1470"/>
              </w:tabs>
              <w:snapToGrid w:val="0"/>
              <w:ind w:right="67" w:rightChars="32"/>
              <w:rPr>
                <w:rFonts w:ascii="仿宋" w:hAnsi="仿宋" w:eastAsia="仿宋" w:cs="仿宋"/>
                <w:color w:val="auto"/>
                <w:lang w:eastAsia="en-US" w:bidi="en-US"/>
              </w:rPr>
            </w:pPr>
          </w:p>
        </w:tc>
        <w:tc>
          <w:tcPr>
            <w:tcW w:w="2311" w:type="dxa"/>
            <w:vMerge w:val="continue"/>
            <w:tcBorders>
              <w:top w:val="nil"/>
            </w:tcBorders>
          </w:tcPr>
          <w:p>
            <w:pPr>
              <w:snapToGrid w:val="0"/>
              <w:rPr>
                <w:rFonts w:ascii="仿宋" w:hAnsi="仿宋" w:eastAsia="仿宋" w:cs="仿宋"/>
                <w:color w:val="auto"/>
                <w:lang w:eastAsia="en-US" w:bidi="en-US"/>
              </w:rPr>
            </w:pPr>
          </w:p>
        </w:tc>
        <w:tc>
          <w:tcPr>
            <w:tcW w:w="3042" w:type="dxa"/>
          </w:tcPr>
          <w:p>
            <w:pPr>
              <w:pStyle w:val="74"/>
              <w:snapToGrid w:val="0"/>
              <w:ind w:right="297"/>
              <w:jc w:val="right"/>
              <w:rPr>
                <w:rFonts w:ascii="仿宋" w:hAnsi="仿宋" w:eastAsia="仿宋" w:cs="仿宋"/>
                <w:color w:val="auto"/>
              </w:rPr>
            </w:pPr>
            <w:r>
              <w:rPr>
                <w:rFonts w:hint="eastAsia" w:ascii="仿宋" w:hAnsi="仿宋" w:eastAsia="仿宋" w:cs="仿宋"/>
                <w:color w:val="auto"/>
              </w:rPr>
              <w:t xml:space="preserve">垂直：20mm+1ppm RMS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采样间隔 </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0s～24h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上传间隔 </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0s～72h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通信方式</w:t>
            </w:r>
          </w:p>
        </w:tc>
        <w:tc>
          <w:tcPr>
            <w:tcW w:w="5353" w:type="dxa"/>
            <w:gridSpan w:val="2"/>
          </w:tcPr>
          <w:p>
            <w:pPr>
              <w:snapToGrid w:val="0"/>
              <w:jc w:val="center"/>
              <w:rPr>
                <w:rFonts w:ascii="仿宋" w:hAnsi="仿宋" w:eastAsia="仿宋" w:cs="仿宋"/>
                <w:color w:val="auto"/>
                <w:lang w:bidi="en-US"/>
              </w:rPr>
            </w:pPr>
            <w:r>
              <w:rPr>
                <w:rFonts w:hint="eastAsia" w:ascii="仿宋" w:hAnsi="仿宋" w:eastAsia="仿宋" w:cs="仿宋"/>
                <w:color w:val="auto"/>
                <w:lang w:bidi="en-US"/>
              </w:rPr>
              <w:t>移动通信/低功率广域网/高低轨卫星通信</w:t>
            </w:r>
          </w:p>
        </w:tc>
        <w:tc>
          <w:tcPr>
            <w:tcW w:w="1551" w:type="dxa"/>
          </w:tcPr>
          <w:p>
            <w:pPr>
              <w:pStyle w:val="74"/>
              <w:snapToGrid w:val="0"/>
              <w:ind w:right="61"/>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通信标准</w:t>
            </w:r>
          </w:p>
        </w:tc>
        <w:tc>
          <w:tcPr>
            <w:tcW w:w="5353" w:type="dxa"/>
            <w:gridSpan w:val="2"/>
          </w:tcPr>
          <w:p>
            <w:pPr>
              <w:snapToGrid w:val="0"/>
              <w:rPr>
                <w:rFonts w:ascii="仿宋" w:hAnsi="仿宋" w:eastAsia="仿宋" w:cs="仿宋"/>
                <w:color w:val="auto"/>
                <w:lang w:bidi="en-US"/>
              </w:rPr>
            </w:pPr>
            <w:r>
              <w:rPr>
                <w:rFonts w:hint="eastAsia" w:ascii="仿宋" w:hAnsi="仿宋" w:eastAsia="仿宋" w:cs="仿宋"/>
                <w:color w:val="auto"/>
                <w:lang w:bidi="en-US"/>
              </w:rPr>
              <w:t>符合《地质灾害监测数据通信技术要求》（计划号： 201912007）</w:t>
            </w:r>
          </w:p>
        </w:tc>
        <w:tc>
          <w:tcPr>
            <w:tcW w:w="1551" w:type="dxa"/>
          </w:tcPr>
          <w:p>
            <w:pPr>
              <w:pStyle w:val="74"/>
              <w:snapToGrid w:val="0"/>
              <w:ind w:right="61"/>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输出参数 </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位移、倾角、振动加速度等 RTCM32原始数据（静态模式）、动态位移（动态模式）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星频要求及工作模式 </w:t>
            </w:r>
          </w:p>
        </w:tc>
        <w:tc>
          <w:tcPr>
            <w:tcW w:w="5353" w:type="dxa"/>
            <w:gridSpan w:val="2"/>
          </w:tcPr>
          <w:p>
            <w:pPr>
              <w:pStyle w:val="74"/>
              <w:snapToGrid w:val="0"/>
              <w:ind w:right="729"/>
              <w:rPr>
                <w:rFonts w:ascii="仿宋" w:hAnsi="仿宋" w:eastAsia="仿宋" w:cs="仿宋"/>
                <w:color w:val="auto"/>
              </w:rPr>
            </w:pPr>
          </w:p>
          <w:p>
            <w:pPr>
              <w:pStyle w:val="74"/>
              <w:snapToGrid w:val="0"/>
              <w:ind w:right="729"/>
              <w:rPr>
                <w:rFonts w:ascii="仿宋" w:hAnsi="仿宋" w:eastAsia="仿宋" w:cs="仿宋"/>
                <w:color w:val="auto"/>
              </w:rPr>
            </w:pPr>
            <w:r>
              <w:rPr>
                <w:rFonts w:hint="eastAsia" w:ascii="仿宋" w:hAnsi="仿宋" w:eastAsia="仿宋" w:cs="仿宋"/>
                <w:color w:val="auto"/>
              </w:rPr>
              <w:t xml:space="preserve">BDS+GPS/双星四频以上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支持内置 MEMS 传感器动态触发调整监测频率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功耗 </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在采样间隔不低于 15s 且上传间隔不低于 15s 情况下，接收机正常工作的平均功耗〈2W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工作温度 </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-20～+65℃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高寒地区定制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防护等级 </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IP67 以上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设备可靠性 </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MTBF 指标不低于 10000 小时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安装方式 </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标准观测墩、现浇混凝土墩、钢结构等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 xml:space="preserve">供电方式 </w:t>
            </w:r>
          </w:p>
        </w:tc>
        <w:tc>
          <w:tcPr>
            <w:tcW w:w="5353" w:type="dxa"/>
            <w:gridSpan w:val="2"/>
          </w:tcPr>
          <w:p>
            <w:pPr>
              <w:pStyle w:val="74"/>
              <w:snapToGrid w:val="0"/>
              <w:ind w:right="729"/>
              <w:rPr>
                <w:rFonts w:ascii="仿宋" w:hAnsi="仿宋" w:eastAsia="仿宋" w:cs="仿宋"/>
                <w:color w:val="auto"/>
              </w:rPr>
            </w:pPr>
            <w:r>
              <w:rPr>
                <w:rFonts w:hint="eastAsia" w:ascii="仿宋" w:hAnsi="仿宋" w:eastAsia="仿宋" w:cs="仿宋"/>
                <w:color w:val="auto"/>
              </w:rPr>
              <w:t xml:space="preserve">按需供电方式，满足连续 30 个阴雨日正常工作 </w:t>
            </w:r>
          </w:p>
        </w:tc>
        <w:tc>
          <w:tcPr>
            <w:tcW w:w="1551" w:type="dxa"/>
          </w:tcPr>
          <w:p>
            <w:pPr>
              <w:pStyle w:val="74"/>
              <w:snapToGrid w:val="0"/>
              <w:ind w:right="61"/>
              <w:rPr>
                <w:rFonts w:ascii="仿宋" w:hAnsi="仿宋" w:eastAsia="仿宋" w:cs="仿宋"/>
                <w:color w:val="auto"/>
              </w:rPr>
            </w:pPr>
            <w:r>
              <w:rPr>
                <w:rFonts w:hint="eastAsia" w:ascii="仿宋" w:hAnsi="仿宋" w:eastAsia="仿宋" w:cs="仿宋"/>
                <w:color w:val="auto"/>
                <w:lang w:val="en-US"/>
              </w:rPr>
              <w:t>具备</w:t>
            </w:r>
            <w:r>
              <w:rPr>
                <w:rFonts w:hint="eastAsia" w:ascii="仿宋" w:hAnsi="仿宋" w:eastAsia="仿宋" w:cs="仿宋"/>
                <w:color w:val="auto"/>
              </w:rPr>
              <w:t xml:space="preserve">过压及欠压保护 </w:t>
            </w:r>
          </w:p>
        </w:tc>
      </w:tr>
    </w:tbl>
    <w:p>
      <w:pPr>
        <w:snapToGrid w:val="0"/>
        <w:ind w:firstLine="9"/>
        <w:jc w:val="center"/>
        <w:rPr>
          <w:rFonts w:ascii="仿宋" w:hAnsi="仿宋" w:eastAsia="仿宋" w:cs="仿宋"/>
          <w:color w:val="auto"/>
          <w:sz w:val="24"/>
          <w:szCs w:val="32"/>
        </w:rPr>
      </w:pPr>
      <w:r>
        <w:rPr>
          <w:rFonts w:hint="eastAsia" w:ascii="仿宋" w:hAnsi="仿宋" w:eastAsia="仿宋" w:cs="仿宋"/>
          <w:color w:val="auto"/>
          <w:sz w:val="24"/>
          <w:szCs w:val="32"/>
        </w:rPr>
        <w:t>表 4   GNSS CORS 组网基准站主要技术参数</w:t>
      </w:r>
    </w:p>
    <w:tbl>
      <w:tblPr>
        <w:tblStyle w:val="72"/>
        <w:tblW w:w="835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2606"/>
        <w:gridCol w:w="2756"/>
        <w:gridCol w:w="1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参数类型</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技术指标</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r>
              <w:rPr>
                <w:rFonts w:hint="eastAsia" w:ascii="仿宋" w:hAnsi="仿宋" w:eastAsia="仿宋" w:cs="仿宋"/>
                <w:color w:val="auto"/>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437" w:type="dxa"/>
            <w:vMerge w:val="restart"/>
            <w:tcBorders>
              <w:left w:val="single" w:color="000000" w:sz="6" w:space="0"/>
              <w:bottom w:val="nil"/>
            </w:tcBorders>
            <w:vAlign w:val="center"/>
          </w:tcPr>
          <w:p>
            <w:pPr>
              <w:pStyle w:val="74"/>
              <w:tabs>
                <w:tab w:val="left" w:pos="1470"/>
              </w:tabs>
              <w:snapToGrid w:val="0"/>
              <w:ind w:right="67" w:rightChars="32"/>
              <w:jc w:val="center"/>
              <w:rPr>
                <w:rFonts w:ascii="仿宋" w:hAnsi="仿宋" w:eastAsia="仿宋" w:cs="仿宋"/>
                <w:color w:val="auto"/>
              </w:rPr>
            </w:pPr>
          </w:p>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测量精度</w:t>
            </w:r>
          </w:p>
        </w:tc>
        <w:tc>
          <w:tcPr>
            <w:tcW w:w="2606" w:type="dxa"/>
            <w:vMerge w:val="restart"/>
            <w:tcBorders>
              <w:bottom w:val="nil"/>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静态相对定位精度</w:t>
            </w:r>
          </w:p>
        </w:tc>
        <w:tc>
          <w:tcPr>
            <w:tcW w:w="2756" w:type="dxa"/>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水平： 2.5mm+0.5ppm RMS</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vMerge w:val="continue"/>
            <w:tcBorders>
              <w:top w:val="nil"/>
              <w:left w:val="single" w:color="000000" w:sz="6" w:space="0"/>
              <w:bottom w:val="nil"/>
            </w:tcBorders>
            <w:vAlign w:val="center"/>
          </w:tcPr>
          <w:p>
            <w:pPr>
              <w:pStyle w:val="74"/>
              <w:tabs>
                <w:tab w:val="left" w:pos="1470"/>
              </w:tabs>
              <w:snapToGrid w:val="0"/>
              <w:ind w:right="67" w:rightChars="32"/>
              <w:jc w:val="center"/>
              <w:rPr>
                <w:rFonts w:ascii="仿宋" w:hAnsi="仿宋" w:eastAsia="仿宋" w:cs="仿宋"/>
                <w:color w:val="auto"/>
              </w:rPr>
            </w:pPr>
          </w:p>
        </w:tc>
        <w:tc>
          <w:tcPr>
            <w:tcW w:w="2606" w:type="dxa"/>
            <w:vMerge w:val="continue"/>
            <w:tcBorders>
              <w:top w:val="nil"/>
            </w:tcBorders>
            <w:vAlign w:val="center"/>
          </w:tcPr>
          <w:p>
            <w:pPr>
              <w:pStyle w:val="74"/>
              <w:tabs>
                <w:tab w:val="left" w:pos="1470"/>
              </w:tabs>
              <w:snapToGrid w:val="0"/>
              <w:ind w:right="67" w:rightChars="32"/>
              <w:jc w:val="center"/>
              <w:rPr>
                <w:rFonts w:ascii="仿宋" w:hAnsi="仿宋" w:eastAsia="仿宋" w:cs="仿宋"/>
                <w:color w:val="auto"/>
              </w:rPr>
            </w:pPr>
          </w:p>
        </w:tc>
        <w:tc>
          <w:tcPr>
            <w:tcW w:w="2756" w:type="dxa"/>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垂直： 5mm+0.5ppm RMS</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437" w:type="dxa"/>
            <w:vMerge w:val="continue"/>
            <w:tcBorders>
              <w:top w:val="nil"/>
              <w:left w:val="single" w:color="000000" w:sz="6" w:space="0"/>
              <w:bottom w:val="nil"/>
            </w:tcBorders>
            <w:vAlign w:val="center"/>
          </w:tcPr>
          <w:p>
            <w:pPr>
              <w:pStyle w:val="74"/>
              <w:tabs>
                <w:tab w:val="left" w:pos="1470"/>
              </w:tabs>
              <w:snapToGrid w:val="0"/>
              <w:ind w:right="67" w:rightChars="32"/>
              <w:jc w:val="center"/>
              <w:rPr>
                <w:rFonts w:ascii="仿宋" w:hAnsi="仿宋" w:eastAsia="仿宋" w:cs="仿宋"/>
                <w:color w:val="auto"/>
              </w:rPr>
            </w:pPr>
          </w:p>
        </w:tc>
        <w:tc>
          <w:tcPr>
            <w:tcW w:w="2606" w:type="dxa"/>
            <w:vMerge w:val="restart"/>
            <w:tcBorders>
              <w:bottom w:val="nil"/>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动态相对定位精度</w:t>
            </w:r>
          </w:p>
        </w:tc>
        <w:tc>
          <w:tcPr>
            <w:tcW w:w="2756" w:type="dxa"/>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水平： 8mm+1ppm RMS</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vMerge w:val="continue"/>
            <w:tcBorders>
              <w:top w:val="nil"/>
              <w:left w:val="single" w:color="000000" w:sz="6" w:space="0"/>
              <w:bottom w:val="nil"/>
            </w:tcBorders>
            <w:vAlign w:val="center"/>
          </w:tcPr>
          <w:p>
            <w:pPr>
              <w:pStyle w:val="74"/>
              <w:tabs>
                <w:tab w:val="left" w:pos="1470"/>
              </w:tabs>
              <w:snapToGrid w:val="0"/>
              <w:ind w:right="67" w:rightChars="32"/>
              <w:jc w:val="center"/>
              <w:rPr>
                <w:rFonts w:ascii="仿宋" w:hAnsi="仿宋" w:eastAsia="仿宋" w:cs="仿宋"/>
                <w:color w:val="auto"/>
              </w:rPr>
            </w:pPr>
          </w:p>
        </w:tc>
        <w:tc>
          <w:tcPr>
            <w:tcW w:w="2606" w:type="dxa"/>
            <w:vMerge w:val="continue"/>
            <w:tcBorders>
              <w:top w:val="nil"/>
            </w:tcBorders>
            <w:vAlign w:val="center"/>
          </w:tcPr>
          <w:p>
            <w:pPr>
              <w:pStyle w:val="74"/>
              <w:tabs>
                <w:tab w:val="left" w:pos="1470"/>
              </w:tabs>
              <w:snapToGrid w:val="0"/>
              <w:ind w:right="67" w:rightChars="32"/>
              <w:jc w:val="center"/>
              <w:rPr>
                <w:rFonts w:ascii="仿宋" w:hAnsi="仿宋" w:eastAsia="仿宋" w:cs="仿宋"/>
                <w:color w:val="auto"/>
              </w:rPr>
            </w:pPr>
          </w:p>
        </w:tc>
        <w:tc>
          <w:tcPr>
            <w:tcW w:w="2756" w:type="dxa"/>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垂直： 15mm+1ppm RMS</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vMerge w:val="continue"/>
            <w:tcBorders>
              <w:top w:val="nil"/>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接收机内部噪声水平优于 0.2mm</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天线</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频率范围全频点；天线轴比≤3dB；最高增益 7dBi</w:t>
            </w:r>
          </w:p>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相位中心误差±1mm；噪声系数≤2dB</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r>
              <w:rPr>
                <w:rFonts w:hint="eastAsia" w:ascii="仿宋" w:hAnsi="仿宋" w:eastAsia="仿宋" w:cs="仿宋"/>
                <w:color w:val="auto"/>
              </w:rPr>
              <w:t>采用 3D 扼流圈天线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采样间隔</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0s~24h</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上传间隔</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0s~72h</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通信方式</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移动通信/低功率广域网/高低轨卫星通信</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通信标准</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符合《地质灾害监测数据通信技术要求》（计划号： 201912007）</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输出参数</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位移、倾角、振动加速度等</w:t>
            </w:r>
          </w:p>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RTCM32 原始数据（静态模式） 、动态位移（动态模式）</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工作模式</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三星八频以上</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r>
              <w:rPr>
                <w:rFonts w:hint="eastAsia" w:ascii="仿宋" w:hAnsi="仿宋" w:eastAsia="仿宋" w:cs="仿宋"/>
                <w:color w:val="auto"/>
              </w:rPr>
              <w:t>支持北斗三代卫星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数据格式</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支持 RTCM32 原始数据及实时动态结果数据上传</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多路径误差</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每小时每颗卫星： L1/B1 频段优于 0.3m；L2/B2 频段优于 0.3m</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周跳比</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周跳比每小时不小于 8000；</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工作温度</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-20~+65℃</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r>
              <w:rPr>
                <w:rFonts w:hint="eastAsia" w:ascii="仿宋" w:hAnsi="仿宋" w:eastAsia="仿宋" w:cs="仿宋"/>
                <w:color w:val="auto"/>
              </w:rPr>
              <w:t>高寒地区定制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防护等级</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IP68</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仪器可靠性</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MTBF 时间不小于 20000 小时</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安装方式</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标准观测墩、现浇混凝土墩、钢结构等</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437" w:type="dxa"/>
            <w:tcBorders>
              <w:left w:val="single" w:color="000000" w:sz="6" w:space="0"/>
            </w:tcBorders>
            <w:vAlign w:val="center"/>
          </w:tcPr>
          <w:p>
            <w:pPr>
              <w:pStyle w:val="74"/>
              <w:tabs>
                <w:tab w:val="left" w:pos="1470"/>
              </w:tabs>
              <w:snapToGrid w:val="0"/>
              <w:ind w:right="67" w:rightChars="32"/>
              <w:jc w:val="center"/>
              <w:rPr>
                <w:rFonts w:ascii="仿宋" w:hAnsi="仿宋" w:eastAsia="仿宋" w:cs="仿宋"/>
                <w:color w:val="auto"/>
              </w:rPr>
            </w:pPr>
            <w:bookmarkStart w:id="239" w:name="_bookmark53"/>
            <w:bookmarkEnd w:id="239"/>
            <w:r>
              <w:rPr>
                <w:rFonts w:hint="eastAsia" w:ascii="仿宋" w:hAnsi="仿宋" w:eastAsia="仿宋" w:cs="仿宋"/>
                <w:color w:val="auto"/>
              </w:rPr>
              <w:t>供电方式</w:t>
            </w:r>
          </w:p>
        </w:tc>
        <w:tc>
          <w:tcPr>
            <w:tcW w:w="5362" w:type="dxa"/>
            <w:gridSpan w:val="2"/>
            <w:tcBorders>
              <w:right w:val="single" w:color="000000" w:sz="4" w:space="0"/>
            </w:tcBorders>
            <w:vAlign w:val="center"/>
          </w:tcPr>
          <w:p>
            <w:pPr>
              <w:pStyle w:val="74"/>
              <w:tabs>
                <w:tab w:val="left" w:pos="1470"/>
              </w:tabs>
              <w:snapToGrid w:val="0"/>
              <w:ind w:right="67" w:rightChars="32"/>
              <w:jc w:val="center"/>
              <w:rPr>
                <w:rFonts w:ascii="仿宋" w:hAnsi="仿宋" w:eastAsia="仿宋" w:cs="仿宋"/>
                <w:color w:val="auto"/>
              </w:rPr>
            </w:pPr>
            <w:r>
              <w:rPr>
                <w:rFonts w:hint="eastAsia" w:ascii="仿宋" w:hAnsi="仿宋" w:eastAsia="仿宋" w:cs="仿宋"/>
                <w:color w:val="auto"/>
              </w:rPr>
              <w:t>按需供电方式，满足连续 30 个阴雨日正常工作</w:t>
            </w:r>
          </w:p>
        </w:tc>
        <w:tc>
          <w:tcPr>
            <w:tcW w:w="1556" w:type="dxa"/>
            <w:tcBorders>
              <w:left w:val="single" w:color="000000" w:sz="4" w:space="0"/>
              <w:right w:val="single" w:color="000000" w:sz="6" w:space="0"/>
            </w:tcBorders>
            <w:vAlign w:val="center"/>
          </w:tcPr>
          <w:p>
            <w:pPr>
              <w:pStyle w:val="74"/>
              <w:snapToGrid w:val="0"/>
              <w:ind w:right="61"/>
              <w:jc w:val="center"/>
              <w:rPr>
                <w:rFonts w:ascii="仿宋" w:hAnsi="仿宋" w:eastAsia="仿宋" w:cs="仿宋"/>
                <w:color w:val="auto"/>
              </w:rPr>
            </w:pPr>
            <w:r>
              <w:rPr>
                <w:rFonts w:hint="eastAsia" w:ascii="仿宋" w:hAnsi="仿宋" w:eastAsia="仿宋" w:cs="仿宋"/>
                <w:color w:val="auto"/>
              </w:rPr>
              <w:t>具备过压及欠压保护</w:t>
            </w:r>
          </w:p>
        </w:tc>
      </w:tr>
    </w:tbl>
    <w:p>
      <w:pPr>
        <w:pStyle w:val="11"/>
        <w:snapToGrid w:val="0"/>
        <w:spacing w:line="240" w:lineRule="auto"/>
        <w:ind w:firstLine="480"/>
        <w:jc w:val="center"/>
        <w:rPr>
          <w:rFonts w:ascii="仿宋" w:hAnsi="仿宋" w:eastAsia="仿宋" w:cs="仿宋"/>
          <w:color w:val="auto"/>
          <w:szCs w:val="32"/>
        </w:rPr>
      </w:pPr>
      <w:r>
        <w:rPr>
          <w:rFonts w:hint="eastAsia" w:ascii="仿宋" w:hAnsi="仿宋" w:eastAsia="仿宋" w:cs="仿宋"/>
          <w:color w:val="auto"/>
          <w:szCs w:val="32"/>
        </w:rPr>
        <w:t>表5 裂缝计（裂缝/倾角/加速度三参数）主要技术参数</w:t>
      </w:r>
    </w:p>
    <w:tbl>
      <w:tblPr>
        <w:tblStyle w:val="37"/>
        <w:tblW w:w="8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5230"/>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snapToGrid w:val="0"/>
              <w:ind w:right="255"/>
              <w:rPr>
                <w:rFonts w:ascii="仿宋" w:hAnsi="仿宋" w:eastAsia="仿宋" w:cs="仿宋"/>
                <w:b/>
                <w:color w:val="auto"/>
              </w:rPr>
            </w:pPr>
            <w:r>
              <w:rPr>
                <w:rFonts w:hint="eastAsia" w:ascii="仿宋" w:hAnsi="仿宋" w:eastAsia="仿宋" w:cs="仿宋"/>
                <w:b/>
                <w:color w:val="auto"/>
                <w:w w:val="95"/>
              </w:rPr>
              <w:t>参数类型</w:t>
            </w:r>
          </w:p>
        </w:tc>
        <w:tc>
          <w:tcPr>
            <w:tcW w:w="5230" w:type="dxa"/>
          </w:tcPr>
          <w:p>
            <w:pPr>
              <w:pStyle w:val="74"/>
              <w:snapToGrid w:val="0"/>
              <w:ind w:left="639" w:right="529"/>
              <w:rPr>
                <w:rFonts w:ascii="仿宋" w:hAnsi="仿宋" w:eastAsia="仿宋" w:cs="仿宋"/>
                <w:b/>
                <w:color w:val="auto"/>
              </w:rPr>
            </w:pPr>
            <w:r>
              <w:rPr>
                <w:rFonts w:hint="eastAsia" w:ascii="仿宋" w:hAnsi="仿宋" w:eastAsia="仿宋" w:cs="仿宋"/>
                <w:b/>
                <w:color w:val="auto"/>
              </w:rPr>
              <w:t>技术指标</w:t>
            </w:r>
          </w:p>
        </w:tc>
        <w:tc>
          <w:tcPr>
            <w:tcW w:w="1674" w:type="dxa"/>
          </w:tcPr>
          <w:p>
            <w:pPr>
              <w:pStyle w:val="74"/>
              <w:snapToGrid w:val="0"/>
              <w:ind w:left="262" w:right="152"/>
              <w:rPr>
                <w:rFonts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测量范围</w:t>
            </w:r>
          </w:p>
        </w:tc>
        <w:tc>
          <w:tcPr>
            <w:tcW w:w="523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0～50/100/200/500cm</w:t>
            </w:r>
          </w:p>
        </w:tc>
        <w:tc>
          <w:tcPr>
            <w:tcW w:w="1674"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测量精度</w:t>
            </w:r>
          </w:p>
        </w:tc>
        <w:tc>
          <w:tcPr>
            <w:tcW w:w="523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±0.1%F·S</w:t>
            </w:r>
          </w:p>
        </w:tc>
        <w:tc>
          <w:tcPr>
            <w:tcW w:w="1674"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采样间隔</w:t>
            </w:r>
          </w:p>
        </w:tc>
        <w:tc>
          <w:tcPr>
            <w:tcW w:w="523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0s～24h</w:t>
            </w:r>
          </w:p>
        </w:tc>
        <w:tc>
          <w:tcPr>
            <w:tcW w:w="167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上传间隔</w:t>
            </w:r>
          </w:p>
        </w:tc>
        <w:tc>
          <w:tcPr>
            <w:tcW w:w="523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0s～72h</w:t>
            </w:r>
          </w:p>
        </w:tc>
        <w:tc>
          <w:tcPr>
            <w:tcW w:w="167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lang w:val="en-US"/>
              </w:rPr>
              <w:t>通信方式</w:t>
            </w:r>
          </w:p>
        </w:tc>
        <w:tc>
          <w:tcPr>
            <w:tcW w:w="5230" w:type="dxa"/>
          </w:tcPr>
          <w:p>
            <w:pPr>
              <w:pStyle w:val="74"/>
              <w:snapToGrid w:val="0"/>
              <w:ind w:right="729"/>
              <w:rPr>
                <w:rFonts w:ascii="仿宋" w:hAnsi="仿宋" w:eastAsia="仿宋" w:cs="仿宋"/>
                <w:color w:val="auto"/>
              </w:rPr>
            </w:pPr>
            <w:r>
              <w:rPr>
                <w:rFonts w:hint="eastAsia" w:ascii="仿宋" w:hAnsi="仿宋" w:eastAsia="仿宋" w:cs="仿宋"/>
                <w:color w:val="auto"/>
              </w:rPr>
              <w:t>移动通信/低功率广域网/高低轨卫星通信</w:t>
            </w:r>
          </w:p>
        </w:tc>
        <w:tc>
          <w:tcPr>
            <w:tcW w:w="1674"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通信标准</w:t>
            </w:r>
          </w:p>
        </w:tc>
        <w:tc>
          <w:tcPr>
            <w:tcW w:w="5230" w:type="dxa"/>
          </w:tcPr>
          <w:p>
            <w:pPr>
              <w:pStyle w:val="74"/>
              <w:snapToGrid w:val="0"/>
              <w:ind w:right="729"/>
              <w:rPr>
                <w:rFonts w:ascii="仿宋" w:hAnsi="仿宋" w:eastAsia="仿宋" w:cs="仿宋"/>
                <w:color w:val="auto"/>
              </w:rPr>
            </w:pPr>
            <w:r>
              <w:rPr>
                <w:rFonts w:hint="eastAsia" w:ascii="仿宋" w:hAnsi="仿宋" w:eastAsia="仿宋" w:cs="仿宋"/>
                <w:color w:val="auto"/>
              </w:rPr>
              <w:t>符合《地质灾害监测数据通讯技术要求》（计划号： 201912007）</w:t>
            </w:r>
          </w:p>
        </w:tc>
        <w:tc>
          <w:tcPr>
            <w:tcW w:w="1674"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输出参数</w:t>
            </w:r>
          </w:p>
        </w:tc>
        <w:tc>
          <w:tcPr>
            <w:tcW w:w="523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裂缝宽度、振动加速度、倾角等</w:t>
            </w:r>
          </w:p>
        </w:tc>
        <w:tc>
          <w:tcPr>
            <w:tcW w:w="1674"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工作温度</w:t>
            </w:r>
          </w:p>
        </w:tc>
        <w:tc>
          <w:tcPr>
            <w:tcW w:w="523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-20℃～+65℃</w:t>
            </w:r>
          </w:p>
        </w:tc>
        <w:tc>
          <w:tcPr>
            <w:tcW w:w="167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防护等级</w:t>
            </w:r>
          </w:p>
        </w:tc>
        <w:tc>
          <w:tcPr>
            <w:tcW w:w="523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IP66</w:t>
            </w:r>
          </w:p>
        </w:tc>
        <w:tc>
          <w:tcPr>
            <w:tcW w:w="1674"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安装方式</w:t>
            </w:r>
          </w:p>
        </w:tc>
        <w:tc>
          <w:tcPr>
            <w:tcW w:w="523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标准观测墩、现浇混凝土墩、钢结构等</w:t>
            </w:r>
          </w:p>
        </w:tc>
        <w:tc>
          <w:tcPr>
            <w:tcW w:w="1674"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供电方式</w:t>
            </w:r>
          </w:p>
        </w:tc>
        <w:tc>
          <w:tcPr>
            <w:tcW w:w="523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按需供电方式，满足连续 30 个阴雨日正常工作</w:t>
            </w:r>
          </w:p>
        </w:tc>
        <w:tc>
          <w:tcPr>
            <w:tcW w:w="167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lang w:val="en-US"/>
              </w:rPr>
              <w:t>具备</w:t>
            </w:r>
            <w:r>
              <w:rPr>
                <w:rFonts w:hint="eastAsia" w:ascii="仿宋" w:hAnsi="仿宋" w:eastAsia="仿宋" w:cs="仿宋"/>
                <w:color w:val="auto"/>
              </w:rPr>
              <w:t>过压及欠压保护</w:t>
            </w:r>
          </w:p>
        </w:tc>
      </w:tr>
    </w:tbl>
    <w:p>
      <w:pPr>
        <w:pStyle w:val="11"/>
        <w:snapToGrid w:val="0"/>
        <w:spacing w:line="240" w:lineRule="auto"/>
        <w:ind w:firstLine="480"/>
        <w:jc w:val="center"/>
        <w:rPr>
          <w:rFonts w:ascii="仿宋" w:hAnsi="仿宋" w:eastAsia="仿宋" w:cs="仿宋"/>
          <w:color w:val="auto"/>
          <w:szCs w:val="32"/>
        </w:rPr>
      </w:pPr>
      <w:r>
        <w:rPr>
          <w:rFonts w:hint="eastAsia" w:ascii="仿宋" w:hAnsi="仿宋" w:eastAsia="仿宋" w:cs="仿宋"/>
          <w:color w:val="auto"/>
          <w:szCs w:val="32"/>
        </w:rPr>
        <w:t>表 6  倾角计主要技术参数</w:t>
      </w:r>
    </w:p>
    <w:tbl>
      <w:tblPr>
        <w:tblStyle w:val="37"/>
        <w:tblW w:w="8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5184"/>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snapToGrid w:val="0"/>
              <w:ind w:right="255"/>
              <w:rPr>
                <w:rFonts w:ascii="仿宋" w:hAnsi="仿宋" w:eastAsia="仿宋" w:cs="仿宋"/>
                <w:b/>
                <w:color w:val="auto"/>
              </w:rPr>
            </w:pPr>
            <w:r>
              <w:rPr>
                <w:rFonts w:hint="eastAsia" w:ascii="仿宋" w:hAnsi="仿宋" w:eastAsia="仿宋" w:cs="仿宋"/>
                <w:b/>
                <w:color w:val="auto"/>
                <w:w w:val="95"/>
              </w:rPr>
              <w:t>参数类型</w:t>
            </w:r>
          </w:p>
        </w:tc>
        <w:tc>
          <w:tcPr>
            <w:tcW w:w="5184" w:type="dxa"/>
          </w:tcPr>
          <w:p>
            <w:pPr>
              <w:pStyle w:val="74"/>
              <w:snapToGrid w:val="0"/>
              <w:ind w:left="639" w:right="529"/>
              <w:rPr>
                <w:rFonts w:ascii="仿宋" w:hAnsi="仿宋" w:eastAsia="仿宋" w:cs="仿宋"/>
                <w:b/>
                <w:color w:val="auto"/>
              </w:rPr>
            </w:pPr>
            <w:r>
              <w:rPr>
                <w:rFonts w:hint="eastAsia" w:ascii="仿宋" w:hAnsi="仿宋" w:eastAsia="仿宋" w:cs="仿宋"/>
                <w:b/>
                <w:color w:val="auto"/>
              </w:rPr>
              <w:t>技术指标</w:t>
            </w:r>
          </w:p>
        </w:tc>
        <w:tc>
          <w:tcPr>
            <w:tcW w:w="1720" w:type="dxa"/>
          </w:tcPr>
          <w:p>
            <w:pPr>
              <w:pStyle w:val="74"/>
              <w:snapToGrid w:val="0"/>
              <w:ind w:left="262" w:right="152"/>
              <w:rPr>
                <w:rFonts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测量范围</w:t>
            </w:r>
          </w:p>
        </w:tc>
        <w:tc>
          <w:tcPr>
            <w:tcW w:w="518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±30°</w:t>
            </w:r>
          </w:p>
        </w:tc>
        <w:tc>
          <w:tcPr>
            <w:tcW w:w="1720"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测量精度</w:t>
            </w:r>
          </w:p>
        </w:tc>
        <w:tc>
          <w:tcPr>
            <w:tcW w:w="518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±0.1°</w:t>
            </w:r>
          </w:p>
        </w:tc>
        <w:tc>
          <w:tcPr>
            <w:tcW w:w="1720"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采样间隔</w:t>
            </w:r>
          </w:p>
        </w:tc>
        <w:tc>
          <w:tcPr>
            <w:tcW w:w="518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0s～24h</w:t>
            </w:r>
          </w:p>
        </w:tc>
        <w:tc>
          <w:tcPr>
            <w:tcW w:w="172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上传间隔</w:t>
            </w:r>
          </w:p>
        </w:tc>
        <w:tc>
          <w:tcPr>
            <w:tcW w:w="518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0s～72h</w:t>
            </w:r>
          </w:p>
        </w:tc>
        <w:tc>
          <w:tcPr>
            <w:tcW w:w="172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lang w:val="en-US"/>
              </w:rPr>
            </w:pPr>
            <w:r>
              <w:rPr>
                <w:rFonts w:hint="eastAsia" w:ascii="仿宋" w:hAnsi="仿宋" w:eastAsia="仿宋" w:cs="仿宋"/>
                <w:color w:val="auto"/>
                <w:lang w:val="en-US"/>
              </w:rPr>
              <w:t>通信方式</w:t>
            </w:r>
          </w:p>
        </w:tc>
        <w:tc>
          <w:tcPr>
            <w:tcW w:w="5184" w:type="dxa"/>
          </w:tcPr>
          <w:p>
            <w:pPr>
              <w:pStyle w:val="74"/>
              <w:snapToGrid w:val="0"/>
              <w:ind w:right="729"/>
              <w:rPr>
                <w:rFonts w:ascii="仿宋" w:hAnsi="仿宋" w:eastAsia="仿宋" w:cs="仿宋"/>
                <w:color w:val="auto"/>
              </w:rPr>
            </w:pPr>
            <w:r>
              <w:rPr>
                <w:rFonts w:hint="eastAsia" w:ascii="仿宋" w:hAnsi="仿宋" w:eastAsia="仿宋" w:cs="仿宋"/>
                <w:color w:val="auto"/>
              </w:rPr>
              <w:t>移动通信/低功率广域网/高低轨卫星通信</w:t>
            </w:r>
          </w:p>
        </w:tc>
        <w:tc>
          <w:tcPr>
            <w:tcW w:w="1720"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通信标准</w:t>
            </w:r>
          </w:p>
        </w:tc>
        <w:tc>
          <w:tcPr>
            <w:tcW w:w="5184" w:type="dxa"/>
          </w:tcPr>
          <w:p>
            <w:pPr>
              <w:pStyle w:val="74"/>
              <w:snapToGrid w:val="0"/>
              <w:ind w:right="729"/>
              <w:rPr>
                <w:rFonts w:ascii="仿宋" w:hAnsi="仿宋" w:eastAsia="仿宋" w:cs="仿宋"/>
                <w:color w:val="auto"/>
              </w:rPr>
            </w:pPr>
            <w:r>
              <w:rPr>
                <w:rFonts w:hint="eastAsia" w:ascii="仿宋" w:hAnsi="仿宋" w:eastAsia="仿宋" w:cs="仿宋"/>
                <w:color w:val="auto"/>
              </w:rPr>
              <w:t>符合《地质灾害监测数据通讯技术要求》（计划号： 201912007）</w:t>
            </w:r>
          </w:p>
        </w:tc>
        <w:tc>
          <w:tcPr>
            <w:tcW w:w="1720"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工作温度</w:t>
            </w:r>
          </w:p>
        </w:tc>
        <w:tc>
          <w:tcPr>
            <w:tcW w:w="518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-20℃～+65℃</w:t>
            </w:r>
          </w:p>
        </w:tc>
        <w:tc>
          <w:tcPr>
            <w:tcW w:w="172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防护等级</w:t>
            </w:r>
          </w:p>
        </w:tc>
        <w:tc>
          <w:tcPr>
            <w:tcW w:w="518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IP67</w:t>
            </w:r>
          </w:p>
        </w:tc>
        <w:tc>
          <w:tcPr>
            <w:tcW w:w="1720"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安装方式</w:t>
            </w:r>
          </w:p>
        </w:tc>
        <w:tc>
          <w:tcPr>
            <w:tcW w:w="518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标准观测墩、现浇混凝土墩、钢结构等</w:t>
            </w:r>
          </w:p>
        </w:tc>
        <w:tc>
          <w:tcPr>
            <w:tcW w:w="1720"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供电方式</w:t>
            </w:r>
          </w:p>
        </w:tc>
        <w:tc>
          <w:tcPr>
            <w:tcW w:w="5184"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按需供电方式，满足连续 30 个阴雨日正常工作</w:t>
            </w:r>
          </w:p>
        </w:tc>
        <w:tc>
          <w:tcPr>
            <w:tcW w:w="1720"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lang w:val="en-US"/>
              </w:rPr>
              <w:t>具备</w:t>
            </w:r>
            <w:r>
              <w:rPr>
                <w:rFonts w:hint="eastAsia" w:ascii="仿宋" w:hAnsi="仿宋" w:eastAsia="仿宋" w:cs="仿宋"/>
                <w:color w:val="auto"/>
              </w:rPr>
              <w:t>过压及欠压保护</w:t>
            </w:r>
          </w:p>
        </w:tc>
      </w:tr>
    </w:tbl>
    <w:p>
      <w:pPr>
        <w:pStyle w:val="11"/>
        <w:snapToGrid w:val="0"/>
        <w:spacing w:line="240" w:lineRule="auto"/>
        <w:ind w:firstLine="480"/>
        <w:jc w:val="center"/>
        <w:rPr>
          <w:rFonts w:ascii="仿宋" w:hAnsi="仿宋" w:eastAsia="仿宋" w:cs="仿宋"/>
          <w:color w:val="auto"/>
          <w:szCs w:val="32"/>
        </w:rPr>
      </w:pPr>
      <w:r>
        <w:rPr>
          <w:rFonts w:hint="eastAsia" w:ascii="仿宋" w:hAnsi="仿宋" w:eastAsia="仿宋" w:cs="仿宋"/>
          <w:color w:val="auto"/>
          <w:szCs w:val="32"/>
        </w:rPr>
        <w:t>表 7</w:t>
      </w:r>
      <w:r>
        <w:rPr>
          <w:rFonts w:hint="eastAsia" w:ascii="仿宋" w:hAnsi="仿宋" w:eastAsia="仿宋" w:cs="仿宋"/>
          <w:color w:val="auto"/>
          <w:szCs w:val="32"/>
        </w:rPr>
        <w:tab/>
      </w:r>
      <w:r>
        <w:rPr>
          <w:rFonts w:hint="eastAsia" w:ascii="仿宋" w:hAnsi="仿宋" w:eastAsia="仿宋" w:cs="仿宋"/>
          <w:color w:val="auto"/>
          <w:szCs w:val="32"/>
        </w:rPr>
        <w:t>加速度计（动力学监测仪）技术参数</w:t>
      </w:r>
    </w:p>
    <w:tbl>
      <w:tblPr>
        <w:tblStyle w:val="37"/>
        <w:tblW w:w="8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5163"/>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 w:hRule="atLeast"/>
          <w:jc w:val="center"/>
        </w:trPr>
        <w:tc>
          <w:tcPr>
            <w:tcW w:w="1486" w:type="dxa"/>
          </w:tcPr>
          <w:p>
            <w:pPr>
              <w:pStyle w:val="74"/>
              <w:snapToGrid w:val="0"/>
              <w:ind w:right="255"/>
              <w:rPr>
                <w:rFonts w:ascii="仿宋" w:hAnsi="仿宋" w:eastAsia="仿宋" w:cs="仿宋"/>
                <w:b/>
                <w:color w:val="auto"/>
              </w:rPr>
            </w:pPr>
            <w:r>
              <w:rPr>
                <w:rFonts w:hint="eastAsia" w:ascii="仿宋" w:hAnsi="仿宋" w:eastAsia="仿宋" w:cs="仿宋"/>
                <w:b/>
                <w:color w:val="auto"/>
                <w:w w:val="95"/>
              </w:rPr>
              <w:t>参数类型</w:t>
            </w:r>
          </w:p>
        </w:tc>
        <w:tc>
          <w:tcPr>
            <w:tcW w:w="5163" w:type="dxa"/>
          </w:tcPr>
          <w:p>
            <w:pPr>
              <w:pStyle w:val="74"/>
              <w:snapToGrid w:val="0"/>
              <w:ind w:left="639" w:right="529"/>
              <w:rPr>
                <w:rFonts w:ascii="仿宋" w:hAnsi="仿宋" w:eastAsia="仿宋" w:cs="仿宋"/>
                <w:b/>
                <w:color w:val="auto"/>
              </w:rPr>
            </w:pPr>
            <w:r>
              <w:rPr>
                <w:rFonts w:hint="eastAsia" w:ascii="仿宋" w:hAnsi="仿宋" w:eastAsia="仿宋" w:cs="仿宋"/>
                <w:b/>
                <w:color w:val="auto"/>
              </w:rPr>
              <w:t>技术指标</w:t>
            </w:r>
          </w:p>
        </w:tc>
        <w:tc>
          <w:tcPr>
            <w:tcW w:w="1741" w:type="dxa"/>
          </w:tcPr>
          <w:p>
            <w:pPr>
              <w:pStyle w:val="74"/>
              <w:snapToGrid w:val="0"/>
              <w:ind w:left="262" w:right="152"/>
              <w:rPr>
                <w:rFonts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测量范围</w:t>
            </w:r>
          </w:p>
        </w:tc>
        <w:tc>
          <w:tcPr>
            <w:tcW w:w="5163"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±2g</w:t>
            </w:r>
          </w:p>
        </w:tc>
        <w:tc>
          <w:tcPr>
            <w:tcW w:w="1741"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测量精度</w:t>
            </w:r>
          </w:p>
        </w:tc>
        <w:tc>
          <w:tcPr>
            <w:tcW w:w="5163"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±1mg</w:t>
            </w:r>
          </w:p>
        </w:tc>
        <w:tc>
          <w:tcPr>
            <w:tcW w:w="1741"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采样间隔</w:t>
            </w:r>
          </w:p>
        </w:tc>
        <w:tc>
          <w:tcPr>
            <w:tcW w:w="5163"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0s～24h</w:t>
            </w:r>
          </w:p>
        </w:tc>
        <w:tc>
          <w:tcPr>
            <w:tcW w:w="1741"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上传间隔</w:t>
            </w:r>
          </w:p>
        </w:tc>
        <w:tc>
          <w:tcPr>
            <w:tcW w:w="5163"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0s～72h</w:t>
            </w:r>
          </w:p>
        </w:tc>
        <w:tc>
          <w:tcPr>
            <w:tcW w:w="1741"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lang w:val="en-US"/>
              </w:rPr>
              <w:t>通信方式</w:t>
            </w:r>
          </w:p>
        </w:tc>
        <w:tc>
          <w:tcPr>
            <w:tcW w:w="5163" w:type="dxa"/>
          </w:tcPr>
          <w:p>
            <w:pPr>
              <w:pStyle w:val="74"/>
              <w:snapToGrid w:val="0"/>
              <w:ind w:right="729"/>
              <w:rPr>
                <w:rFonts w:ascii="仿宋" w:hAnsi="仿宋" w:eastAsia="仿宋" w:cs="仿宋"/>
                <w:color w:val="auto"/>
              </w:rPr>
            </w:pPr>
            <w:r>
              <w:rPr>
                <w:rFonts w:hint="eastAsia" w:ascii="仿宋" w:hAnsi="仿宋" w:eastAsia="仿宋" w:cs="仿宋"/>
                <w:color w:val="auto"/>
              </w:rPr>
              <w:t>移动通信/低功率广域网/高低轨卫星通信</w:t>
            </w:r>
          </w:p>
        </w:tc>
        <w:tc>
          <w:tcPr>
            <w:tcW w:w="1741"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通信标准</w:t>
            </w:r>
          </w:p>
        </w:tc>
        <w:tc>
          <w:tcPr>
            <w:tcW w:w="5163" w:type="dxa"/>
          </w:tcPr>
          <w:p>
            <w:pPr>
              <w:pStyle w:val="74"/>
              <w:snapToGrid w:val="0"/>
              <w:ind w:right="729"/>
              <w:rPr>
                <w:rFonts w:ascii="仿宋" w:hAnsi="仿宋" w:eastAsia="仿宋" w:cs="仿宋"/>
                <w:color w:val="auto"/>
              </w:rPr>
            </w:pPr>
            <w:r>
              <w:rPr>
                <w:rFonts w:hint="eastAsia" w:ascii="仿宋" w:hAnsi="仿宋" w:eastAsia="仿宋" w:cs="仿宋"/>
                <w:color w:val="auto"/>
              </w:rPr>
              <w:t>符合《地质灾害监测数据通讯技术要求》（计划号： 201912007）</w:t>
            </w:r>
          </w:p>
        </w:tc>
        <w:tc>
          <w:tcPr>
            <w:tcW w:w="1741"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输出参数</w:t>
            </w:r>
          </w:p>
        </w:tc>
        <w:tc>
          <w:tcPr>
            <w:tcW w:w="5163"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振动加速度、倾角、自振频率、最大振幅等</w:t>
            </w:r>
          </w:p>
        </w:tc>
        <w:tc>
          <w:tcPr>
            <w:tcW w:w="1741"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工作温度</w:t>
            </w:r>
          </w:p>
        </w:tc>
        <w:tc>
          <w:tcPr>
            <w:tcW w:w="5163"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-20℃～+65℃</w:t>
            </w:r>
          </w:p>
        </w:tc>
        <w:tc>
          <w:tcPr>
            <w:tcW w:w="1741"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防护等级</w:t>
            </w:r>
          </w:p>
        </w:tc>
        <w:tc>
          <w:tcPr>
            <w:tcW w:w="5163"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IP67</w:t>
            </w:r>
          </w:p>
        </w:tc>
        <w:tc>
          <w:tcPr>
            <w:tcW w:w="1741"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安装方式</w:t>
            </w:r>
          </w:p>
        </w:tc>
        <w:tc>
          <w:tcPr>
            <w:tcW w:w="5163"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标准观测墩、现浇混凝土墩、钢结构、粘结、铆接等</w:t>
            </w:r>
          </w:p>
        </w:tc>
        <w:tc>
          <w:tcPr>
            <w:tcW w:w="1741"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供电方式</w:t>
            </w:r>
          </w:p>
        </w:tc>
        <w:tc>
          <w:tcPr>
            <w:tcW w:w="5163"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按需供电方式，满足连续 30 个阴雨日正常工作</w:t>
            </w:r>
          </w:p>
        </w:tc>
        <w:tc>
          <w:tcPr>
            <w:tcW w:w="1741"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lang w:val="en-US"/>
              </w:rPr>
              <w:t>具备</w:t>
            </w:r>
            <w:r>
              <w:rPr>
                <w:rFonts w:hint="eastAsia" w:ascii="仿宋" w:hAnsi="仿宋" w:eastAsia="仿宋" w:cs="仿宋"/>
                <w:color w:val="auto"/>
              </w:rPr>
              <w:t>过压及欠压保护</w:t>
            </w:r>
          </w:p>
        </w:tc>
      </w:tr>
    </w:tbl>
    <w:p>
      <w:pPr>
        <w:pStyle w:val="11"/>
        <w:snapToGrid w:val="0"/>
        <w:spacing w:line="240" w:lineRule="auto"/>
        <w:ind w:firstLine="480"/>
        <w:jc w:val="center"/>
        <w:rPr>
          <w:rFonts w:ascii="仿宋" w:hAnsi="仿宋" w:eastAsia="仿宋" w:cs="仿宋"/>
          <w:color w:val="auto"/>
          <w:szCs w:val="32"/>
        </w:rPr>
      </w:pPr>
      <w:r>
        <w:rPr>
          <w:rFonts w:hint="eastAsia" w:ascii="仿宋" w:hAnsi="仿宋" w:eastAsia="仿宋" w:cs="仿宋"/>
          <w:color w:val="auto"/>
          <w:szCs w:val="32"/>
        </w:rPr>
        <w:t>表8   泥位计主要技术参数</w:t>
      </w:r>
    </w:p>
    <w:tbl>
      <w:tblPr>
        <w:tblStyle w:val="37"/>
        <w:tblW w:w="8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5116"/>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snapToGrid w:val="0"/>
              <w:ind w:left="404" w:right="289"/>
              <w:rPr>
                <w:rFonts w:ascii="仿宋" w:hAnsi="仿宋" w:eastAsia="仿宋" w:cs="仿宋"/>
                <w:b/>
                <w:color w:val="auto"/>
              </w:rPr>
            </w:pPr>
            <w:r>
              <w:rPr>
                <w:rFonts w:hint="eastAsia" w:ascii="仿宋" w:hAnsi="仿宋" w:eastAsia="仿宋" w:cs="仿宋"/>
                <w:b/>
                <w:color w:val="auto"/>
              </w:rPr>
              <w:t>参数类型</w:t>
            </w:r>
          </w:p>
        </w:tc>
        <w:tc>
          <w:tcPr>
            <w:tcW w:w="5116" w:type="dxa"/>
          </w:tcPr>
          <w:p>
            <w:pPr>
              <w:pStyle w:val="74"/>
              <w:snapToGrid w:val="0"/>
              <w:ind w:left="639" w:right="529"/>
              <w:rPr>
                <w:rFonts w:ascii="仿宋" w:hAnsi="仿宋" w:eastAsia="仿宋" w:cs="仿宋"/>
                <w:b/>
                <w:color w:val="auto"/>
              </w:rPr>
            </w:pPr>
            <w:r>
              <w:rPr>
                <w:rFonts w:hint="eastAsia" w:ascii="仿宋" w:hAnsi="仿宋" w:eastAsia="仿宋" w:cs="仿宋"/>
                <w:b/>
                <w:color w:val="auto"/>
              </w:rPr>
              <w:t>技术指标</w:t>
            </w:r>
          </w:p>
        </w:tc>
        <w:tc>
          <w:tcPr>
            <w:tcW w:w="1788" w:type="dxa"/>
          </w:tcPr>
          <w:p>
            <w:pPr>
              <w:pStyle w:val="74"/>
              <w:snapToGrid w:val="0"/>
              <w:ind w:left="262" w:right="152"/>
              <w:rPr>
                <w:rFonts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测量范围</w:t>
            </w:r>
          </w:p>
        </w:tc>
        <w:tc>
          <w:tcPr>
            <w:tcW w:w="511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0.6～40m</w:t>
            </w:r>
          </w:p>
        </w:tc>
        <w:tc>
          <w:tcPr>
            <w:tcW w:w="1788"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分辨率</w:t>
            </w:r>
          </w:p>
        </w:tc>
        <w:tc>
          <w:tcPr>
            <w:tcW w:w="511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±0.1%F·S</w:t>
            </w:r>
          </w:p>
        </w:tc>
        <w:tc>
          <w:tcPr>
            <w:tcW w:w="1788"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采样间隔</w:t>
            </w:r>
          </w:p>
        </w:tc>
        <w:tc>
          <w:tcPr>
            <w:tcW w:w="511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0s～24h</w:t>
            </w:r>
          </w:p>
        </w:tc>
        <w:tc>
          <w:tcPr>
            <w:tcW w:w="1788"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上传间隔</w:t>
            </w:r>
          </w:p>
        </w:tc>
        <w:tc>
          <w:tcPr>
            <w:tcW w:w="511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0s～72h</w:t>
            </w:r>
          </w:p>
        </w:tc>
        <w:tc>
          <w:tcPr>
            <w:tcW w:w="1788"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lang w:val="en-US"/>
              </w:rPr>
              <w:t>通信方式</w:t>
            </w:r>
          </w:p>
        </w:tc>
        <w:tc>
          <w:tcPr>
            <w:tcW w:w="5116" w:type="dxa"/>
          </w:tcPr>
          <w:p>
            <w:pPr>
              <w:pStyle w:val="74"/>
              <w:snapToGrid w:val="0"/>
              <w:ind w:right="729"/>
              <w:rPr>
                <w:rFonts w:ascii="仿宋" w:hAnsi="仿宋" w:eastAsia="仿宋" w:cs="仿宋"/>
                <w:color w:val="auto"/>
              </w:rPr>
            </w:pPr>
            <w:r>
              <w:rPr>
                <w:rFonts w:hint="eastAsia" w:ascii="仿宋" w:hAnsi="仿宋" w:eastAsia="仿宋" w:cs="仿宋"/>
                <w:color w:val="auto"/>
              </w:rPr>
              <w:t>移动通信/低功率广域网/高低轨卫星通信</w:t>
            </w:r>
          </w:p>
        </w:tc>
        <w:tc>
          <w:tcPr>
            <w:tcW w:w="1788"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通信标准</w:t>
            </w:r>
          </w:p>
        </w:tc>
        <w:tc>
          <w:tcPr>
            <w:tcW w:w="5116" w:type="dxa"/>
          </w:tcPr>
          <w:p>
            <w:pPr>
              <w:pStyle w:val="74"/>
              <w:snapToGrid w:val="0"/>
              <w:ind w:right="729"/>
              <w:rPr>
                <w:rFonts w:ascii="仿宋" w:hAnsi="仿宋" w:eastAsia="仿宋" w:cs="仿宋"/>
                <w:color w:val="auto"/>
              </w:rPr>
            </w:pPr>
            <w:r>
              <w:rPr>
                <w:rFonts w:hint="eastAsia" w:ascii="仿宋" w:hAnsi="仿宋" w:eastAsia="仿宋" w:cs="仿宋"/>
                <w:color w:val="auto"/>
              </w:rPr>
              <w:t>符合《地质灾害监测数据通讯技术要求》（计划号： 201912007）</w:t>
            </w:r>
          </w:p>
        </w:tc>
        <w:tc>
          <w:tcPr>
            <w:tcW w:w="1788"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工作温度</w:t>
            </w:r>
          </w:p>
        </w:tc>
        <w:tc>
          <w:tcPr>
            <w:tcW w:w="511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-20℃～+65℃</w:t>
            </w:r>
          </w:p>
        </w:tc>
        <w:tc>
          <w:tcPr>
            <w:tcW w:w="1788"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防护等级</w:t>
            </w:r>
          </w:p>
        </w:tc>
        <w:tc>
          <w:tcPr>
            <w:tcW w:w="511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IP66</w:t>
            </w:r>
          </w:p>
        </w:tc>
        <w:tc>
          <w:tcPr>
            <w:tcW w:w="1788"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安装方式</w:t>
            </w:r>
          </w:p>
        </w:tc>
        <w:tc>
          <w:tcPr>
            <w:tcW w:w="511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钢结构、现浇混凝土墩等</w:t>
            </w:r>
          </w:p>
        </w:tc>
        <w:tc>
          <w:tcPr>
            <w:tcW w:w="1788" w:type="dxa"/>
          </w:tcPr>
          <w:p>
            <w:pPr>
              <w:pStyle w:val="74"/>
              <w:tabs>
                <w:tab w:val="left" w:pos="1470"/>
              </w:tabs>
              <w:snapToGrid w:val="0"/>
              <w:ind w:right="67" w:rightChars="32"/>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48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供电方式</w:t>
            </w:r>
          </w:p>
        </w:tc>
        <w:tc>
          <w:tcPr>
            <w:tcW w:w="5116"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rPr>
              <w:t>按需供电方式，满足连续 30 个阴雨日正常工作</w:t>
            </w:r>
          </w:p>
        </w:tc>
        <w:tc>
          <w:tcPr>
            <w:tcW w:w="1788" w:type="dxa"/>
          </w:tcPr>
          <w:p>
            <w:pPr>
              <w:pStyle w:val="74"/>
              <w:tabs>
                <w:tab w:val="left" w:pos="1470"/>
              </w:tabs>
              <w:snapToGrid w:val="0"/>
              <w:ind w:right="67" w:rightChars="32"/>
              <w:rPr>
                <w:rFonts w:ascii="仿宋" w:hAnsi="仿宋" w:eastAsia="仿宋" w:cs="仿宋"/>
                <w:color w:val="auto"/>
              </w:rPr>
            </w:pPr>
            <w:r>
              <w:rPr>
                <w:rFonts w:hint="eastAsia" w:ascii="仿宋" w:hAnsi="仿宋" w:eastAsia="仿宋" w:cs="仿宋"/>
                <w:color w:val="auto"/>
                <w:lang w:val="en-US"/>
              </w:rPr>
              <w:t>具备</w:t>
            </w:r>
            <w:r>
              <w:rPr>
                <w:rFonts w:hint="eastAsia" w:ascii="仿宋" w:hAnsi="仿宋" w:eastAsia="仿宋" w:cs="仿宋"/>
                <w:color w:val="auto"/>
              </w:rPr>
              <w:t>过压及欠压保护</w:t>
            </w:r>
          </w:p>
        </w:tc>
      </w:tr>
    </w:tbl>
    <w:p>
      <w:pPr>
        <w:pStyle w:val="11"/>
        <w:snapToGrid w:val="0"/>
        <w:spacing w:line="240" w:lineRule="auto"/>
        <w:ind w:firstLine="480"/>
        <w:jc w:val="center"/>
        <w:rPr>
          <w:rFonts w:ascii="仿宋" w:hAnsi="仿宋" w:eastAsia="仿宋" w:cs="仿宋"/>
          <w:color w:val="auto"/>
          <w:szCs w:val="32"/>
        </w:rPr>
      </w:pPr>
      <w:r>
        <w:rPr>
          <w:rFonts w:hint="eastAsia" w:ascii="仿宋" w:hAnsi="仿宋" w:eastAsia="仿宋" w:cs="仿宋"/>
          <w:color w:val="auto"/>
          <w:szCs w:val="32"/>
        </w:rPr>
        <w:t>表9   声光报警器主要技术参数</w:t>
      </w:r>
    </w:p>
    <w:tbl>
      <w:tblPr>
        <w:tblStyle w:val="37"/>
        <w:tblW w:w="8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2480"/>
        <w:gridCol w:w="2638"/>
        <w:gridCol w:w="1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86" w:type="dxa"/>
          </w:tcPr>
          <w:p>
            <w:pPr>
              <w:pStyle w:val="74"/>
              <w:snapToGrid w:val="0"/>
              <w:ind w:left="338" w:right="225"/>
              <w:rPr>
                <w:rFonts w:ascii="仿宋" w:hAnsi="仿宋" w:eastAsia="仿宋" w:cs="仿宋"/>
                <w:b/>
                <w:color w:val="auto"/>
              </w:rPr>
            </w:pPr>
            <w:r>
              <w:rPr>
                <w:rFonts w:hint="eastAsia" w:ascii="仿宋" w:hAnsi="仿宋" w:eastAsia="仿宋" w:cs="仿宋"/>
                <w:b/>
                <w:color w:val="auto"/>
              </w:rPr>
              <w:t>参数类型</w:t>
            </w:r>
          </w:p>
        </w:tc>
        <w:tc>
          <w:tcPr>
            <w:tcW w:w="5118" w:type="dxa"/>
            <w:gridSpan w:val="2"/>
          </w:tcPr>
          <w:p>
            <w:pPr>
              <w:pStyle w:val="74"/>
              <w:snapToGrid w:val="0"/>
              <w:ind w:left="338" w:right="225"/>
              <w:rPr>
                <w:rFonts w:ascii="仿宋" w:hAnsi="仿宋" w:eastAsia="仿宋" w:cs="仿宋"/>
                <w:b/>
                <w:color w:val="auto"/>
              </w:rPr>
            </w:pPr>
            <w:r>
              <w:rPr>
                <w:rFonts w:hint="eastAsia" w:ascii="仿宋" w:hAnsi="仿宋" w:eastAsia="仿宋" w:cs="仿宋"/>
                <w:b/>
                <w:color w:val="auto"/>
              </w:rPr>
              <w:t>技术指标</w:t>
            </w:r>
          </w:p>
        </w:tc>
        <w:tc>
          <w:tcPr>
            <w:tcW w:w="1786" w:type="dxa"/>
          </w:tcPr>
          <w:p>
            <w:pPr>
              <w:pStyle w:val="74"/>
              <w:snapToGrid w:val="0"/>
              <w:ind w:left="338" w:right="225"/>
              <w:rPr>
                <w:rFonts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上传间隔</w:t>
            </w:r>
          </w:p>
        </w:tc>
        <w:tc>
          <w:tcPr>
            <w:tcW w:w="5118" w:type="dxa"/>
            <w:gridSpan w:val="2"/>
          </w:tcPr>
          <w:p>
            <w:pPr>
              <w:pStyle w:val="74"/>
              <w:snapToGrid w:val="0"/>
              <w:ind w:left="851" w:right="738"/>
              <w:rPr>
                <w:rFonts w:ascii="仿宋" w:hAnsi="仿宋" w:eastAsia="仿宋" w:cs="仿宋"/>
                <w:color w:val="auto"/>
              </w:rPr>
            </w:pPr>
            <w:r>
              <w:rPr>
                <w:rFonts w:hint="eastAsia" w:ascii="仿宋" w:hAnsi="仿宋" w:eastAsia="仿宋" w:cs="仿宋"/>
                <w:color w:val="auto"/>
              </w:rPr>
              <w:t>0s～72h</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通信标准</w:t>
            </w:r>
          </w:p>
        </w:tc>
        <w:tc>
          <w:tcPr>
            <w:tcW w:w="5118" w:type="dxa"/>
            <w:gridSpan w:val="2"/>
          </w:tcPr>
          <w:p>
            <w:pPr>
              <w:pStyle w:val="74"/>
              <w:snapToGrid w:val="0"/>
              <w:ind w:left="1133"/>
              <w:rPr>
                <w:rFonts w:ascii="仿宋" w:hAnsi="仿宋" w:eastAsia="仿宋" w:cs="仿宋"/>
                <w:color w:val="auto"/>
              </w:rPr>
            </w:pPr>
            <w:r>
              <w:rPr>
                <w:rFonts w:hint="eastAsia" w:ascii="仿宋" w:hAnsi="仿宋" w:eastAsia="仿宋" w:cs="仿宋"/>
                <w:color w:val="auto"/>
              </w:rPr>
              <w:t>符合《地质灾害监测数据通讯技术要求》</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报警来源</w:t>
            </w:r>
          </w:p>
        </w:tc>
        <w:tc>
          <w:tcPr>
            <w:tcW w:w="5118" w:type="dxa"/>
            <w:gridSpan w:val="2"/>
          </w:tcPr>
          <w:p>
            <w:pPr>
              <w:pStyle w:val="74"/>
              <w:snapToGrid w:val="0"/>
              <w:ind w:left="851" w:right="739"/>
              <w:rPr>
                <w:rFonts w:ascii="仿宋" w:hAnsi="仿宋" w:eastAsia="仿宋" w:cs="仿宋"/>
                <w:color w:val="auto"/>
              </w:rPr>
            </w:pPr>
            <w:r>
              <w:rPr>
                <w:rFonts w:hint="eastAsia" w:ascii="仿宋" w:hAnsi="仿宋" w:eastAsia="仿宋" w:cs="仿宋"/>
                <w:color w:val="auto"/>
              </w:rPr>
              <w:t>本地人工播报；本地自主判断；远程系统发送等</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报警方式</w:t>
            </w:r>
          </w:p>
        </w:tc>
        <w:tc>
          <w:tcPr>
            <w:tcW w:w="5118" w:type="dxa"/>
            <w:gridSpan w:val="2"/>
          </w:tcPr>
          <w:p>
            <w:pPr>
              <w:pStyle w:val="74"/>
              <w:snapToGrid w:val="0"/>
              <w:ind w:right="257"/>
              <w:rPr>
                <w:rFonts w:ascii="仿宋" w:hAnsi="仿宋" w:eastAsia="仿宋" w:cs="仿宋"/>
                <w:color w:val="auto"/>
              </w:rPr>
            </w:pPr>
            <w:r>
              <w:rPr>
                <w:rFonts w:hint="eastAsia" w:ascii="仿宋" w:hAnsi="仿宋" w:eastAsia="仿宋" w:cs="仿宋"/>
                <w:color w:val="auto"/>
              </w:rPr>
              <w:t>报警音；警示灯光；语音播报</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lang w:val="en-US"/>
              </w:rPr>
              <w:t>通信方式</w:t>
            </w:r>
          </w:p>
        </w:tc>
        <w:tc>
          <w:tcPr>
            <w:tcW w:w="5118" w:type="dxa"/>
            <w:gridSpan w:val="2"/>
          </w:tcPr>
          <w:p>
            <w:pPr>
              <w:pStyle w:val="74"/>
              <w:snapToGrid w:val="0"/>
              <w:ind w:right="257"/>
              <w:rPr>
                <w:rFonts w:ascii="仿宋" w:hAnsi="仿宋" w:eastAsia="仿宋" w:cs="仿宋"/>
                <w:color w:val="auto"/>
              </w:rPr>
            </w:pPr>
            <w:r>
              <w:rPr>
                <w:rFonts w:hint="eastAsia" w:ascii="仿宋" w:hAnsi="仿宋" w:eastAsia="仿宋" w:cs="仿宋"/>
                <w:color w:val="auto"/>
              </w:rPr>
              <w:t>移动通信/低功率广域网/高低轨卫星通信</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工作温度</w:t>
            </w:r>
          </w:p>
        </w:tc>
        <w:tc>
          <w:tcPr>
            <w:tcW w:w="5118" w:type="dxa"/>
            <w:gridSpan w:val="2"/>
          </w:tcPr>
          <w:p>
            <w:pPr>
              <w:pStyle w:val="74"/>
              <w:snapToGrid w:val="0"/>
              <w:ind w:right="257"/>
              <w:rPr>
                <w:rFonts w:ascii="仿宋" w:hAnsi="仿宋" w:eastAsia="仿宋" w:cs="仿宋"/>
                <w:color w:val="auto"/>
              </w:rPr>
            </w:pPr>
            <w:r>
              <w:rPr>
                <w:rFonts w:hint="eastAsia" w:ascii="仿宋" w:hAnsi="仿宋" w:eastAsia="仿宋" w:cs="仿宋"/>
                <w:color w:val="auto"/>
              </w:rPr>
              <w:t>-20℃～+65℃</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布设位置</w:t>
            </w:r>
          </w:p>
        </w:tc>
        <w:tc>
          <w:tcPr>
            <w:tcW w:w="2480" w:type="dxa"/>
          </w:tcPr>
          <w:p>
            <w:pPr>
              <w:pStyle w:val="74"/>
              <w:snapToGrid w:val="0"/>
              <w:ind w:right="1027"/>
              <w:jc w:val="center"/>
              <w:rPr>
                <w:rFonts w:ascii="仿宋" w:hAnsi="仿宋" w:eastAsia="仿宋" w:cs="仿宋"/>
                <w:color w:val="auto"/>
              </w:rPr>
            </w:pPr>
            <w:r>
              <w:rPr>
                <w:rFonts w:hint="eastAsia" w:ascii="仿宋" w:hAnsi="仿宋" w:eastAsia="仿宋" w:cs="仿宋"/>
                <w:color w:val="auto"/>
              </w:rPr>
              <w:t>室外</w:t>
            </w:r>
          </w:p>
        </w:tc>
        <w:tc>
          <w:tcPr>
            <w:tcW w:w="2638" w:type="dxa"/>
          </w:tcPr>
          <w:p>
            <w:pPr>
              <w:pStyle w:val="74"/>
              <w:snapToGrid w:val="0"/>
              <w:ind w:left="898" w:right="784"/>
              <w:rPr>
                <w:rFonts w:ascii="仿宋" w:hAnsi="仿宋" w:eastAsia="仿宋" w:cs="仿宋"/>
                <w:color w:val="auto"/>
              </w:rPr>
            </w:pPr>
            <w:r>
              <w:rPr>
                <w:rFonts w:hint="eastAsia" w:ascii="仿宋" w:hAnsi="仿宋" w:eastAsia="仿宋" w:cs="仿宋"/>
                <w:color w:val="auto"/>
              </w:rPr>
              <w:t>室内</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输出功率</w:t>
            </w:r>
          </w:p>
        </w:tc>
        <w:tc>
          <w:tcPr>
            <w:tcW w:w="2480" w:type="dxa"/>
          </w:tcPr>
          <w:p>
            <w:pPr>
              <w:pStyle w:val="74"/>
              <w:snapToGrid w:val="0"/>
              <w:ind w:left="238" w:firstLine="180" w:firstLineChars="86"/>
              <w:rPr>
                <w:rFonts w:ascii="仿宋" w:hAnsi="仿宋" w:eastAsia="仿宋" w:cs="仿宋"/>
                <w:color w:val="auto"/>
              </w:rPr>
            </w:pPr>
            <w:r>
              <w:rPr>
                <w:rFonts w:hint="eastAsia" w:ascii="仿宋" w:hAnsi="仿宋" w:eastAsia="仿宋" w:cs="仿宋"/>
                <w:color w:val="auto"/>
              </w:rPr>
              <w:t>100W以上</w:t>
            </w:r>
          </w:p>
        </w:tc>
        <w:tc>
          <w:tcPr>
            <w:tcW w:w="2638" w:type="dxa"/>
          </w:tcPr>
          <w:p>
            <w:pPr>
              <w:pStyle w:val="74"/>
              <w:snapToGrid w:val="0"/>
              <w:ind w:left="896" w:right="784"/>
              <w:rPr>
                <w:rFonts w:ascii="仿宋" w:hAnsi="仿宋" w:eastAsia="仿宋" w:cs="仿宋"/>
                <w:color w:val="auto"/>
              </w:rPr>
            </w:pPr>
            <w:r>
              <w:rPr>
                <w:rFonts w:hint="eastAsia" w:ascii="仿宋" w:hAnsi="仿宋" w:eastAsia="仿宋" w:cs="仿宋"/>
                <w:color w:val="auto"/>
              </w:rPr>
              <w:t>2W</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防护等级</w:t>
            </w:r>
          </w:p>
        </w:tc>
        <w:tc>
          <w:tcPr>
            <w:tcW w:w="2480" w:type="dxa"/>
          </w:tcPr>
          <w:p>
            <w:pPr>
              <w:pStyle w:val="74"/>
              <w:snapToGrid w:val="0"/>
              <w:ind w:left="238" w:firstLine="180" w:firstLineChars="86"/>
              <w:rPr>
                <w:rFonts w:ascii="仿宋" w:hAnsi="仿宋" w:eastAsia="仿宋" w:cs="仿宋"/>
                <w:color w:val="auto"/>
              </w:rPr>
            </w:pPr>
            <w:r>
              <w:rPr>
                <w:rFonts w:hint="eastAsia" w:ascii="仿宋" w:hAnsi="仿宋" w:eastAsia="仿宋" w:cs="仿宋"/>
                <w:color w:val="auto"/>
              </w:rPr>
              <w:t>IP65以上</w:t>
            </w:r>
          </w:p>
        </w:tc>
        <w:tc>
          <w:tcPr>
            <w:tcW w:w="2638" w:type="dxa"/>
          </w:tcPr>
          <w:p>
            <w:pPr>
              <w:pStyle w:val="74"/>
              <w:snapToGrid w:val="0"/>
              <w:ind w:left="898" w:right="784"/>
              <w:rPr>
                <w:rFonts w:ascii="仿宋" w:hAnsi="仿宋" w:eastAsia="仿宋" w:cs="仿宋"/>
                <w:color w:val="auto"/>
              </w:rPr>
            </w:pPr>
            <w:r>
              <w:rPr>
                <w:rFonts w:hint="eastAsia" w:ascii="仿宋" w:hAnsi="仿宋" w:eastAsia="仿宋" w:cs="仿宋"/>
                <w:color w:val="auto"/>
              </w:rPr>
              <w:t>IP44</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安装方式</w:t>
            </w:r>
          </w:p>
        </w:tc>
        <w:tc>
          <w:tcPr>
            <w:tcW w:w="2480" w:type="dxa"/>
          </w:tcPr>
          <w:p>
            <w:pPr>
              <w:pStyle w:val="74"/>
              <w:snapToGrid w:val="0"/>
              <w:ind w:left="106"/>
              <w:rPr>
                <w:rFonts w:ascii="仿宋" w:hAnsi="仿宋" w:eastAsia="仿宋" w:cs="仿宋"/>
                <w:color w:val="auto"/>
              </w:rPr>
            </w:pPr>
            <w:r>
              <w:rPr>
                <w:rFonts w:hint="eastAsia" w:ascii="仿宋" w:hAnsi="仿宋" w:eastAsia="仿宋" w:cs="仿宋"/>
                <w:color w:val="auto"/>
              </w:rPr>
              <w:t>立杆胀杆固定、一体化基座安装箱、浇筑基础、钢结构等</w:t>
            </w:r>
          </w:p>
        </w:tc>
        <w:tc>
          <w:tcPr>
            <w:tcW w:w="2638" w:type="dxa"/>
          </w:tcPr>
          <w:p>
            <w:pPr>
              <w:pStyle w:val="74"/>
              <w:snapToGrid w:val="0"/>
              <w:ind w:right="784"/>
              <w:rPr>
                <w:rFonts w:ascii="仿宋" w:hAnsi="仿宋" w:eastAsia="仿宋" w:cs="仿宋"/>
                <w:color w:val="auto"/>
              </w:rPr>
            </w:pPr>
            <w:r>
              <w:rPr>
                <w:rFonts w:hint="eastAsia" w:ascii="仿宋" w:hAnsi="仿宋" w:eastAsia="仿宋" w:cs="仿宋"/>
                <w:color w:val="auto"/>
              </w:rPr>
              <w:t>以壁挂式为主</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486" w:type="dxa"/>
          </w:tcPr>
          <w:p>
            <w:pPr>
              <w:pStyle w:val="74"/>
              <w:snapToGrid w:val="0"/>
              <w:rPr>
                <w:rFonts w:ascii="仿宋" w:hAnsi="仿宋" w:eastAsia="仿宋" w:cs="仿宋"/>
                <w:color w:val="auto"/>
                <w:sz w:val="26"/>
              </w:rPr>
            </w:pPr>
          </w:p>
          <w:p>
            <w:pPr>
              <w:pStyle w:val="74"/>
              <w:snapToGrid w:val="0"/>
              <w:ind w:right="257"/>
              <w:rPr>
                <w:rFonts w:ascii="仿宋" w:hAnsi="仿宋" w:eastAsia="仿宋" w:cs="仿宋"/>
                <w:color w:val="auto"/>
              </w:rPr>
            </w:pPr>
            <w:r>
              <w:rPr>
                <w:rFonts w:hint="eastAsia" w:ascii="仿宋" w:hAnsi="仿宋" w:eastAsia="仿宋" w:cs="仿宋"/>
                <w:color w:val="auto"/>
              </w:rPr>
              <w:t>供电方式</w:t>
            </w:r>
          </w:p>
        </w:tc>
        <w:tc>
          <w:tcPr>
            <w:tcW w:w="2480" w:type="dxa"/>
          </w:tcPr>
          <w:p>
            <w:pPr>
              <w:pStyle w:val="74"/>
              <w:snapToGrid w:val="0"/>
              <w:ind w:right="96"/>
              <w:rPr>
                <w:rFonts w:ascii="仿宋" w:hAnsi="仿宋" w:eastAsia="仿宋" w:cs="仿宋"/>
                <w:color w:val="auto"/>
              </w:rPr>
            </w:pPr>
            <w:r>
              <w:rPr>
                <w:rFonts w:hint="eastAsia" w:ascii="仿宋" w:hAnsi="仿宋" w:eastAsia="仿宋" w:cs="仿宋"/>
                <w:color w:val="auto"/>
                <w:spacing w:val="-11"/>
              </w:rPr>
              <w:t>按需供电方式，满足连续</w:t>
            </w:r>
            <w:r>
              <w:rPr>
                <w:rFonts w:hint="eastAsia" w:ascii="仿宋" w:hAnsi="仿宋" w:eastAsia="仿宋" w:cs="仿宋"/>
                <w:color w:val="auto"/>
              </w:rPr>
              <w:t>30</w:t>
            </w:r>
            <w:r>
              <w:rPr>
                <w:rFonts w:hint="eastAsia" w:ascii="仿宋" w:hAnsi="仿宋" w:eastAsia="仿宋" w:cs="仿宋"/>
                <w:color w:val="auto"/>
                <w:spacing w:val="-7"/>
              </w:rPr>
              <w:t>个阴</w:t>
            </w:r>
            <w:r>
              <w:rPr>
                <w:rFonts w:hint="eastAsia" w:ascii="仿宋" w:hAnsi="仿宋" w:eastAsia="仿宋" w:cs="仿宋"/>
                <w:color w:val="auto"/>
              </w:rPr>
              <w:t>雨日正常工作</w:t>
            </w:r>
          </w:p>
        </w:tc>
        <w:tc>
          <w:tcPr>
            <w:tcW w:w="2638" w:type="dxa"/>
          </w:tcPr>
          <w:p>
            <w:pPr>
              <w:pStyle w:val="74"/>
              <w:snapToGrid w:val="0"/>
              <w:ind w:left="130" w:right="120"/>
              <w:rPr>
                <w:rFonts w:ascii="仿宋" w:hAnsi="仿宋" w:eastAsia="仿宋" w:cs="仿宋"/>
                <w:color w:val="auto"/>
              </w:rPr>
            </w:pPr>
            <w:r>
              <w:rPr>
                <w:rFonts w:hint="eastAsia" w:ascii="仿宋" w:hAnsi="仿宋" w:eastAsia="仿宋" w:cs="仿宋"/>
                <w:color w:val="auto"/>
              </w:rPr>
              <w:t>市电及内置备用电池，支持断电自动切换，电池待机时间大于24小时</w:t>
            </w:r>
          </w:p>
        </w:tc>
        <w:tc>
          <w:tcPr>
            <w:tcW w:w="1786" w:type="dxa"/>
          </w:tcPr>
          <w:p>
            <w:pPr>
              <w:pStyle w:val="74"/>
              <w:snapToGrid w:val="0"/>
              <w:rPr>
                <w:rFonts w:ascii="仿宋" w:hAnsi="仿宋" w:eastAsia="仿宋" w:cs="仿宋"/>
                <w:color w:val="auto"/>
                <w:sz w:val="26"/>
              </w:rPr>
            </w:pPr>
            <w:r>
              <w:rPr>
                <w:rFonts w:hint="eastAsia" w:ascii="仿宋" w:hAnsi="仿宋" w:eastAsia="仿宋" w:cs="仿宋"/>
                <w:color w:val="auto"/>
                <w:lang w:val="en-US"/>
              </w:rPr>
              <w:t>具备</w:t>
            </w:r>
            <w:r>
              <w:rPr>
                <w:rFonts w:hint="eastAsia" w:ascii="仿宋" w:hAnsi="仿宋" w:eastAsia="仿宋" w:cs="仿宋"/>
                <w:color w:val="auto"/>
              </w:rPr>
              <w:t>过压及欠压保护</w:t>
            </w:r>
          </w:p>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现场存储</w:t>
            </w:r>
          </w:p>
        </w:tc>
        <w:tc>
          <w:tcPr>
            <w:tcW w:w="5118" w:type="dxa"/>
            <w:gridSpan w:val="2"/>
          </w:tcPr>
          <w:p>
            <w:pPr>
              <w:pStyle w:val="74"/>
              <w:snapToGrid w:val="0"/>
              <w:ind w:left="1868"/>
              <w:rPr>
                <w:rFonts w:ascii="仿宋" w:hAnsi="仿宋" w:eastAsia="仿宋" w:cs="仿宋"/>
                <w:color w:val="auto"/>
              </w:rPr>
            </w:pPr>
            <w:r>
              <w:rPr>
                <w:rFonts w:hint="eastAsia" w:ascii="仿宋" w:hAnsi="仿宋" w:eastAsia="仿宋" w:cs="仿宋"/>
                <w:color w:val="auto"/>
              </w:rPr>
              <w:t>本地存储及远端平台存储</w:t>
            </w:r>
          </w:p>
        </w:tc>
        <w:tc>
          <w:tcPr>
            <w:tcW w:w="1786" w:type="dxa"/>
          </w:tcPr>
          <w:p>
            <w:pPr>
              <w:pStyle w:val="74"/>
              <w:snapToGrid w:val="0"/>
              <w:ind w:left="113"/>
              <w:rPr>
                <w:rFonts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486" w:type="dxa"/>
          </w:tcPr>
          <w:p>
            <w:pPr>
              <w:pStyle w:val="74"/>
              <w:snapToGrid w:val="0"/>
              <w:ind w:right="257"/>
              <w:rPr>
                <w:rFonts w:ascii="仿宋" w:hAnsi="仿宋" w:eastAsia="仿宋" w:cs="仿宋"/>
                <w:color w:val="auto"/>
              </w:rPr>
            </w:pPr>
            <w:r>
              <w:rPr>
                <w:rFonts w:hint="eastAsia" w:ascii="仿宋" w:hAnsi="仿宋" w:eastAsia="仿宋" w:cs="仿宋"/>
                <w:color w:val="auto"/>
              </w:rPr>
              <w:t>控制方式</w:t>
            </w:r>
          </w:p>
        </w:tc>
        <w:tc>
          <w:tcPr>
            <w:tcW w:w="5118" w:type="dxa"/>
            <w:gridSpan w:val="2"/>
          </w:tcPr>
          <w:p>
            <w:pPr>
              <w:pStyle w:val="74"/>
              <w:snapToGrid w:val="0"/>
              <w:ind w:left="1868"/>
              <w:rPr>
                <w:rFonts w:ascii="仿宋" w:hAnsi="仿宋" w:eastAsia="仿宋" w:cs="仿宋"/>
                <w:color w:val="auto"/>
              </w:rPr>
            </w:pPr>
            <w:r>
              <w:rPr>
                <w:rFonts w:hint="eastAsia" w:ascii="仿宋" w:hAnsi="仿宋" w:eastAsia="仿宋" w:cs="仿宋"/>
                <w:color w:val="auto"/>
              </w:rPr>
              <w:t>本地控制及远端平台控制</w:t>
            </w:r>
          </w:p>
        </w:tc>
        <w:tc>
          <w:tcPr>
            <w:tcW w:w="1786" w:type="dxa"/>
          </w:tcPr>
          <w:p>
            <w:pPr>
              <w:pStyle w:val="74"/>
              <w:snapToGrid w:val="0"/>
              <w:ind w:left="125"/>
              <w:rPr>
                <w:rFonts w:ascii="仿宋" w:hAnsi="仿宋" w:eastAsia="仿宋" w:cs="仿宋"/>
                <w:color w:val="auto"/>
              </w:rPr>
            </w:pPr>
            <w:r>
              <w:rPr>
                <w:rFonts w:hint="eastAsia" w:ascii="仿宋" w:hAnsi="仿宋" w:eastAsia="仿宋" w:cs="仿宋"/>
                <w:color w:val="auto"/>
              </w:rPr>
              <w:t>本地控制需提供误报消除按键</w:t>
            </w:r>
          </w:p>
        </w:tc>
      </w:tr>
    </w:tbl>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八、主要实物工作量</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地质灾害群专结合监测预警点建设工作包括现场踏勘、监测点单点设计书及总体设计方案、监测设备的购置、运输、安装、防护围栏安装、警示牌制作、数据传输和运行维护。</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监测点建设数量不少于20个。选择确定风险较大的重要隐患点，安排采用无人机实测成图，其中正射影像比例不低于30%，三维模型比例不低于10%。监测预警点单点设计方案应采用近期高分辨率影像，附地质隐患点、承载体、灾害特征照片。</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投标单位在现场踏勘后提出投标设计方案。</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最终设计方案及工作量以审批后的项目设计书为准。</w:t>
      </w:r>
    </w:p>
    <w:p>
      <w:pPr>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九、预期提交成果</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（一）《新疆喀什地区群专结合监测预警点建设（2023年度）设计方案》；</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（二）《新疆喀什地区群专结合监测预警点建设项目（2023年度）年度成果报告》；</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（三）《新疆喀什地区群专结合监测预警点建设项目建设（2023年度）竣工报告》；</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（四）《新疆喀什地区群专结合监测预警点监测（2023年度）设备使用手册》；</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（五）《新疆喀什地区群专结合监测预警点项目（2023年度）运行维护报告》；</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（六）项目建设原始资料（包含地质灾害专业监测点建设实际材料图；监测点建设照片和影像资料；其他原始资料等）。</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十、工作周期</w:t>
      </w:r>
    </w:p>
    <w:p>
      <w:pPr>
        <w:spacing w:line="540" w:lineRule="exact"/>
        <w:ind w:firstLine="480" w:firstLineChars="200"/>
        <w:rPr>
          <w:rStyle w:val="73"/>
          <w:rFonts w:hint="default" w:ascii="仿宋" w:hAnsi="仿宋" w:eastAsia="仿宋" w:cs="仿宋"/>
          <w:color w:val="auto"/>
          <w:sz w:val="24"/>
          <w:szCs w:val="24"/>
        </w:rPr>
      </w:pPr>
      <w:r>
        <w:rPr>
          <w:rFonts w:hint="eastAsia" w:ascii="仿宋" w:hAnsi="仿宋" w:eastAsia="仿宋" w:cs="仿宋"/>
          <w:color w:val="auto"/>
          <w:sz w:val="24"/>
        </w:rPr>
        <w:t>2023年4月20前完成设备安装及试运行，5月10日前完成野外工作初验，5月20日前全面完成监测对象基础资料录入、预警模型初设等工作，正式并网运行，10月底前完成项目运行维护工作；10月30日前提交项目年度成果报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br w:type="page"/>
      </w:r>
    </w:p>
    <w:p>
      <w:pPr>
        <w:pStyle w:val="5"/>
        <w:autoSpaceDE/>
        <w:autoSpaceDN/>
        <w:adjustRightInd/>
        <w:spacing w:line="377" w:lineRule="auto"/>
        <w:rPr>
          <w:rFonts w:ascii="仿宋" w:hAnsi="仿宋" w:eastAsia="仿宋" w:cs="仿宋"/>
          <w:color w:val="auto"/>
        </w:rPr>
      </w:pPr>
      <w:r>
        <w:rPr>
          <w:rFonts w:hint="eastAsia" w:ascii="仿宋" w:hAnsi="仿宋" w:eastAsia="仿宋" w:cs="仿宋"/>
          <w:color w:val="auto"/>
        </w:rPr>
        <w:t>标项八：新疆叶城县西合休乡库兰阿古村2组泥石流专项勘查</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一、项目名称和编号</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项目名称：新疆叶城县西合休乡库兰阿古村2组泥石流专项勘查</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项目编号：</w:t>
      </w:r>
      <w:r>
        <w:rPr>
          <w:rFonts w:hint="eastAsia" w:ascii="仿宋" w:hAnsi="仿宋" w:eastAsia="仿宋" w:cs="仿宋"/>
          <w:color w:val="auto"/>
          <w:sz w:val="24"/>
        </w:rPr>
        <w:t>GYZB-KSDZFZ2023-08</w:t>
      </w:r>
    </w:p>
    <w:p>
      <w:pPr>
        <w:spacing w:line="520" w:lineRule="exact"/>
        <w:ind w:firstLine="480" w:firstLineChars="200"/>
        <w:rPr>
          <w:rFonts w:ascii="仿宋" w:hAnsi="仿宋" w:eastAsia="仿宋" w:cs="仿宋"/>
          <w:bCs/>
          <w:color w:val="auto"/>
          <w:sz w:val="24"/>
        </w:rPr>
      </w:pPr>
      <w:r>
        <w:rPr>
          <w:rFonts w:hint="eastAsia" w:ascii="仿宋" w:hAnsi="仿宋" w:eastAsia="仿宋" w:cs="仿宋"/>
          <w:color w:val="auto"/>
          <w:sz w:val="24"/>
        </w:rPr>
        <w:t>项目费用人民币</w:t>
      </w:r>
      <w:r>
        <w:rPr>
          <w:rFonts w:hint="eastAsia" w:ascii="仿宋" w:hAnsi="仿宋" w:eastAsia="仿宋" w:cs="仿宋"/>
          <w:bCs/>
          <w:color w:val="auto"/>
          <w:sz w:val="24"/>
        </w:rPr>
        <w:t>：54.76万元（伍拾肆万柒仟陆佰元万元整）</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二、勘查区范围和面积</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勘查区位于叶城县西合休乡库兰阿古村2组，中心地理坐标：东经76°19′57.54″，北纬36°57′6.21″。</w:t>
      </w:r>
    </w:p>
    <w:p>
      <w:pPr>
        <w:spacing w:line="52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勘查区以勘查单位现场踏勘并与当地自然资源主管部门沟通后确定的范围和面积为准。</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三、自然经济地理及地质概况</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（一）地形地貌</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勘查区位于叶城县西南部昆仑山中高山区，地形起伏，沟谷深切，坡体植被稀疏，以草类为主。</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（二）地质概况</w:t>
      </w:r>
    </w:p>
    <w:p>
      <w:pPr>
        <w:adjustRightInd w:val="0"/>
        <w:snapToGrid w:val="0"/>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勘查区内出露的地层主要有元古界（Pt）以及新生界的第四系（Q），勘查区内岩土体分为岩体和土体两大类。勘查区岩土体可划分为坚硬－较坚硬岩组，土体包括卵石土单层土体和碎石土单层土体两种。</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（三）水文地质</w:t>
      </w:r>
    </w:p>
    <w:p>
      <w:pPr>
        <w:autoSpaceDE w:val="0"/>
        <w:autoSpaceDN w:val="0"/>
        <w:spacing w:line="520" w:lineRule="exact"/>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地下水主要为第四系松散堆积层孔隙潜水和基岩裂隙水。第四系松散堆积层孔隙潜水，有断续地表水流，补给条件较好，主要接受南部山区地下水的侧向径流补给。地下水的排泄方式，以大量蒸发以及在洼地、冲沟底部泉水溢出为主，少量人工开采为辅。基岩裂隙水含水岩性为元古界、古生代深变质的各类片岩、砂岩、石灰岩。地下水主要接受冰雪融水和大气降水的补给。地下水在接受补给后，总体上由西向东径流，在下游多以泉的形式排泄。</w:t>
      </w:r>
    </w:p>
    <w:p>
      <w:pPr>
        <w:adjustRightInd w:val="0"/>
        <w:snapToGrid w:val="0"/>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（四）人类经济活动</w:t>
      </w:r>
    </w:p>
    <w:p>
      <w:pPr>
        <w:adjustRightInd w:val="0"/>
        <w:snapToGrid w:val="0"/>
        <w:spacing w:line="560" w:lineRule="exact"/>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西合休乡以牲畜业生产为主体，有自然草场163万亩，年末畜牧存栏57200头（只），人均占有牲畜12头（只）。全乡耕地总面积4200亩，以青稞、玉米为主，半数农作物不能成熟，不能自给，依靠国家供应。全乡农牧民人均纯收入约4942元。</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四、地质灾害概况</w:t>
      </w:r>
    </w:p>
    <w:p>
      <w:pPr>
        <w:spacing w:line="50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内主要地质灾害为泥石流，主要威胁对象为库兰阿古村（8村）居民，以及村委会、幼儿园、乡村道路、居民房屋、农田、输电线路等。勘查区内共发育有2条泥石流沟，N1泥石流沟沟口位于8村村委会南东侧约800米处，N2泥石流沟沟口位于8村村委会南侧约100米处，均为中型的沟谷型泥石流。2条泥石流主沟沟谷呈“V”型，主沟长约4.1-4.5千米，宽20-150米不等，沟底平均纵坡90-170‰；支沟长0.7-2.0千米，沟道平均纵坡度100-220‰；整个泥石流沟流域呈“树叶”状分布。</w:t>
      </w:r>
    </w:p>
    <w:p>
      <w:pPr>
        <w:adjustRightInd w:val="0"/>
        <w:snapToGrid w:val="0"/>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五、目标任务</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（一）目标</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通过泥石流灾害专项勘查，查明泥石流灾害的形成条件、基本特征、危害对象、危害程度和危险性，提出泥石流防治方案建议，为防治工程设计提供依据。</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（二）任务</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1.查明区内地形地貌、地质构造、区域稳定性、水文地质、工程地质等地质环境条件；</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2.查明泥石流灾害类型、数量、分布、规模、发育特征、威胁对象、形成机制、诱发因素，进行易发性、危险性和危害程度等评价；</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3.提供地质灾害防治工程设计需用的泥石流特征参数和岩土物理力学参数；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4.进行地质灾害防治工程施工条件调查，查明天然建筑材料的质量和储量，并对料场开采可能引发的新的环境地质问题做出评价；</w:t>
      </w:r>
    </w:p>
    <w:p>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5.进行地质灾害综合防治方案比选，提出综合防治的优选方案建议。</w:t>
      </w:r>
    </w:p>
    <w:p>
      <w:pPr>
        <w:spacing w:line="54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r>
        <w:rPr>
          <w:rFonts w:hint="default" w:ascii="仿宋" w:hAnsi="仿宋" w:eastAsia="仿宋" w:cs="仿宋"/>
          <w:color w:val="auto"/>
          <w:kern w:val="0"/>
          <w:sz w:val="24"/>
          <w:lang w:val="en-US"/>
        </w:rPr>
        <w:t>.</w:t>
      </w:r>
      <w:r>
        <w:rPr>
          <w:rFonts w:hint="eastAsia" w:ascii="仿宋" w:hAnsi="仿宋" w:eastAsia="仿宋" w:cs="仿宋"/>
          <w:color w:val="auto"/>
          <w:kern w:val="0"/>
          <w:sz w:val="24"/>
          <w:lang w:val="en-US" w:eastAsia="zh-CN"/>
        </w:rPr>
        <w:t>开展地质灾害防治知识培训、地质灾害应急演练1-2期。</w:t>
      </w:r>
    </w:p>
    <w:p>
      <w:pPr>
        <w:spacing w:line="54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7.重点位置设置警示牌。                                                                                                                                                                                                                                                                                                                                                                                                                                                                                                        </w:t>
      </w:r>
    </w:p>
    <w:p>
      <w:pPr>
        <w:spacing w:line="540" w:lineRule="exact"/>
        <w:ind w:firstLine="480" w:firstLineChars="200"/>
        <w:rPr>
          <w:color w:val="auto"/>
        </w:rPr>
      </w:pPr>
      <w:r>
        <w:rPr>
          <w:rFonts w:hint="eastAsia" w:ascii="仿宋" w:hAnsi="仿宋" w:eastAsia="仿宋" w:cs="仿宋"/>
          <w:color w:val="auto"/>
          <w:kern w:val="0"/>
          <w:sz w:val="24"/>
          <w:lang w:val="en-US" w:eastAsia="zh-CN"/>
        </w:rPr>
        <w:t>8.结合实际情况编制地质灾害应急预案。</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六、工作方法和主要技术要求</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（一）工作方法</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资料收集、地形测绘、地质测量、井探、物探、现场试验、水土样品采集测试、水文分析及其它方法。</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（二）主要技术要求</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本次勘查的技术要求可按下列相关规范执行:</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1.《泥石流灾害防治工程勘查规范（试行）》（T/CAGHP 006-2018）；</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2.《泥石流防治工程设计规范》《（T/CAGHP 021-2018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3.《崩塌、滑坡、泥石流监测规范》（DZ/T0221-2006）；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4.《工程测量标准》（GB50026-2020）；</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5.《岩土工程勘察规范（2009年版）》（GB50021-2001）；</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6.《建筑工程地质勘探与取样技术规程》（JGJ/T87-2012）；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7.《土工试验方法标准》（GB/T50123-2019）；</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8.《工程岩体试验方法标准》（GB/T50266-2013）。</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其它相关技术规范要求，执行的技术和规范应以项目实施时现行最新技术标准和规范为准。</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七、主要实物工作量</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勘查区开展地形测绘，料场及防治工程部位应开展地质测量，同时可以采取相应的钻探、物探、山地工程、现场试验、水土样品采集测试等工作方法。</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开展地质灾害防治知识培训，人数不少于100人次/2期；地质灾害防治演练不少于1次。</w:t>
      </w:r>
    </w:p>
    <w:p>
      <w:pPr>
        <w:spacing w:line="560" w:lineRule="exact"/>
        <w:ind w:firstLine="480" w:firstLineChars="200"/>
        <w:rPr>
          <w:rFonts w:ascii="仿宋" w:hAnsi="仿宋" w:eastAsia="仿宋" w:cs="仿宋"/>
          <w:bCs/>
          <w:color w:val="auto"/>
          <w:sz w:val="24"/>
          <w:u w:val="single"/>
        </w:rPr>
      </w:pPr>
      <w:r>
        <w:rPr>
          <w:rFonts w:hint="eastAsia" w:ascii="仿宋" w:hAnsi="仿宋" w:eastAsia="仿宋" w:cs="仿宋"/>
          <w:bCs/>
          <w:color w:val="auto"/>
          <w:sz w:val="24"/>
          <w:u w:val="single"/>
        </w:rPr>
        <w:t>勘查面积和比例尺以投标单位现场踏勘确定的为准，勘查工作部署、工作量及比例尺应符合勘查对象实际并满足相关规范规程的要求，勘查工作精度应满足施工图设计阶段的要求。</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八、预期提交成果</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（一）原始资料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1.各种原始记录本、表格及卡片；</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2.试验与测试报告，土工试验成果图表；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3.钻孔资料、探井编录资料及柱状图（展示图），实测剖面资料；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4.野外地质手图；</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5.各种影像材料。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（二）成果资料</w:t>
      </w:r>
    </w:p>
    <w:p>
      <w:pPr>
        <w:spacing w:line="540" w:lineRule="exact"/>
        <w:ind w:firstLine="480" w:firstLineChars="200"/>
        <w:rPr>
          <w:rStyle w:val="73"/>
          <w:rFonts w:hint="eastAsia" w:ascii="仿宋" w:hAnsi="仿宋" w:eastAsia="仿宋" w:cs="仿宋"/>
          <w:color w:val="auto"/>
          <w:sz w:val="24"/>
          <w:szCs w:val="24"/>
        </w:rPr>
      </w:pPr>
      <w:r>
        <w:rPr>
          <w:rStyle w:val="73"/>
          <w:rFonts w:hint="eastAsia" w:ascii="仿宋" w:hAnsi="仿宋" w:eastAsia="仿宋" w:cs="仿宋"/>
          <w:color w:val="auto"/>
          <w:sz w:val="24"/>
          <w:szCs w:val="24"/>
        </w:rPr>
        <w:t>预期提交成果包括成果报告、附图、附件及原始资料等，具体内容参照《泥石流灾害防治工程勘查规范（试行）》（T/CAGHP 006-2018）相关要求。</w:t>
      </w:r>
    </w:p>
    <w:p>
      <w:pPr>
        <w:spacing w:line="540" w:lineRule="exact"/>
        <w:ind w:firstLine="480" w:firstLineChars="200"/>
        <w:rPr>
          <w:rStyle w:val="73"/>
          <w:rFonts w:hint="eastAsia" w:ascii="仿宋" w:hAnsi="仿宋" w:eastAsia="仿宋" w:cs="仿宋"/>
          <w:color w:val="auto"/>
          <w:sz w:val="24"/>
          <w:szCs w:val="24"/>
        </w:rPr>
      </w:pPr>
      <w:r>
        <w:rPr>
          <w:rStyle w:val="73"/>
          <w:rFonts w:hint="eastAsia" w:ascii="仿宋" w:hAnsi="仿宋" w:eastAsia="仿宋" w:cs="仿宋"/>
          <w:color w:val="auto"/>
          <w:sz w:val="24"/>
          <w:szCs w:val="24"/>
        </w:rPr>
        <w:t>各类原始资料及成果报告在提交送审稿时，同时提交电子文档。</w:t>
      </w:r>
    </w:p>
    <w:p>
      <w:pPr>
        <w:spacing w:line="540" w:lineRule="exact"/>
        <w:ind w:firstLine="480" w:firstLineChars="200"/>
        <w:rPr>
          <w:rStyle w:val="73"/>
          <w:rFonts w:hint="eastAsia" w:ascii="仿宋" w:hAnsi="仿宋" w:eastAsia="仿宋" w:cs="仿宋"/>
          <w:color w:val="auto"/>
          <w:sz w:val="24"/>
          <w:szCs w:val="24"/>
        </w:rPr>
      </w:pPr>
      <w:r>
        <w:rPr>
          <w:rStyle w:val="73"/>
          <w:rFonts w:hint="eastAsia" w:ascii="仿宋" w:hAnsi="仿宋" w:eastAsia="仿宋" w:cs="仿宋"/>
          <w:color w:val="auto"/>
          <w:sz w:val="24"/>
          <w:szCs w:val="24"/>
        </w:rPr>
        <w:t>图件要求：提交彩喷图及带属性的AUTOCAD或MAPGIS格式数据光盘。</w:t>
      </w:r>
    </w:p>
    <w:p>
      <w:pPr>
        <w:spacing w:line="540" w:lineRule="exact"/>
        <w:ind w:firstLine="480" w:firstLineChars="200"/>
        <w:rPr>
          <w:rStyle w:val="73"/>
          <w:rFonts w:hint="default" w:ascii="仿宋" w:hAnsi="仿宋" w:eastAsia="仿宋" w:cs="仿宋"/>
          <w:color w:val="auto"/>
          <w:sz w:val="24"/>
          <w:szCs w:val="24"/>
        </w:rPr>
      </w:pPr>
      <w:r>
        <w:rPr>
          <w:rStyle w:val="73"/>
          <w:rFonts w:hint="eastAsia" w:ascii="仿宋" w:hAnsi="仿宋" w:eastAsia="仿宋" w:cs="仿宋"/>
          <w:color w:val="auto"/>
          <w:sz w:val="24"/>
          <w:szCs w:val="24"/>
        </w:rPr>
        <w:t>最终成果资料汇交应按《新疆维吾尔自治区地质灾害防治项目管理办法（试行）》要求执行。</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九、工作周期</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2023年2月-12月。其中：2023年8月30日前完成野外调查工作；2023年9月30日前提交报告及数据库送审稿,2023年12月完成资料汇交。</w:t>
      </w:r>
    </w:p>
    <w:p>
      <w:pPr>
        <w:rPr>
          <w:rFonts w:ascii="仿宋" w:hAnsi="仿宋" w:eastAsia="仿宋" w:cs="仿宋"/>
          <w:bCs/>
          <w:color w:val="auto"/>
          <w:sz w:val="24"/>
        </w:rPr>
      </w:pPr>
      <w:r>
        <w:rPr>
          <w:rFonts w:hint="eastAsia" w:ascii="仿宋" w:hAnsi="仿宋" w:eastAsia="仿宋" w:cs="仿宋"/>
          <w:bCs/>
          <w:color w:val="auto"/>
          <w:sz w:val="24"/>
        </w:rPr>
        <w:br w:type="page"/>
      </w:r>
    </w:p>
    <w:p>
      <w:pPr>
        <w:spacing w:line="520" w:lineRule="exact"/>
        <w:jc w:val="center"/>
        <w:outlineLvl w:val="1"/>
        <w:rPr>
          <w:rFonts w:ascii="仿宋" w:hAnsi="仿宋" w:eastAsia="仿宋" w:cs="仿宋"/>
          <w:b/>
          <w:color w:val="auto"/>
          <w:sz w:val="24"/>
        </w:rPr>
      </w:pPr>
      <w:r>
        <w:rPr>
          <w:rFonts w:hint="eastAsia" w:ascii="仿宋" w:hAnsi="仿宋" w:eastAsia="仿宋" w:cs="仿宋"/>
          <w:b/>
          <w:color w:val="auto"/>
          <w:sz w:val="24"/>
        </w:rPr>
        <w:t>标项九：新疆莎车县霍什拉甫乡阿热塔什(4)村1组、2组泥石流专项勘查</w:t>
      </w:r>
    </w:p>
    <w:p>
      <w:pPr>
        <w:pStyle w:val="2"/>
        <w:ind w:firstLine="0"/>
        <w:rPr>
          <w:color w:val="auto"/>
        </w:rPr>
      </w:pP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一、项目名称和编号</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项目名称：新疆莎车县霍什拉甫乡阿热塔什(4)村1组、2组泥石流专项勘查</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项目编号：</w:t>
      </w:r>
      <w:r>
        <w:rPr>
          <w:rFonts w:hint="eastAsia" w:ascii="仿宋" w:hAnsi="仿宋" w:eastAsia="仿宋" w:cs="仿宋"/>
          <w:color w:val="auto"/>
          <w:sz w:val="24"/>
        </w:rPr>
        <w:t>GYZB-KSDZFZ2023-09</w:t>
      </w:r>
    </w:p>
    <w:p>
      <w:pPr>
        <w:spacing w:line="520" w:lineRule="exact"/>
        <w:ind w:firstLine="480" w:firstLineChars="200"/>
        <w:rPr>
          <w:rFonts w:ascii="仿宋" w:hAnsi="仿宋" w:eastAsia="仿宋" w:cs="仿宋"/>
          <w:bCs/>
          <w:color w:val="auto"/>
          <w:sz w:val="24"/>
        </w:rPr>
      </w:pPr>
      <w:r>
        <w:rPr>
          <w:rFonts w:hint="eastAsia" w:ascii="仿宋" w:hAnsi="仿宋" w:eastAsia="仿宋" w:cs="仿宋"/>
          <w:color w:val="auto"/>
          <w:sz w:val="24"/>
        </w:rPr>
        <w:t>项目费用人民币</w:t>
      </w:r>
      <w:r>
        <w:rPr>
          <w:rFonts w:hint="eastAsia" w:ascii="仿宋" w:hAnsi="仿宋" w:eastAsia="仿宋" w:cs="仿宋"/>
          <w:bCs/>
          <w:color w:val="auto"/>
          <w:sz w:val="24"/>
        </w:rPr>
        <w:t>：45.2万元（肆拾伍万贰仟元整）</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二、勘查区范围和面积</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勘查区位于莎车县霍仕拉甫乡西北方向20千米处，距莎车县城直线距离约76千米，中心坐标中心地理坐标北纬37°59′16.46″，东经76°32′30.72″。</w:t>
      </w:r>
    </w:p>
    <w:p>
      <w:pPr>
        <w:spacing w:line="52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勘查区以勘查单位现场踏勘并与当地自然资源主管部门沟通后确定的范围和面积为准。</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三、自然经济地理及地质概况</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（一）地形地貌</w:t>
      </w:r>
    </w:p>
    <w:p>
      <w:pPr>
        <w:adjustRightInd w:val="0"/>
        <w:snapToGrid w:val="0"/>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勘查区位于莎车县霍仕拉甫乡，地处山区丘陵地带，背山面河、四面环山；地势略为西南高、东北低，平均海拔1598米。</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（二）地质概况</w:t>
      </w:r>
    </w:p>
    <w:p>
      <w:pPr>
        <w:adjustRightInd w:val="0"/>
        <w:snapToGrid w:val="0"/>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勘查区内出露的地层主要有石炭系、侏罗系和第四系，勘查区内岩土体分为岩体和土体两大类。勘查区岩土体可划分为较软的碎屑岩组、较坚硬的碳酸盐岩组、第四系粉土单层土体及砾石土单层土体。</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（三）水文地质</w:t>
      </w:r>
    </w:p>
    <w:p>
      <w:pPr>
        <w:autoSpaceDE w:val="0"/>
        <w:autoSpaceDN w:val="0"/>
        <w:spacing w:line="520" w:lineRule="exact"/>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地下水主要为第四系松散岩类孔隙水和基岩裂隙水。第四系松散堆积物孔隙水，含水层岩性为单一的卵砾石层，总体地下水流向西南向东北径流，春夏地下水主要接受上游地下水的侧向径流、山前暴雨洪流入渗等补给，以向下游的侧向径流为主要排泄方式。基岩裂隙水含水层岩性为石炭系灰岩。地下水主要接受冰雪融水和大气降水的补给。地下水在接受补给后，经过短距离径流向山下河流、沟谷排泄。</w:t>
      </w:r>
    </w:p>
    <w:p>
      <w:pPr>
        <w:adjustRightInd w:val="0"/>
        <w:snapToGrid w:val="0"/>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（四）人类经济活动</w:t>
      </w:r>
    </w:p>
    <w:p>
      <w:pPr>
        <w:autoSpaceDE w:val="0"/>
        <w:autoSpaceDN w:val="0"/>
        <w:spacing w:line="520" w:lineRule="exact"/>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霍什拉甫乡粮食作物以小麦、玉米为主。2011年，霍什拉甫乡生产粮食4070吨，人均214.5千克。霍什拉甫乡主要经济作物有蔬菜、瓜果等。2011年，霍什拉甫乡蔬菜种植面积500亩，产量1000吨，主要品种有白菜、恰玛古等。2011年，霍什拉甫乡财政总收入406.7万元，比2010年增长41.5%。2011年，霍什拉甫乡农民人均纯收入1627元。</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四、地质灾害概况</w:t>
      </w:r>
    </w:p>
    <w:p>
      <w:pPr>
        <w:spacing w:line="50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内主要地质灾害为泥石流，主要威胁对象为泥石流沟口居民、托儿所、公共设施、耕地、乡道等，威胁户数89户，威胁人口464人，威胁财产2600万元。勘查区内泥石流沟流域包括1条主沟，支沟不发育，主沟沟谷呈“V”型，沟长约3.50千米，上中游沟道宽2-5米不等，沟道平均纵坡160-300‰；整个泥石流沟流域呈“纺锤”状分布。泥石流形成、流通区面积共约2.10平方千米。泥石流沟谷切割深度约50-100米；两侧山坡坡度一般为50°-70°不等，局部近于直立。坡体中-上部基岩裸露，下部覆盖薄层残坡积物，岩性主要为碎石、砂砾石及少量粉土。沟谷内大部基岩出露，局部堆积少量碎石，物源集中分布于沟道及其两岸。</w:t>
      </w:r>
    </w:p>
    <w:p>
      <w:pPr>
        <w:adjustRightInd w:val="0"/>
        <w:snapToGrid w:val="0"/>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五、目标任务</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（一）目标</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通过泥石流灾害专项勘查，查明泥石流灾害的形成条件、基本特征、危害对象、危害程度和危险性，提出泥石流防治方案建议，为防治工程设计提供依据。</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（二）任务</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1.查明区内地形地貌、地质构造、区域稳定性、水文地质、工程地质等地质环境条件；</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2.查明泥石流灾害类型、数量、分布、规模、发育特征、威胁对象、形成机制、诱发因素，进行易发性、危险性和危害程度等评价；</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3.提供地质灾害防治工程设计需用的泥石流特征参数和岩土物理力学参数；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4.进行地质灾害防治工程施工条件调查，查明天然建筑材料的质量和储量，并对料场开采可能引发的新的环境地质问题做出评价；</w:t>
      </w:r>
    </w:p>
    <w:p>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5.进行地质灾害综合防治方案比选，提出综合防治的优选方案建议。</w:t>
      </w:r>
    </w:p>
    <w:p>
      <w:pPr>
        <w:spacing w:line="54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r>
        <w:rPr>
          <w:rFonts w:hint="default" w:ascii="仿宋" w:hAnsi="仿宋" w:eastAsia="仿宋" w:cs="仿宋"/>
          <w:color w:val="auto"/>
          <w:kern w:val="0"/>
          <w:sz w:val="24"/>
          <w:lang w:val="en-US"/>
        </w:rPr>
        <w:t>.</w:t>
      </w:r>
      <w:r>
        <w:rPr>
          <w:rFonts w:hint="eastAsia" w:ascii="仿宋" w:hAnsi="仿宋" w:eastAsia="仿宋" w:cs="仿宋"/>
          <w:color w:val="auto"/>
          <w:kern w:val="0"/>
          <w:sz w:val="24"/>
          <w:lang w:val="en-US" w:eastAsia="zh-CN"/>
        </w:rPr>
        <w:t>开展地质灾害防治知识培训、地质灾害应急演练1-2期。</w:t>
      </w:r>
    </w:p>
    <w:p>
      <w:pPr>
        <w:spacing w:line="54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7.重点位置设置警示牌。                                                                                                                                                                                                                                                                                                                                                                                                                                                                                                        </w:t>
      </w:r>
    </w:p>
    <w:p>
      <w:pPr>
        <w:spacing w:line="540" w:lineRule="exact"/>
        <w:ind w:firstLine="480" w:firstLineChars="200"/>
        <w:rPr>
          <w:color w:val="auto"/>
        </w:rPr>
      </w:pPr>
      <w:r>
        <w:rPr>
          <w:rFonts w:hint="eastAsia" w:ascii="仿宋" w:hAnsi="仿宋" w:eastAsia="仿宋" w:cs="仿宋"/>
          <w:color w:val="auto"/>
          <w:kern w:val="0"/>
          <w:sz w:val="24"/>
          <w:lang w:val="en-US" w:eastAsia="zh-CN"/>
        </w:rPr>
        <w:t>8.结合实际情况编制地质灾害应急预案。</w:t>
      </w:r>
    </w:p>
    <w:p>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六、工作方法和主要技术要求</w:t>
      </w:r>
    </w:p>
    <w:p>
      <w:pPr>
        <w:pStyle w:val="2"/>
        <w:rPr>
          <w:color w:val="auto"/>
        </w:rPr>
      </w:pP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（一）工作方法</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资料收集、地形测绘、地质测量、井探、物探、现场试验、水土样品采集测试、水文分析及其它方法。</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（二）主要技术要求</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本次勘查的技术要求可按下列相关规范执行:</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1.《泥石流灾害防治工程勘查规范（试行）》（T/CAGHP 006-2018）；</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2.《泥石流防治工程设计规范》《（T/CAGHP 021-2018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3.《崩塌、滑坡、泥石流监测规范》（DZ/T0221-2006）；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4.《工程测量标准》（GB50026-2020）；</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5.《岩土工程勘察规范（2009年版）》（GB50021-2001）；</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6.《建筑工程地质勘探与取样技术规程》（JGJ/T87-2012）；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7.《土工试验方法标准》（GB/T50123-2019）；</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8.《工程岩体试验方法标准》（GB/T50266-2013）。</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其它相关技术规范要求，执行的技术和规范应以项目实施时现行最新技术标准和规范为准。</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七、主要实物工作量</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勘查区开展地形测绘，料场及防治工程部位应开展地质测量，同时可以采取相应的钻探、物探、山地工程、现场试验、水土样品采集测试等工作方法。</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开展地质灾害防治知识培训，人数不少于100人次/2期；地质灾害防治演练不少于1次。</w:t>
      </w:r>
    </w:p>
    <w:p>
      <w:pPr>
        <w:spacing w:line="560" w:lineRule="exact"/>
        <w:ind w:firstLine="480" w:firstLineChars="200"/>
        <w:rPr>
          <w:rFonts w:ascii="仿宋" w:hAnsi="仿宋" w:eastAsia="仿宋" w:cs="仿宋"/>
          <w:bCs/>
          <w:color w:val="auto"/>
          <w:sz w:val="24"/>
          <w:u w:val="single"/>
        </w:rPr>
      </w:pPr>
      <w:r>
        <w:rPr>
          <w:rFonts w:hint="eastAsia" w:ascii="仿宋" w:hAnsi="仿宋" w:eastAsia="仿宋" w:cs="仿宋"/>
          <w:bCs/>
          <w:color w:val="auto"/>
          <w:sz w:val="24"/>
          <w:u w:val="single"/>
        </w:rPr>
        <w:t>勘查面积和比例尺以投标单位现场踏勘确定的为准，勘查工作部署、工作量及比例尺应符合勘查对象实际并满足相关规范规程的要求，勘查工作精度应满足施工图设计阶段的要求。</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八、预期提交成果</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（一）原始资料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1.各种原始记录本、表格及卡片；</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2.试验与测试报告，土工试验成果图表；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3.钻孔资料、探井编录资料及柱状图（展示图），实测剖面资料；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4.野外地质手图；</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5.各种影像材料。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（二）成果资料</w:t>
      </w:r>
    </w:p>
    <w:p>
      <w:pPr>
        <w:spacing w:line="540" w:lineRule="exact"/>
        <w:ind w:firstLine="480" w:firstLineChars="200"/>
        <w:rPr>
          <w:rStyle w:val="73"/>
          <w:rFonts w:hint="eastAsia" w:ascii="仿宋" w:hAnsi="仿宋" w:eastAsia="仿宋" w:cs="仿宋"/>
          <w:color w:val="auto"/>
          <w:sz w:val="24"/>
          <w:szCs w:val="24"/>
        </w:rPr>
      </w:pPr>
      <w:r>
        <w:rPr>
          <w:rStyle w:val="73"/>
          <w:rFonts w:hint="eastAsia" w:ascii="仿宋" w:hAnsi="仿宋" w:eastAsia="仿宋" w:cs="仿宋"/>
          <w:color w:val="auto"/>
          <w:sz w:val="24"/>
          <w:szCs w:val="24"/>
        </w:rPr>
        <w:t>预期提交成果包括成果报告、附图、附件及原始资料等，具体内容参照《泥石流灾害防治工程勘查规范（试行）》（T/CAGHP 006-2018）相关要求。</w:t>
      </w:r>
    </w:p>
    <w:p>
      <w:pPr>
        <w:spacing w:line="540" w:lineRule="exact"/>
        <w:ind w:firstLine="480" w:firstLineChars="200"/>
        <w:rPr>
          <w:rStyle w:val="73"/>
          <w:rFonts w:hint="eastAsia" w:ascii="仿宋" w:hAnsi="仿宋" w:eastAsia="仿宋" w:cs="仿宋"/>
          <w:color w:val="auto"/>
          <w:sz w:val="24"/>
          <w:szCs w:val="24"/>
        </w:rPr>
      </w:pPr>
      <w:r>
        <w:rPr>
          <w:rStyle w:val="73"/>
          <w:rFonts w:hint="eastAsia" w:ascii="仿宋" w:hAnsi="仿宋" w:eastAsia="仿宋" w:cs="仿宋"/>
          <w:color w:val="auto"/>
          <w:sz w:val="24"/>
          <w:szCs w:val="24"/>
        </w:rPr>
        <w:t>各类原始资料及成果报告在提交送审稿时，同时提交电子文档。</w:t>
      </w:r>
    </w:p>
    <w:p>
      <w:pPr>
        <w:spacing w:line="540" w:lineRule="exact"/>
        <w:ind w:firstLine="480" w:firstLineChars="200"/>
        <w:rPr>
          <w:rStyle w:val="73"/>
          <w:rFonts w:hint="eastAsia" w:ascii="仿宋" w:hAnsi="仿宋" w:eastAsia="仿宋" w:cs="仿宋"/>
          <w:color w:val="auto"/>
          <w:sz w:val="24"/>
          <w:szCs w:val="24"/>
        </w:rPr>
      </w:pPr>
      <w:r>
        <w:rPr>
          <w:rStyle w:val="73"/>
          <w:rFonts w:hint="eastAsia" w:ascii="仿宋" w:hAnsi="仿宋" w:eastAsia="仿宋" w:cs="仿宋"/>
          <w:color w:val="auto"/>
          <w:sz w:val="24"/>
          <w:szCs w:val="24"/>
        </w:rPr>
        <w:t>图件要求：提交彩喷图及带属性的AUTOCAD或MAPGIS格式数据光盘。</w:t>
      </w:r>
    </w:p>
    <w:p>
      <w:pPr>
        <w:spacing w:line="540" w:lineRule="exact"/>
        <w:ind w:firstLine="480" w:firstLineChars="200"/>
        <w:rPr>
          <w:rStyle w:val="73"/>
          <w:rFonts w:hint="default" w:ascii="仿宋" w:hAnsi="仿宋" w:eastAsia="仿宋" w:cs="仿宋"/>
          <w:color w:val="auto"/>
          <w:sz w:val="24"/>
          <w:szCs w:val="24"/>
        </w:rPr>
      </w:pPr>
      <w:r>
        <w:rPr>
          <w:rStyle w:val="73"/>
          <w:rFonts w:hint="eastAsia" w:ascii="仿宋" w:hAnsi="仿宋" w:eastAsia="仿宋" w:cs="仿宋"/>
          <w:color w:val="auto"/>
          <w:sz w:val="24"/>
          <w:szCs w:val="24"/>
        </w:rPr>
        <w:t>最终成果资料汇交应按《新疆维吾尔自治区地质灾害防治项目管理办法（试行）》要求执行。</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九、工作周期</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2023年2月-12月。其中：2023年8月30日前完成野外调查工作；2023年9月30日前提交报告及数据库送审稿,2023年12月完成资料汇交。</w:t>
      </w:r>
    </w:p>
    <w:p>
      <w:pPr>
        <w:rPr>
          <w:rFonts w:ascii="仿宋" w:hAnsi="仿宋" w:eastAsia="仿宋" w:cs="仿宋"/>
          <w:bCs/>
          <w:color w:val="auto"/>
          <w:sz w:val="24"/>
        </w:rPr>
      </w:pPr>
      <w:r>
        <w:rPr>
          <w:rFonts w:hint="eastAsia" w:ascii="仿宋" w:hAnsi="仿宋" w:eastAsia="仿宋" w:cs="仿宋"/>
          <w:bCs/>
          <w:color w:val="auto"/>
          <w:sz w:val="24"/>
        </w:rPr>
        <w:br w:type="page"/>
      </w:r>
    </w:p>
    <w:p>
      <w:pPr>
        <w:pStyle w:val="2"/>
        <w:ind w:firstLine="0"/>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标项十：新疆塔什库尔于县达布达尔乡阿特加依村泥石流专项勘查</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一、项目名称和编号</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项目名称：新疆塔什库尔于县达布达尔乡阿特加依村泥石流专项勘查</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项目编号：</w:t>
      </w:r>
      <w:r>
        <w:rPr>
          <w:rFonts w:hint="eastAsia" w:ascii="仿宋" w:hAnsi="仿宋" w:eastAsia="仿宋" w:cs="仿宋"/>
          <w:color w:val="auto"/>
          <w:sz w:val="24"/>
        </w:rPr>
        <w:t>GYZB-KSDZFZ2023-10</w:t>
      </w:r>
    </w:p>
    <w:p>
      <w:pPr>
        <w:spacing w:line="520" w:lineRule="exact"/>
        <w:ind w:firstLine="480" w:firstLineChars="200"/>
        <w:rPr>
          <w:rFonts w:ascii="仿宋" w:hAnsi="仿宋" w:eastAsia="仿宋" w:cs="仿宋"/>
          <w:bCs/>
          <w:color w:val="auto"/>
          <w:sz w:val="24"/>
        </w:rPr>
      </w:pPr>
      <w:r>
        <w:rPr>
          <w:rFonts w:hint="eastAsia" w:ascii="仿宋" w:hAnsi="仿宋" w:eastAsia="仿宋" w:cs="仿宋"/>
          <w:color w:val="auto"/>
          <w:sz w:val="24"/>
        </w:rPr>
        <w:t>项目费用人民币</w:t>
      </w:r>
      <w:r>
        <w:rPr>
          <w:rFonts w:hint="eastAsia" w:ascii="仿宋" w:hAnsi="仿宋" w:eastAsia="仿宋" w:cs="仿宋"/>
          <w:bCs/>
          <w:color w:val="auto"/>
          <w:sz w:val="24"/>
        </w:rPr>
        <w:t>：54.76万元（伍拾肆万柒仟陆佰元整）</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二、勘查区范围和面积</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勘查区位于喀什地区塔什库尔干县达布达尔乡阿特加依村，中心地理坐标:东经75°20′23.65″，北纬37°11′27.25″。</w:t>
      </w:r>
    </w:p>
    <w:p>
      <w:pPr>
        <w:spacing w:line="52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勘查区以勘查单位现场踏勘并与当地自然资源主管部门沟通后确定的范围和面积为准。</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三、自然经济地理及地质概况</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（一）地形地貌</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勘查区地貌类型为中高山区，地形起伏，沟谷深切。总体地势北高南低，塔什库尔干河谷近东西向延展。</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（二）地质概况</w:t>
      </w:r>
    </w:p>
    <w:p>
      <w:pPr>
        <w:adjustRightInd w:val="0"/>
        <w:snapToGrid w:val="0"/>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勘查区内出露的地层主要有元古界（Pt）以及新生界的第四系（Q），勘查区内岩土体分为岩体和土体两大类。勘查区岩土体可划分为坚硬的块状侵入岩组和砾质单层土体两大类型。</w:t>
      </w:r>
    </w:p>
    <w:p>
      <w:pPr>
        <w:spacing w:line="52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（三）水文地质</w:t>
      </w:r>
    </w:p>
    <w:p>
      <w:pPr>
        <w:autoSpaceDE w:val="0"/>
        <w:autoSpaceDN w:val="0"/>
        <w:spacing w:line="520" w:lineRule="exact"/>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地下水主要为</w:t>
      </w:r>
      <w:r>
        <w:rPr>
          <w:rFonts w:hint="eastAsia" w:ascii="仿宋" w:hAnsi="仿宋" w:eastAsia="仿宋" w:cs="仿宋"/>
          <w:bCs/>
          <w:color w:val="auto"/>
          <w:sz w:val="24"/>
        </w:rPr>
        <w:t>基岩裂隙水和第四系松散岩类孔隙潜水</w:t>
      </w:r>
      <w:r>
        <w:rPr>
          <w:rFonts w:hint="eastAsia" w:ascii="仿宋" w:hAnsi="仿宋" w:eastAsia="仿宋" w:cs="仿宋"/>
          <w:bCs/>
          <w:color w:val="auto"/>
          <w:kern w:val="0"/>
          <w:sz w:val="24"/>
        </w:rPr>
        <w:t>。基岩裂隙水，含水岩性为元古界、古生代深变质的各类片岩、砂岩、石灰岩，地下水主要接受冰雪融水和大气降水的补给。地下水在接受补给后，经过短距离径流即溢出成泉，向山下河流、沟谷排泄。第四系松散岩类孔隙潜水，含水层岩性为漂卵石、卵砾石层，主要接受河洪水的入渗补给、冰雪融水补给、大气降水入渗及上游的侧向径流补给，以蒸发蒸腾和向下游侧向径流排泄为主。</w:t>
      </w:r>
    </w:p>
    <w:p>
      <w:pPr>
        <w:adjustRightInd w:val="0"/>
        <w:snapToGrid w:val="0"/>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（四）人类经济活动</w:t>
      </w:r>
    </w:p>
    <w:p>
      <w:pPr>
        <w:adjustRightInd w:val="0"/>
        <w:snapToGrid w:val="0"/>
        <w:spacing w:line="560" w:lineRule="exact"/>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达布达尔乡粮食作物以青稞、豌豆为主；畜牧业以饲养羊、牛、骆驼、马、驴为主。2011年，达布达尔乡生产粮食607.1吨，人均242.2千克。2011年，达布达尔乡绵羊饲养量14070只，年末存栏9889只；山羊饲养量13690只，年末存栏11357只；牛饲养量2230头，年末存栏1939头；牦牛饲养量2650头，年末存栏2185头；骆驼饲养量248头，年末存栏248头；马饲养量112匹，年末存栏112匹；驴饲养量438头，年末存栏438头。2011年，达布达尔乡农民人均纯收入2439元。2011年，达布达尔乡工业总产值达到3000万元，比2010年增长22%。</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四、地质灾害概况</w:t>
      </w:r>
    </w:p>
    <w:p>
      <w:pPr>
        <w:spacing w:line="50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勘查区内主要地质灾害为泥石流，主要威胁对象为N1泥石流沟口居民点15户、边防派出所1个，70人及乡村公路的安全，财产约1500万元；N2泥石流沟口居民点19户、53人及乡村公路的安全，财产约1000万元。勘查区内共发育有2条泥石流沟， N1沟口坐标东经75°19′36.72″北纬37°11′30.77″，泥石流类型为沟谷型，主流方向为4°，主沟长约8.5千米，流域面积约为24.32平方千米。N2沟口坐标为东经75°21′0.15″北纬37°11′44.98″，泥石流类型为沟谷型，主流方向为4°，主沟长约6.8千米，流域面积约为29.4平方千米。</w:t>
      </w:r>
    </w:p>
    <w:p>
      <w:pPr>
        <w:adjustRightInd w:val="0"/>
        <w:snapToGrid w:val="0"/>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五、目标任务</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（一）目标</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通过泥石流灾害专项勘查，查明泥石流灾害的形成条件、基本特征、危害对象、危害程度和危险性，提出泥石流防治方案建议，为防治工程设计提供依据。</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（二）任务</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1.查明区内地形地貌、地质构造、区域稳定性、水文地质、工程地质等地质环境条件；</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2.查明泥石流灾害类型、数量、分布、规模、发育特征、威胁对象、形成机制、诱发因素，进行易发性、危险性和危害程度等评价；</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3.提供地质灾害防治工程设计需用的泥石流特征参数和岩土物理力学参数；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4.进行地质灾害防治工程施工条件调查，查明天然建筑材料的质量和储量，并对料场开采可能引发的新的环境地质问题做出评价；</w:t>
      </w:r>
    </w:p>
    <w:p>
      <w:pPr>
        <w:spacing w:line="56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5.进行地质灾害综合防治方案比选，提出综合防治的优选方案建议。</w:t>
      </w:r>
    </w:p>
    <w:p>
      <w:pPr>
        <w:spacing w:line="540" w:lineRule="exact"/>
        <w:ind w:firstLine="480" w:firstLineChars="20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w:t>
      </w:r>
      <w:r>
        <w:rPr>
          <w:rFonts w:hint="default" w:ascii="仿宋" w:hAnsi="仿宋" w:eastAsia="仿宋" w:cs="仿宋"/>
          <w:color w:val="auto"/>
          <w:kern w:val="0"/>
          <w:sz w:val="24"/>
          <w:lang w:val="en-US"/>
        </w:rPr>
        <w:t>.</w:t>
      </w:r>
      <w:r>
        <w:rPr>
          <w:rFonts w:hint="eastAsia" w:ascii="仿宋" w:hAnsi="仿宋" w:eastAsia="仿宋" w:cs="仿宋"/>
          <w:color w:val="auto"/>
          <w:kern w:val="0"/>
          <w:sz w:val="24"/>
          <w:lang w:val="en-US" w:eastAsia="zh-CN"/>
        </w:rPr>
        <w:t>开展地质灾害防治知识培训、地质灾害应急演练1-2期。</w:t>
      </w:r>
    </w:p>
    <w:p>
      <w:pPr>
        <w:spacing w:line="540" w:lineRule="exact"/>
        <w:ind w:firstLine="480" w:firstLineChars="2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7.重点位置设置警示牌。                                                                                                                                                                                                                                                                                                                                                                                                                                                                                                        </w:t>
      </w:r>
    </w:p>
    <w:p>
      <w:pPr>
        <w:spacing w:line="540" w:lineRule="exact"/>
        <w:ind w:firstLine="480" w:firstLineChars="200"/>
        <w:rPr>
          <w:color w:val="auto"/>
        </w:rPr>
      </w:pPr>
      <w:r>
        <w:rPr>
          <w:rFonts w:hint="eastAsia" w:ascii="仿宋" w:hAnsi="仿宋" w:eastAsia="仿宋" w:cs="仿宋"/>
          <w:color w:val="auto"/>
          <w:kern w:val="0"/>
          <w:sz w:val="24"/>
          <w:lang w:val="en-US" w:eastAsia="zh-CN"/>
        </w:rPr>
        <w:t>8.结合实际情况编制地质灾害应急预案。</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六、工作方法和主要技术要求</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（一）工作方法</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资料收集、地形测绘、地质测量、井探、物探、现场试验、水土样品采集测试、水文分析及其它方法。</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（二）主要技术要求</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本次勘查的技术要求可按下列相关规范执行:</w:t>
      </w:r>
    </w:p>
    <w:p>
      <w:pPr>
        <w:spacing w:line="560" w:lineRule="exact"/>
        <w:ind w:left="420"/>
        <w:rPr>
          <w:rFonts w:ascii="仿宋" w:hAnsi="仿宋" w:eastAsia="仿宋" w:cs="仿宋"/>
          <w:bCs/>
          <w:color w:val="auto"/>
          <w:sz w:val="24"/>
        </w:rPr>
      </w:pPr>
      <w:r>
        <w:rPr>
          <w:rFonts w:hint="eastAsia" w:ascii="仿宋" w:hAnsi="仿宋" w:eastAsia="仿宋" w:cs="仿宋"/>
          <w:bCs/>
          <w:color w:val="auto"/>
          <w:sz w:val="24"/>
        </w:rPr>
        <w:t>1.《泥石流灾害防治工程勘查规范（试行）》（T/CAGHP 006-2018）；</w:t>
      </w:r>
    </w:p>
    <w:p>
      <w:pPr>
        <w:spacing w:line="560" w:lineRule="exact"/>
        <w:ind w:left="420"/>
        <w:rPr>
          <w:rFonts w:ascii="仿宋" w:hAnsi="仿宋" w:eastAsia="仿宋" w:cs="仿宋"/>
          <w:bCs/>
          <w:color w:val="auto"/>
          <w:sz w:val="24"/>
        </w:rPr>
      </w:pPr>
      <w:r>
        <w:rPr>
          <w:rFonts w:hint="eastAsia" w:ascii="仿宋" w:hAnsi="仿宋" w:eastAsia="仿宋" w:cs="仿宋"/>
          <w:bCs/>
          <w:color w:val="auto"/>
          <w:sz w:val="24"/>
        </w:rPr>
        <w:t>2.《泥石流防治工程设计规范》《（T/CAGHP 021-2018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3.《崩塌、滑坡、泥石流监测规范》（DZ/T0221-2006）；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4.《工程测量标准》（GB50026-2020）；</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5.《岩土工程勘察规范（2009年版）》（GB50021-2001）；</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6.《建筑工程地质勘探与取样技术规程》（JGJ/T87-2012）；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7.《土工试验方法标准》（GB/T50123-2019）；</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8.《工程岩体试验方法标准》（GB/T50266-2013）。</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其它相关技术规范要求，执行的技术和规范应以项目实施时现行最新技术标准和规范为准。</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七、主要实物工作量</w:t>
      </w:r>
    </w:p>
    <w:p>
      <w:pPr>
        <w:pStyle w:val="18"/>
        <w:spacing w:line="560" w:lineRule="exact"/>
        <w:rPr>
          <w:rFonts w:ascii="仿宋" w:hAnsi="仿宋" w:eastAsia="仿宋" w:cs="仿宋"/>
          <w:bCs/>
          <w:color w:val="auto"/>
        </w:rPr>
      </w:pPr>
      <w:r>
        <w:rPr>
          <w:rFonts w:hint="eastAsia" w:ascii="仿宋" w:hAnsi="仿宋" w:eastAsia="仿宋" w:cs="仿宋"/>
          <w:bCs/>
          <w:color w:val="auto"/>
        </w:rPr>
        <w:t>勘查区开展地形测绘，料场及防治工程部位应开展地质测量，同时可以采取相应的钻探、物探、山地工程、现场试验、水土样品采集测试等工作方法。</w:t>
      </w:r>
    </w:p>
    <w:p>
      <w:pPr>
        <w:adjustRightInd w:val="0"/>
        <w:snapToGrid w:val="0"/>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开展地质灾害防治知识培训，人数不少于100人次/2期；地质灾害防治演练不少于1次。</w:t>
      </w:r>
    </w:p>
    <w:p>
      <w:pPr>
        <w:spacing w:line="560" w:lineRule="exact"/>
        <w:ind w:firstLine="480" w:firstLineChars="200"/>
        <w:jc w:val="left"/>
        <w:rPr>
          <w:rFonts w:ascii="仿宋" w:hAnsi="仿宋" w:eastAsia="仿宋" w:cs="仿宋"/>
          <w:bCs/>
          <w:color w:val="auto"/>
          <w:sz w:val="24"/>
          <w:u w:val="single"/>
        </w:rPr>
      </w:pPr>
      <w:r>
        <w:rPr>
          <w:rFonts w:hint="eastAsia" w:ascii="仿宋" w:hAnsi="仿宋" w:eastAsia="仿宋" w:cs="仿宋"/>
          <w:bCs/>
          <w:color w:val="auto"/>
          <w:sz w:val="24"/>
          <w:u w:val="single"/>
        </w:rPr>
        <w:t>勘查面积和比例尺以投标单位现场踏勘确定的为准，勘查工作部署、工作量及比例尺应符合勘查对象实际并满足相关规范规程的要求，勘查工作精度应满足施工图设计阶段的要求。</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八、预期提交成果</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（一）原始资料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1.各种原始记录本、表格及卡片；</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2.试验与测试报告，土工试验成果图表；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3.钻孔资料、探井编录资料及柱状图（展示图），实测剖面资料；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4.野外地质手图；</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5.各种影像材料。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（二）成果资料</w:t>
      </w:r>
    </w:p>
    <w:p>
      <w:pPr>
        <w:spacing w:line="540" w:lineRule="exact"/>
        <w:ind w:firstLine="480" w:firstLineChars="200"/>
        <w:rPr>
          <w:rStyle w:val="73"/>
          <w:rFonts w:hint="eastAsia" w:ascii="仿宋" w:hAnsi="仿宋" w:eastAsia="仿宋" w:cs="仿宋"/>
          <w:color w:val="auto"/>
          <w:sz w:val="24"/>
          <w:szCs w:val="24"/>
        </w:rPr>
      </w:pPr>
      <w:r>
        <w:rPr>
          <w:rStyle w:val="73"/>
          <w:rFonts w:hint="eastAsia" w:ascii="仿宋" w:hAnsi="仿宋" w:eastAsia="仿宋" w:cs="仿宋"/>
          <w:color w:val="auto"/>
          <w:sz w:val="24"/>
          <w:szCs w:val="24"/>
        </w:rPr>
        <w:t>预期提交成果包括成果报告、附图、附件及原始资料等，具体内容参照《泥石流灾害防治工程勘查规范（试行）》（T/CAGHP 006-2018）相关要求。</w:t>
      </w:r>
    </w:p>
    <w:p>
      <w:pPr>
        <w:spacing w:line="540" w:lineRule="exact"/>
        <w:ind w:firstLine="480" w:firstLineChars="200"/>
        <w:rPr>
          <w:rStyle w:val="73"/>
          <w:rFonts w:hint="eastAsia" w:ascii="仿宋" w:hAnsi="仿宋" w:eastAsia="仿宋" w:cs="仿宋"/>
          <w:color w:val="auto"/>
          <w:sz w:val="24"/>
          <w:szCs w:val="24"/>
        </w:rPr>
      </w:pPr>
      <w:r>
        <w:rPr>
          <w:rStyle w:val="73"/>
          <w:rFonts w:hint="eastAsia" w:ascii="仿宋" w:hAnsi="仿宋" w:eastAsia="仿宋" w:cs="仿宋"/>
          <w:color w:val="auto"/>
          <w:sz w:val="24"/>
          <w:szCs w:val="24"/>
        </w:rPr>
        <w:t>各类原始资料及成果报告在提交送审稿时，同时提交电子文档。</w:t>
      </w:r>
    </w:p>
    <w:p>
      <w:pPr>
        <w:spacing w:line="540" w:lineRule="exact"/>
        <w:ind w:firstLine="480" w:firstLineChars="200"/>
        <w:rPr>
          <w:rStyle w:val="73"/>
          <w:rFonts w:hint="eastAsia" w:ascii="仿宋" w:hAnsi="仿宋" w:eastAsia="仿宋" w:cs="仿宋"/>
          <w:color w:val="auto"/>
          <w:sz w:val="24"/>
          <w:szCs w:val="24"/>
        </w:rPr>
      </w:pPr>
      <w:r>
        <w:rPr>
          <w:rStyle w:val="73"/>
          <w:rFonts w:hint="eastAsia" w:ascii="仿宋" w:hAnsi="仿宋" w:eastAsia="仿宋" w:cs="仿宋"/>
          <w:color w:val="auto"/>
          <w:sz w:val="24"/>
          <w:szCs w:val="24"/>
        </w:rPr>
        <w:t>图件要求：提交彩喷图及带属性的AUTOCAD或MAPGIS格式数据光盘。</w:t>
      </w:r>
    </w:p>
    <w:p>
      <w:pPr>
        <w:spacing w:line="540" w:lineRule="exact"/>
        <w:ind w:firstLine="480" w:firstLineChars="200"/>
        <w:rPr>
          <w:rStyle w:val="73"/>
          <w:rFonts w:hint="default" w:ascii="仿宋" w:hAnsi="仿宋" w:eastAsia="仿宋" w:cs="仿宋"/>
          <w:color w:val="auto"/>
          <w:sz w:val="24"/>
          <w:szCs w:val="24"/>
        </w:rPr>
      </w:pPr>
      <w:r>
        <w:rPr>
          <w:rStyle w:val="73"/>
          <w:rFonts w:hint="eastAsia" w:ascii="仿宋" w:hAnsi="仿宋" w:eastAsia="仿宋" w:cs="仿宋"/>
          <w:color w:val="auto"/>
          <w:sz w:val="24"/>
          <w:szCs w:val="24"/>
        </w:rPr>
        <w:t>最终成果资料汇交应按《新疆维吾尔自治区地质灾害防治项目管理办法（试行）》要求执行。</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九、工作周期</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2023年2月-12月。其中：2023年8月30日前完成野外调查工作；2023年9月30日前提交报告及数据库送审稿,2023年12月完成资料汇交。</w:t>
      </w:r>
    </w:p>
    <w:p>
      <w:pPr>
        <w:rPr>
          <w:rFonts w:ascii="仿宋" w:hAnsi="仿宋" w:eastAsia="仿宋" w:cs="仿宋"/>
          <w:bCs/>
          <w:color w:val="auto"/>
          <w:sz w:val="24"/>
        </w:rPr>
      </w:pPr>
      <w:r>
        <w:rPr>
          <w:rFonts w:hint="eastAsia" w:ascii="仿宋" w:hAnsi="仿宋" w:eastAsia="仿宋" w:cs="仿宋"/>
          <w:bCs/>
          <w:color w:val="auto"/>
          <w:sz w:val="24"/>
        </w:rPr>
        <w:br w:type="page"/>
      </w:r>
    </w:p>
    <w:p>
      <w:pPr>
        <w:pStyle w:val="2"/>
        <w:ind w:firstLine="0"/>
        <w:jc w:val="center"/>
        <w:outlineLvl w:val="1"/>
        <w:rPr>
          <w:rFonts w:ascii="仿宋" w:hAnsi="仿宋" w:eastAsia="仿宋"/>
          <w:color w:val="auto"/>
          <w:kern w:val="2"/>
          <w:szCs w:val="24"/>
        </w:rPr>
      </w:pPr>
      <w:r>
        <w:rPr>
          <w:rFonts w:hint="eastAsia" w:ascii="仿宋" w:hAnsi="仿宋" w:eastAsia="仿宋"/>
          <w:b/>
          <w:bCs/>
          <w:color w:val="auto"/>
          <w:kern w:val="2"/>
          <w:sz w:val="32"/>
          <w:szCs w:val="32"/>
        </w:rPr>
        <w:t>标项十一：喀什地区2023年地质灾害防治体系建设项目监理</w:t>
      </w:r>
    </w:p>
    <w:p>
      <w:pPr>
        <w:pStyle w:val="25"/>
        <w:rPr>
          <w:color w:val="auto"/>
        </w:rPr>
      </w:pPr>
    </w:p>
    <w:p>
      <w:pPr>
        <w:spacing w:line="240" w:lineRule="atLeast"/>
        <w:rPr>
          <w:color w:val="auto"/>
        </w:rPr>
      </w:pPr>
      <w:r>
        <w:rPr>
          <w:rFonts w:hint="eastAsia" w:ascii="仿宋" w:hAnsi="仿宋" w:eastAsia="仿宋" w:cs="仿宋"/>
          <w:b/>
          <w:bCs/>
          <w:color w:val="auto"/>
          <w:sz w:val="28"/>
          <w:szCs w:val="28"/>
        </w:rPr>
        <w:t xml:space="preserve">      </w:t>
      </w:r>
    </w:p>
    <w:p>
      <w:pPr>
        <w:spacing w:line="5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一、项目名称和编号</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lang w:eastAsia="en-US"/>
        </w:rPr>
        <w:t>项目名称：</w:t>
      </w:r>
      <w:bookmarkStart w:id="240" w:name="项目编号：YLZFZJL"/>
      <w:bookmarkEnd w:id="240"/>
      <w:r>
        <w:rPr>
          <w:rFonts w:hint="eastAsia" w:ascii="仿宋" w:hAnsi="仿宋" w:eastAsia="仿宋" w:cs="仿宋"/>
          <w:color w:val="auto"/>
          <w:sz w:val="24"/>
        </w:rPr>
        <w:t>喀什地区2023年地质灾害防治体系建设项目监理</w:t>
      </w:r>
    </w:p>
    <w:p>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lang w:eastAsia="en-US"/>
        </w:rPr>
        <w:t>项目编号：</w:t>
      </w:r>
      <w:r>
        <w:rPr>
          <w:rFonts w:hint="eastAsia" w:ascii="仿宋" w:hAnsi="仿宋" w:eastAsia="仿宋" w:cs="仿宋"/>
          <w:color w:val="auto"/>
          <w:sz w:val="24"/>
        </w:rPr>
        <w:t>GYZB-KSDZFZ2023-11</w:t>
      </w:r>
    </w:p>
    <w:p>
      <w:pPr>
        <w:spacing w:line="500" w:lineRule="exact"/>
        <w:ind w:firstLine="480" w:firstLineChars="200"/>
        <w:rPr>
          <w:rFonts w:ascii="仿宋" w:hAnsi="仿宋" w:eastAsia="仿宋" w:cs="仿宋"/>
          <w:color w:val="auto"/>
          <w:sz w:val="24"/>
          <w:lang w:eastAsia="en-US"/>
        </w:rPr>
      </w:pPr>
      <w:r>
        <w:rPr>
          <w:rFonts w:hint="eastAsia" w:ascii="仿宋" w:hAnsi="仿宋" w:eastAsia="仿宋" w:cs="仿宋"/>
          <w:color w:val="auto"/>
          <w:sz w:val="24"/>
          <w:lang w:eastAsia="en-US"/>
        </w:rPr>
        <w:t>项目费用</w:t>
      </w:r>
      <w:r>
        <w:rPr>
          <w:rFonts w:hint="eastAsia" w:ascii="仿宋" w:hAnsi="仿宋" w:eastAsia="仿宋" w:cs="仿宋"/>
          <w:color w:val="auto"/>
          <w:sz w:val="24"/>
        </w:rPr>
        <w:t>人民币</w:t>
      </w:r>
      <w:r>
        <w:rPr>
          <w:rFonts w:hint="eastAsia" w:ascii="仿宋" w:hAnsi="仿宋" w:eastAsia="仿宋" w:cs="仿宋"/>
          <w:color w:val="auto"/>
          <w:sz w:val="24"/>
          <w:lang w:eastAsia="en-US"/>
        </w:rPr>
        <w:t>：</w:t>
      </w:r>
      <w:r>
        <w:rPr>
          <w:rFonts w:hint="eastAsia" w:ascii="仿宋" w:hAnsi="仿宋" w:eastAsia="仿宋" w:cs="仿宋"/>
          <w:color w:val="auto"/>
          <w:sz w:val="24"/>
        </w:rPr>
        <w:t>103.152万元（壹佰零叁万壹仟伍佰贰拾元整）</w:t>
      </w:r>
    </w:p>
    <w:p>
      <w:pPr>
        <w:spacing w:line="50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二、监理项目概况</w:t>
      </w:r>
    </w:p>
    <w:p>
      <w:pPr>
        <w:autoSpaceDE w:val="0"/>
        <w:autoSpaceDN w:val="0"/>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kern w:val="0"/>
          <w:sz w:val="24"/>
        </w:rPr>
        <w:t>新疆叶城县西合休乡阿亚克却普村4组崩塌、泥石流防治工程</w:t>
      </w:r>
      <w:r>
        <w:rPr>
          <w:rFonts w:hint="eastAsia" w:ascii="仿宋" w:hAnsi="仿宋" w:eastAsia="仿宋" w:cs="仿宋"/>
          <w:color w:val="auto"/>
          <w:sz w:val="24"/>
        </w:rPr>
        <w:t>，防治区位于叶城县西合休乡阿亚克却普村4组北、东侧山体崩塌、泥石流灾害影响范围，该组居民135户房屋与崩塌危岩带比邻而建，3条泥石流沟位于该组以北、东范围。行政区划隶属西合休乡管辖，防治区中心坐标为：东经：76°17′7.74″，北纬37°17′23.24″。</w:t>
      </w:r>
    </w:p>
    <w:p>
      <w:pPr>
        <w:autoSpaceDE w:val="0"/>
        <w:autoSpaceDN w:val="0"/>
        <w:adjustRightInd w:val="0"/>
        <w:snapToGrid w:val="0"/>
        <w:spacing w:line="540" w:lineRule="exact"/>
        <w:ind w:firstLine="480" w:firstLineChars="200"/>
        <w:rPr>
          <w:rFonts w:ascii="仿宋" w:hAnsi="仿宋" w:eastAsia="仿宋" w:cs="仿宋"/>
          <w:color w:val="auto"/>
          <w:sz w:val="24"/>
        </w:rPr>
      </w:pPr>
      <w:r>
        <w:rPr>
          <w:rFonts w:hint="eastAsia" w:ascii="仿宋" w:hAnsi="仿宋" w:eastAsia="仿宋" w:cs="仿宋"/>
          <w:bCs/>
          <w:color w:val="auto"/>
          <w:sz w:val="24"/>
        </w:rPr>
        <w:t>2.</w:t>
      </w:r>
      <w:r>
        <w:rPr>
          <w:rFonts w:hint="eastAsia" w:ascii="仿宋" w:hAnsi="仿宋" w:eastAsia="仿宋" w:cs="仿宋"/>
          <w:color w:val="auto"/>
          <w:kern w:val="0"/>
          <w:sz w:val="24"/>
        </w:rPr>
        <w:t>新疆叶城县西合休乡西合休村崩塌、泥石流地质灾害防治工程，</w:t>
      </w:r>
      <w:r>
        <w:rPr>
          <w:rFonts w:hint="eastAsia" w:ascii="仿宋" w:hAnsi="仿宋" w:eastAsia="仿宋" w:cs="仿宋"/>
          <w:color w:val="auto"/>
          <w:sz w:val="24"/>
        </w:rPr>
        <w:t>防治区位于叶城县西南部喀喇昆仑山区中高山区，在西合休村委会北侧山坡及东侧两条泥石流沟，其中一号泥石流沟位于西合休村委会东侧300m处，二号泥石流沟位于一号泥石流沟东侧约1000m处。中心坐标为东经76°41′5″，北纬36°58′26.7″。</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3.</w:t>
      </w:r>
      <w:r>
        <w:rPr>
          <w:rFonts w:hint="eastAsia" w:ascii="仿宋" w:hAnsi="仿宋" w:eastAsia="仿宋" w:cs="仿宋"/>
          <w:color w:val="auto"/>
          <w:sz w:val="24"/>
        </w:rPr>
        <w:t>新疆塔什库尔干县马尔洋乡努什墩村崩塌、泥石流防治工程</w:t>
      </w:r>
      <w:r>
        <w:rPr>
          <w:rFonts w:hint="eastAsia" w:ascii="仿宋" w:hAnsi="仿宋" w:eastAsia="仿宋" w:cs="仿宋"/>
          <w:color w:val="auto"/>
          <w:kern w:val="0"/>
          <w:sz w:val="24"/>
        </w:rPr>
        <w:t>，</w:t>
      </w:r>
      <w:r>
        <w:rPr>
          <w:rFonts w:hint="eastAsia" w:ascii="仿宋" w:hAnsi="仿宋" w:eastAsia="仿宋" w:cs="仿宋"/>
          <w:color w:val="auto"/>
          <w:sz w:val="24"/>
        </w:rPr>
        <w:t>防治区位于塔什库尔干塔吉克自治县马尔洋乡努什墩村，距塔什库尔干县城140千米。防治区中心地理坐标为东经75°50′8.6″，北纬37°20′35.2″。</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bCs/>
          <w:color w:val="auto"/>
          <w:sz w:val="24"/>
        </w:rPr>
        <w:t>4.</w:t>
      </w:r>
      <w:r>
        <w:rPr>
          <w:rFonts w:hint="eastAsia" w:ascii="仿宋" w:hAnsi="仿宋" w:eastAsia="仿宋" w:cs="仿宋"/>
          <w:color w:val="auto"/>
          <w:sz w:val="24"/>
        </w:rPr>
        <w:t>新疆塔什库尔干县大同乡阿克托尕兰干村幼儿园崩塌防治工程</w:t>
      </w:r>
      <w:r>
        <w:rPr>
          <w:rFonts w:hint="eastAsia" w:ascii="仿宋" w:hAnsi="仿宋" w:eastAsia="仿宋" w:cs="仿宋"/>
          <w:color w:val="auto"/>
          <w:kern w:val="0"/>
          <w:sz w:val="24"/>
        </w:rPr>
        <w:t>，</w:t>
      </w:r>
      <w:r>
        <w:rPr>
          <w:rFonts w:hint="eastAsia" w:ascii="仿宋" w:hAnsi="仿宋" w:eastAsia="仿宋" w:cs="仿宋"/>
          <w:color w:val="auto"/>
          <w:sz w:val="24"/>
        </w:rPr>
        <w:t>防治区位于塔什库尔干县大同乡阿克托尕兰干村，处于叶尔羌河中下游左岸阶地上。防治区中心地理坐标为东经 76°11′13″，北纬 37°44′58″。</w:t>
      </w:r>
    </w:p>
    <w:p>
      <w:pPr>
        <w:autoSpaceDE w:val="0"/>
        <w:autoSpaceDN w:val="0"/>
        <w:adjustRightInd w:val="0"/>
        <w:snapToGrid w:val="0"/>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5.新疆喀什地区群专结合监测预警点建设（2023年度）项目，监测区位于喀什地区境内，本次工作范围主要分布在叶城县、莎车县、塔县、英吉沙县。地理坐标东经74°20′-79°57′，北纬35°20′-40°18′。</w:t>
      </w:r>
    </w:p>
    <w:p>
      <w:pPr>
        <w:spacing w:line="540" w:lineRule="exact"/>
        <w:ind w:firstLine="480" w:firstLineChars="200"/>
        <w:rPr>
          <w:rFonts w:ascii="仿宋" w:hAnsi="仿宋" w:eastAsia="仿宋" w:cs="仿宋"/>
          <w:bCs/>
          <w:color w:val="auto"/>
          <w:sz w:val="24"/>
        </w:rPr>
      </w:pPr>
      <w:r>
        <w:rPr>
          <w:rFonts w:hint="eastAsia" w:ascii="仿宋" w:hAnsi="仿宋" w:eastAsia="仿宋" w:cs="仿宋"/>
          <w:color w:val="auto"/>
          <w:sz w:val="24"/>
        </w:rPr>
        <w:t>6.</w:t>
      </w:r>
      <w:r>
        <w:rPr>
          <w:rFonts w:hint="eastAsia" w:ascii="仿宋" w:hAnsi="仿宋" w:eastAsia="仿宋" w:cs="仿宋"/>
          <w:bCs/>
          <w:color w:val="auto"/>
          <w:sz w:val="24"/>
        </w:rPr>
        <w:t>新疆叶城县西合休乡库兰阿古村2组泥石流专项勘查项目，勘查区位于叶城县西合休乡库兰阿古村2组，中心地理坐标：东经76°19′57.54″，北纬36°57′6.21″。</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7.新疆莎车县霍什拉甫乡阿热塔什(4)村1组、2组泥石流专项勘查项目，勘查区位于莎车县霍仕拉甫乡西北方向20千米处，距莎车县城直线距离约76千米，中心坐标中心地理坐标北纬37°59′16.46″，东经76°32′30.72″。</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8.新疆塔什库尔于县达布达尔乡阿特加依村泥石流专项勘查项目，勘查区位于喀什地区塔什库尔干县达布达尔乡阿特加依村，中心地理坐标:东经75°20′23.65″，北纬37°11′27.25″。</w:t>
      </w:r>
    </w:p>
    <w:p>
      <w:pPr>
        <w:spacing w:line="540" w:lineRule="exact"/>
        <w:ind w:firstLine="482" w:firstLineChars="200"/>
        <w:rPr>
          <w:rFonts w:ascii="仿宋" w:hAnsi="仿宋" w:eastAsia="仿宋" w:cs="仿宋"/>
          <w:b/>
          <w:color w:val="auto"/>
          <w:sz w:val="24"/>
          <w:u w:val="single"/>
        </w:rPr>
      </w:pPr>
      <w:r>
        <w:rPr>
          <w:rFonts w:hint="eastAsia" w:ascii="仿宋" w:hAnsi="仿宋" w:eastAsia="仿宋" w:cs="仿宋"/>
          <w:b/>
          <w:color w:val="auto"/>
          <w:sz w:val="24"/>
          <w:u w:val="single"/>
        </w:rPr>
        <w:t>监理项目以批准的监理规划、监理实施细则确定的为准。</w:t>
      </w:r>
    </w:p>
    <w:p>
      <w:pPr>
        <w:spacing w:line="5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 xml:space="preserve"> 三、监理主要内容</w:t>
      </w:r>
    </w:p>
    <w:p>
      <w:pPr>
        <w:spacing w:line="540" w:lineRule="exact"/>
        <w:ind w:firstLine="480" w:firstLineChars="200"/>
        <w:rPr>
          <w:rFonts w:ascii="仿宋" w:hAnsi="仿宋" w:eastAsia="仿宋" w:cs="仿宋"/>
          <w:color w:val="auto"/>
          <w:sz w:val="24"/>
        </w:rPr>
      </w:pPr>
      <w:bookmarkStart w:id="241" w:name="（一）目标"/>
      <w:bookmarkEnd w:id="241"/>
      <w:r>
        <w:rPr>
          <w:rFonts w:hint="eastAsia" w:ascii="仿宋" w:hAnsi="仿宋" w:eastAsia="仿宋" w:cs="仿宋"/>
          <w:color w:val="auto"/>
          <w:sz w:val="24"/>
        </w:rPr>
        <w:t xml:space="preserve">（一）目标 </w:t>
      </w:r>
      <w:bookmarkStart w:id="242" w:name="通过项目监理工作的实施，达到项目的工期目标、质量目标及安全目标。"/>
      <w:bookmarkEnd w:id="242"/>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通过监理工作的实施，达到项目工期目标、质量目标及安全目标。</w:t>
      </w:r>
    </w:p>
    <w:p>
      <w:pPr>
        <w:spacing w:line="540" w:lineRule="exact"/>
        <w:ind w:firstLine="480" w:firstLineChars="200"/>
        <w:rPr>
          <w:rFonts w:ascii="仿宋" w:hAnsi="仿宋" w:eastAsia="仿宋" w:cs="仿宋"/>
          <w:color w:val="auto"/>
          <w:sz w:val="24"/>
        </w:rPr>
      </w:pPr>
      <w:bookmarkStart w:id="243" w:name="（二）任务"/>
      <w:bookmarkEnd w:id="243"/>
      <w:r>
        <w:rPr>
          <w:rFonts w:hint="eastAsia" w:ascii="仿宋" w:hAnsi="仿宋" w:eastAsia="仿宋" w:cs="仿宋"/>
          <w:color w:val="auto"/>
          <w:sz w:val="24"/>
        </w:rPr>
        <w:t>（二）任务</w:t>
      </w:r>
    </w:p>
    <w:p>
      <w:pPr>
        <w:spacing w:line="540" w:lineRule="exact"/>
        <w:ind w:firstLine="480" w:firstLineChars="200"/>
        <w:rPr>
          <w:rFonts w:ascii="仿宋" w:hAnsi="仿宋" w:eastAsia="仿宋" w:cs="仿宋"/>
          <w:color w:val="auto"/>
          <w:sz w:val="24"/>
        </w:rPr>
      </w:pPr>
      <w:bookmarkStart w:id="244" w:name="（三）工作方法和主要技术要求"/>
      <w:bookmarkEnd w:id="244"/>
      <w:r>
        <w:rPr>
          <w:rFonts w:hint="eastAsia" w:ascii="仿宋" w:hAnsi="仿宋" w:eastAsia="仿宋" w:cs="仿宋"/>
          <w:color w:val="auto"/>
          <w:sz w:val="24"/>
        </w:rPr>
        <w:t>1.地质灾害防治项目：根据实际需要,防治工程监理主要内容包括对防治项目基础工程、主体工程、警示工程、隐蔽工程、材料抽检试验、初验、终验、资料整理归档等监督检查，做好项目质量、进度、安全与环境保护、保修期、信息管理、工作量审核等各阶段控制及组织协调工作。</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2.监测预警点建设项目：根据实际需要,专业预警点建设监理主要内容包括对专业预警点建设项目基础施工、监测对象基础资料录入、预警模型初设、并网运行、初验、终验、资料整理归档等监督检查，做好项目质量、进度、安全与环境保护、保修期、信息管理、工作量审核等各阶段控制及组织协调工作。</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3.专项勘查项目：紧密结合各阶段的勘查任务，按照相关规定、规范和合同要求，把好勘查工作相关关键工序质量，保证勘查成果和结论真实、准确，满足工程相应阶段需要，按时完成勘查任务。</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4.协助地区自然资源局与县自然资源局按时完成项目进度汇总上报工作。</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5.协助县自然资源局完成项目初验工作。</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（三）工作方法和主要技术要求</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w:t>
      </w:r>
      <w:bookmarkStart w:id="245" w:name="1.工作方法"/>
      <w:bookmarkEnd w:id="245"/>
      <w:r>
        <w:rPr>
          <w:rFonts w:hint="eastAsia" w:ascii="仿宋" w:hAnsi="仿宋" w:eastAsia="仿宋" w:cs="仿宋"/>
          <w:color w:val="auto"/>
          <w:sz w:val="24"/>
        </w:rPr>
        <w:t>1.工作方法</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采用监理巡查、旁站、测量和计量、指令性文件、抽查、现场记录、工序控制、协调及验收签证等工作方法，对建设项目质量、进度、安全及工作量进行控制。监测预警点建设项目应根据项目承担单位工作组情况派驻现场监理人员，每个工作组不少于1人，防治工程项目派驻现场监理人数，应保证每个项目不少于1人。</w:t>
      </w:r>
    </w:p>
    <w:p>
      <w:pPr>
        <w:spacing w:line="360" w:lineRule="auto"/>
        <w:ind w:firstLine="480" w:firstLineChars="200"/>
        <w:rPr>
          <w:rFonts w:ascii="仿宋" w:hAnsi="仿宋" w:eastAsia="仿宋" w:cs="仿宋"/>
          <w:color w:val="auto"/>
          <w:sz w:val="24"/>
        </w:rPr>
      </w:pPr>
      <w:bookmarkStart w:id="246" w:name="2.主要技术要求"/>
      <w:bookmarkEnd w:id="246"/>
      <w:r>
        <w:rPr>
          <w:rFonts w:hint="eastAsia" w:ascii="仿宋" w:hAnsi="仿宋" w:eastAsia="仿宋" w:cs="仿宋"/>
          <w:color w:val="auto"/>
          <w:sz w:val="24"/>
        </w:rPr>
        <w:t>2.主要技术要求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（1）《地质灾害防治工程监理规范》（DZ/T 0222-2006）；</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（2）《建设工程监理规范》（GB/T 50319-2013）；</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（4）《泥石流灾害防治工程勘查规范》（DZ/T 0220-2006）；</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 泥石流防治工程施工技术规范（ 试 行 ）》（ T/CAGHP 061-2019）；</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（6）《建筑机械使用安全技术规程》（JGJ 33-2012）；</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（7）《建设工程施工现场供用电安全规范》（GB50194-2014）；</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（8）《地质灾害防治工程监理预算标准》（T/CAGHP 015-2018）；</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（9）其他有关规范、规程和技术要求。</w:t>
      </w:r>
      <w:bookmarkStart w:id="247" w:name="四、地质灾害专项勘查预期提交的监理文件"/>
      <w:bookmarkEnd w:id="247"/>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四、预期提交的监理文件</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（一）监理设计成果文件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1.《监理规划》；</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2.《监理实施细则》。</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（二）监理成果总结性文件</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1.《监理工作总结》；</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2.《监理质量评估报告》；</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3.《监理工作照片集》。</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（三）实施过程中形成的文件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项目监理日志、监理月报、工地例会纪要、监理工程师通知单及回复单、工程报审表、工程验收文件等。</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五、监理汇交资料目录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监理资料整理应按照相关规范进行。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（一）监理规划、项目监理实施细则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（二）监理工作总结</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（三）监理工作照片集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（四）工程质量评估报告</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（五）项目监理日志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（六）监理月报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（七）第一次工地例会、工地例会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（八）监理工程师通知单、监理工程师回复单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（九）工程报审表</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1.工程开工报审（开工报告报审表、开工报告、施工单位资质、人员资质证书、特种作业人员管理制度、特种作业人员花名册、 特种作业人员证件、施工现场管理检查记录）</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2.工程进度计划报审（总进度报审表、总进度计划、月进度 报审表 月进度计划、旬进度计划报审表、旬进度计划）</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（十）工程验收文件</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1.工程竣工验收报验表 （竣工报验申请表、单位工程质量验收文件目录、单位工程质量控制资料记录、单位工程观感质量检查记录、单位质量竣工验收记录）</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2.工程竣工报审（自检报告、工程竣工报告）</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3.监理单位初验意见</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4.局竣工验收意见 </w:t>
      </w:r>
    </w:p>
    <w:p>
      <w:pPr>
        <w:spacing w:line="540" w:lineRule="exact"/>
        <w:ind w:firstLine="480" w:firstLineChars="200"/>
        <w:rPr>
          <w:rFonts w:ascii="仿宋" w:hAnsi="仿宋" w:eastAsia="仿宋" w:cs="仿宋"/>
          <w:color w:val="auto"/>
          <w:sz w:val="24"/>
        </w:rPr>
      </w:pPr>
      <w:r>
        <w:rPr>
          <w:rFonts w:hint="eastAsia" w:ascii="仿宋" w:hAnsi="仿宋" w:eastAsia="仿宋" w:cs="仿宋"/>
          <w:color w:val="auto"/>
          <w:sz w:val="24"/>
        </w:rPr>
        <w:t>监理资料整理归档严格按照《地质资料汇交规范》</w:t>
      </w:r>
      <w:r>
        <w:rPr>
          <w:rStyle w:val="73"/>
          <w:rFonts w:hint="default" w:ascii="仿宋" w:hAnsi="仿宋" w:eastAsia="仿宋" w:cs="仿宋"/>
          <w:color w:val="auto"/>
          <w:sz w:val="24"/>
          <w:szCs w:val="24"/>
        </w:rPr>
        <w:t>DZ/T0273</w:t>
      </w:r>
      <w:r>
        <w:rPr>
          <w:rStyle w:val="73"/>
          <w:rFonts w:hint="eastAsia" w:ascii="仿宋" w:hAnsi="仿宋" w:eastAsia="仿宋" w:cs="仿宋"/>
          <w:color w:val="auto"/>
          <w:sz w:val="24"/>
          <w:szCs w:val="24"/>
          <w:lang w:val="en-US" w:eastAsia="zh-CN"/>
        </w:rPr>
        <w:t>-2015</w:t>
      </w:r>
      <w:r>
        <w:rPr>
          <w:rFonts w:hint="eastAsia" w:ascii="仿宋" w:hAnsi="仿宋" w:eastAsia="仿宋" w:cs="仿宋"/>
          <w:color w:val="auto"/>
          <w:sz w:val="24"/>
        </w:rPr>
        <w:t>及相关管理办法规定执行。最终成果资料应按地质资料汇交要求向喀什地区自然资源局和项目所在县市自然资源局汇交纸介质和电子版。</w:t>
      </w:r>
    </w:p>
    <w:p>
      <w:pPr>
        <w:spacing w:line="54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六、工作周期</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防治项目：同项目施工期一致，</w:t>
      </w:r>
      <w:r>
        <w:rPr>
          <w:rFonts w:hint="eastAsia" w:ascii="仿宋" w:hAnsi="仿宋" w:eastAsia="仿宋" w:cs="仿宋"/>
          <w:color w:val="auto"/>
          <w:sz w:val="24"/>
        </w:rPr>
        <w:t>2023年3月-2024年10月，2023年10月31日前完成野外竣工验收，2023年11月30日前提交全套竣工资料，2024年10月31日前完成工程复验。</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预警点项目：同项目施工期一致，2023年4月20前完成设备安装及试运行，5月10日前完成野外工作初验，5月20日前全面完成监测对象基础资料录入、预警模型初设等工作，正式并网运行，10月底前完成项目运行维护工作；10月30日前提交项目年度成果报告。</w:t>
      </w:r>
    </w:p>
    <w:p>
      <w:pPr>
        <w:spacing w:line="540" w:lineRule="exact"/>
        <w:ind w:firstLine="480" w:firstLineChars="200"/>
        <w:rPr>
          <w:rStyle w:val="73"/>
          <w:rFonts w:hint="default" w:ascii="仿宋" w:hAnsi="仿宋" w:eastAsia="仿宋" w:cs="仿宋"/>
          <w:color w:val="auto"/>
          <w:sz w:val="24"/>
          <w:szCs w:val="24"/>
        </w:rPr>
      </w:pPr>
      <w:r>
        <w:rPr>
          <w:rStyle w:val="73"/>
          <w:rFonts w:hint="default" w:ascii="仿宋" w:hAnsi="仿宋" w:eastAsia="仿宋" w:cs="仿宋"/>
          <w:color w:val="auto"/>
          <w:sz w:val="24"/>
          <w:szCs w:val="24"/>
        </w:rPr>
        <w:t>专项勘查项目：同项目勘查期一致，2023年2月-12月。其中：2023年8月30日前完成野外调查工作；2023年9月30日前提交报告及数据库送审稿,2023年12月完成资料汇交。</w:t>
      </w:r>
    </w:p>
    <w:p>
      <w:pPr>
        <w:pStyle w:val="2"/>
        <w:rPr>
          <w:color w:val="auto"/>
        </w:rPr>
      </w:pPr>
    </w:p>
    <w:p>
      <w:pPr>
        <w:spacing w:line="240" w:lineRule="atLeast"/>
        <w:jc w:val="center"/>
        <w:outlineLvl w:val="0"/>
        <w:rPr>
          <w:rFonts w:ascii="仿宋" w:hAnsi="仿宋" w:eastAsia="仿宋" w:cs="仿宋"/>
          <w:b/>
          <w:bCs/>
          <w:color w:val="auto"/>
          <w:sz w:val="28"/>
          <w:szCs w:val="28"/>
        </w:rPr>
      </w:pPr>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 xml:space="preserve">  第6章</w:t>
      </w:r>
      <w:r>
        <w:rPr>
          <w:rFonts w:hint="eastAsia" w:ascii="仿宋" w:hAnsi="仿宋" w:eastAsia="仿宋" w:cs="仿宋"/>
          <w:color w:val="auto"/>
        </w:rPr>
        <w:t xml:space="preserve"> </w:t>
      </w:r>
      <w:r>
        <w:rPr>
          <w:rFonts w:hint="eastAsia" w:ascii="仿宋" w:hAnsi="仿宋" w:eastAsia="仿宋" w:cs="仿宋"/>
          <w:b/>
          <w:bCs/>
          <w:color w:val="auto"/>
          <w:sz w:val="28"/>
          <w:szCs w:val="28"/>
        </w:rPr>
        <w:t xml:space="preserve"> </w:t>
      </w:r>
      <w:bookmarkStart w:id="248" w:name="_Toc507399907"/>
      <w:bookmarkStart w:id="249" w:name="_Toc518923127"/>
      <w:bookmarkStart w:id="250" w:name="_Toc10220"/>
      <w:r>
        <w:rPr>
          <w:rFonts w:hint="eastAsia" w:ascii="仿宋" w:hAnsi="仿宋" w:eastAsia="仿宋" w:cs="仿宋"/>
          <w:b/>
          <w:bCs/>
          <w:color w:val="auto"/>
          <w:sz w:val="28"/>
          <w:szCs w:val="28"/>
        </w:rPr>
        <w:t>评标方法和标准</w:t>
      </w:r>
      <w:bookmarkEnd w:id="230"/>
      <w:bookmarkEnd w:id="231"/>
      <w:bookmarkEnd w:id="232"/>
      <w:bookmarkEnd w:id="248"/>
      <w:bookmarkEnd w:id="249"/>
      <w:bookmarkEnd w:id="250"/>
    </w:p>
    <w:p>
      <w:pPr>
        <w:pStyle w:val="11"/>
        <w:tabs>
          <w:tab w:val="clear" w:pos="567"/>
        </w:tabs>
        <w:spacing w:before="0" w:line="240" w:lineRule="atLeast"/>
        <w:ind w:firstLine="540" w:firstLineChars="225"/>
        <w:rPr>
          <w:rFonts w:ascii="仿宋" w:hAnsi="仿宋" w:eastAsia="仿宋" w:cs="仿宋"/>
          <w:color w:val="auto"/>
        </w:rPr>
      </w:pPr>
    </w:p>
    <w:p>
      <w:pPr>
        <w:keepNext/>
        <w:keepLines/>
        <w:autoSpaceDE w:val="0"/>
        <w:autoSpaceDN w:val="0"/>
        <w:adjustRightInd w:val="0"/>
        <w:spacing w:line="240" w:lineRule="atLeast"/>
        <w:ind w:firstLine="562" w:firstLineChars="200"/>
        <w:rPr>
          <w:rFonts w:ascii="仿宋" w:hAnsi="仿宋" w:eastAsia="仿宋" w:cs="仿宋"/>
          <w:b/>
          <w:bCs/>
          <w:color w:val="auto"/>
          <w:sz w:val="28"/>
          <w:szCs w:val="36"/>
        </w:rPr>
      </w:pPr>
      <w:r>
        <w:rPr>
          <w:rFonts w:hint="eastAsia" w:ascii="仿宋" w:hAnsi="仿宋" w:eastAsia="仿宋" w:cs="仿宋"/>
          <w:b/>
          <w:bCs/>
          <w:color w:val="auto"/>
          <w:sz w:val="28"/>
          <w:szCs w:val="36"/>
        </w:rPr>
        <w:t>本项目将按照采购文件第一章供应商须知中“五 开标及评标”、“六 确定中标”及本章的规定评标。</w:t>
      </w:r>
    </w:p>
    <w:p>
      <w:pPr>
        <w:pStyle w:val="11"/>
        <w:tabs>
          <w:tab w:val="clear" w:pos="567"/>
        </w:tabs>
        <w:spacing w:before="100" w:beforeAutospacing="1" w:after="100" w:afterAutospacing="1" w:line="240" w:lineRule="atLeast"/>
        <w:ind w:left="1080" w:leftChars="257" w:hanging="540"/>
        <w:rPr>
          <w:rFonts w:ascii="仿宋" w:hAnsi="仿宋" w:eastAsia="仿宋" w:cs="仿宋"/>
          <w:iCs/>
          <w:color w:val="auto"/>
          <w:sz w:val="28"/>
          <w:szCs w:val="28"/>
        </w:rPr>
      </w:pPr>
      <w:r>
        <w:rPr>
          <w:rFonts w:hint="eastAsia" w:ascii="仿宋" w:hAnsi="仿宋" w:eastAsia="仿宋" w:cs="仿宋"/>
          <w:iCs/>
          <w:color w:val="auto"/>
          <w:sz w:val="28"/>
          <w:szCs w:val="28"/>
        </w:rPr>
        <w:t>（内容包括</w:t>
      </w:r>
      <w:r>
        <w:rPr>
          <w:rFonts w:hint="eastAsia" w:ascii="仿宋" w:hAnsi="仿宋" w:eastAsia="仿宋" w:cs="仿宋"/>
          <w:b/>
          <w:iCs/>
          <w:color w:val="auto"/>
          <w:sz w:val="28"/>
          <w:szCs w:val="28"/>
        </w:rPr>
        <w:t>投标无效</w:t>
      </w:r>
      <w:r>
        <w:rPr>
          <w:rFonts w:hint="eastAsia" w:ascii="仿宋" w:hAnsi="仿宋" w:eastAsia="仿宋" w:cs="仿宋"/>
          <w:iCs/>
          <w:color w:val="auto"/>
          <w:sz w:val="28"/>
          <w:szCs w:val="28"/>
        </w:rPr>
        <w:t>界定和详细评标标准）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1. 总则</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1.1 根据《中华人民共和国政府采购法》、《中华人民共和国政府采购法实施条例》、《政府采购货物和服务招标投标管理办法（财政部第87号令）》等法律制度，结合采购项目特点制定本评标办法。</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1.2 评标工作由采购代理机构负责组织，具体评标事务由采购代理机构依法组建的评标委员会负责。评标委员会由采购人代表和有关技术、经济、法律等方面的专家组成。（本项目评标委员会由7人组成，从自然资源厅专家库中随机抽取后在政府采购网按3：1比例自行组建并随机抽取）</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1.3 评标工作应遵循公平、公正、科学及择优的原则，并以相同的评标程序和标准对待所有的供应商。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1.4 评标委员会按照采购文件规定的评标方法和标准进行评标，并独立履行下列职责：</w:t>
      </w:r>
    </w:p>
    <w:p>
      <w:pPr>
        <w:pStyle w:val="11"/>
        <w:tabs>
          <w:tab w:val="clear" w:pos="567"/>
        </w:tabs>
        <w:spacing w:before="0" w:line="360" w:lineRule="auto"/>
        <w:rPr>
          <w:rFonts w:ascii="仿宋" w:hAnsi="仿宋" w:eastAsia="仿宋" w:cs="仿宋"/>
          <w:color w:val="auto"/>
          <w:kern w:val="0"/>
        </w:rPr>
      </w:pPr>
      <w:r>
        <w:rPr>
          <w:rFonts w:hint="eastAsia" w:ascii="仿宋" w:hAnsi="仿宋" w:eastAsia="仿宋" w:cs="仿宋"/>
          <w:color w:val="auto"/>
          <w:kern w:val="0"/>
        </w:rPr>
        <w:t>（一）对供应商的资格性、符合性进行审查；</w:t>
      </w:r>
    </w:p>
    <w:p>
      <w:pPr>
        <w:pStyle w:val="11"/>
        <w:tabs>
          <w:tab w:val="clear" w:pos="567"/>
        </w:tabs>
        <w:spacing w:before="0" w:line="360" w:lineRule="auto"/>
        <w:rPr>
          <w:rFonts w:ascii="仿宋" w:hAnsi="仿宋" w:eastAsia="仿宋" w:cs="仿宋"/>
          <w:color w:val="auto"/>
          <w:kern w:val="0"/>
        </w:rPr>
      </w:pPr>
      <w:r>
        <w:rPr>
          <w:rFonts w:hint="eastAsia" w:ascii="仿宋" w:hAnsi="仿宋" w:eastAsia="仿宋" w:cs="仿宋"/>
          <w:color w:val="auto"/>
          <w:kern w:val="0"/>
        </w:rPr>
        <w:t>（二）审查、评价投标文件是否符合采购文件的商务、技术等实质性要求；</w:t>
      </w:r>
    </w:p>
    <w:p>
      <w:pPr>
        <w:pStyle w:val="11"/>
        <w:tabs>
          <w:tab w:val="clear" w:pos="567"/>
        </w:tabs>
        <w:spacing w:before="0" w:line="360" w:lineRule="auto"/>
        <w:rPr>
          <w:rFonts w:ascii="仿宋" w:hAnsi="仿宋" w:eastAsia="仿宋" w:cs="仿宋"/>
          <w:color w:val="auto"/>
          <w:kern w:val="0"/>
        </w:rPr>
      </w:pPr>
      <w:r>
        <w:rPr>
          <w:rFonts w:hint="eastAsia" w:ascii="仿宋" w:hAnsi="仿宋" w:eastAsia="仿宋" w:cs="仿宋"/>
          <w:color w:val="auto"/>
          <w:kern w:val="0"/>
        </w:rPr>
        <w:t>（三）要求供应商对投标文件有关事项作出澄清或者说明；</w:t>
      </w:r>
    </w:p>
    <w:p>
      <w:pPr>
        <w:pStyle w:val="11"/>
        <w:tabs>
          <w:tab w:val="clear" w:pos="567"/>
        </w:tabs>
        <w:spacing w:before="0" w:line="360" w:lineRule="auto"/>
        <w:rPr>
          <w:rFonts w:ascii="仿宋" w:hAnsi="仿宋" w:eastAsia="仿宋" w:cs="仿宋"/>
          <w:color w:val="auto"/>
          <w:kern w:val="0"/>
        </w:rPr>
      </w:pPr>
      <w:r>
        <w:rPr>
          <w:rFonts w:hint="eastAsia" w:ascii="仿宋" w:hAnsi="仿宋" w:eastAsia="仿宋" w:cs="仿宋"/>
          <w:color w:val="auto"/>
          <w:kern w:val="0"/>
        </w:rPr>
        <w:t>（四）对投标文件进行比较和评价；</w:t>
      </w:r>
    </w:p>
    <w:p>
      <w:pPr>
        <w:pStyle w:val="11"/>
        <w:tabs>
          <w:tab w:val="clear" w:pos="567"/>
        </w:tabs>
        <w:spacing w:before="0" w:line="360" w:lineRule="auto"/>
        <w:rPr>
          <w:rFonts w:ascii="仿宋" w:hAnsi="仿宋" w:eastAsia="仿宋" w:cs="仿宋"/>
          <w:color w:val="auto"/>
          <w:kern w:val="0"/>
        </w:rPr>
      </w:pPr>
      <w:r>
        <w:rPr>
          <w:rFonts w:hint="eastAsia" w:ascii="仿宋" w:hAnsi="仿宋" w:eastAsia="仿宋" w:cs="仿宋"/>
          <w:color w:val="auto"/>
          <w:kern w:val="0"/>
        </w:rPr>
        <w:t>（五）确定中标候选人名单，以及根据采购人委托直接确定中标人；</w:t>
      </w:r>
    </w:p>
    <w:p>
      <w:pPr>
        <w:pStyle w:val="11"/>
        <w:tabs>
          <w:tab w:val="clear" w:pos="567"/>
        </w:tabs>
        <w:spacing w:before="0" w:line="360" w:lineRule="auto"/>
        <w:rPr>
          <w:rFonts w:ascii="仿宋" w:hAnsi="仿宋" w:eastAsia="仿宋" w:cs="仿宋"/>
          <w:color w:val="auto"/>
          <w:kern w:val="0"/>
        </w:rPr>
      </w:pPr>
      <w:r>
        <w:rPr>
          <w:rFonts w:hint="eastAsia" w:ascii="仿宋" w:hAnsi="仿宋" w:eastAsia="仿宋" w:cs="仿宋"/>
          <w:color w:val="auto"/>
          <w:kern w:val="0"/>
        </w:rPr>
        <w:t>（六）向采购人、采购代理机构或者有关部门报告评标中发现的违法行为；</w:t>
      </w:r>
    </w:p>
    <w:p>
      <w:pPr>
        <w:pStyle w:val="11"/>
        <w:tabs>
          <w:tab w:val="clear" w:pos="567"/>
        </w:tabs>
        <w:spacing w:before="0" w:line="360" w:lineRule="auto"/>
        <w:rPr>
          <w:rFonts w:ascii="仿宋" w:hAnsi="仿宋" w:eastAsia="仿宋" w:cs="仿宋"/>
          <w:color w:val="auto"/>
          <w:kern w:val="0"/>
        </w:rPr>
      </w:pPr>
      <w:r>
        <w:rPr>
          <w:rFonts w:hint="eastAsia" w:ascii="仿宋" w:hAnsi="仿宋" w:eastAsia="仿宋" w:cs="仿宋"/>
          <w:color w:val="auto"/>
          <w:kern w:val="0"/>
        </w:rPr>
        <w:t>（七）法律、法规和规章规定的其他职责。</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1.5 评标过程独立、保密。供应商非法干预评标过程的行为将导致其投标文件作为无效处理。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1.6 评标委员会评价投标文件的响应性，对于供应商而言，除评标委员会要求其澄清、说明或者更正而提供的资料外，仅依据投标文件本身的内容，不寻求其他外部证据。</w:t>
      </w:r>
    </w:p>
    <w:p>
      <w:pPr>
        <w:pStyle w:val="11"/>
        <w:tabs>
          <w:tab w:val="clear" w:pos="567"/>
        </w:tabs>
        <w:spacing w:before="0" w:line="360" w:lineRule="auto"/>
        <w:ind w:firstLine="240" w:firstLineChars="100"/>
        <w:rPr>
          <w:rFonts w:ascii="仿宋" w:hAnsi="仿宋" w:eastAsia="仿宋" w:cs="仿宋"/>
          <w:color w:val="auto"/>
          <w:kern w:val="0"/>
        </w:rPr>
      </w:pPr>
      <w:r>
        <w:rPr>
          <w:rFonts w:hint="eastAsia" w:ascii="仿宋" w:hAnsi="仿宋" w:eastAsia="仿宋" w:cs="仿宋"/>
          <w:color w:val="auto"/>
          <w:kern w:val="0"/>
        </w:rPr>
        <w:t xml:space="preserve"> 1.7 采购人或者采购代理机构负责组织评标工作，并履行下列职责：</w:t>
      </w:r>
    </w:p>
    <w:p>
      <w:pPr>
        <w:pStyle w:val="11"/>
        <w:tabs>
          <w:tab w:val="clear" w:pos="567"/>
        </w:tabs>
        <w:spacing w:before="0" w:line="360" w:lineRule="auto"/>
        <w:ind w:firstLine="240" w:firstLineChars="100"/>
        <w:rPr>
          <w:rFonts w:ascii="仿宋" w:hAnsi="仿宋" w:eastAsia="仿宋" w:cs="仿宋"/>
          <w:color w:val="auto"/>
          <w:kern w:val="0"/>
        </w:rPr>
      </w:pPr>
      <w:r>
        <w:rPr>
          <w:rFonts w:hint="eastAsia" w:ascii="仿宋" w:hAnsi="仿宋" w:eastAsia="仿宋" w:cs="仿宋"/>
          <w:color w:val="auto"/>
          <w:kern w:val="0"/>
        </w:rPr>
        <w:t>（一）核对评审专家身份和采购人代表信息，对评审专家在政府采购活动中的职责履行情况予以记录，并及时将有关违法违规行为向财政部门报告；</w:t>
      </w:r>
    </w:p>
    <w:p>
      <w:pPr>
        <w:pStyle w:val="11"/>
        <w:tabs>
          <w:tab w:val="clear" w:pos="567"/>
        </w:tabs>
        <w:spacing w:before="0" w:line="360" w:lineRule="auto"/>
        <w:ind w:firstLine="240" w:firstLineChars="100"/>
        <w:rPr>
          <w:rFonts w:ascii="仿宋" w:hAnsi="仿宋" w:eastAsia="仿宋" w:cs="仿宋"/>
          <w:color w:val="auto"/>
          <w:kern w:val="0"/>
        </w:rPr>
      </w:pPr>
      <w:r>
        <w:rPr>
          <w:rFonts w:hint="eastAsia" w:ascii="仿宋" w:hAnsi="仿宋" w:eastAsia="仿宋" w:cs="仿宋"/>
          <w:color w:val="auto"/>
          <w:kern w:val="0"/>
        </w:rPr>
        <w:t>（二）宣布评标纪律；</w:t>
      </w:r>
    </w:p>
    <w:p>
      <w:pPr>
        <w:pStyle w:val="11"/>
        <w:tabs>
          <w:tab w:val="clear" w:pos="567"/>
        </w:tabs>
        <w:spacing w:before="0" w:line="360" w:lineRule="auto"/>
        <w:ind w:firstLine="240" w:firstLineChars="100"/>
        <w:rPr>
          <w:rFonts w:ascii="仿宋" w:hAnsi="仿宋" w:eastAsia="仿宋" w:cs="仿宋"/>
          <w:color w:val="auto"/>
          <w:kern w:val="0"/>
        </w:rPr>
      </w:pPr>
      <w:r>
        <w:rPr>
          <w:rFonts w:hint="eastAsia" w:ascii="仿宋" w:hAnsi="仿宋" w:eastAsia="仿宋" w:cs="仿宋"/>
          <w:color w:val="auto"/>
          <w:kern w:val="0"/>
        </w:rPr>
        <w:t>（三）公布供应商名单，告知评审专家应当回避的情形；</w:t>
      </w:r>
    </w:p>
    <w:p>
      <w:pPr>
        <w:pStyle w:val="11"/>
        <w:tabs>
          <w:tab w:val="clear" w:pos="567"/>
        </w:tabs>
        <w:spacing w:before="0" w:line="360" w:lineRule="auto"/>
        <w:ind w:firstLine="240" w:firstLineChars="100"/>
        <w:rPr>
          <w:rFonts w:ascii="仿宋" w:hAnsi="仿宋" w:eastAsia="仿宋" w:cs="仿宋"/>
          <w:color w:val="auto"/>
          <w:kern w:val="0"/>
        </w:rPr>
      </w:pPr>
      <w:r>
        <w:rPr>
          <w:rFonts w:hint="eastAsia" w:ascii="仿宋" w:hAnsi="仿宋" w:eastAsia="仿宋" w:cs="仿宋"/>
          <w:color w:val="auto"/>
          <w:kern w:val="0"/>
        </w:rPr>
        <w:t>（四）组织评标委员会推选评标组长，采购人代表不得担任组长；</w:t>
      </w:r>
    </w:p>
    <w:p>
      <w:pPr>
        <w:pStyle w:val="11"/>
        <w:tabs>
          <w:tab w:val="clear" w:pos="567"/>
        </w:tabs>
        <w:spacing w:before="0" w:line="360" w:lineRule="auto"/>
        <w:ind w:firstLine="240" w:firstLineChars="100"/>
        <w:rPr>
          <w:rFonts w:ascii="仿宋" w:hAnsi="仿宋" w:eastAsia="仿宋" w:cs="仿宋"/>
          <w:color w:val="auto"/>
          <w:kern w:val="0"/>
        </w:rPr>
      </w:pPr>
      <w:r>
        <w:rPr>
          <w:rFonts w:hint="eastAsia" w:ascii="仿宋" w:hAnsi="仿宋" w:eastAsia="仿宋" w:cs="仿宋"/>
          <w:color w:val="auto"/>
          <w:kern w:val="0"/>
        </w:rPr>
        <w:t>（五）在评标期间采取必要的通讯管理措施，保证评标活动不受外界干扰；</w:t>
      </w:r>
    </w:p>
    <w:p>
      <w:pPr>
        <w:pStyle w:val="11"/>
        <w:tabs>
          <w:tab w:val="clear" w:pos="567"/>
        </w:tabs>
        <w:spacing w:before="0" w:line="360" w:lineRule="auto"/>
        <w:ind w:firstLine="240" w:firstLineChars="100"/>
        <w:rPr>
          <w:rFonts w:ascii="仿宋" w:hAnsi="仿宋" w:eastAsia="仿宋" w:cs="仿宋"/>
          <w:color w:val="auto"/>
          <w:kern w:val="0"/>
        </w:rPr>
      </w:pPr>
      <w:r>
        <w:rPr>
          <w:rFonts w:hint="eastAsia" w:ascii="仿宋" w:hAnsi="仿宋" w:eastAsia="仿宋" w:cs="仿宋"/>
          <w:color w:val="auto"/>
          <w:kern w:val="0"/>
        </w:rPr>
        <w:t>（六）根据评标委员会的要求介绍政府采购相关政策法规、采购文件；</w:t>
      </w:r>
    </w:p>
    <w:p>
      <w:pPr>
        <w:pStyle w:val="11"/>
        <w:tabs>
          <w:tab w:val="clear" w:pos="567"/>
        </w:tabs>
        <w:spacing w:before="0" w:line="360" w:lineRule="auto"/>
        <w:ind w:firstLine="240" w:firstLineChars="100"/>
        <w:rPr>
          <w:rFonts w:ascii="仿宋" w:hAnsi="仿宋" w:eastAsia="仿宋" w:cs="仿宋"/>
          <w:color w:val="auto"/>
          <w:kern w:val="0"/>
        </w:rPr>
      </w:pPr>
      <w:r>
        <w:rPr>
          <w:rFonts w:hint="eastAsia" w:ascii="仿宋" w:hAnsi="仿宋" w:eastAsia="仿宋" w:cs="仿宋"/>
          <w:color w:val="auto"/>
          <w:kern w:val="0"/>
        </w:rPr>
        <w:t>（七）维护评标秩序，监督评标委员会依照采购文件规定的评标程序、方法和标准进行独立评审，及时制止和纠正采购人代表、评审专家的倾向性言论或者违法违规行为；</w:t>
      </w:r>
    </w:p>
    <w:p>
      <w:pPr>
        <w:pStyle w:val="11"/>
        <w:tabs>
          <w:tab w:val="clear" w:pos="567"/>
        </w:tabs>
        <w:spacing w:before="0" w:line="360" w:lineRule="auto"/>
        <w:ind w:firstLine="240" w:firstLineChars="100"/>
        <w:rPr>
          <w:rFonts w:ascii="仿宋" w:hAnsi="仿宋" w:eastAsia="仿宋" w:cs="仿宋"/>
          <w:color w:val="auto"/>
          <w:kern w:val="0"/>
        </w:rPr>
      </w:pPr>
      <w:r>
        <w:rPr>
          <w:rFonts w:hint="eastAsia" w:ascii="仿宋" w:hAnsi="仿宋" w:eastAsia="仿宋" w:cs="仿宋"/>
          <w:color w:val="auto"/>
          <w:kern w:val="0"/>
        </w:rPr>
        <w:t>（八）核对评标结果，有财政部87号令第六十四条规定情形的，要求评标委员会复核或者书面说明理由，评标委员会拒绝的，应予记录并向本级财政部门报告；</w:t>
      </w:r>
    </w:p>
    <w:p>
      <w:pPr>
        <w:pStyle w:val="11"/>
        <w:tabs>
          <w:tab w:val="clear" w:pos="567"/>
        </w:tabs>
        <w:spacing w:before="0" w:line="360" w:lineRule="auto"/>
        <w:rPr>
          <w:rFonts w:ascii="仿宋" w:hAnsi="仿宋" w:eastAsia="仿宋" w:cs="仿宋"/>
          <w:color w:val="auto"/>
          <w:kern w:val="0"/>
        </w:rPr>
      </w:pPr>
      <w:r>
        <w:rPr>
          <w:rFonts w:hint="eastAsia" w:ascii="仿宋" w:hAnsi="仿宋" w:eastAsia="仿宋" w:cs="仿宋"/>
          <w:color w:val="auto"/>
          <w:kern w:val="0"/>
        </w:rPr>
        <w:t>　（九）处理与评标有关的其他事项。</w:t>
      </w:r>
    </w:p>
    <w:p>
      <w:pPr>
        <w:pStyle w:val="11"/>
        <w:tabs>
          <w:tab w:val="clear" w:pos="567"/>
        </w:tabs>
        <w:spacing w:before="0" w:line="360" w:lineRule="auto"/>
        <w:ind w:left="-181" w:leftChars="-86" w:firstLine="480" w:firstLineChars="200"/>
        <w:rPr>
          <w:rFonts w:ascii="仿宋" w:hAnsi="仿宋" w:eastAsia="仿宋" w:cs="仿宋"/>
          <w:color w:val="auto"/>
          <w:kern w:val="0"/>
        </w:rPr>
      </w:pPr>
      <w:r>
        <w:rPr>
          <w:rFonts w:hint="eastAsia" w:ascii="仿宋" w:hAnsi="仿宋" w:eastAsia="仿宋" w:cs="仿宋"/>
          <w:color w:val="auto"/>
          <w:kern w:val="0"/>
        </w:rPr>
        <w:t>采购人可以在评标前说明项目背景和采购需求，说明内容不得含有歧视性、倾向性意见，不得超出采购文件所述范围。说明应当提交书面材料，并随采购文件一并存档。</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2.评标方法</w:t>
      </w:r>
    </w:p>
    <w:p>
      <w:pPr>
        <w:pStyle w:val="26"/>
        <w:ind w:firstLine="482" w:firstLineChars="200"/>
        <w:rPr>
          <w:rFonts w:ascii="仿宋" w:hAnsi="仿宋" w:eastAsia="仿宋" w:cs="仿宋"/>
          <w:color w:val="auto"/>
          <w:kern w:val="0"/>
          <w:sz w:val="24"/>
          <w:szCs w:val="24"/>
        </w:rPr>
      </w:pPr>
      <w:r>
        <w:rPr>
          <w:rFonts w:hint="eastAsia" w:ascii="仿宋" w:hAnsi="仿宋" w:eastAsia="仿宋" w:cs="仿宋"/>
          <w:b/>
          <w:bCs/>
          <w:color w:val="auto"/>
          <w:kern w:val="0"/>
          <w:sz w:val="24"/>
          <w:szCs w:val="24"/>
        </w:rPr>
        <w:t>本项目评标方法为：综合评分法。</w:t>
      </w:r>
      <w:r>
        <w:rPr>
          <w:rFonts w:hint="eastAsia" w:ascii="仿宋" w:hAnsi="仿宋" w:eastAsia="仿宋" w:cs="仿宋"/>
          <w:b/>
          <w:bCs/>
          <w:color w:val="auto"/>
          <w:sz w:val="24"/>
          <w:szCs w:val="24"/>
        </w:rPr>
        <w:t xml:space="preserve">详细评标标准：采用综合评标法，则：评标结果按评审后得分由高到低顺序排列。得分相同的，按投标报价由低到高顺序排列。得分且投标报价相同的并列。投标文件满足采购文件全部实质性要求，且按照评审因素的量化指标评审得分最高的供应商为排名第一的中标候选人。 </w:t>
      </w:r>
    </w:p>
    <w:p>
      <w:pPr>
        <w:pStyle w:val="11"/>
        <w:tabs>
          <w:tab w:val="clear" w:pos="567"/>
        </w:tabs>
        <w:spacing w:before="0" w:line="360" w:lineRule="auto"/>
        <w:ind w:firstLine="482" w:firstLineChars="200"/>
        <w:rPr>
          <w:rFonts w:ascii="仿宋" w:hAnsi="仿宋" w:eastAsia="仿宋" w:cs="仿宋"/>
          <w:b/>
          <w:bCs/>
          <w:color w:val="auto"/>
          <w:kern w:val="0"/>
        </w:rPr>
      </w:pPr>
      <w:r>
        <w:rPr>
          <w:rFonts w:hint="eastAsia" w:ascii="仿宋" w:hAnsi="仿宋" w:eastAsia="仿宋" w:cs="仿宋"/>
          <w:b/>
          <w:bCs/>
          <w:color w:val="auto"/>
          <w:kern w:val="0"/>
        </w:rPr>
        <w:t>3.评标程序</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3.1熟悉和理解采购文件和停止评标。</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3.1.1评标委员会正式评标前，应当对采购文件进行熟悉和理解，内容主要包括采购文件中采购项目技术、规格型号和商务要求、评标方法和标准以及可能涉及签订政府采购合同的内容等。</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3.2资格性检查（见综合评分表前附表）。</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3.3符合性检查（见综合评分表前附表）。</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3.3.1评标委员会依据本采购文件的实质性要求，对符合资格的投标文件进行审查，以确定其是否满足本采购文件的实质性要求。</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3.3.2本项目符合性审查事项仅限于本采购文件的明确规定。投标文件是否满足采购文件的实质性要求，必须以本采购文件的明确规定作为依据，否则，不能对投标文件作为无效处理，评标委员会不得臆测符合性审查事项。</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3.3.3投标文件以骑缝章的形式代替投标文件内容逐页盖章的（但是骑缝章模糊不清，印章名称无法辨认的除外）本项目不作为实质性要求进行规定，即不作为符合性审查事项，不得作为无效投标处理：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3.4比较与评价。按采购文件中规定的评标方法和标准，对未作无效投标处理的投标文件进行技术、型号、商务等方面评估，综合比较与评价。</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3.4.1评标委员会首先按照采购文件要求对投标文件中的供应商资格、供应商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评审完毕，评标委员会根据汇总各供应商的综合得分，按照得分高低进行排序，取前三名作为中标候选人推荐给招标委员会。如果两供应商的得分相同，投标价格低者排在前。</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本项目参数要求、评审内容如有指向性，仅作为招标参考，投标服务不应低于招标要求，如有不符合要求，视为不响应采购文件规定。</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3.5复核。评分汇总结束后，评标委员会应当进行复核，特别要对拟推荐为中标候选供应商的、报价最低的、投标文件被认定为无效的进行重点复核。</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3.6推荐中标候选供应商。中标候选供应商应当排序。</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3.7出具评标报告。评标委员会推荐中标候选供应商后，应当向招标采购单位出具评标报告。评标报告应当包括下列内容：</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（一）招标公告刊登的媒体名称、开标日期和地点；</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（二）评标委员会成员名单；</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（三）评标方法和标准；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（四）开标记录和评标情况及说明，包括无效供应商名单及原因；</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（五）评标结果，确定的中标候选人名单或者经采购人委托直接确定的中标人；</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（六）其他需要说明的情况，包括评标过程中供应商根据评标委员会要求进行的澄清、说明或者补正，评标委员会成员的更换等。</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3.8评标争议处理规则。评标委员会在评审过程中，对于符合性审查、对供应商投标文件做无效投标处理及其他需要共同认定的事项存在争议的，应当以少数服从多数的原则做出结论，但不得违背法律法规和采购文件规定。有不同意见的评标委员会成员认为认定过程和结果不符合法律法规或者采购文件规定的，应当及时向招标采购单位书面反映。招标采购单位收到书面反映后，应当书面报告采购项目同级财政部门依法处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3.9供应商应当书面澄清、说明或者更正。</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供应商的澄清、说明或者补正不得超出投标文件的范围或者改变投标文件的实质性内容。</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3.9.3评标委员会要求供应商澄清、说明或者更正，不得超出采购文件的范围，不得以此让供应商实质改变投标文件的内容，不得影响供应商公平竞争。本项目下列内容不得澄清：</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（一）按财政部规定应当在评标时不予承认的投标文件内容事项；</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（二）投标文件中已经明确的内容事项；</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（三）投标文件未提供的材料。</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3.10评标委员会认为供应商的报价明显低于其他通过符合性审查供应商的报价，有可能影响产品质量或者不能诚信履约的，评标委员会组长在评标现场发起“在线询标”，必要时提交相关证明材料；供应商不能证明其报价合理性的，评标委员会应当将其作为无效投标处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3.11招标采购单位现场复核评标结果。</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3.11.1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4.废标</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废标后，采购代理机构应在网上公告。供应商需要知晓导致废标情形的具体原因和理由的，可以通过书面形式询问招标采购单位。</w:t>
      </w:r>
    </w:p>
    <w:p>
      <w:pPr>
        <w:pStyle w:val="11"/>
        <w:tabs>
          <w:tab w:val="clear" w:pos="567"/>
        </w:tabs>
        <w:spacing w:before="0" w:line="360" w:lineRule="auto"/>
        <w:ind w:left="-181" w:leftChars="-86" w:firstLine="660" w:firstLineChars="275"/>
        <w:rPr>
          <w:rFonts w:ascii="仿宋" w:hAnsi="仿宋" w:eastAsia="仿宋" w:cs="仿宋"/>
          <w:b/>
          <w:bCs/>
          <w:color w:val="auto"/>
          <w:kern w:val="0"/>
        </w:rPr>
      </w:pPr>
      <w:r>
        <w:rPr>
          <w:rFonts w:hint="eastAsia" w:ascii="仿宋" w:hAnsi="仿宋" w:eastAsia="仿宋" w:cs="仿宋"/>
          <w:color w:val="auto"/>
          <w:kern w:val="0"/>
        </w:rPr>
        <w:t>对于评标过程中废标的采购项目，评标委员会应当对采购文件是否存在倾向性和歧视性、是否存在不合理条款进行论证，并出具书面论证意见。</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如发现下列情况之一的，其投标将被认定为投标无效：</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①未按采购文件规定的形式和金额提交投标保证金的；</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②未按照采购文件规定要求签署、盖章的；</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③未满足采购文件中技术条款的实质性要求；</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④与其他供应商串通投标，或者与招标人串通投标；</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⑤属于采购文件规定的其他投标无效情形；</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⑥评标委员会认为供应商的报价明显低于其他通过符合性检查供应商的报价，有可能影响履约的，且供应商未按照规定证明其报价合理性的；</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⑦投标文件含有采购人不能接受的附加条件的；</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⑧不符合法规和采购文件中规定的其他实质性要求的。</w:t>
      </w:r>
    </w:p>
    <w:p>
      <w:pPr>
        <w:pStyle w:val="11"/>
        <w:tabs>
          <w:tab w:val="clear" w:pos="567"/>
        </w:tabs>
        <w:spacing w:before="0" w:line="360" w:lineRule="auto"/>
        <w:ind w:left="-181" w:leftChars="-86" w:firstLine="663" w:firstLineChars="275"/>
        <w:rPr>
          <w:rFonts w:ascii="仿宋" w:hAnsi="仿宋" w:eastAsia="仿宋" w:cs="仿宋"/>
          <w:b/>
          <w:bCs/>
          <w:color w:val="auto"/>
          <w:kern w:val="0"/>
        </w:rPr>
      </w:pPr>
      <w:r>
        <w:rPr>
          <w:rFonts w:hint="eastAsia" w:ascii="仿宋" w:hAnsi="仿宋" w:eastAsia="仿宋" w:cs="仿宋"/>
          <w:b/>
          <w:bCs/>
          <w:color w:val="auto"/>
          <w:kern w:val="0"/>
        </w:rPr>
        <w:t>5.定标</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5.1. 定标原则：由采购人根据评标委员会的推荐意见确定中标供应商。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5.2. 定标程序</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5.2.1 评标委员会将评标情况写出书面报告，推荐中标候选供应商。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5.2.2 采购代理机构在评标结束后2个工作日内将采购结果确认单和评标报告发至采购人处。</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5.2.3 采购人在收到后5个工作日内，按照评标报告中推荐的中标候选供应商顺序确定中标供应商。采用综合评分法的，评标结果按投标报价由低到高顺序排列；投标报价相同的并列，投标文件满足采购文件全部实质性要求且投标报价最低的供应商为中标候选供应商；报价相同且满足采购文件全部实质性要求的并列，由采购人自主采取公平、择优的方式选择中标供应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5.2.4 根据采购人确定的中标供应商，采购代理机构在新疆政府采购网上发布中标公告，并自采购人确定中标之日起3个工作日内向中标供应商发出中标通知书。</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5.2.5 招标采购单位不退回供应商投标文件和其他投标资料。</w:t>
      </w:r>
    </w:p>
    <w:p>
      <w:pPr>
        <w:pStyle w:val="11"/>
        <w:tabs>
          <w:tab w:val="clear" w:pos="567"/>
        </w:tabs>
        <w:spacing w:before="0" w:line="360" w:lineRule="auto"/>
        <w:ind w:left="-181" w:leftChars="-86" w:firstLine="663" w:firstLineChars="275"/>
        <w:rPr>
          <w:rFonts w:ascii="仿宋" w:hAnsi="仿宋" w:eastAsia="仿宋" w:cs="仿宋"/>
          <w:color w:val="auto"/>
          <w:kern w:val="0"/>
        </w:rPr>
      </w:pPr>
      <w:r>
        <w:rPr>
          <w:rFonts w:hint="eastAsia" w:ascii="仿宋" w:hAnsi="仿宋" w:eastAsia="仿宋" w:cs="仿宋"/>
          <w:b/>
          <w:bCs/>
          <w:color w:val="auto"/>
          <w:kern w:val="0"/>
        </w:rPr>
        <w:t>6.详细的评标标准：（具体内容详见综合评分表）</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各供应商的价格得分的计算公式：采用低价优先法计算，即满足采购文件要求且投标价格最低的投标报价为评标基准价，其价格分为满分。其他供应商的价格分统一按照下列公式计算：</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投标报价得分=(评标基准价／投标报价)×价格权值</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计算分数时四舍五入取小数点后两位,分数最高不超过10分。由监标人员负责核准每个合格供应商的价格得分。</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注：若为中小企业，其投标报价扣除10%后参与评审，提供相关证明资料，否则无效。</w:t>
      </w:r>
    </w:p>
    <w:p>
      <w:pPr>
        <w:pStyle w:val="11"/>
        <w:tabs>
          <w:tab w:val="clear" w:pos="567"/>
        </w:tabs>
        <w:spacing w:before="0" w:line="360" w:lineRule="auto"/>
        <w:ind w:left="-181" w:leftChars="-86" w:firstLine="660" w:firstLineChars="275"/>
        <w:rPr>
          <w:rFonts w:ascii="仿宋" w:hAnsi="仿宋" w:eastAsia="仿宋" w:cs="仿宋"/>
          <w:color w:val="auto"/>
          <w:kern w:val="0"/>
        </w:rPr>
      </w:pPr>
      <w:r>
        <w:rPr>
          <w:rFonts w:hint="eastAsia" w:ascii="仿宋" w:hAnsi="仿宋" w:eastAsia="仿宋" w:cs="仿宋"/>
          <w:color w:val="auto"/>
          <w:kern w:val="0"/>
        </w:rPr>
        <w:t>标项一至十技术占70%，商务20%；标项十一技术占80%，商务占10%。</w:t>
      </w:r>
    </w:p>
    <w:p>
      <w:pPr>
        <w:pStyle w:val="36"/>
        <w:ind w:firstLine="0" w:firstLineChars="0"/>
        <w:rPr>
          <w:rFonts w:ascii="仿宋" w:hAnsi="仿宋" w:eastAsia="仿宋" w:cs="仿宋"/>
          <w:b/>
          <w:bCs/>
          <w:color w:val="auto"/>
          <w:kern w:val="0"/>
          <w:sz w:val="32"/>
          <w:szCs w:val="32"/>
        </w:rPr>
      </w:pPr>
      <w:bookmarkStart w:id="251" w:name="_Toc507399904"/>
      <w:r>
        <w:rPr>
          <w:rFonts w:hint="eastAsia" w:ascii="仿宋" w:hAnsi="仿宋" w:eastAsia="仿宋" w:cs="仿宋"/>
          <w:b/>
          <w:bCs/>
          <w:color w:val="auto"/>
          <w:kern w:val="0"/>
          <w:sz w:val="32"/>
          <w:szCs w:val="32"/>
        </w:rPr>
        <w:br w:type="page"/>
      </w:r>
    </w:p>
    <w:p>
      <w:pPr>
        <w:jc w:val="center"/>
        <w:outlineLvl w:val="2"/>
        <w:rPr>
          <w:color w:val="auto"/>
        </w:rPr>
      </w:pPr>
      <w:r>
        <w:rPr>
          <w:rFonts w:hint="eastAsia" w:ascii="仿宋" w:hAnsi="仿宋" w:eastAsia="仿宋" w:cs="宋体"/>
          <w:b/>
          <w:bCs/>
          <w:color w:val="auto"/>
          <w:kern w:val="0"/>
          <w:sz w:val="32"/>
          <w:szCs w:val="32"/>
        </w:rPr>
        <w:t>综合评分表</w:t>
      </w:r>
    </w:p>
    <w:p>
      <w:pPr>
        <w:widowControl/>
        <w:jc w:val="center"/>
        <w:outlineLvl w:val="2"/>
        <w:rPr>
          <w:rFonts w:ascii="仿宋" w:hAnsi="仿宋" w:eastAsia="仿宋" w:cs="仿宋"/>
          <w:b/>
          <w:color w:val="auto"/>
          <w:kern w:val="0"/>
          <w:sz w:val="28"/>
          <w:szCs w:val="28"/>
        </w:rPr>
      </w:pPr>
      <w:r>
        <w:rPr>
          <w:rFonts w:hint="eastAsia" w:ascii="仿宋" w:hAnsi="仿宋" w:eastAsia="仿宋" w:cs="仿宋"/>
          <w:b/>
          <w:bCs/>
          <w:color w:val="auto"/>
          <w:kern w:val="0"/>
          <w:sz w:val="28"/>
          <w:szCs w:val="28"/>
        </w:rPr>
        <w:t>资格审查表</w:t>
      </w:r>
    </w:p>
    <w:tbl>
      <w:tblPr>
        <w:tblStyle w:val="37"/>
        <w:tblW w:w="8716" w:type="dxa"/>
        <w:tblInd w:w="113" w:type="dxa"/>
        <w:tblLayout w:type="fixed"/>
        <w:tblCellMar>
          <w:top w:w="0" w:type="dxa"/>
          <w:left w:w="108" w:type="dxa"/>
          <w:bottom w:w="0" w:type="dxa"/>
          <w:right w:w="108" w:type="dxa"/>
        </w:tblCellMar>
      </w:tblPr>
      <w:tblGrid>
        <w:gridCol w:w="740"/>
        <w:gridCol w:w="6114"/>
        <w:gridCol w:w="925"/>
        <w:gridCol w:w="937"/>
      </w:tblGrid>
      <w:tr>
        <w:tblPrEx>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pPr>
              <w:widowControl/>
              <w:jc w:val="center"/>
              <w:rPr>
                <w:rFonts w:ascii="仿宋" w:hAnsi="仿宋" w:eastAsia="仿宋" w:cs="仿宋"/>
                <w:b/>
                <w:bCs/>
                <w:color w:val="auto"/>
                <w:kern w:val="0"/>
                <w:sz w:val="22"/>
                <w:szCs w:val="22"/>
              </w:rPr>
            </w:pPr>
            <w:r>
              <w:rPr>
                <w:rFonts w:hint="eastAsia" w:ascii="仿宋" w:hAnsi="仿宋" w:eastAsia="仿宋" w:cs="仿宋"/>
                <w:b/>
                <w:bCs/>
                <w:color w:val="auto"/>
                <w:kern w:val="0"/>
                <w:sz w:val="22"/>
                <w:szCs w:val="22"/>
              </w:rPr>
              <w:t>序号</w:t>
            </w:r>
          </w:p>
        </w:tc>
        <w:tc>
          <w:tcPr>
            <w:tcW w:w="6114" w:type="dxa"/>
            <w:vMerge w:val="restart"/>
            <w:tcBorders>
              <w:top w:val="single" w:color="auto" w:sz="4" w:space="0"/>
              <w:left w:val="single" w:color="auto" w:sz="4" w:space="0"/>
              <w:bottom w:val="single" w:color="000000" w:sz="4" w:space="0"/>
              <w:right w:val="single" w:color="auto" w:sz="4" w:space="0"/>
            </w:tcBorders>
            <w:shd w:val="clear" w:color="000000" w:fill="E2EFDA"/>
            <w:vAlign w:val="center"/>
          </w:tcPr>
          <w:p>
            <w:pPr>
              <w:widowControl/>
              <w:jc w:val="center"/>
              <w:rPr>
                <w:rFonts w:ascii="仿宋" w:hAnsi="仿宋" w:eastAsia="仿宋" w:cs="仿宋"/>
                <w:b/>
                <w:bCs/>
                <w:color w:val="auto"/>
                <w:kern w:val="0"/>
                <w:sz w:val="22"/>
                <w:szCs w:val="22"/>
              </w:rPr>
            </w:pPr>
            <w:r>
              <w:rPr>
                <w:rFonts w:hint="eastAsia" w:ascii="仿宋" w:hAnsi="仿宋" w:eastAsia="仿宋" w:cs="仿宋"/>
                <w:b/>
                <w:bCs/>
                <w:color w:val="auto"/>
                <w:kern w:val="0"/>
                <w:sz w:val="22"/>
                <w:szCs w:val="22"/>
              </w:rPr>
              <w:t>审核项目</w:t>
            </w:r>
          </w:p>
        </w:tc>
        <w:tc>
          <w:tcPr>
            <w:tcW w:w="1862" w:type="dxa"/>
            <w:gridSpan w:val="2"/>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仿宋" w:hAnsi="仿宋" w:eastAsia="仿宋" w:cs="仿宋"/>
                <w:b/>
                <w:bCs/>
                <w:color w:val="auto"/>
                <w:kern w:val="0"/>
                <w:sz w:val="22"/>
                <w:szCs w:val="22"/>
              </w:rPr>
            </w:pPr>
            <w:r>
              <w:rPr>
                <w:rFonts w:hint="eastAsia" w:ascii="仿宋" w:hAnsi="仿宋" w:eastAsia="仿宋" w:cs="仿宋"/>
                <w:b/>
                <w:bCs/>
                <w:color w:val="auto"/>
                <w:kern w:val="0"/>
                <w:sz w:val="22"/>
                <w:szCs w:val="22"/>
              </w:rPr>
              <w:t>供应商</w:t>
            </w:r>
          </w:p>
        </w:tc>
      </w:tr>
      <w:tr>
        <w:tblPrEx>
          <w:tblCellMar>
            <w:top w:w="0" w:type="dxa"/>
            <w:left w:w="108" w:type="dxa"/>
            <w:bottom w:w="0" w:type="dxa"/>
            <w:right w:w="108" w:type="dxa"/>
          </w:tblCellMar>
        </w:tblPrEx>
        <w:trPr>
          <w:trHeight w:val="41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仿宋"/>
                <w:b/>
                <w:bCs/>
                <w:color w:val="auto"/>
                <w:kern w:val="0"/>
                <w:sz w:val="22"/>
                <w:szCs w:val="22"/>
              </w:rPr>
            </w:pPr>
          </w:p>
        </w:tc>
        <w:tc>
          <w:tcPr>
            <w:tcW w:w="611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仿宋"/>
                <w:b/>
                <w:bCs/>
                <w:color w:val="auto"/>
                <w:kern w:val="0"/>
                <w:sz w:val="22"/>
                <w:szCs w:val="22"/>
              </w:rPr>
            </w:pPr>
          </w:p>
        </w:tc>
        <w:tc>
          <w:tcPr>
            <w:tcW w:w="925" w:type="dxa"/>
            <w:tcBorders>
              <w:top w:val="nil"/>
              <w:left w:val="nil"/>
              <w:bottom w:val="single" w:color="auto" w:sz="4" w:space="0"/>
              <w:right w:val="single" w:color="auto" w:sz="4" w:space="0"/>
            </w:tcBorders>
            <w:shd w:val="clear" w:color="000000" w:fill="E2EFDA"/>
            <w:vAlign w:val="center"/>
          </w:tcPr>
          <w:p>
            <w:pPr>
              <w:widowControl/>
              <w:jc w:val="center"/>
              <w:rPr>
                <w:rFonts w:ascii="仿宋" w:hAnsi="仿宋" w:eastAsia="仿宋" w:cs="仿宋"/>
                <w:b/>
                <w:bCs/>
                <w:color w:val="auto"/>
                <w:kern w:val="0"/>
                <w:sz w:val="22"/>
                <w:szCs w:val="22"/>
              </w:rPr>
            </w:pPr>
            <w:r>
              <w:rPr>
                <w:rFonts w:hint="eastAsia" w:ascii="仿宋" w:hAnsi="仿宋" w:eastAsia="仿宋" w:cs="仿宋"/>
                <w:b/>
                <w:bCs/>
                <w:color w:val="auto"/>
                <w:kern w:val="0"/>
                <w:sz w:val="22"/>
                <w:szCs w:val="22"/>
              </w:rPr>
              <w:t>是</w:t>
            </w:r>
          </w:p>
        </w:tc>
        <w:tc>
          <w:tcPr>
            <w:tcW w:w="937" w:type="dxa"/>
            <w:tcBorders>
              <w:top w:val="nil"/>
              <w:left w:val="nil"/>
              <w:bottom w:val="single" w:color="auto" w:sz="4" w:space="0"/>
              <w:right w:val="single" w:color="auto" w:sz="4" w:space="0"/>
            </w:tcBorders>
            <w:shd w:val="clear" w:color="000000" w:fill="E2EFDA"/>
            <w:vAlign w:val="center"/>
          </w:tcPr>
          <w:p>
            <w:pPr>
              <w:widowControl/>
              <w:jc w:val="center"/>
              <w:rPr>
                <w:rFonts w:ascii="仿宋" w:hAnsi="仿宋" w:eastAsia="仿宋" w:cs="仿宋"/>
                <w:b/>
                <w:bCs/>
                <w:color w:val="auto"/>
                <w:kern w:val="0"/>
                <w:sz w:val="22"/>
                <w:szCs w:val="22"/>
              </w:rPr>
            </w:pPr>
            <w:r>
              <w:rPr>
                <w:rFonts w:hint="eastAsia" w:ascii="仿宋" w:hAnsi="仿宋" w:eastAsia="仿宋" w:cs="仿宋"/>
                <w:b/>
                <w:bCs/>
                <w:color w:val="auto"/>
                <w:kern w:val="0"/>
                <w:sz w:val="22"/>
                <w:szCs w:val="22"/>
              </w:rPr>
              <w:t>否</w:t>
            </w:r>
          </w:p>
        </w:tc>
      </w:tr>
      <w:tr>
        <w:tblPrEx>
          <w:tblCellMar>
            <w:top w:w="0" w:type="dxa"/>
            <w:left w:w="108" w:type="dxa"/>
            <w:bottom w:w="0" w:type="dxa"/>
            <w:right w:w="108" w:type="dxa"/>
          </w:tblCellMar>
        </w:tblPrEx>
        <w:trPr>
          <w:trHeight w:val="682"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有效的营业执照正本或副本；</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xml:space="preserve">  </w:t>
            </w: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xml:space="preserve">  </w:t>
            </w:r>
          </w:p>
        </w:tc>
      </w:tr>
      <w:tr>
        <w:tblPrEx>
          <w:tblCellMar>
            <w:top w:w="0" w:type="dxa"/>
            <w:left w:w="108" w:type="dxa"/>
            <w:bottom w:w="0" w:type="dxa"/>
            <w:right w:w="108" w:type="dxa"/>
          </w:tblCellMar>
        </w:tblPrEx>
        <w:trPr>
          <w:trHeight w:val="605"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供应商投标标项一</w:t>
            </w:r>
            <w:r>
              <w:rPr>
                <w:rFonts w:hint="eastAsia" w:ascii="仿宋" w:hAnsi="仿宋" w:eastAsia="仿宋" w:cs="仿宋"/>
                <w:color w:val="auto"/>
                <w:kern w:val="0"/>
                <w:sz w:val="22"/>
                <w:szCs w:val="22"/>
                <w:lang w:val="en-US" w:eastAsia="zh-CN"/>
              </w:rPr>
              <w:t>、</w:t>
            </w:r>
            <w:r>
              <w:rPr>
                <w:rFonts w:hint="eastAsia" w:ascii="仿宋" w:hAnsi="仿宋" w:eastAsia="仿宋" w:cs="仿宋"/>
                <w:color w:val="auto"/>
                <w:kern w:val="0"/>
                <w:sz w:val="22"/>
                <w:szCs w:val="22"/>
              </w:rPr>
              <w:t>二</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八、九、十提供地质灾害治理工程勘查</w:t>
            </w:r>
            <w:r>
              <w:rPr>
                <w:rFonts w:hint="eastAsia" w:ascii="仿宋" w:hAnsi="仿宋" w:eastAsia="仿宋" w:cs="仿宋"/>
                <w:color w:val="auto"/>
                <w:kern w:val="0"/>
                <w:sz w:val="22"/>
                <w:szCs w:val="22"/>
                <w:lang w:val="en-US" w:eastAsia="zh-CN"/>
              </w:rPr>
              <w:t>甲</w:t>
            </w:r>
            <w:r>
              <w:rPr>
                <w:rFonts w:hint="eastAsia" w:ascii="仿宋" w:hAnsi="仿宋" w:eastAsia="仿宋" w:cs="仿宋"/>
                <w:color w:val="auto"/>
                <w:kern w:val="0"/>
                <w:sz w:val="22"/>
                <w:szCs w:val="22"/>
              </w:rPr>
              <w:t>级资质；标项三、四、五、六提供地质灾害治理工程设计和施工</w:t>
            </w:r>
            <w:r>
              <w:rPr>
                <w:rFonts w:hint="eastAsia" w:ascii="仿宋" w:hAnsi="仿宋" w:eastAsia="仿宋" w:cs="仿宋"/>
                <w:color w:val="auto"/>
                <w:kern w:val="0"/>
                <w:sz w:val="22"/>
                <w:szCs w:val="22"/>
                <w:lang w:val="en-US" w:eastAsia="zh-CN"/>
              </w:rPr>
              <w:t>甲</w:t>
            </w:r>
            <w:r>
              <w:rPr>
                <w:rFonts w:hint="eastAsia" w:ascii="仿宋" w:hAnsi="仿宋" w:eastAsia="仿宋" w:cs="仿宋"/>
                <w:color w:val="auto"/>
                <w:kern w:val="0"/>
                <w:sz w:val="22"/>
                <w:szCs w:val="22"/>
              </w:rPr>
              <w:t>级资质；标项七供地质灾害治理工程勘查乙级（含乙级）以上资质并与设备供应商（一家或多家）组成联合体投标,所采购设备技术参数应符合《地质灾害监测预警通讯技术要求》和《地质灾害群专结合监测预警技术指南（试行）》；标项十一提供地质灾害防治工程监理</w:t>
            </w:r>
            <w:r>
              <w:rPr>
                <w:rFonts w:hint="eastAsia" w:ascii="仿宋" w:hAnsi="仿宋" w:eastAsia="仿宋" w:cs="仿宋"/>
                <w:color w:val="auto"/>
                <w:kern w:val="0"/>
                <w:sz w:val="22"/>
                <w:szCs w:val="22"/>
                <w:lang w:val="en-US" w:eastAsia="zh-CN"/>
              </w:rPr>
              <w:t>甲级</w:t>
            </w:r>
            <w:r>
              <w:rPr>
                <w:rFonts w:hint="eastAsia" w:ascii="仿宋" w:hAnsi="仿宋" w:eastAsia="仿宋" w:cs="仿宋"/>
                <w:color w:val="auto"/>
                <w:kern w:val="0"/>
                <w:sz w:val="22"/>
                <w:szCs w:val="22"/>
              </w:rPr>
              <w:t>以上资质。</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xml:space="preserve">  </w:t>
            </w: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xml:space="preserve">  </w:t>
            </w: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有效的投标保证金缴纳凭证；</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6114"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联合体协议书（如有）。</w:t>
            </w:r>
          </w:p>
        </w:tc>
        <w:tc>
          <w:tcPr>
            <w:tcW w:w="925"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xml:space="preserve">  </w:t>
            </w:r>
          </w:p>
        </w:tc>
        <w:tc>
          <w:tcPr>
            <w:tcW w:w="93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 xml:space="preserve">  </w:t>
            </w:r>
          </w:p>
        </w:tc>
      </w:tr>
      <w:tr>
        <w:tblPrEx>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结论：是否通过评审（须填写通过或不通过）</w:t>
            </w:r>
          </w:p>
          <w:p>
            <w:pPr>
              <w:widowControl/>
              <w:jc w:val="left"/>
              <w:rPr>
                <w:rFonts w:ascii="仿宋" w:hAnsi="仿宋" w:eastAsia="仿宋" w:cs="仿宋"/>
                <w:color w:val="auto"/>
                <w:kern w:val="0"/>
                <w:sz w:val="22"/>
                <w:szCs w:val="22"/>
              </w:rPr>
            </w:pPr>
            <w:r>
              <w:rPr>
                <w:rFonts w:hint="eastAsia" w:ascii="仿宋" w:hAnsi="仿宋" w:eastAsia="仿宋" w:cs="仿宋"/>
                <w:color w:val="auto"/>
                <w:kern w:val="0"/>
                <w:sz w:val="22"/>
                <w:szCs w:val="22"/>
              </w:rPr>
              <w:t>注：如有一项不合格，作废标处理。</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p>
        </w:tc>
        <w:tc>
          <w:tcPr>
            <w:tcW w:w="93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kern w:val="0"/>
                <w:sz w:val="22"/>
                <w:szCs w:val="22"/>
              </w:rPr>
            </w:pPr>
          </w:p>
        </w:tc>
      </w:tr>
    </w:tbl>
    <w:p>
      <w:pPr>
        <w:rPr>
          <w:rFonts w:ascii="仿宋" w:hAnsi="仿宋" w:eastAsia="仿宋" w:cs="仿宋"/>
          <w:color w:val="auto"/>
        </w:rPr>
      </w:pPr>
    </w:p>
    <w:p>
      <w:pPr>
        <w:rPr>
          <w:color w:val="auto"/>
        </w:rPr>
      </w:pPr>
      <w:r>
        <w:rPr>
          <w:rFonts w:hint="eastAsia"/>
          <w:color w:val="auto"/>
        </w:rPr>
        <w:br w:type="page"/>
      </w:r>
    </w:p>
    <w:p>
      <w:pPr>
        <w:widowControl/>
        <w:jc w:val="center"/>
        <w:outlineLvl w:val="2"/>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符合性检查表</w:t>
      </w:r>
    </w:p>
    <w:tbl>
      <w:tblPr>
        <w:tblStyle w:val="37"/>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66"/>
        <w:gridCol w:w="454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2"/>
                <w:szCs w:val="22"/>
              </w:rPr>
            </w:pPr>
            <w:r>
              <w:rPr>
                <w:rFonts w:hint="eastAsia" w:ascii="仿宋" w:hAnsi="仿宋" w:eastAsia="仿宋" w:cs="仿宋"/>
                <w:b/>
                <w:bCs/>
                <w:color w:val="auto"/>
                <w:kern w:val="0"/>
                <w:sz w:val="22"/>
                <w:szCs w:val="22"/>
              </w:rPr>
              <w:t>序号</w:t>
            </w:r>
          </w:p>
        </w:tc>
        <w:tc>
          <w:tcPr>
            <w:tcW w:w="63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2"/>
                <w:szCs w:val="22"/>
              </w:rPr>
            </w:pPr>
            <w:r>
              <w:rPr>
                <w:rFonts w:hint="eastAsia" w:ascii="仿宋" w:hAnsi="仿宋" w:eastAsia="仿宋" w:cs="仿宋"/>
                <w:b/>
                <w:bCs/>
                <w:color w:val="auto"/>
                <w:kern w:val="0"/>
                <w:sz w:val="22"/>
                <w:szCs w:val="22"/>
              </w:rPr>
              <w:t>审核内容</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b/>
                <w:bCs/>
                <w:color w:val="auto"/>
                <w:kern w:val="0"/>
                <w:sz w:val="22"/>
                <w:szCs w:val="22"/>
                <w:lang w:val="en-US" w:eastAsia="zh-CN"/>
              </w:rPr>
            </w:pPr>
            <w:r>
              <w:rPr>
                <w:rFonts w:hint="eastAsia" w:ascii="仿宋" w:hAnsi="仿宋" w:eastAsia="仿宋" w:cs="仿宋"/>
                <w:b/>
                <w:bCs/>
                <w:color w:val="auto"/>
                <w:kern w:val="0"/>
                <w:sz w:val="22"/>
                <w:szCs w:val="22"/>
                <w:lang w:val="en-US" w:eastAsia="zh-CN"/>
              </w:rPr>
              <w:t>偏差标记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1</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供应商名称</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与营业执照一致</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2</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投标文件的格式</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投标文件按照采购文件格式完整提供</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3</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投标文件签署</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投标文件的签章符合采购文件规定</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4</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投标报价</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投标报价未超过项目预算</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合同条款</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对采购文件规定的服务条款作出响应</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6</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投标文件制作</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满足采购文件规定</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7</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投标有效期</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满足采购文件规定</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8</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其他</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投标文件未附有采购人不能接受的附加条件及法律、法规和采购文件规定的其他无效情形</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9</w:t>
            </w:r>
          </w:p>
        </w:tc>
        <w:tc>
          <w:tcPr>
            <w:tcW w:w="17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响应实质性条款</w:t>
            </w:r>
          </w:p>
        </w:tc>
        <w:tc>
          <w:tcPr>
            <w:tcW w:w="4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2"/>
                <w:szCs w:val="22"/>
              </w:rPr>
            </w:pPr>
            <w:r>
              <w:rPr>
                <w:rFonts w:hint="eastAsia" w:ascii="仿宋" w:hAnsi="仿宋" w:eastAsia="仿宋" w:cs="仿宋"/>
                <w:color w:val="auto"/>
                <w:kern w:val="0"/>
                <w:sz w:val="22"/>
                <w:szCs w:val="22"/>
              </w:rPr>
              <w:t>对采购文件实质性条款作出响应</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0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检查结果</w:t>
            </w: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9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注：投标文件有不符合上述情形之一的，作废标处理。出现偏差的标记“×”，没有出现偏差的标记“√” 。</w:t>
            </w:r>
          </w:p>
        </w:tc>
      </w:tr>
    </w:tbl>
    <w:p>
      <w:pPr>
        <w:spacing w:line="240" w:lineRule="atLeast"/>
        <w:jc w:val="center"/>
        <w:rPr>
          <w:rFonts w:ascii="仿宋" w:hAnsi="仿宋" w:eastAsia="仿宋" w:cs="仿宋"/>
          <w:color w:val="auto"/>
        </w:rPr>
      </w:pPr>
    </w:p>
    <w:p>
      <w:pPr>
        <w:rPr>
          <w:rFonts w:ascii="仿宋" w:hAnsi="仿宋" w:eastAsia="仿宋" w:cs="仿宋"/>
          <w:color w:val="auto"/>
        </w:rPr>
      </w:pPr>
      <w:r>
        <w:rPr>
          <w:rFonts w:hint="eastAsia" w:ascii="仿宋" w:hAnsi="仿宋" w:eastAsia="仿宋" w:cs="仿宋"/>
          <w:color w:val="auto"/>
        </w:rPr>
        <w:br w:type="page"/>
      </w:r>
    </w:p>
    <w:p>
      <w:pPr>
        <w:spacing w:line="360" w:lineRule="auto"/>
        <w:outlineLvl w:val="1"/>
        <w:rPr>
          <w:rFonts w:ascii="楷体" w:hAnsi="楷体" w:eastAsia="楷体" w:cs="楷体"/>
          <w:b/>
          <w:color w:val="auto"/>
          <w:sz w:val="24"/>
        </w:rPr>
      </w:pPr>
      <w:r>
        <w:rPr>
          <w:rFonts w:hint="eastAsia" w:ascii="楷体" w:hAnsi="楷体" w:eastAsia="楷体" w:cs="楷体"/>
          <w:b/>
          <w:color w:val="auto"/>
          <w:sz w:val="24"/>
        </w:rPr>
        <w:t>详细评审表：</w:t>
      </w:r>
    </w:p>
    <w:p>
      <w:pPr>
        <w:spacing w:line="360" w:lineRule="auto"/>
        <w:outlineLvl w:val="1"/>
        <w:rPr>
          <w:rFonts w:ascii="楷体" w:hAnsi="楷体" w:eastAsia="楷体" w:cs="楷体"/>
          <w:b/>
          <w:color w:val="auto"/>
          <w:sz w:val="24"/>
        </w:rPr>
      </w:pPr>
      <w:r>
        <w:rPr>
          <w:rFonts w:hint="eastAsia" w:ascii="楷体" w:hAnsi="楷体" w:eastAsia="楷体" w:cs="楷体"/>
          <w:b/>
          <w:color w:val="auto"/>
          <w:sz w:val="24"/>
        </w:rPr>
        <w:t>标项一、二评分标准</w:t>
      </w:r>
    </w:p>
    <w:p>
      <w:pPr>
        <w:tabs>
          <w:tab w:val="right" w:pos="9213"/>
        </w:tabs>
        <w:jc w:val="center"/>
        <w:rPr>
          <w:rFonts w:ascii="仿宋" w:hAnsi="仿宋" w:eastAsia="仿宋" w:cs="仿宋"/>
          <w:b/>
          <w:color w:val="auto"/>
          <w:sz w:val="24"/>
          <w:szCs w:val="20"/>
        </w:rPr>
      </w:pPr>
      <w:bookmarkStart w:id="252" w:name="_Toc27405"/>
      <w:bookmarkStart w:id="253" w:name="_Toc21584"/>
      <w:bookmarkStart w:id="254" w:name="_Toc17812"/>
      <w:r>
        <w:rPr>
          <w:rFonts w:hint="eastAsia" w:ascii="仿宋" w:hAnsi="仿宋" w:eastAsia="仿宋" w:cs="仿宋"/>
          <w:b/>
          <w:color w:val="auto"/>
          <w:sz w:val="24"/>
          <w:szCs w:val="20"/>
        </w:rPr>
        <w:t>商务评分表</w:t>
      </w:r>
      <w:bookmarkEnd w:id="252"/>
      <w:bookmarkEnd w:id="253"/>
      <w:bookmarkEnd w:id="254"/>
    </w:p>
    <w:tbl>
      <w:tblPr>
        <w:tblStyle w:val="37"/>
        <w:tblW w:w="9423" w:type="dxa"/>
        <w:tblInd w:w="0" w:type="dxa"/>
        <w:tblLayout w:type="fixed"/>
        <w:tblCellMar>
          <w:top w:w="0" w:type="dxa"/>
          <w:left w:w="108" w:type="dxa"/>
          <w:bottom w:w="0" w:type="dxa"/>
          <w:right w:w="108" w:type="dxa"/>
        </w:tblCellMar>
      </w:tblPr>
      <w:tblGrid>
        <w:gridCol w:w="457"/>
        <w:gridCol w:w="1340"/>
        <w:gridCol w:w="6745"/>
        <w:gridCol w:w="881"/>
      </w:tblGrid>
      <w:tr>
        <w:tblPrEx>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满分</w:t>
            </w:r>
          </w:p>
        </w:tc>
      </w:tr>
      <w:tr>
        <w:tblPrEx>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 w:val="24"/>
              </w:rPr>
            </w:pPr>
          </w:p>
        </w:tc>
        <w:tc>
          <w:tcPr>
            <w:tcW w:w="67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20分</w:t>
            </w:r>
          </w:p>
        </w:tc>
      </w:tr>
      <w:tr>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1</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送审材料</w:t>
            </w:r>
          </w:p>
        </w:tc>
        <w:tc>
          <w:tcPr>
            <w:tcW w:w="674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auto"/>
                <w:sz w:val="20"/>
                <w:szCs w:val="20"/>
              </w:rPr>
            </w:pPr>
            <w:r>
              <w:rPr>
                <w:rFonts w:hint="eastAsia" w:ascii="仿宋" w:hAnsi="仿宋" w:eastAsia="仿宋" w:cs="仿宋"/>
                <w:color w:val="auto"/>
                <w:kern w:val="0"/>
                <w:sz w:val="20"/>
                <w:szCs w:val="20"/>
              </w:rPr>
              <w:t>有独立的、按要求编制的商务标，得1分；有独立的商务标标书，但部分预算内容或资料混入其他标中但可审，扣0.1分；未单独编制商务标而在技术标中作为独立章节且可审，扣0.4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2</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适用表式</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表式正确且齐全1分；相应表号、项目名称、计量单位、技术条件等每缺一项扣0.1分，单表最大扣分0.2分。本项分值扣完为止。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3</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编制方法</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选用正确的工作项目、费用项目按规定顺序进行编制，逐级汇总全部正确得2分，每错（漏）一处扣0.2分。单表扣分不超过1分。本项分值扣完为止。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w:t>
            </w:r>
          </w:p>
        </w:tc>
      </w:tr>
      <w:tr>
        <w:tblPrEx>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4</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预算标准</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每错用预算标准1处扣0.5分，采用采购文件指定标准以外的标准又未作相应说明或使用标准明显不合理的，每处扣0.5分，本项分值扣完为止。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3</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5</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预算内容</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预算内容设置不重复、不扩大、不遗漏的得满分，每重复、扩大或遗漏1处扣0.5分，本项分值扣完为止。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4</w:t>
            </w:r>
          </w:p>
        </w:tc>
      </w:tr>
      <w:tr>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6</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计算和勾稽关系</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预算表内、表间数据勾稽关系完全正确得满分，每错1处扣0.1分，本项分值扣完为止。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1</w:t>
            </w:r>
          </w:p>
        </w:tc>
      </w:tr>
      <w:tr>
        <w:tblPrEx>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7</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与技术方案工作量平衡</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工作方法、工作部署、工作量布置及其他相关技术指标等与技术方案完全一致得满分，每错1处扣0.5分，本项分值扣完为止。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w:t>
            </w:r>
          </w:p>
        </w:tc>
      </w:tr>
      <w:tr>
        <w:tblPrEx>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8</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预算编制说明</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项目投标报价及承诺、项目概况、项目设计预算编制依据、工程方案内容及工作量情况、采用的费用标准和计算方法、工程技术指标分析及需要说明的问题等方面完整4分。其中：缺少项目投标报价及承诺扣1分；项目概况、项目设计预算编制依据、工程方案内容及工作量情况、采用的费用标准和计算方法、工程技术指标分析、需要说明的问题等6项，每缺一方面内容扣0.5分。每个方面内容不详细、不全面或不正确者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4</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主要工作业绩</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每提供近三年一项类似业绩并提供证明材料得0.2分，未提供证明材料不得分，本项最高得1分。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10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相关承诺</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承诺全面1分，基本全面0.5分，无承诺不得分。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 w:hAnsi="仿宋" w:eastAsia="仿宋" w:cs="仿宋"/>
                <w:b/>
                <w:bCs/>
                <w:color w:val="auto"/>
                <w:sz w:val="24"/>
              </w:rPr>
            </w:pPr>
            <w:r>
              <w:rPr>
                <w:rFonts w:hint="eastAsia" w:ascii="仿宋" w:hAnsi="仿宋" w:eastAsia="仿宋" w:cs="仿宋"/>
                <w:b/>
                <w:bCs/>
                <w:color w:val="auto"/>
                <w:kern w:val="0"/>
                <w:sz w:val="24"/>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20</w:t>
            </w:r>
          </w:p>
        </w:tc>
      </w:tr>
    </w:tbl>
    <w:p>
      <w:pPr>
        <w:pStyle w:val="26"/>
        <w:rPr>
          <w:color w:val="auto"/>
        </w:rPr>
      </w:pPr>
    </w:p>
    <w:p>
      <w:pPr>
        <w:spacing w:line="440" w:lineRule="exact"/>
        <w:jc w:val="center"/>
        <w:rPr>
          <w:rFonts w:ascii="仿宋" w:hAnsi="仿宋" w:eastAsia="仿宋" w:cs="仿宋"/>
          <w:color w:val="auto"/>
          <w:sz w:val="24"/>
        </w:rPr>
      </w:pPr>
      <w:r>
        <w:rPr>
          <w:rFonts w:hint="eastAsia" w:ascii="仿宋" w:hAnsi="仿宋" w:eastAsia="仿宋" w:cs="仿宋"/>
          <w:color w:val="auto"/>
          <w:sz w:val="24"/>
        </w:rPr>
        <w:br w:type="page"/>
      </w:r>
    </w:p>
    <w:p>
      <w:pPr>
        <w:tabs>
          <w:tab w:val="right" w:pos="9213"/>
        </w:tabs>
        <w:jc w:val="center"/>
        <w:rPr>
          <w:rFonts w:ascii="仿宋" w:hAnsi="仿宋" w:eastAsia="仿宋" w:cs="仿宋"/>
          <w:b/>
          <w:color w:val="auto"/>
          <w:sz w:val="24"/>
          <w:szCs w:val="20"/>
        </w:rPr>
      </w:pPr>
      <w:bookmarkStart w:id="255" w:name="_Toc24632"/>
      <w:bookmarkStart w:id="256" w:name="_Toc21762"/>
      <w:bookmarkStart w:id="257" w:name="_Toc22692"/>
      <w:r>
        <w:rPr>
          <w:rFonts w:hint="eastAsia" w:ascii="仿宋" w:hAnsi="仿宋" w:eastAsia="仿宋" w:cs="仿宋"/>
          <w:b/>
          <w:color w:val="auto"/>
          <w:sz w:val="24"/>
          <w:szCs w:val="20"/>
        </w:rPr>
        <w:t>技术评分表</w:t>
      </w:r>
      <w:bookmarkEnd w:id="255"/>
      <w:bookmarkEnd w:id="256"/>
      <w:bookmarkEnd w:id="257"/>
    </w:p>
    <w:tbl>
      <w:tblPr>
        <w:tblStyle w:val="37"/>
        <w:tblW w:w="9423" w:type="dxa"/>
        <w:tblInd w:w="0" w:type="dxa"/>
        <w:tblLayout w:type="fixed"/>
        <w:tblCellMar>
          <w:top w:w="0" w:type="dxa"/>
          <w:left w:w="108" w:type="dxa"/>
          <w:bottom w:w="0" w:type="dxa"/>
          <w:right w:w="108" w:type="dxa"/>
        </w:tblCellMar>
      </w:tblPr>
      <w:tblGrid>
        <w:gridCol w:w="457"/>
        <w:gridCol w:w="4895"/>
        <w:gridCol w:w="3190"/>
        <w:gridCol w:w="881"/>
      </w:tblGrid>
      <w:tr>
        <w:tblPrEx>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序号</w:t>
            </w:r>
          </w:p>
        </w:tc>
        <w:tc>
          <w:tcPr>
            <w:tcW w:w="489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rPr>
              <w:t>评分内容</w:t>
            </w:r>
          </w:p>
        </w:tc>
        <w:tc>
          <w:tcPr>
            <w:tcW w:w="31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auto"/>
                <w:sz w:val="24"/>
              </w:rPr>
            </w:pPr>
            <w:r>
              <w:rPr>
                <w:rFonts w:hint="eastAsia" w:ascii="仿宋" w:hAnsi="仿宋" w:eastAsia="仿宋" w:cs="仿宋"/>
                <w:b/>
                <w:bCs/>
                <w:color w:val="auto"/>
                <w:kern w:val="0"/>
                <w:sz w:val="24"/>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满分</w:t>
            </w:r>
          </w:p>
        </w:tc>
      </w:tr>
      <w:tr>
        <w:tblPrEx>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489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b/>
                <w:bCs/>
                <w:color w:val="auto"/>
                <w:sz w:val="24"/>
              </w:rPr>
            </w:pP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b/>
                <w:bCs/>
                <w:color w:val="auto"/>
                <w:sz w:val="24"/>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70分</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1</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依据充分，且目标任务明确。</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完全符合要求3.5分；基本符合要求1-2分；不符合0分。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3.5</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2</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全面收集了调查区自然地理、地质、社会经济、规划等方面的资料，并结合调查工作进行了阐述。</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资料收集完整、内容全面5-7分；资料收集基本完整、内容基本全面1-4分；无资料收集和阐述内容0分。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7</w:t>
            </w:r>
          </w:p>
        </w:tc>
      </w:tr>
      <w:tr>
        <w:tblPrEx>
          <w:tblCellMar>
            <w:top w:w="0" w:type="dxa"/>
            <w:left w:w="108" w:type="dxa"/>
            <w:bottom w:w="0" w:type="dxa"/>
            <w:right w:w="108" w:type="dxa"/>
          </w:tblCellMar>
        </w:tblPrEx>
        <w:trPr>
          <w:trHeight w:val="19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3</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工作思路、工作部署、工作量布置、进度安排明确清晰。主要内容包括：</w:t>
            </w:r>
          </w:p>
          <w:p>
            <w:pPr>
              <w:widowControl/>
              <w:numPr>
                <w:ilvl w:val="0"/>
                <w:numId w:val="8"/>
              </w:numPr>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调查、评价和预测滑坡、崩塌、泥石流发展趋势，进行环境工程地质条件区划；</w:t>
            </w:r>
          </w:p>
          <w:p>
            <w:pPr>
              <w:widowControl/>
              <w:numPr>
                <w:ilvl w:val="0"/>
                <w:numId w:val="8"/>
              </w:numPr>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调查潜在和已发生滑坡、崩塌、泥石流等地质灾害点并评估复活性、危险性、危害性，提出防治措施建议；</w:t>
            </w:r>
          </w:p>
          <w:p>
            <w:pPr>
              <w:widowControl/>
              <w:numPr>
                <w:ilvl w:val="0"/>
                <w:numId w:val="8"/>
              </w:numPr>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部署重大单体地质灾害初步勘查，工作部署和量科学合理；</w:t>
            </w:r>
          </w:p>
          <w:p>
            <w:pPr>
              <w:widowControl/>
              <w:numPr>
                <w:ilvl w:val="0"/>
                <w:numId w:val="8"/>
              </w:numPr>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开展地质灾害信息系统建设；</w:t>
            </w:r>
          </w:p>
          <w:p>
            <w:pPr>
              <w:widowControl/>
              <w:numPr>
                <w:ilvl w:val="0"/>
                <w:numId w:val="8"/>
              </w:numPr>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进行地质灾害分区评价，圈定易发区和危险区，编制（或完善）地质灾害防治区划（建议）；协助地方政府完善地质灾害群测群防网络，编制重要地质灾害隐患点防灾预案，对重大地质灾害点推荐应急搬迁避让新址，并进行工程建设适宜性初步评估等。</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内容全面、合理21分，每缺1项扣3.5分。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21</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4</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工作方法手段得当、适宜，技术要求明确，采用遥感解译、地面调查等工作手段等。完善地质灾害信息系统，健全完善群测群防的监测网络，为减灾防灾和制定防灾规划提供基础地质依据。</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工作方法具有针对性，符合技术规范要求，适宜明确10-14分；针对性较好、基本符合规范要5-9分；无针对性、不符合规范要求0分。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14</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5</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绩效目标明确合理。</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预期成果与招标任务书要求完全一致5分，基本一致2-4分，完全不一致0分。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5</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6</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预期成果应对提交的成果报告、附图、附件、信息系统建设等予以明确。</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预期成果与招标任务书要求完全一致7分，基本一致3-6分，完全不一致0分。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7</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0"/>
                <w:szCs w:val="20"/>
              </w:rPr>
            </w:pPr>
            <w:r>
              <w:rPr>
                <w:rFonts w:hint="eastAsia" w:ascii="仿宋" w:hAnsi="仿宋" w:eastAsia="仿宋" w:cs="仿宋"/>
                <w:b/>
                <w:bCs/>
                <w:color w:val="auto"/>
                <w:kern w:val="0"/>
                <w:sz w:val="20"/>
                <w:szCs w:val="20"/>
              </w:rPr>
              <w:t>7</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val="zh-CN"/>
              </w:rPr>
              <w:t>组织管理机构</w:t>
            </w:r>
            <w:r>
              <w:rPr>
                <w:rFonts w:hint="eastAsia" w:ascii="仿宋" w:hAnsi="仿宋" w:eastAsia="仿宋" w:cs="仿宋"/>
                <w:color w:val="auto"/>
                <w:kern w:val="0"/>
                <w:sz w:val="20"/>
                <w:szCs w:val="20"/>
              </w:rPr>
              <w:t>和</w:t>
            </w:r>
            <w:r>
              <w:rPr>
                <w:rFonts w:hint="eastAsia" w:ascii="仿宋" w:hAnsi="仿宋" w:eastAsia="仿宋" w:cs="仿宋"/>
                <w:color w:val="auto"/>
                <w:kern w:val="0"/>
                <w:sz w:val="20"/>
                <w:szCs w:val="20"/>
                <w:lang w:val="zh-CN"/>
              </w:rPr>
              <w:t>主要技术人员配备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管理机构健全明确、项目人员专业组成全面、分工合理4分，基本健全明确、基本全面、合理、基本满足1-3分，无内容0分.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4</w:t>
            </w:r>
          </w:p>
        </w:tc>
      </w:tr>
      <w:tr>
        <w:tblPrEx>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8</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主要设备配置应齐备。</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符合项目技术要求、齐备3.5分，基本符合1-3分，不符合0分。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3.5</w:t>
            </w:r>
          </w:p>
        </w:tc>
      </w:tr>
      <w:tr>
        <w:tblPrEx>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9</w:t>
            </w:r>
          </w:p>
        </w:tc>
        <w:tc>
          <w:tcPr>
            <w:tcW w:w="48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质量、进度、安全的保障体系应健全，主要措施应明确。</w:t>
            </w:r>
          </w:p>
        </w:tc>
        <w:tc>
          <w:tcPr>
            <w:tcW w:w="31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健全明确5分，基本健全明确1-4分，无内容0分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5</w:t>
            </w:r>
          </w:p>
        </w:tc>
      </w:tr>
      <w:tr>
        <w:tblPrEx>
          <w:tblCellMar>
            <w:top w:w="0" w:type="dxa"/>
            <w:left w:w="108" w:type="dxa"/>
            <w:bottom w:w="0" w:type="dxa"/>
            <w:right w:w="108" w:type="dxa"/>
          </w:tblCellMar>
        </w:tblPrEx>
        <w:trPr>
          <w:trHeight w:val="315" w:hRule="atLeast"/>
        </w:trPr>
        <w:tc>
          <w:tcPr>
            <w:tcW w:w="854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cs="仿宋"/>
                <w:b/>
                <w:bCs/>
                <w:color w:val="auto"/>
                <w:sz w:val="20"/>
                <w:szCs w:val="20"/>
              </w:rPr>
            </w:pPr>
            <w:r>
              <w:rPr>
                <w:rFonts w:hint="eastAsia" w:ascii="仿宋" w:hAnsi="仿宋" w:eastAsia="仿宋" w:cs="仿宋"/>
                <w:b/>
                <w:bCs/>
                <w:color w:val="auto"/>
                <w:kern w:val="0"/>
                <w:sz w:val="20"/>
                <w:szCs w:val="20"/>
              </w:rPr>
              <w:t>总得分V</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70</w:t>
            </w:r>
          </w:p>
        </w:tc>
      </w:tr>
    </w:tbl>
    <w:p>
      <w:pPr>
        <w:tabs>
          <w:tab w:val="right" w:pos="9213"/>
        </w:tabs>
        <w:jc w:val="center"/>
        <w:rPr>
          <w:rFonts w:ascii="仿宋" w:hAnsi="仿宋" w:eastAsia="仿宋" w:cs="仿宋"/>
          <w:b/>
          <w:color w:val="auto"/>
          <w:sz w:val="24"/>
          <w:szCs w:val="20"/>
        </w:rPr>
      </w:pPr>
      <w:r>
        <w:rPr>
          <w:rFonts w:hint="eastAsia"/>
          <w:color w:val="auto"/>
        </w:rPr>
        <w:br w:type="page"/>
      </w:r>
    </w:p>
    <w:p>
      <w:pPr>
        <w:tabs>
          <w:tab w:val="right" w:pos="9213"/>
        </w:tabs>
        <w:jc w:val="center"/>
        <w:rPr>
          <w:rFonts w:ascii="仿宋" w:hAnsi="仿宋" w:eastAsia="仿宋" w:cs="仿宋"/>
          <w:b/>
          <w:color w:val="auto"/>
          <w:sz w:val="24"/>
          <w:szCs w:val="20"/>
        </w:rPr>
      </w:pPr>
      <w:bookmarkStart w:id="258" w:name="_Toc32741"/>
      <w:bookmarkStart w:id="259" w:name="_Toc4943"/>
      <w:bookmarkStart w:id="260" w:name="_Toc18406"/>
      <w:bookmarkStart w:id="261" w:name="_Toc32388"/>
      <w:bookmarkStart w:id="262" w:name="_Toc1538"/>
      <w:r>
        <w:rPr>
          <w:rFonts w:hint="eastAsia" w:ascii="仿宋" w:hAnsi="仿宋" w:eastAsia="仿宋" w:cs="仿宋"/>
          <w:b/>
          <w:color w:val="auto"/>
          <w:sz w:val="24"/>
          <w:szCs w:val="20"/>
        </w:rPr>
        <w:t>报价评分表</w:t>
      </w:r>
      <w:bookmarkEnd w:id="258"/>
      <w:bookmarkEnd w:id="259"/>
      <w:bookmarkEnd w:id="260"/>
      <w:bookmarkEnd w:id="261"/>
      <w:bookmarkEnd w:id="262"/>
    </w:p>
    <w:p>
      <w:pPr>
        <w:pStyle w:val="25"/>
        <w:rPr>
          <w:color w:val="auto"/>
        </w:rPr>
      </w:pPr>
    </w:p>
    <w:tbl>
      <w:tblPr>
        <w:tblStyle w:val="3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vAlign w:val="center"/>
          </w:tcPr>
          <w:p>
            <w:pPr>
              <w:jc w:val="center"/>
              <w:rPr>
                <w:rFonts w:ascii="仿宋" w:hAnsi="仿宋" w:eastAsia="仿宋" w:cs="仿宋"/>
                <w:color w:val="auto"/>
              </w:rPr>
            </w:pPr>
            <w:r>
              <w:rPr>
                <w:rFonts w:hint="eastAsia" w:ascii="仿宋" w:hAnsi="仿宋" w:eastAsia="仿宋" w:cs="仿宋"/>
                <w:color w:val="auto"/>
              </w:rPr>
              <w:t>报价评审</w:t>
            </w:r>
          </w:p>
        </w:tc>
        <w:tc>
          <w:tcPr>
            <w:tcW w:w="681" w:type="dxa"/>
            <w:vAlign w:val="center"/>
          </w:tcPr>
          <w:p>
            <w:pPr>
              <w:jc w:val="center"/>
              <w:rPr>
                <w:rFonts w:ascii="仿宋" w:hAnsi="仿宋" w:eastAsia="仿宋" w:cs="仿宋"/>
                <w:color w:val="auto"/>
              </w:rPr>
            </w:pPr>
            <w:r>
              <w:rPr>
                <w:rFonts w:hint="eastAsia" w:ascii="仿宋" w:hAnsi="仿宋" w:eastAsia="仿宋" w:cs="仿宋"/>
                <w:color w:val="auto"/>
              </w:rPr>
              <w:t>10</w:t>
            </w:r>
          </w:p>
        </w:tc>
        <w:tc>
          <w:tcPr>
            <w:tcW w:w="6698" w:type="dxa"/>
            <w:vAlign w:val="center"/>
          </w:tcPr>
          <w:p>
            <w:pPr>
              <w:spacing w:line="440" w:lineRule="exact"/>
              <w:rPr>
                <w:rFonts w:ascii="仿宋" w:hAnsi="仿宋" w:eastAsia="仿宋" w:cs="仿宋"/>
                <w:color w:val="auto"/>
              </w:rPr>
            </w:pPr>
            <w:r>
              <w:rPr>
                <w:rFonts w:hint="eastAsia" w:ascii="仿宋" w:hAnsi="仿宋" w:eastAsia="仿宋" w:cs="仿宋"/>
                <w:color w:val="auto"/>
              </w:rPr>
              <w:t>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计算分数时四舍五入取小数点后两位。由监标人员负责核准每个合格供应商的价格得分。（注：若报价单位为中小企业，其投标报价扣除10%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44" w:type="dxa"/>
            <w:gridSpan w:val="2"/>
            <w:vAlign w:val="center"/>
          </w:tcPr>
          <w:p>
            <w:pPr>
              <w:jc w:val="center"/>
              <w:rPr>
                <w:rFonts w:ascii="仿宋" w:hAnsi="仿宋" w:eastAsia="仿宋" w:cs="仿宋"/>
                <w:color w:val="auto"/>
              </w:rPr>
            </w:pPr>
            <w:r>
              <w:rPr>
                <w:rFonts w:hint="eastAsia" w:ascii="仿宋" w:hAnsi="仿宋" w:eastAsia="仿宋" w:cs="仿宋"/>
                <w:color w:val="auto"/>
              </w:rPr>
              <w:t>报价分合计</w:t>
            </w:r>
          </w:p>
        </w:tc>
        <w:tc>
          <w:tcPr>
            <w:tcW w:w="6698" w:type="dxa"/>
            <w:vAlign w:val="center"/>
          </w:tcPr>
          <w:p>
            <w:pPr>
              <w:jc w:val="center"/>
              <w:rPr>
                <w:rFonts w:ascii="仿宋" w:hAnsi="仿宋" w:eastAsia="仿宋" w:cs="仿宋"/>
                <w:color w:val="auto"/>
              </w:rPr>
            </w:pPr>
            <w:r>
              <w:rPr>
                <w:rFonts w:hint="eastAsia" w:ascii="仿宋" w:hAnsi="仿宋" w:eastAsia="仿宋" w:cs="仿宋"/>
                <w:color w:val="auto"/>
              </w:rPr>
              <w:t>10</w:t>
            </w:r>
          </w:p>
        </w:tc>
      </w:tr>
    </w:tbl>
    <w:p>
      <w:pPr>
        <w:spacing w:line="240" w:lineRule="atLeast"/>
        <w:jc w:val="center"/>
        <w:rPr>
          <w:rFonts w:ascii="仿宋" w:hAnsi="仿宋" w:eastAsia="仿宋" w:cs="仿宋"/>
          <w:b/>
          <w:bCs/>
          <w:color w:val="auto"/>
          <w:sz w:val="28"/>
          <w:szCs w:val="28"/>
        </w:rPr>
      </w:pPr>
    </w:p>
    <w:p>
      <w:pPr>
        <w:spacing w:line="240" w:lineRule="atLeast"/>
        <w:jc w:val="left"/>
        <w:outlineLvl w:val="1"/>
        <w:rPr>
          <w:rFonts w:ascii="楷体" w:hAnsi="楷体" w:eastAsia="楷体" w:cs="楷体"/>
          <w:b/>
          <w:color w:val="auto"/>
          <w:sz w:val="24"/>
        </w:rPr>
      </w:pPr>
      <w:r>
        <w:rPr>
          <w:rFonts w:hint="eastAsia" w:ascii="楷体" w:hAnsi="楷体" w:eastAsia="楷体" w:cs="楷体"/>
          <w:b/>
          <w:color w:val="auto"/>
          <w:sz w:val="24"/>
        </w:rPr>
        <w:br w:type="page"/>
      </w:r>
      <w:r>
        <w:rPr>
          <w:rFonts w:hint="eastAsia" w:ascii="楷体" w:hAnsi="楷体" w:eastAsia="楷体" w:cs="楷体"/>
          <w:b/>
          <w:color w:val="auto"/>
          <w:sz w:val="24"/>
        </w:rPr>
        <w:t>标项三、四、五、六评分标准</w:t>
      </w:r>
    </w:p>
    <w:p>
      <w:pPr>
        <w:tabs>
          <w:tab w:val="right" w:pos="9213"/>
        </w:tabs>
        <w:jc w:val="center"/>
        <w:rPr>
          <w:rFonts w:ascii="仿宋" w:hAnsi="仿宋" w:eastAsia="仿宋" w:cs="仿宋"/>
          <w:b/>
          <w:color w:val="auto"/>
          <w:sz w:val="24"/>
          <w:szCs w:val="20"/>
        </w:rPr>
      </w:pPr>
      <w:bookmarkStart w:id="263" w:name="_Toc17358"/>
      <w:bookmarkStart w:id="264" w:name="_Toc26151"/>
      <w:bookmarkStart w:id="265" w:name="_Toc1728"/>
      <w:r>
        <w:rPr>
          <w:rFonts w:hint="eastAsia" w:ascii="仿宋" w:hAnsi="仿宋" w:eastAsia="仿宋" w:cs="仿宋"/>
          <w:b/>
          <w:color w:val="auto"/>
          <w:sz w:val="24"/>
          <w:szCs w:val="20"/>
        </w:rPr>
        <w:t>商务评分表</w:t>
      </w:r>
      <w:bookmarkEnd w:id="263"/>
      <w:bookmarkEnd w:id="264"/>
      <w:bookmarkEnd w:id="265"/>
    </w:p>
    <w:p>
      <w:pPr>
        <w:pStyle w:val="26"/>
        <w:rPr>
          <w:color w:val="auto"/>
        </w:rPr>
      </w:pPr>
    </w:p>
    <w:tbl>
      <w:tblPr>
        <w:tblStyle w:val="37"/>
        <w:tblW w:w="9423" w:type="dxa"/>
        <w:tblInd w:w="0" w:type="dxa"/>
        <w:tblLayout w:type="fixed"/>
        <w:tblCellMar>
          <w:top w:w="0" w:type="dxa"/>
          <w:left w:w="108" w:type="dxa"/>
          <w:bottom w:w="0" w:type="dxa"/>
          <w:right w:w="108" w:type="dxa"/>
        </w:tblCellMar>
      </w:tblPr>
      <w:tblGrid>
        <w:gridCol w:w="457"/>
        <w:gridCol w:w="1340"/>
        <w:gridCol w:w="6745"/>
        <w:gridCol w:w="881"/>
      </w:tblGrid>
      <w:tr>
        <w:tblPrEx>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满分</w:t>
            </w:r>
          </w:p>
        </w:tc>
      </w:tr>
      <w:tr>
        <w:tblPrEx>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 w:val="24"/>
              </w:rPr>
            </w:pPr>
          </w:p>
        </w:tc>
        <w:tc>
          <w:tcPr>
            <w:tcW w:w="67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20分</w:t>
            </w:r>
          </w:p>
        </w:tc>
      </w:tr>
      <w:tr>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1</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送审材料</w:t>
            </w:r>
          </w:p>
        </w:tc>
        <w:tc>
          <w:tcPr>
            <w:tcW w:w="674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auto"/>
                <w:sz w:val="20"/>
                <w:szCs w:val="20"/>
              </w:rPr>
            </w:pPr>
            <w:r>
              <w:rPr>
                <w:rFonts w:hint="eastAsia" w:ascii="仿宋" w:hAnsi="仿宋" w:eastAsia="仿宋" w:cs="仿宋"/>
                <w:color w:val="auto"/>
                <w:kern w:val="0"/>
                <w:sz w:val="20"/>
                <w:szCs w:val="20"/>
              </w:rPr>
              <w:t>有独立的、按要求编制的商务标，得1分；有独立的商务标标书，但部分预算内容或资料混入其他标中但可审，扣0.1分；未单独编制商务标而在技术标中作为独立章节且可审，扣0.4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2</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适用表式</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表式正确且齐全1分；相应表号、项目名称、计量单位、技术条件等每缺一项扣0.1分，单表最大扣分0.2分。本项分值扣完为止。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3</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编制方法</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选用正确的工作项目、费用项目按规定顺序进行编制，逐级汇总全部正确得2分，每错（漏）一处扣0.2分。单表扣分不超过1分。本项分值扣完为止。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w:t>
            </w:r>
          </w:p>
        </w:tc>
      </w:tr>
      <w:tr>
        <w:tblPrEx>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4</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预算标准</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每错用预算标准1处扣0.5分，采用采购文件指定标准以外的标准又未作相应说明或使用标准明显不合理的，每处扣0.5分，本项分值扣完为止。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3</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5</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预算内容</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预算内容设置不重复、不扩大、不遗漏的得满分，每重复、扩大或遗漏1处扣0.5分，本项分值扣完为止。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4</w:t>
            </w:r>
          </w:p>
        </w:tc>
      </w:tr>
      <w:tr>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6</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计算和勾稽关系</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预算表内、表间数据勾稽关系完全正确得满分，每错1处扣0.1分，本项分值扣完为止。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1</w:t>
            </w:r>
          </w:p>
        </w:tc>
      </w:tr>
      <w:tr>
        <w:tblPrEx>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7</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与技术方案工作量平衡</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工作方法、工作部署、工作量布置及其他相关技术指标等与技术方案完全一致得满分，每错1处扣0.5分，本项分值扣完为止。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w:t>
            </w:r>
          </w:p>
        </w:tc>
      </w:tr>
      <w:tr>
        <w:tblPrEx>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8</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预算编制说明</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项目投标报价及承诺、项目概况、项目设计预算编制依据、工程方案内容及工作量情况、采用的费用标准和计算方法、工程技术指标分析及需要说明的问题等方面完整4分。其中：缺少项目投标报价及承诺扣1分；项目概况、项目设计预算编制依据、工程方案内容及工作量情况、采用的费用标准和计算方法、工程技术指标分析、需要说明的问题等6项，每缺一方面内容扣0.5分。每个方面内容不详细、不全面或不正确者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4</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主要工作业绩</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每提供近三年一项类似业绩并提供证明材料得0.2分，未提供证明材料不得分，本项最高得1分。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10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相关承诺</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承诺全面1分，基本全面0.5分，无承诺不得分。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 w:hAnsi="仿宋" w:eastAsia="仿宋" w:cs="仿宋"/>
                <w:b/>
                <w:bCs/>
                <w:color w:val="auto"/>
                <w:sz w:val="24"/>
              </w:rPr>
            </w:pPr>
            <w:r>
              <w:rPr>
                <w:rFonts w:hint="eastAsia" w:ascii="仿宋" w:hAnsi="仿宋" w:eastAsia="仿宋" w:cs="仿宋"/>
                <w:b/>
                <w:bCs/>
                <w:color w:val="auto"/>
                <w:kern w:val="0"/>
                <w:sz w:val="24"/>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20</w:t>
            </w:r>
          </w:p>
        </w:tc>
      </w:tr>
    </w:tbl>
    <w:p>
      <w:pPr>
        <w:spacing w:line="440" w:lineRule="exact"/>
        <w:jc w:val="center"/>
        <w:rPr>
          <w:rFonts w:ascii="仿宋" w:hAnsi="仿宋" w:eastAsia="仿宋" w:cs="仿宋"/>
          <w:color w:val="auto"/>
          <w:sz w:val="24"/>
        </w:rPr>
      </w:pPr>
      <w:r>
        <w:rPr>
          <w:rFonts w:hint="eastAsia" w:ascii="仿宋" w:hAnsi="仿宋" w:eastAsia="仿宋" w:cs="仿宋"/>
          <w:color w:val="auto"/>
          <w:sz w:val="24"/>
        </w:rPr>
        <w:br w:type="page"/>
      </w:r>
    </w:p>
    <w:p>
      <w:pPr>
        <w:tabs>
          <w:tab w:val="right" w:pos="9213"/>
        </w:tabs>
        <w:jc w:val="center"/>
        <w:rPr>
          <w:rFonts w:ascii="仿宋" w:hAnsi="仿宋" w:eastAsia="仿宋" w:cs="仿宋"/>
          <w:b/>
          <w:color w:val="auto"/>
          <w:sz w:val="24"/>
          <w:szCs w:val="20"/>
        </w:rPr>
      </w:pPr>
      <w:bookmarkStart w:id="266" w:name="_Toc19788"/>
      <w:bookmarkStart w:id="267" w:name="_Toc17451"/>
      <w:bookmarkStart w:id="268" w:name="_Toc8799"/>
      <w:r>
        <w:rPr>
          <w:rFonts w:hint="eastAsia" w:ascii="仿宋" w:hAnsi="仿宋" w:eastAsia="仿宋" w:cs="仿宋"/>
          <w:b/>
          <w:color w:val="auto"/>
          <w:sz w:val="24"/>
          <w:szCs w:val="20"/>
        </w:rPr>
        <w:t>技术评分表</w:t>
      </w:r>
      <w:bookmarkEnd w:id="266"/>
      <w:bookmarkEnd w:id="267"/>
      <w:bookmarkEnd w:id="268"/>
    </w:p>
    <w:tbl>
      <w:tblPr>
        <w:tblStyle w:val="37"/>
        <w:tblW w:w="9237" w:type="dxa"/>
        <w:tblInd w:w="0" w:type="dxa"/>
        <w:tblLayout w:type="fixed"/>
        <w:tblCellMar>
          <w:top w:w="0" w:type="dxa"/>
          <w:left w:w="0" w:type="dxa"/>
          <w:bottom w:w="0" w:type="dxa"/>
          <w:right w:w="0" w:type="dxa"/>
        </w:tblCellMar>
      </w:tblPr>
      <w:tblGrid>
        <w:gridCol w:w="576"/>
        <w:gridCol w:w="3766"/>
        <w:gridCol w:w="3760"/>
        <w:gridCol w:w="1135"/>
      </w:tblGrid>
      <w:tr>
        <w:trPr>
          <w:trHeight w:val="312" w:hRule="atLeast"/>
        </w:trPr>
        <w:tc>
          <w:tcPr>
            <w:tcW w:w="5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序号</w:t>
            </w:r>
          </w:p>
        </w:tc>
        <w:tc>
          <w:tcPr>
            <w:tcW w:w="376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评分内容</w:t>
            </w:r>
          </w:p>
        </w:tc>
        <w:tc>
          <w:tcPr>
            <w:tcW w:w="37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评分标准</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满分</w:t>
            </w:r>
          </w:p>
        </w:tc>
      </w:tr>
      <w:tr>
        <w:tblPrEx>
          <w:tblCellMar>
            <w:top w:w="0" w:type="dxa"/>
            <w:left w:w="0" w:type="dxa"/>
            <w:bottom w:w="0" w:type="dxa"/>
            <w:right w:w="0" w:type="dxa"/>
          </w:tblCellMar>
        </w:tblPrEx>
        <w:trPr>
          <w:trHeight w:val="312" w:hRule="atLeast"/>
        </w:trPr>
        <w:tc>
          <w:tcPr>
            <w:tcW w:w="5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p>
        </w:tc>
        <w:tc>
          <w:tcPr>
            <w:tcW w:w="376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b/>
                <w:color w:val="auto"/>
                <w:sz w:val="24"/>
              </w:rPr>
            </w:pPr>
          </w:p>
        </w:tc>
        <w:tc>
          <w:tcPr>
            <w:tcW w:w="37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70分</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rPr>
              <w:t>1</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标书的完整性及与采购文件的响应性。</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完全响应和完整3.5分；部分未响应或不完整1.5-3分；未响应部分份额较大且不完整≤1分。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3.5</w:t>
            </w:r>
          </w:p>
        </w:tc>
      </w:tr>
      <w:tr>
        <w:tblPrEx>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rPr>
              <w:t>2</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施工设计目标任务、工作内容、工程布置、施工方案、工程量、进度安排的明确清晰程度及合理性；工作方法的可行性、技术要求的明确程度。</w:t>
            </w:r>
          </w:p>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施工设计图内容是否齐全；设计图规范、图面美观，设计参数标注是否齐全完整。</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施工设计目标任务、工作内容、工程布置、施工方案、工程量、进度安排明确合理0—7分；施工图设计齐全0－3.5分；设计指标明确，技术要求全面、明确0—3.5分；设计工作量与采购文件响应0－3.5分；设计图规范、图面美观，设计参数标注齐全完整0－3.5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21</w:t>
            </w:r>
          </w:p>
        </w:tc>
      </w:tr>
      <w:tr>
        <w:tblPrEx>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rPr>
              <w:t>3</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施工组织设计内容是否齐全完整；工作方法应与施工图设计相衔接，技术要求应符合当地实际，满足相关标准、规范，施工组织严密，附施工平面图。</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施工组织设计内容齐全完整0－3.5分；</w:t>
            </w:r>
          </w:p>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工作方法可行、技术要求明确，工作方法与施工图设计衔接0－7分；技术要求符合项目治理方案和实际，满足相关标准、规范，施工组织严密，并附施工平面图0－7分，安全施工0-1.5分，环保施工0-2分。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21</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rPr>
              <w:t>4</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预期成果的全面程度。</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预期成果包括治理效果和提交的成果资料全面3.5分；基本全面2-3分；不全面≤1分。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 xml:space="preserve"> 3.5</w:t>
            </w:r>
          </w:p>
        </w:tc>
      </w:tr>
      <w:tr>
        <w:tblPrEx>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rPr>
              <w:t>5</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组织管理、质量、进度、安全、环境的保障体系及主要措施。</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保障体系齐全、措施有效7分；保障体系基本齐全、措施基本有效3-6分；保障体系不健全≤2分。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r>
              <w:rPr>
                <w:rFonts w:hint="eastAsia" w:ascii="仿宋" w:hAnsi="仿宋" w:eastAsia="仿宋" w:cs="仿宋"/>
                <w:b/>
                <w:color w:val="auto"/>
                <w:sz w:val="24"/>
              </w:rPr>
              <w:t>7</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rPr>
              <w:t>6</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人员数量满足施工要求，工种齐全，人员专业结构配备合理。</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人员数量情况0—3分；工种搭配情况0—2分；专业结构情况0—2分。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r>
              <w:rPr>
                <w:rFonts w:hint="eastAsia" w:ascii="仿宋" w:hAnsi="仿宋" w:eastAsia="仿宋" w:cs="仿宋"/>
                <w:b/>
                <w:color w:val="auto"/>
                <w:sz w:val="24"/>
              </w:rPr>
              <w:t>7</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rPr>
              <w:t>7</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仪器、设备配置</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设备齐全且符合要求3.5分；设备较齐全2-3分；其他情况≤1分。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r>
              <w:rPr>
                <w:rFonts w:hint="eastAsia" w:ascii="仿宋" w:hAnsi="仿宋" w:eastAsia="仿宋" w:cs="仿宋"/>
                <w:b/>
                <w:color w:val="auto"/>
                <w:sz w:val="24"/>
              </w:rPr>
              <w:t>3.5</w:t>
            </w:r>
          </w:p>
        </w:tc>
      </w:tr>
      <w:tr>
        <w:tblPrEx>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rPr>
              <w:t>8</w:t>
            </w:r>
          </w:p>
        </w:tc>
        <w:tc>
          <w:tcPr>
            <w:tcW w:w="37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组织管理机构应健全，应建立领导小组。</w:t>
            </w:r>
          </w:p>
        </w:tc>
        <w:tc>
          <w:tcPr>
            <w:tcW w:w="37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健全明确3.5分，基本健全明确1-3分，无内容0分。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r>
              <w:rPr>
                <w:rFonts w:hint="eastAsia" w:ascii="仿宋" w:hAnsi="仿宋" w:eastAsia="仿宋" w:cs="仿宋"/>
                <w:b/>
                <w:color w:val="auto"/>
                <w:sz w:val="24"/>
              </w:rPr>
              <w:t>3.5</w:t>
            </w:r>
          </w:p>
        </w:tc>
      </w:tr>
      <w:tr>
        <w:tblPrEx>
          <w:tblCellMar>
            <w:top w:w="0" w:type="dxa"/>
            <w:left w:w="0" w:type="dxa"/>
            <w:bottom w:w="0" w:type="dxa"/>
            <w:right w:w="0" w:type="dxa"/>
          </w:tblCellMar>
        </w:tblPrEx>
        <w:trPr>
          <w:trHeight w:val="480" w:hRule="atLeast"/>
        </w:trPr>
        <w:tc>
          <w:tcPr>
            <w:tcW w:w="810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b/>
                <w:bCs/>
                <w:color w:val="auto"/>
                <w:kern w:val="0"/>
                <w:sz w:val="24"/>
              </w:rPr>
              <w:t>总得分V</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r>
              <w:rPr>
                <w:rFonts w:hint="eastAsia" w:ascii="仿宋" w:hAnsi="仿宋" w:eastAsia="仿宋" w:cs="仿宋"/>
                <w:b/>
                <w:color w:val="auto"/>
                <w:sz w:val="24"/>
              </w:rPr>
              <w:t>70</w:t>
            </w:r>
          </w:p>
        </w:tc>
      </w:tr>
    </w:tbl>
    <w:p>
      <w:pPr>
        <w:pStyle w:val="25"/>
        <w:rPr>
          <w:rFonts w:ascii="仿宋" w:hAnsi="仿宋" w:eastAsia="仿宋" w:cs="仿宋"/>
          <w:color w:val="auto"/>
        </w:rPr>
      </w:pPr>
    </w:p>
    <w:p>
      <w:pPr>
        <w:rPr>
          <w:color w:val="auto"/>
        </w:rPr>
      </w:pPr>
    </w:p>
    <w:p>
      <w:pPr>
        <w:rPr>
          <w:color w:val="auto"/>
        </w:rPr>
      </w:pPr>
    </w:p>
    <w:p>
      <w:pPr>
        <w:tabs>
          <w:tab w:val="right" w:pos="9213"/>
        </w:tabs>
        <w:jc w:val="center"/>
        <w:rPr>
          <w:color w:val="auto"/>
        </w:rPr>
      </w:pPr>
      <w:r>
        <w:rPr>
          <w:rFonts w:hint="eastAsia"/>
          <w:color w:val="auto"/>
        </w:rPr>
        <w:br w:type="page"/>
      </w:r>
    </w:p>
    <w:p>
      <w:pPr>
        <w:tabs>
          <w:tab w:val="right" w:pos="9213"/>
        </w:tabs>
        <w:jc w:val="center"/>
        <w:rPr>
          <w:rFonts w:ascii="仿宋" w:hAnsi="仿宋" w:eastAsia="仿宋" w:cs="仿宋"/>
          <w:b/>
          <w:color w:val="auto"/>
          <w:sz w:val="24"/>
          <w:szCs w:val="20"/>
        </w:rPr>
      </w:pPr>
      <w:bookmarkStart w:id="269" w:name="_Toc20213"/>
      <w:r>
        <w:rPr>
          <w:rFonts w:hint="eastAsia" w:ascii="仿宋" w:hAnsi="仿宋" w:eastAsia="仿宋" w:cs="仿宋"/>
          <w:b/>
          <w:color w:val="auto"/>
          <w:sz w:val="24"/>
          <w:szCs w:val="20"/>
        </w:rPr>
        <w:t>报价评分表</w:t>
      </w:r>
      <w:bookmarkEnd w:id="269"/>
    </w:p>
    <w:p>
      <w:pPr>
        <w:pStyle w:val="25"/>
        <w:rPr>
          <w:color w:val="auto"/>
        </w:rPr>
      </w:pPr>
    </w:p>
    <w:tbl>
      <w:tblPr>
        <w:tblStyle w:val="3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vAlign w:val="center"/>
          </w:tcPr>
          <w:p>
            <w:pPr>
              <w:jc w:val="center"/>
              <w:rPr>
                <w:rFonts w:ascii="仿宋" w:hAnsi="仿宋" w:eastAsia="仿宋" w:cs="仿宋"/>
                <w:color w:val="auto"/>
              </w:rPr>
            </w:pPr>
            <w:r>
              <w:rPr>
                <w:rFonts w:hint="eastAsia" w:ascii="仿宋" w:hAnsi="仿宋" w:eastAsia="仿宋" w:cs="仿宋"/>
                <w:color w:val="auto"/>
              </w:rPr>
              <w:t>报价评审</w:t>
            </w:r>
          </w:p>
        </w:tc>
        <w:tc>
          <w:tcPr>
            <w:tcW w:w="681" w:type="dxa"/>
            <w:vAlign w:val="center"/>
          </w:tcPr>
          <w:p>
            <w:pPr>
              <w:jc w:val="center"/>
              <w:rPr>
                <w:rFonts w:ascii="仿宋" w:hAnsi="仿宋" w:eastAsia="仿宋" w:cs="仿宋"/>
                <w:color w:val="auto"/>
              </w:rPr>
            </w:pPr>
            <w:r>
              <w:rPr>
                <w:rFonts w:hint="eastAsia" w:ascii="仿宋" w:hAnsi="仿宋" w:eastAsia="仿宋" w:cs="仿宋"/>
                <w:color w:val="auto"/>
              </w:rPr>
              <w:t>10</w:t>
            </w:r>
          </w:p>
        </w:tc>
        <w:tc>
          <w:tcPr>
            <w:tcW w:w="6698" w:type="dxa"/>
            <w:vAlign w:val="center"/>
          </w:tcPr>
          <w:p>
            <w:pPr>
              <w:spacing w:line="440" w:lineRule="exact"/>
              <w:rPr>
                <w:rFonts w:ascii="仿宋" w:hAnsi="仿宋" w:eastAsia="仿宋" w:cs="仿宋"/>
                <w:color w:val="auto"/>
              </w:rPr>
            </w:pPr>
            <w:r>
              <w:rPr>
                <w:rFonts w:hint="eastAsia" w:ascii="仿宋" w:hAnsi="仿宋" w:eastAsia="仿宋" w:cs="仿宋"/>
                <w:color w:val="auto"/>
              </w:rPr>
              <w:t>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计算分数时四舍五入取小数点后两位。由监标人员负责核准每个合格供应商的价格得分。（注：若报价单位为中小企业，其投标报价扣除10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44" w:type="dxa"/>
            <w:gridSpan w:val="2"/>
            <w:vAlign w:val="center"/>
          </w:tcPr>
          <w:p>
            <w:pPr>
              <w:jc w:val="center"/>
              <w:rPr>
                <w:rFonts w:ascii="仿宋" w:hAnsi="仿宋" w:eastAsia="仿宋" w:cs="仿宋"/>
                <w:color w:val="auto"/>
              </w:rPr>
            </w:pPr>
            <w:r>
              <w:rPr>
                <w:rFonts w:hint="eastAsia" w:ascii="仿宋" w:hAnsi="仿宋" w:eastAsia="仿宋" w:cs="仿宋"/>
                <w:color w:val="auto"/>
              </w:rPr>
              <w:t>报价分合计</w:t>
            </w:r>
          </w:p>
        </w:tc>
        <w:tc>
          <w:tcPr>
            <w:tcW w:w="6698" w:type="dxa"/>
            <w:vAlign w:val="center"/>
          </w:tcPr>
          <w:p>
            <w:pPr>
              <w:jc w:val="center"/>
              <w:rPr>
                <w:rFonts w:ascii="仿宋" w:hAnsi="仿宋" w:eastAsia="仿宋" w:cs="仿宋"/>
                <w:color w:val="auto"/>
              </w:rPr>
            </w:pPr>
            <w:r>
              <w:rPr>
                <w:rFonts w:hint="eastAsia" w:ascii="仿宋" w:hAnsi="仿宋" w:eastAsia="仿宋" w:cs="仿宋"/>
                <w:color w:val="auto"/>
              </w:rPr>
              <w:t>10</w:t>
            </w:r>
          </w:p>
        </w:tc>
      </w:tr>
    </w:tbl>
    <w:p>
      <w:pPr>
        <w:rPr>
          <w:rFonts w:ascii="楷体" w:hAnsi="楷体" w:eastAsia="楷体" w:cs="楷体"/>
          <w:b/>
          <w:color w:val="auto"/>
          <w:sz w:val="24"/>
        </w:rPr>
      </w:pPr>
      <w:r>
        <w:rPr>
          <w:rFonts w:hint="eastAsia" w:ascii="楷体" w:hAnsi="楷体" w:eastAsia="楷体" w:cs="楷体"/>
          <w:b/>
          <w:color w:val="auto"/>
          <w:sz w:val="24"/>
        </w:rPr>
        <w:br w:type="page"/>
      </w:r>
    </w:p>
    <w:p>
      <w:pPr>
        <w:spacing w:line="240" w:lineRule="atLeast"/>
        <w:jc w:val="left"/>
        <w:outlineLvl w:val="1"/>
        <w:rPr>
          <w:rFonts w:ascii="楷体" w:hAnsi="楷体" w:eastAsia="楷体" w:cs="楷体"/>
          <w:b/>
          <w:color w:val="auto"/>
          <w:sz w:val="24"/>
        </w:rPr>
      </w:pPr>
      <w:r>
        <w:rPr>
          <w:rFonts w:hint="eastAsia" w:ascii="楷体" w:hAnsi="楷体" w:eastAsia="楷体" w:cs="楷体"/>
          <w:b/>
          <w:color w:val="auto"/>
          <w:sz w:val="24"/>
        </w:rPr>
        <w:t>标项七评分标准</w:t>
      </w:r>
    </w:p>
    <w:p>
      <w:pPr>
        <w:tabs>
          <w:tab w:val="right" w:pos="9213"/>
        </w:tabs>
        <w:jc w:val="center"/>
        <w:rPr>
          <w:rFonts w:ascii="仿宋" w:hAnsi="仿宋" w:eastAsia="仿宋" w:cs="仿宋"/>
          <w:b/>
          <w:color w:val="auto"/>
          <w:sz w:val="24"/>
          <w:szCs w:val="20"/>
        </w:rPr>
      </w:pPr>
      <w:bookmarkStart w:id="270" w:name="_Toc20946"/>
      <w:r>
        <w:rPr>
          <w:rFonts w:hint="eastAsia" w:ascii="仿宋" w:hAnsi="仿宋" w:eastAsia="仿宋" w:cs="仿宋"/>
          <w:b/>
          <w:color w:val="auto"/>
          <w:sz w:val="24"/>
          <w:szCs w:val="20"/>
        </w:rPr>
        <w:t>商务评分表</w:t>
      </w:r>
      <w:bookmarkEnd w:id="270"/>
    </w:p>
    <w:tbl>
      <w:tblPr>
        <w:tblStyle w:val="37"/>
        <w:tblW w:w="9423" w:type="dxa"/>
        <w:tblInd w:w="0" w:type="dxa"/>
        <w:tblLayout w:type="fixed"/>
        <w:tblCellMar>
          <w:top w:w="0" w:type="dxa"/>
          <w:left w:w="108" w:type="dxa"/>
          <w:bottom w:w="0" w:type="dxa"/>
          <w:right w:w="108" w:type="dxa"/>
        </w:tblCellMar>
      </w:tblPr>
      <w:tblGrid>
        <w:gridCol w:w="457"/>
        <w:gridCol w:w="1340"/>
        <w:gridCol w:w="6745"/>
        <w:gridCol w:w="881"/>
      </w:tblGrid>
      <w:tr>
        <w:tblPrEx>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满分</w:t>
            </w:r>
          </w:p>
        </w:tc>
      </w:tr>
      <w:tr>
        <w:tblPrEx>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 w:val="24"/>
              </w:rPr>
            </w:pPr>
          </w:p>
        </w:tc>
        <w:tc>
          <w:tcPr>
            <w:tcW w:w="67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20分</w:t>
            </w:r>
          </w:p>
        </w:tc>
      </w:tr>
      <w:tr>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1</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送审材料</w:t>
            </w:r>
          </w:p>
        </w:tc>
        <w:tc>
          <w:tcPr>
            <w:tcW w:w="674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auto"/>
                <w:sz w:val="20"/>
                <w:szCs w:val="20"/>
              </w:rPr>
            </w:pPr>
            <w:r>
              <w:rPr>
                <w:rFonts w:hint="eastAsia" w:ascii="仿宋" w:hAnsi="仿宋" w:eastAsia="仿宋" w:cs="仿宋"/>
                <w:color w:val="auto"/>
                <w:kern w:val="0"/>
                <w:sz w:val="20"/>
                <w:szCs w:val="20"/>
              </w:rPr>
              <w:t>有独立的、按要求编制的商务标，得1分；有独立的商务标标书，但部分预算内容或资料混入其他标中但可审，扣0.1分；未单独编制商务标而在技术标中作为独立章节且可审，扣0.4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2</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适用表式</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表式正确且齐全1分；相应表号、项目名称、计量单位、技术条件等每缺一项扣0.1分，单表最大扣分0.2分。本项分值扣完为止。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3</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编制方法</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选用正确的工作项目、费用项目按规定顺序进行编制，逐级汇总全部正确得2分，每错（漏）一处扣0.2分。单表扣分不超过1分。本项分值扣完为止。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w:t>
            </w:r>
          </w:p>
        </w:tc>
      </w:tr>
      <w:tr>
        <w:tblPrEx>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4</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预算标准</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每错用预算标准1处扣0.5分，采用采购文件指定标准以外的标准又未作相应说明或使用标准明显不合理的，每处扣0.5分，本项分值扣完为止。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3</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5</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预算内容</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预算内容设置不重复、不扩大、不遗漏的得满分，每重复、扩大或遗漏1处扣0.5分，本项分值扣完为止。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4</w:t>
            </w:r>
          </w:p>
        </w:tc>
      </w:tr>
      <w:tr>
        <w:tblPrEx>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6</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计算和勾稽关系</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预算表内、表间数据勾稽关系完全正确得满分，每错1处扣0.1分，本项分值扣完为止。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1</w:t>
            </w:r>
          </w:p>
        </w:tc>
      </w:tr>
      <w:tr>
        <w:tblPrEx>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7</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与技术方案工作量平衡</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工作方法、工作部署、工作量布置及其他相关技术指标等与技术方案完全一致得满分，每错1处扣0.5分，本项分值扣完为止。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w:t>
            </w:r>
          </w:p>
        </w:tc>
      </w:tr>
      <w:tr>
        <w:tblPrEx>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8</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预算编制说明</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项目投标报价及承诺、项目概况、项目设计预算编制依据、工程方案内容及工作量情况、采用的费用标准和计算方法、工程技术指标分析及需要说明的问题等方面完整4分。其中：缺少项目投标报价及承诺扣1分；项目概况、项目设计预算编制依据、工程方案内容及工作量情况、采用的费用标准和计算方法、工程技术指标分析、需要说明的问题等6项，每缺一方面内容扣0.5分。每个方面内容不详细、不全面或不正确者扣0.1分。本项分值扣完为止。</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4</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主要工作业绩</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每提供近三年一项类似业绩并提供证明材料得0.2分，未提供证明材料不得分，本项最高得1分。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10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相关承诺</w:t>
            </w:r>
          </w:p>
        </w:tc>
        <w:tc>
          <w:tcPr>
            <w:tcW w:w="67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承诺全面1分，基本全面0.5分，无承诺不得分。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 w:hAnsi="仿宋" w:eastAsia="仿宋" w:cs="仿宋"/>
                <w:b/>
                <w:bCs/>
                <w:color w:val="auto"/>
                <w:sz w:val="24"/>
              </w:rPr>
            </w:pPr>
            <w:r>
              <w:rPr>
                <w:rFonts w:hint="eastAsia" w:ascii="仿宋" w:hAnsi="仿宋" w:eastAsia="仿宋" w:cs="仿宋"/>
                <w:b/>
                <w:bCs/>
                <w:color w:val="auto"/>
                <w:kern w:val="0"/>
                <w:sz w:val="24"/>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20</w:t>
            </w:r>
          </w:p>
        </w:tc>
      </w:tr>
    </w:tbl>
    <w:p>
      <w:pPr>
        <w:pStyle w:val="26"/>
        <w:rPr>
          <w:color w:val="auto"/>
        </w:rPr>
      </w:pPr>
    </w:p>
    <w:p>
      <w:pPr>
        <w:spacing w:line="440" w:lineRule="exact"/>
        <w:jc w:val="center"/>
        <w:rPr>
          <w:rFonts w:ascii="仿宋" w:hAnsi="仿宋" w:eastAsia="仿宋" w:cs="仿宋"/>
          <w:color w:val="auto"/>
          <w:sz w:val="24"/>
        </w:rPr>
      </w:pPr>
      <w:r>
        <w:rPr>
          <w:rFonts w:hint="eastAsia" w:ascii="仿宋" w:hAnsi="仿宋" w:eastAsia="仿宋" w:cs="仿宋"/>
          <w:color w:val="auto"/>
          <w:sz w:val="24"/>
        </w:rPr>
        <w:br w:type="page"/>
      </w:r>
    </w:p>
    <w:p>
      <w:pPr>
        <w:tabs>
          <w:tab w:val="right" w:pos="9213"/>
        </w:tabs>
        <w:jc w:val="center"/>
        <w:rPr>
          <w:rFonts w:ascii="仿宋" w:hAnsi="仿宋" w:eastAsia="仿宋" w:cs="仿宋"/>
          <w:b/>
          <w:color w:val="auto"/>
          <w:sz w:val="24"/>
          <w:szCs w:val="20"/>
        </w:rPr>
      </w:pPr>
      <w:bookmarkStart w:id="271" w:name="_Toc32103"/>
      <w:r>
        <w:rPr>
          <w:rFonts w:hint="eastAsia" w:ascii="仿宋" w:hAnsi="仿宋" w:eastAsia="仿宋" w:cs="仿宋"/>
          <w:b/>
          <w:color w:val="auto"/>
          <w:sz w:val="24"/>
          <w:szCs w:val="20"/>
        </w:rPr>
        <w:t>技术评分表</w:t>
      </w:r>
      <w:bookmarkEnd w:id="271"/>
    </w:p>
    <w:tbl>
      <w:tblPr>
        <w:tblStyle w:val="37"/>
        <w:tblW w:w="9420" w:type="dxa"/>
        <w:tblInd w:w="0" w:type="dxa"/>
        <w:tblLayout w:type="fixed"/>
        <w:tblCellMar>
          <w:top w:w="0" w:type="dxa"/>
          <w:left w:w="108" w:type="dxa"/>
          <w:bottom w:w="0" w:type="dxa"/>
          <w:right w:w="108" w:type="dxa"/>
        </w:tblCellMar>
      </w:tblPr>
      <w:tblGrid>
        <w:gridCol w:w="457"/>
        <w:gridCol w:w="4224"/>
        <w:gridCol w:w="3858"/>
        <w:gridCol w:w="881"/>
      </w:tblGrid>
      <w:tr>
        <w:tblPrEx>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序号</w:t>
            </w:r>
          </w:p>
        </w:tc>
        <w:tc>
          <w:tcPr>
            <w:tcW w:w="42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评分内容</w:t>
            </w:r>
          </w:p>
        </w:tc>
        <w:tc>
          <w:tcPr>
            <w:tcW w:w="385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满分</w:t>
            </w:r>
          </w:p>
        </w:tc>
      </w:tr>
      <w:tr>
        <w:tblPrEx>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42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 w:val="24"/>
              </w:rPr>
            </w:pPr>
          </w:p>
        </w:tc>
        <w:tc>
          <w:tcPr>
            <w:tcW w:w="38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70分</w:t>
            </w:r>
          </w:p>
        </w:tc>
      </w:tr>
      <w:tr>
        <w:tblPrEx>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1</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编制依据说明清晰,且目标任务明确。</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完全符合要求3分；基本符合要求1-2分；不符合0分。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3</w:t>
            </w:r>
          </w:p>
        </w:tc>
      </w:tr>
      <w:tr>
        <w:tblPrEx>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2</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技术方案的规范性、完整性，对本项目设计目标和原则的响应程度。</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完全响应5-7分，部分响应要求1-4分，不响应0分。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7</w:t>
            </w:r>
          </w:p>
        </w:tc>
      </w:tr>
      <w:tr>
        <w:tblPrEx>
          <w:tblCellMar>
            <w:top w:w="0" w:type="dxa"/>
            <w:left w:w="108" w:type="dxa"/>
            <w:bottom w:w="0" w:type="dxa"/>
            <w:right w:w="108" w:type="dxa"/>
          </w:tblCellMar>
        </w:tblPrEx>
        <w:trPr>
          <w:trHeight w:val="20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3</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供应设备的技术条款、技术参数、技术指标、设备质保及其他指标完全满足本项目任务书要求。</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设备适宜监测对象3.5分，技术参数、指标和条款完全满足任务书要求10-14分，质保及其他指标完全满足3.5分；设备基本适宜监测对象1.5-3分，技术参数、指标和条款基本满足任务书要求5-9分，质保及其他指标基本满足1-2分；设备不适宜监测对象≤1分，技术参数、指标和条款完全不满足任务书要求0-4分，质保及其他指标不满足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21</w:t>
            </w:r>
          </w:p>
        </w:tc>
      </w:tr>
      <w:tr>
        <w:tblPrEx>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4</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基础施工、设备安装及设备管理完全满足本项目任务书要求。</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完全满足6-8分，部分满足1-5分，不满足0分。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8</w:t>
            </w:r>
          </w:p>
        </w:tc>
      </w:tr>
      <w:tr>
        <w:tblPrEx>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5</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设备安装完成后，是否对安装的所有监测仪器支架、防护网等进行接地电阻测试，达到防雷设计规范。并及时清理安装现场残余垃圾，保护环境。</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完全符合设计规范4分，部分符合1-3分，不符合0分。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w:t>
            </w:r>
          </w:p>
        </w:tc>
      </w:tr>
      <w:tr>
        <w:tblPrEx>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6</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绩效目标明确合理。</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绩效目标与任务书完全一致，量化指标不低于75%，5-7分；绩效目标与任务书基本一致，量化指标低于75%，2-4分；绩效目标与任务书不一致，0分。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7</w:t>
            </w:r>
          </w:p>
        </w:tc>
      </w:tr>
      <w:tr>
        <w:tblPrEx>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7</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预期成果应对提交的监测设备安装、调试记录表；各种野外工作照片；其他原始资料，包括设备清单、设备合格证、交接记录等予以明确。</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预期成果与招标任务书要求完全一致4分，基本一致1-3分，完全不一致0分。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w:t>
            </w:r>
          </w:p>
        </w:tc>
      </w:tr>
      <w:tr>
        <w:tblPrEx>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8</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val="zh-CN"/>
              </w:rPr>
              <w:t>组织管理机构、主要技术人员配备。</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管理机构健全明确、项目人员专业组成全面、分工合理4分，基本健全明确、基本全面、合理1-3分，无内容0分。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4</w:t>
            </w:r>
          </w:p>
        </w:tc>
      </w:tr>
      <w:tr>
        <w:tblPrEx>
          <w:tblCellMar>
            <w:top w:w="0" w:type="dxa"/>
            <w:left w:w="108" w:type="dxa"/>
            <w:bottom w:w="0" w:type="dxa"/>
            <w:right w:w="108" w:type="dxa"/>
          </w:tblCellMar>
        </w:tblPrEx>
        <w:trPr>
          <w:trHeight w:val="716"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9</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主要设备配置应齐备。</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符合项目技术要求、齐备4分，基本符合1-3分，不符合0分。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4</w:t>
            </w:r>
          </w:p>
        </w:tc>
      </w:tr>
      <w:tr>
        <w:tblPrEx>
          <w:tblCellMar>
            <w:top w:w="0" w:type="dxa"/>
            <w:left w:w="108" w:type="dxa"/>
            <w:bottom w:w="0" w:type="dxa"/>
            <w:right w:w="108" w:type="dxa"/>
          </w:tblCellMar>
        </w:tblPrEx>
        <w:trPr>
          <w:trHeight w:val="78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10</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工程实施计划、培训计划、售后服务计划的合理性和售后服务要求的响应程度。</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完全响应4分，部分响应1-3分，不响应0分。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w:t>
            </w:r>
          </w:p>
        </w:tc>
      </w:tr>
      <w:tr>
        <w:tblPrEx>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11</w:t>
            </w:r>
          </w:p>
        </w:tc>
        <w:tc>
          <w:tcPr>
            <w:tcW w:w="42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质量、进度、安全的保障体系应健全，主要措施应明确。</w:t>
            </w:r>
          </w:p>
        </w:tc>
        <w:tc>
          <w:tcPr>
            <w:tcW w:w="38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健全明确4分，基本健全明确1-3分，无内容0分。</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rPr>
              <w:t>4</w:t>
            </w:r>
          </w:p>
        </w:tc>
      </w:tr>
      <w:tr>
        <w:tblPrEx>
          <w:tblCellMar>
            <w:top w:w="0" w:type="dxa"/>
            <w:left w:w="108" w:type="dxa"/>
            <w:bottom w:w="0" w:type="dxa"/>
            <w:right w:w="108" w:type="dxa"/>
          </w:tblCellMar>
        </w:tblPrEx>
        <w:trPr>
          <w:trHeight w:val="478" w:hRule="atLeast"/>
        </w:trPr>
        <w:tc>
          <w:tcPr>
            <w:tcW w:w="853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b/>
                <w:bCs/>
                <w:color w:val="auto"/>
                <w:kern w:val="0"/>
                <w:sz w:val="24"/>
              </w:rPr>
              <w:t>总得分V</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70</w:t>
            </w:r>
          </w:p>
        </w:tc>
      </w:tr>
    </w:tbl>
    <w:p>
      <w:pPr>
        <w:tabs>
          <w:tab w:val="right" w:pos="9213"/>
        </w:tabs>
        <w:jc w:val="left"/>
        <w:rPr>
          <w:color w:val="auto"/>
        </w:rPr>
      </w:pPr>
      <w:r>
        <w:rPr>
          <w:rFonts w:hint="eastAsia"/>
          <w:color w:val="auto"/>
        </w:rPr>
        <w:tab/>
      </w:r>
    </w:p>
    <w:p>
      <w:pPr>
        <w:tabs>
          <w:tab w:val="right" w:pos="9213"/>
        </w:tabs>
        <w:rPr>
          <w:color w:val="auto"/>
        </w:rPr>
      </w:pPr>
    </w:p>
    <w:p>
      <w:pPr>
        <w:tabs>
          <w:tab w:val="right" w:pos="9213"/>
        </w:tabs>
        <w:jc w:val="center"/>
        <w:rPr>
          <w:rFonts w:ascii="仿宋" w:hAnsi="仿宋" w:eastAsia="仿宋" w:cs="仿宋"/>
          <w:b/>
          <w:color w:val="auto"/>
          <w:sz w:val="24"/>
          <w:szCs w:val="20"/>
        </w:rPr>
      </w:pPr>
      <w:bookmarkStart w:id="272" w:name="_Toc14508"/>
    </w:p>
    <w:p>
      <w:pPr>
        <w:tabs>
          <w:tab w:val="right" w:pos="9213"/>
        </w:tabs>
        <w:jc w:val="center"/>
        <w:rPr>
          <w:rFonts w:ascii="仿宋" w:hAnsi="仿宋" w:eastAsia="仿宋" w:cs="仿宋"/>
          <w:b/>
          <w:color w:val="auto"/>
          <w:sz w:val="24"/>
          <w:szCs w:val="20"/>
        </w:rPr>
      </w:pPr>
    </w:p>
    <w:p>
      <w:pPr>
        <w:tabs>
          <w:tab w:val="right" w:pos="9213"/>
        </w:tabs>
        <w:jc w:val="center"/>
        <w:rPr>
          <w:rFonts w:ascii="仿宋" w:hAnsi="仿宋" w:eastAsia="仿宋" w:cs="仿宋"/>
          <w:b/>
          <w:color w:val="auto"/>
          <w:sz w:val="24"/>
          <w:szCs w:val="20"/>
        </w:rPr>
      </w:pPr>
    </w:p>
    <w:p>
      <w:pPr>
        <w:pStyle w:val="25"/>
        <w:rPr>
          <w:rFonts w:ascii="仿宋" w:hAnsi="仿宋" w:eastAsia="仿宋" w:cs="仿宋"/>
          <w:b/>
          <w:color w:val="auto"/>
        </w:rPr>
      </w:pPr>
    </w:p>
    <w:p>
      <w:pPr>
        <w:pStyle w:val="25"/>
        <w:rPr>
          <w:rFonts w:ascii="仿宋" w:hAnsi="仿宋" w:eastAsia="仿宋" w:cs="仿宋"/>
          <w:b/>
          <w:color w:val="auto"/>
        </w:rPr>
      </w:pPr>
    </w:p>
    <w:p>
      <w:pPr>
        <w:pStyle w:val="25"/>
        <w:rPr>
          <w:rFonts w:ascii="仿宋" w:hAnsi="仿宋" w:eastAsia="仿宋" w:cs="仿宋"/>
          <w:b/>
          <w:color w:val="auto"/>
        </w:rPr>
      </w:pPr>
    </w:p>
    <w:p>
      <w:pPr>
        <w:pStyle w:val="25"/>
        <w:rPr>
          <w:rFonts w:ascii="仿宋" w:hAnsi="仿宋" w:eastAsia="仿宋" w:cs="仿宋"/>
          <w:b/>
          <w:color w:val="auto"/>
        </w:rPr>
      </w:pPr>
    </w:p>
    <w:p>
      <w:pPr>
        <w:tabs>
          <w:tab w:val="right" w:pos="9213"/>
        </w:tabs>
        <w:jc w:val="center"/>
        <w:rPr>
          <w:rFonts w:ascii="仿宋" w:hAnsi="仿宋" w:eastAsia="仿宋" w:cs="仿宋"/>
          <w:b/>
          <w:color w:val="auto"/>
          <w:sz w:val="24"/>
          <w:szCs w:val="20"/>
        </w:rPr>
      </w:pPr>
      <w:r>
        <w:rPr>
          <w:rFonts w:hint="eastAsia" w:ascii="仿宋" w:hAnsi="仿宋" w:eastAsia="仿宋" w:cs="仿宋"/>
          <w:b/>
          <w:color w:val="auto"/>
          <w:sz w:val="24"/>
          <w:szCs w:val="20"/>
        </w:rPr>
        <w:t>报价评分表</w:t>
      </w:r>
      <w:bookmarkEnd w:id="272"/>
    </w:p>
    <w:p>
      <w:pPr>
        <w:pStyle w:val="25"/>
        <w:rPr>
          <w:color w:val="auto"/>
        </w:rPr>
      </w:pPr>
    </w:p>
    <w:tbl>
      <w:tblPr>
        <w:tblStyle w:val="3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vAlign w:val="center"/>
          </w:tcPr>
          <w:p>
            <w:pPr>
              <w:jc w:val="center"/>
              <w:rPr>
                <w:rFonts w:ascii="仿宋" w:hAnsi="仿宋" w:eastAsia="仿宋" w:cs="仿宋"/>
                <w:color w:val="auto"/>
              </w:rPr>
            </w:pPr>
            <w:r>
              <w:rPr>
                <w:rFonts w:hint="eastAsia" w:ascii="仿宋" w:hAnsi="仿宋" w:eastAsia="仿宋" w:cs="仿宋"/>
                <w:color w:val="auto"/>
              </w:rPr>
              <w:t>报价评审</w:t>
            </w:r>
          </w:p>
        </w:tc>
        <w:tc>
          <w:tcPr>
            <w:tcW w:w="681" w:type="dxa"/>
            <w:vAlign w:val="center"/>
          </w:tcPr>
          <w:p>
            <w:pPr>
              <w:jc w:val="center"/>
              <w:rPr>
                <w:rFonts w:ascii="仿宋" w:hAnsi="仿宋" w:eastAsia="仿宋" w:cs="仿宋"/>
                <w:color w:val="auto"/>
              </w:rPr>
            </w:pPr>
            <w:r>
              <w:rPr>
                <w:rFonts w:hint="eastAsia" w:ascii="仿宋" w:hAnsi="仿宋" w:eastAsia="仿宋" w:cs="仿宋"/>
                <w:color w:val="auto"/>
              </w:rPr>
              <w:t>10</w:t>
            </w:r>
          </w:p>
        </w:tc>
        <w:tc>
          <w:tcPr>
            <w:tcW w:w="6698" w:type="dxa"/>
            <w:vAlign w:val="center"/>
          </w:tcPr>
          <w:p>
            <w:pPr>
              <w:spacing w:line="440" w:lineRule="exact"/>
              <w:rPr>
                <w:rFonts w:ascii="仿宋" w:hAnsi="仿宋" w:eastAsia="仿宋" w:cs="仿宋"/>
                <w:color w:val="auto"/>
              </w:rPr>
            </w:pPr>
            <w:r>
              <w:rPr>
                <w:rFonts w:hint="eastAsia" w:ascii="仿宋" w:hAnsi="仿宋" w:eastAsia="仿宋" w:cs="仿宋"/>
                <w:color w:val="auto"/>
              </w:rPr>
              <w:t>各供应商的价格得分的计算公式：采用低价优先法计算，即满足采购文件要求且投标价格最低的投标报价为评标基准价，其价格分为满分。其他供应商的价格分统一按照下列公式计算：投标报价得分=(评标基准价／投标报价)×价格权值；计算分数时四舍五入取小数点后两位。由监标人员负责核准每个合格供应商的价格得分。（注：若报价单位为中小企业，其投标报价扣除10%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44" w:type="dxa"/>
            <w:gridSpan w:val="2"/>
            <w:vAlign w:val="center"/>
          </w:tcPr>
          <w:p>
            <w:pPr>
              <w:jc w:val="center"/>
              <w:rPr>
                <w:rFonts w:ascii="仿宋" w:hAnsi="仿宋" w:eastAsia="仿宋" w:cs="仿宋"/>
                <w:color w:val="auto"/>
              </w:rPr>
            </w:pPr>
            <w:r>
              <w:rPr>
                <w:rFonts w:hint="eastAsia" w:ascii="仿宋" w:hAnsi="仿宋" w:eastAsia="仿宋" w:cs="仿宋"/>
                <w:color w:val="auto"/>
              </w:rPr>
              <w:t>报价分合计</w:t>
            </w:r>
          </w:p>
        </w:tc>
        <w:tc>
          <w:tcPr>
            <w:tcW w:w="6698" w:type="dxa"/>
            <w:vAlign w:val="center"/>
          </w:tcPr>
          <w:p>
            <w:pPr>
              <w:jc w:val="center"/>
              <w:rPr>
                <w:rFonts w:ascii="仿宋" w:hAnsi="仿宋" w:eastAsia="仿宋" w:cs="仿宋"/>
                <w:color w:val="auto"/>
              </w:rPr>
            </w:pPr>
            <w:r>
              <w:rPr>
                <w:rFonts w:hint="eastAsia" w:ascii="仿宋" w:hAnsi="仿宋" w:eastAsia="仿宋" w:cs="仿宋"/>
                <w:color w:val="auto"/>
              </w:rPr>
              <w:t>10</w:t>
            </w:r>
          </w:p>
        </w:tc>
      </w:tr>
    </w:tbl>
    <w:p>
      <w:pPr>
        <w:spacing w:line="240" w:lineRule="atLeast"/>
        <w:jc w:val="left"/>
        <w:rPr>
          <w:rFonts w:ascii="楷体" w:hAnsi="楷体" w:eastAsia="楷体" w:cs="楷体"/>
          <w:b/>
          <w:color w:val="auto"/>
          <w:sz w:val="24"/>
        </w:rPr>
      </w:pPr>
    </w:p>
    <w:p>
      <w:pPr>
        <w:tabs>
          <w:tab w:val="right" w:pos="9213"/>
        </w:tabs>
        <w:jc w:val="center"/>
        <w:rPr>
          <w:rFonts w:ascii="楷体" w:hAnsi="楷体" w:eastAsia="楷体" w:cs="楷体"/>
          <w:b/>
          <w:color w:val="auto"/>
          <w:sz w:val="24"/>
        </w:rPr>
      </w:pPr>
      <w:r>
        <w:rPr>
          <w:rFonts w:hint="eastAsia" w:ascii="楷体" w:hAnsi="楷体" w:eastAsia="楷体" w:cs="楷体"/>
          <w:b/>
          <w:color w:val="auto"/>
          <w:sz w:val="24"/>
        </w:rPr>
        <w:br w:type="page"/>
      </w:r>
    </w:p>
    <w:p>
      <w:pPr>
        <w:spacing w:line="240" w:lineRule="atLeast"/>
        <w:jc w:val="left"/>
        <w:outlineLvl w:val="1"/>
        <w:rPr>
          <w:rFonts w:ascii="楷体" w:hAnsi="楷体" w:eastAsia="楷体" w:cs="楷体"/>
          <w:b/>
          <w:color w:val="auto"/>
          <w:sz w:val="24"/>
        </w:rPr>
      </w:pPr>
      <w:r>
        <w:rPr>
          <w:rFonts w:hint="eastAsia" w:ascii="楷体" w:hAnsi="楷体" w:eastAsia="楷体" w:cs="楷体"/>
          <w:b/>
          <w:color w:val="auto"/>
          <w:sz w:val="24"/>
        </w:rPr>
        <w:t>标项八、九、十评分标准</w:t>
      </w:r>
    </w:p>
    <w:p>
      <w:pPr>
        <w:tabs>
          <w:tab w:val="right" w:pos="9213"/>
        </w:tabs>
        <w:jc w:val="center"/>
        <w:rPr>
          <w:rFonts w:ascii="楷体" w:hAnsi="楷体" w:eastAsia="楷体" w:cs="楷体"/>
          <w:b/>
          <w:color w:val="auto"/>
          <w:sz w:val="24"/>
        </w:rPr>
      </w:pPr>
    </w:p>
    <w:p>
      <w:pPr>
        <w:tabs>
          <w:tab w:val="right" w:pos="9213"/>
        </w:tabs>
        <w:jc w:val="center"/>
        <w:rPr>
          <w:rFonts w:ascii="仿宋" w:hAnsi="仿宋" w:eastAsia="仿宋" w:cs="仿宋"/>
          <w:b/>
          <w:color w:val="auto"/>
          <w:sz w:val="24"/>
          <w:szCs w:val="20"/>
        </w:rPr>
      </w:pPr>
      <w:r>
        <w:rPr>
          <w:rFonts w:hint="eastAsia" w:ascii="仿宋" w:hAnsi="仿宋" w:eastAsia="仿宋" w:cs="仿宋"/>
          <w:b/>
          <w:color w:val="auto"/>
          <w:sz w:val="24"/>
          <w:szCs w:val="20"/>
        </w:rPr>
        <w:t>商务评分表</w:t>
      </w:r>
    </w:p>
    <w:tbl>
      <w:tblPr>
        <w:tblStyle w:val="37"/>
        <w:tblW w:w="8550" w:type="dxa"/>
        <w:jc w:val="center"/>
        <w:tblLayout w:type="fixed"/>
        <w:tblCellMar>
          <w:top w:w="0" w:type="dxa"/>
          <w:left w:w="108" w:type="dxa"/>
          <w:bottom w:w="0" w:type="dxa"/>
          <w:right w:w="108" w:type="dxa"/>
        </w:tblCellMar>
      </w:tblPr>
      <w:tblGrid>
        <w:gridCol w:w="559"/>
        <w:gridCol w:w="1194"/>
        <w:gridCol w:w="6012"/>
        <w:gridCol w:w="785"/>
      </w:tblGrid>
      <w:tr>
        <w:tblPrEx>
          <w:tblCellMar>
            <w:top w:w="0" w:type="dxa"/>
            <w:left w:w="108" w:type="dxa"/>
            <w:bottom w:w="0" w:type="dxa"/>
            <w:right w:w="108" w:type="dxa"/>
          </w:tblCellMar>
        </w:tblPrEx>
        <w:trPr>
          <w:trHeight w:val="351" w:hRule="atLeast"/>
          <w:jc w:val="center"/>
        </w:trPr>
        <w:tc>
          <w:tcPr>
            <w:tcW w:w="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序号</w:t>
            </w:r>
          </w:p>
        </w:tc>
        <w:tc>
          <w:tcPr>
            <w:tcW w:w="11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评分内容</w:t>
            </w:r>
          </w:p>
        </w:tc>
        <w:tc>
          <w:tcPr>
            <w:tcW w:w="60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评分标准</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满分</w:t>
            </w:r>
          </w:p>
        </w:tc>
      </w:tr>
      <w:tr>
        <w:tblPrEx>
          <w:tblCellMar>
            <w:top w:w="0" w:type="dxa"/>
            <w:left w:w="108" w:type="dxa"/>
            <w:bottom w:w="0" w:type="dxa"/>
            <w:right w:w="108" w:type="dxa"/>
          </w:tblCellMar>
        </w:tblPrEx>
        <w:trPr>
          <w:trHeight w:val="351" w:hRule="atLeast"/>
          <w:jc w:val="center"/>
        </w:trPr>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11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color w:val="auto"/>
                <w:sz w:val="24"/>
              </w:rPr>
            </w:pPr>
          </w:p>
        </w:tc>
        <w:tc>
          <w:tcPr>
            <w:tcW w:w="60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auto"/>
                <w:sz w:val="24"/>
              </w:rPr>
            </w:pP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20分</w:t>
            </w:r>
          </w:p>
        </w:tc>
      </w:tr>
      <w:tr>
        <w:tblPrEx>
          <w:tblCellMar>
            <w:top w:w="0" w:type="dxa"/>
            <w:left w:w="108" w:type="dxa"/>
            <w:bottom w:w="0" w:type="dxa"/>
            <w:right w:w="108" w:type="dxa"/>
          </w:tblCellMar>
        </w:tblPrEx>
        <w:trPr>
          <w:trHeight w:val="1125"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1</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送审材料</w:t>
            </w:r>
          </w:p>
        </w:tc>
        <w:tc>
          <w:tcPr>
            <w:tcW w:w="6012"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auto"/>
                <w:sz w:val="20"/>
                <w:szCs w:val="20"/>
              </w:rPr>
            </w:pPr>
            <w:r>
              <w:rPr>
                <w:rFonts w:hint="eastAsia" w:ascii="仿宋" w:hAnsi="仿宋" w:eastAsia="仿宋" w:cs="仿宋"/>
                <w:color w:val="auto"/>
                <w:kern w:val="0"/>
                <w:sz w:val="20"/>
                <w:szCs w:val="20"/>
              </w:rPr>
              <w:t>有独立的、按要求编制的商务标，得1分；有独立的商务标标书，但部分预算内容或资料混入其他标中但可审，扣0.1分；未单独编制商务标而在技术标中作为独立章节且可审，扣0.4分；没有商务标或实质性内容的为0分，且以下各项均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623"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2</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适用表式</w:t>
            </w:r>
          </w:p>
        </w:tc>
        <w:tc>
          <w:tcPr>
            <w:tcW w:w="60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表式正确且齐全1分；相应表号、项目名称、计量单位、技术条件等每缺一项扣0.1分，单表最大扣分0.2分。本项分值扣完为止。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689"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3</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编制方法</w:t>
            </w:r>
          </w:p>
        </w:tc>
        <w:tc>
          <w:tcPr>
            <w:tcW w:w="60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选用正确的工作项目、费用项目按规定顺序进行编制，逐级汇总全部正确得2分，每错（漏）一处扣0.2分。单表扣分不超过1分。本项分值扣完为止。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w:t>
            </w:r>
          </w:p>
        </w:tc>
      </w:tr>
      <w:tr>
        <w:tblPrEx>
          <w:tblCellMar>
            <w:top w:w="0" w:type="dxa"/>
            <w:left w:w="108" w:type="dxa"/>
            <w:bottom w:w="0" w:type="dxa"/>
            <w:right w:w="108" w:type="dxa"/>
          </w:tblCellMar>
        </w:tblPrEx>
        <w:trPr>
          <w:trHeight w:val="645"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4</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预算标准</w:t>
            </w:r>
          </w:p>
        </w:tc>
        <w:tc>
          <w:tcPr>
            <w:tcW w:w="60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每错用预算标准1处扣0.5分，采用采购文件指定标准以外的标准又未作相应说明或使用标准明显不合理的，每处扣0.5分，本项分值扣完为止。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3</w:t>
            </w:r>
          </w:p>
        </w:tc>
      </w:tr>
      <w:tr>
        <w:tblPrEx>
          <w:tblCellMar>
            <w:top w:w="0" w:type="dxa"/>
            <w:left w:w="108" w:type="dxa"/>
            <w:bottom w:w="0" w:type="dxa"/>
            <w:right w:w="108" w:type="dxa"/>
          </w:tblCellMar>
        </w:tblPrEx>
        <w:trPr>
          <w:trHeight w:val="623"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5</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预算内容</w:t>
            </w:r>
          </w:p>
        </w:tc>
        <w:tc>
          <w:tcPr>
            <w:tcW w:w="60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预算内容设置不重复、不扩大、不遗漏的得满分，每重复、扩大或遗漏1处扣0.5分，本项分值扣完为止。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4</w:t>
            </w:r>
          </w:p>
        </w:tc>
      </w:tr>
      <w:tr>
        <w:tblPrEx>
          <w:tblCellMar>
            <w:top w:w="0" w:type="dxa"/>
            <w:left w:w="108" w:type="dxa"/>
            <w:bottom w:w="0" w:type="dxa"/>
            <w:right w:w="108" w:type="dxa"/>
          </w:tblCellMar>
        </w:tblPrEx>
        <w:trPr>
          <w:trHeight w:val="577"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6</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计算和勾稽关系</w:t>
            </w:r>
          </w:p>
        </w:tc>
        <w:tc>
          <w:tcPr>
            <w:tcW w:w="60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预算表内、表间数据勾稽关系完全正确得满分，每错1处扣0.1分，本项分值扣完为止。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sz w:val="24"/>
              </w:rPr>
              <w:t>1</w:t>
            </w:r>
          </w:p>
        </w:tc>
      </w:tr>
      <w:tr>
        <w:tblPrEx>
          <w:tblCellMar>
            <w:top w:w="0" w:type="dxa"/>
            <w:left w:w="108" w:type="dxa"/>
            <w:bottom w:w="0" w:type="dxa"/>
            <w:right w:w="108" w:type="dxa"/>
          </w:tblCellMar>
        </w:tblPrEx>
        <w:trPr>
          <w:trHeight w:val="820"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7</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与技术方案工作量平衡</w:t>
            </w:r>
          </w:p>
        </w:tc>
        <w:tc>
          <w:tcPr>
            <w:tcW w:w="60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工作方法、工作部署、工作量布置及其他相关技术指标等与技术方案完全一致得满分，每错1处扣0.5分，本项分值扣完为止。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w:t>
            </w:r>
          </w:p>
        </w:tc>
      </w:tr>
      <w:tr>
        <w:tblPrEx>
          <w:tblCellMar>
            <w:top w:w="0" w:type="dxa"/>
            <w:left w:w="108" w:type="dxa"/>
            <w:bottom w:w="0" w:type="dxa"/>
            <w:right w:w="108" w:type="dxa"/>
          </w:tblCellMar>
        </w:tblPrEx>
        <w:trPr>
          <w:trHeight w:val="1996"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kern w:val="0"/>
                <w:sz w:val="20"/>
                <w:szCs w:val="20"/>
              </w:rPr>
              <w:t>8</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预算编制说明</w:t>
            </w:r>
          </w:p>
        </w:tc>
        <w:tc>
          <w:tcPr>
            <w:tcW w:w="60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rPr>
              <w:t>项目投标报价及承诺、项目概况、项目设计预算编制依据、工程方案内容及工作量情况、采用的费用标准和计算方法、工程技术指标分析及需要说明的问题等方面完整5分。其中：缺少项目投标报价及承诺扣1分；项目概况、项目设计预算编制依据、工程方案内容及工作量情况、采用的费用标准和计算方法、工程技术指标分析、需要说明的问题等6项，每缺一方面内容扣0.5分。每个方面内容不详细、不全面或不正确者扣0.1分。本项分值扣完为止。</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4</w:t>
            </w:r>
          </w:p>
        </w:tc>
      </w:tr>
      <w:tr>
        <w:tblPrEx>
          <w:tblCellMar>
            <w:top w:w="0" w:type="dxa"/>
            <w:left w:w="108" w:type="dxa"/>
            <w:bottom w:w="0" w:type="dxa"/>
            <w:right w:w="108" w:type="dxa"/>
          </w:tblCellMar>
        </w:tblPrEx>
        <w:trPr>
          <w:trHeight w:val="798"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9</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主要工作业绩</w:t>
            </w:r>
          </w:p>
        </w:tc>
        <w:tc>
          <w:tcPr>
            <w:tcW w:w="60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每提供近三年一项类似业绩并提供证明材料得0.2分，未提供证明材料不得分，本项最高得1分。</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798" w:hRule="atLeast"/>
          <w:jc w:val="center"/>
        </w:trPr>
        <w:tc>
          <w:tcPr>
            <w:tcW w:w="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sz w:val="20"/>
                <w:szCs w:val="20"/>
              </w:rPr>
            </w:pPr>
            <w:r>
              <w:rPr>
                <w:rFonts w:hint="eastAsia" w:ascii="仿宋" w:hAnsi="仿宋" w:eastAsia="仿宋" w:cs="仿宋"/>
                <w:b/>
                <w:bCs/>
                <w:color w:val="auto"/>
                <w:sz w:val="20"/>
                <w:szCs w:val="20"/>
              </w:rPr>
              <w:t>10</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相关承诺</w:t>
            </w:r>
          </w:p>
        </w:tc>
        <w:tc>
          <w:tcPr>
            <w:tcW w:w="60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承诺全面1分，基本全面0.5分，无承诺不得分。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1</w:t>
            </w:r>
          </w:p>
        </w:tc>
      </w:tr>
      <w:tr>
        <w:tblPrEx>
          <w:tblCellMar>
            <w:top w:w="0" w:type="dxa"/>
            <w:left w:w="108" w:type="dxa"/>
            <w:bottom w:w="0" w:type="dxa"/>
            <w:right w:w="108" w:type="dxa"/>
          </w:tblCellMar>
        </w:tblPrEx>
        <w:trPr>
          <w:trHeight w:val="362" w:hRule="atLeast"/>
          <w:jc w:val="center"/>
        </w:trPr>
        <w:tc>
          <w:tcPr>
            <w:tcW w:w="7765"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 w:hAnsi="仿宋" w:eastAsia="仿宋" w:cs="仿宋"/>
                <w:b/>
                <w:bCs/>
                <w:color w:val="auto"/>
                <w:sz w:val="24"/>
              </w:rPr>
            </w:pPr>
            <w:r>
              <w:rPr>
                <w:rFonts w:hint="eastAsia" w:ascii="仿宋" w:hAnsi="仿宋" w:eastAsia="仿宋" w:cs="仿宋"/>
                <w:b/>
                <w:bCs/>
                <w:color w:val="auto"/>
                <w:kern w:val="0"/>
                <w:sz w:val="24"/>
              </w:rPr>
              <w:t>总得分V</w:t>
            </w:r>
          </w:p>
        </w:tc>
        <w:tc>
          <w:tcPr>
            <w:tcW w:w="7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rPr>
              <w:t>20</w:t>
            </w:r>
          </w:p>
        </w:tc>
      </w:tr>
    </w:tbl>
    <w:p>
      <w:pPr>
        <w:pStyle w:val="26"/>
        <w:rPr>
          <w:color w:val="auto"/>
        </w:rPr>
      </w:pPr>
    </w:p>
    <w:p>
      <w:pPr>
        <w:rPr>
          <w:rFonts w:ascii="楷体" w:hAnsi="楷体" w:eastAsia="楷体" w:cs="楷体"/>
          <w:b/>
          <w:color w:val="auto"/>
          <w:sz w:val="24"/>
        </w:rPr>
      </w:pPr>
      <w:r>
        <w:rPr>
          <w:rFonts w:hint="eastAsia" w:ascii="楷体" w:hAnsi="楷体" w:eastAsia="楷体" w:cs="楷体"/>
          <w:b/>
          <w:color w:val="auto"/>
          <w:sz w:val="24"/>
        </w:rPr>
        <w:br w:type="page"/>
      </w:r>
    </w:p>
    <w:p>
      <w:pPr>
        <w:jc w:val="center"/>
        <w:rPr>
          <w:rFonts w:ascii="楷体" w:hAnsi="楷体" w:eastAsia="楷体" w:cs="楷体"/>
          <w:b/>
          <w:color w:val="auto"/>
          <w:sz w:val="24"/>
        </w:rPr>
      </w:pPr>
      <w:r>
        <w:rPr>
          <w:rFonts w:hint="eastAsia" w:ascii="楷体" w:hAnsi="楷体" w:eastAsia="楷体" w:cs="楷体"/>
          <w:b/>
          <w:color w:val="auto"/>
          <w:sz w:val="24"/>
        </w:rPr>
        <w:t>技术评分表</w:t>
      </w:r>
    </w:p>
    <w:tbl>
      <w:tblPr>
        <w:tblStyle w:val="38"/>
        <w:tblW w:w="866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4162"/>
        <w:gridCol w:w="2822"/>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814" w:type="dxa"/>
            <w:vMerge w:val="restart"/>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4162" w:type="dxa"/>
            <w:vMerge w:val="restart"/>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评分内容</w:t>
            </w:r>
          </w:p>
        </w:tc>
        <w:tc>
          <w:tcPr>
            <w:tcW w:w="2822" w:type="dxa"/>
            <w:vMerge w:val="restart"/>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评分要求</w:t>
            </w:r>
          </w:p>
        </w:tc>
        <w:tc>
          <w:tcPr>
            <w:tcW w:w="862" w:type="dxa"/>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814" w:type="dxa"/>
            <w:vMerge w:val="continue"/>
            <w:vAlign w:val="center"/>
          </w:tcPr>
          <w:p>
            <w:pPr>
              <w:widowControl/>
              <w:jc w:val="center"/>
              <w:textAlignment w:val="center"/>
              <w:rPr>
                <w:rFonts w:ascii="仿宋" w:hAnsi="仿宋" w:eastAsia="仿宋" w:cs="仿宋"/>
                <w:b/>
                <w:bCs/>
                <w:color w:val="auto"/>
                <w:kern w:val="0"/>
                <w:sz w:val="24"/>
              </w:rPr>
            </w:pPr>
          </w:p>
        </w:tc>
        <w:tc>
          <w:tcPr>
            <w:tcW w:w="4162" w:type="dxa"/>
            <w:vMerge w:val="continue"/>
            <w:vAlign w:val="center"/>
          </w:tcPr>
          <w:p>
            <w:pPr>
              <w:widowControl/>
              <w:jc w:val="center"/>
              <w:textAlignment w:val="center"/>
              <w:rPr>
                <w:rFonts w:ascii="仿宋" w:hAnsi="仿宋" w:eastAsia="仿宋" w:cs="仿宋"/>
                <w:b/>
                <w:bCs/>
                <w:color w:val="auto"/>
                <w:kern w:val="0"/>
                <w:sz w:val="24"/>
              </w:rPr>
            </w:pPr>
          </w:p>
        </w:tc>
        <w:tc>
          <w:tcPr>
            <w:tcW w:w="2822" w:type="dxa"/>
            <w:vMerge w:val="continue"/>
            <w:vAlign w:val="center"/>
          </w:tcPr>
          <w:p>
            <w:pPr>
              <w:widowControl/>
              <w:jc w:val="center"/>
              <w:textAlignment w:val="center"/>
              <w:rPr>
                <w:rFonts w:ascii="仿宋" w:hAnsi="仿宋" w:eastAsia="仿宋" w:cs="仿宋"/>
                <w:b/>
                <w:bCs/>
                <w:color w:val="auto"/>
                <w:kern w:val="0"/>
                <w:sz w:val="24"/>
              </w:rPr>
            </w:pPr>
          </w:p>
        </w:tc>
        <w:tc>
          <w:tcPr>
            <w:tcW w:w="862" w:type="dxa"/>
            <w:vAlign w:val="center"/>
          </w:tcPr>
          <w:p>
            <w:pPr>
              <w:widowControl/>
              <w:jc w:val="center"/>
              <w:textAlignment w:val="center"/>
              <w:rPr>
                <w:rFonts w:ascii="仿宋" w:hAnsi="仿宋" w:eastAsia="仿宋" w:cs="仿宋"/>
                <w:b/>
                <w:bCs/>
                <w:color w:val="auto"/>
                <w:kern w:val="0"/>
                <w:sz w:val="24"/>
              </w:rPr>
            </w:pPr>
            <w:r>
              <w:rPr>
                <w:rFonts w:hint="eastAsia" w:ascii="仿宋" w:hAnsi="仿宋" w:eastAsia="仿宋" w:cs="仿宋"/>
                <w:b/>
                <w:bCs/>
                <w:color w:val="auto"/>
                <w:kern w:val="0"/>
                <w:sz w:val="24"/>
              </w:rPr>
              <w:t>70分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814"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416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标书与招标文件的响应性或完整性。</w:t>
            </w:r>
          </w:p>
        </w:tc>
        <w:tc>
          <w:tcPr>
            <w:tcW w:w="282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完全响应和完整4分；部分未响应或不完整2-3分；未响应部分分额较大且不完整≤1分。</w:t>
            </w:r>
          </w:p>
        </w:tc>
        <w:tc>
          <w:tcPr>
            <w:tcW w:w="862"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8" w:hRule="atLeast"/>
        </w:trPr>
        <w:tc>
          <w:tcPr>
            <w:tcW w:w="814"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416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目标任务、工作思路、工作部署、工作量布置、进度安排的明确清晰程度及合理性。勘查范围控制充分合理，工作部署应包括地质灾害及隐患体发育特征勘查、拟设防治工程区工程地质勘察、环境地质问题调查、治理材料及来源地勘查、治理方案的优选等，应满足治理设计所需参数要求。</w:t>
            </w:r>
          </w:p>
        </w:tc>
        <w:tc>
          <w:tcPr>
            <w:tcW w:w="282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合理20-25分；较合理10-20分；其他情况≤9分。</w:t>
            </w:r>
          </w:p>
        </w:tc>
        <w:tc>
          <w:tcPr>
            <w:tcW w:w="862"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trPr>
        <w:tc>
          <w:tcPr>
            <w:tcW w:w="814"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3</w:t>
            </w:r>
          </w:p>
        </w:tc>
        <w:tc>
          <w:tcPr>
            <w:tcW w:w="416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工作方法手段、技术要求的可行性。工作方法宜包括资料收集、地面调查、地形测绘、地球物理勘探、井探、钻探、水土样品采集测试及其他方法等；技术要求应满足相关标准、规范。</w:t>
            </w:r>
          </w:p>
        </w:tc>
        <w:tc>
          <w:tcPr>
            <w:tcW w:w="2822" w:type="dxa"/>
            <w:vAlign w:val="center"/>
          </w:tcPr>
          <w:p>
            <w:pPr>
              <w:widowControl/>
              <w:jc w:val="left"/>
              <w:textAlignment w:val="center"/>
              <w:rPr>
                <w:rFonts w:ascii="仿宋" w:hAnsi="仿宋" w:eastAsia="仿宋" w:cs="仿宋"/>
                <w:color w:val="auto"/>
                <w:kern w:val="0"/>
                <w:sz w:val="20"/>
                <w:szCs w:val="20"/>
              </w:rPr>
            </w:pPr>
          </w:p>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合理19-22分；较合理10-18分；其他情况≤9分。</w:t>
            </w:r>
          </w:p>
        </w:tc>
        <w:tc>
          <w:tcPr>
            <w:tcW w:w="862"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814"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4</w:t>
            </w:r>
          </w:p>
        </w:tc>
        <w:tc>
          <w:tcPr>
            <w:tcW w:w="416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预期成果应包括勘查报告、附件（测量报告等）、附图（平面和剖面图）、附表、试验和测试成果等。</w:t>
            </w:r>
          </w:p>
        </w:tc>
        <w:tc>
          <w:tcPr>
            <w:tcW w:w="282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全面4分；较全面2-3分；其他情况≤1分。</w:t>
            </w:r>
          </w:p>
        </w:tc>
        <w:tc>
          <w:tcPr>
            <w:tcW w:w="862"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814" w:type="dxa"/>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5</w:t>
            </w:r>
          </w:p>
        </w:tc>
        <w:tc>
          <w:tcPr>
            <w:tcW w:w="416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质量、进度、安全的保障体系及主要措施。</w:t>
            </w:r>
          </w:p>
        </w:tc>
        <w:tc>
          <w:tcPr>
            <w:tcW w:w="282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体系措施齐全有效5分；基本齐全有效4分；其他情况≤3分。</w:t>
            </w:r>
          </w:p>
        </w:tc>
        <w:tc>
          <w:tcPr>
            <w:tcW w:w="862"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814" w:type="dxa"/>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6</w:t>
            </w:r>
          </w:p>
        </w:tc>
        <w:tc>
          <w:tcPr>
            <w:tcW w:w="416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项目负责人及主要技术人员的配备是否全面，人员结构是否合理</w:t>
            </w:r>
          </w:p>
        </w:tc>
        <w:tc>
          <w:tcPr>
            <w:tcW w:w="282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人员配备全面合理4分；较全面合理3分；其他情况≤2分。</w:t>
            </w:r>
          </w:p>
        </w:tc>
        <w:tc>
          <w:tcPr>
            <w:tcW w:w="862" w:type="dxa"/>
            <w:vAlign w:val="center"/>
          </w:tcPr>
          <w:p>
            <w:pPr>
              <w:widowControl/>
              <w:jc w:val="center"/>
              <w:textAlignment w:val="center"/>
              <w:rPr>
                <w:rFonts w:ascii="仿宋" w:hAnsi="仿宋" w:eastAsia="仿宋" w:cs="仿宋"/>
                <w:color w:val="auto"/>
                <w:kern w:val="0"/>
                <w:sz w:val="20"/>
                <w:szCs w:val="20"/>
              </w:rPr>
            </w:pPr>
          </w:p>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814" w:type="dxa"/>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7</w:t>
            </w:r>
          </w:p>
        </w:tc>
        <w:tc>
          <w:tcPr>
            <w:tcW w:w="416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主要设备配置应齐备。</w:t>
            </w:r>
          </w:p>
        </w:tc>
        <w:tc>
          <w:tcPr>
            <w:tcW w:w="282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设备齐全3分；较齐全2分；其他情况≤1分。</w:t>
            </w:r>
          </w:p>
        </w:tc>
        <w:tc>
          <w:tcPr>
            <w:tcW w:w="862" w:type="dxa"/>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14" w:type="dxa"/>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8</w:t>
            </w:r>
          </w:p>
        </w:tc>
        <w:tc>
          <w:tcPr>
            <w:tcW w:w="416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组织管理机构应健全，应建立领导小组。</w:t>
            </w:r>
          </w:p>
        </w:tc>
        <w:tc>
          <w:tcPr>
            <w:tcW w:w="2822" w:type="dxa"/>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健全明确3分，基本健全明确2分，无内容0分。</w:t>
            </w:r>
          </w:p>
        </w:tc>
        <w:tc>
          <w:tcPr>
            <w:tcW w:w="862" w:type="dxa"/>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798" w:type="dxa"/>
            <w:gridSpan w:val="3"/>
            <w:vAlign w:val="center"/>
          </w:tcPr>
          <w:p>
            <w:pPr>
              <w:widowControl/>
              <w:jc w:val="center"/>
              <w:textAlignment w:val="center"/>
              <w:rPr>
                <w:rFonts w:ascii="仿宋" w:hAnsi="仿宋" w:eastAsia="仿宋"/>
                <w:color w:val="auto"/>
                <w:sz w:val="24"/>
              </w:rPr>
            </w:pPr>
            <w:r>
              <w:rPr>
                <w:rFonts w:hint="eastAsia" w:ascii="仿宋" w:hAnsi="仿宋" w:eastAsia="仿宋" w:cs="仿宋"/>
                <w:b/>
                <w:color w:val="auto"/>
                <w:kern w:val="0"/>
                <w:sz w:val="24"/>
              </w:rPr>
              <w:t>总得分V</w:t>
            </w:r>
          </w:p>
        </w:tc>
        <w:tc>
          <w:tcPr>
            <w:tcW w:w="862" w:type="dxa"/>
            <w:vAlign w:val="center"/>
          </w:tcPr>
          <w:p>
            <w:pPr>
              <w:widowControl/>
              <w:jc w:val="center"/>
              <w:textAlignment w:val="center"/>
              <w:rPr>
                <w:rFonts w:ascii="仿宋" w:hAnsi="仿宋" w:eastAsia="仿宋" w:cs="仿宋"/>
                <w:b/>
                <w:color w:val="auto"/>
                <w:kern w:val="0"/>
                <w:sz w:val="24"/>
              </w:rPr>
            </w:pPr>
            <w:r>
              <w:rPr>
                <w:rFonts w:hint="eastAsia" w:ascii="仿宋" w:hAnsi="仿宋" w:eastAsia="仿宋" w:cs="仿宋"/>
                <w:b/>
                <w:color w:val="auto"/>
                <w:kern w:val="0"/>
                <w:sz w:val="24"/>
              </w:rPr>
              <w:t>70</w:t>
            </w:r>
          </w:p>
        </w:tc>
      </w:tr>
    </w:tbl>
    <w:p>
      <w:pPr>
        <w:spacing w:line="240" w:lineRule="atLeast"/>
        <w:jc w:val="left"/>
        <w:outlineLvl w:val="1"/>
        <w:rPr>
          <w:rFonts w:ascii="楷体" w:hAnsi="楷体" w:eastAsia="楷体" w:cs="楷体"/>
          <w:b/>
          <w:color w:val="auto"/>
          <w:sz w:val="24"/>
        </w:rPr>
      </w:pPr>
      <w:r>
        <w:rPr>
          <w:rFonts w:hint="eastAsia" w:ascii="楷体" w:hAnsi="楷体" w:eastAsia="楷体" w:cs="楷体"/>
          <w:b/>
          <w:color w:val="auto"/>
          <w:sz w:val="24"/>
        </w:rPr>
        <w:br w:type="page"/>
      </w:r>
      <w:r>
        <w:rPr>
          <w:rFonts w:hint="eastAsia" w:ascii="楷体" w:hAnsi="楷体" w:eastAsia="楷体" w:cs="楷体"/>
          <w:b/>
          <w:color w:val="auto"/>
          <w:sz w:val="24"/>
        </w:rPr>
        <w:t>标项十一评分标准</w:t>
      </w:r>
    </w:p>
    <w:p>
      <w:pPr>
        <w:spacing w:line="240" w:lineRule="atLeast"/>
        <w:jc w:val="center"/>
        <w:outlineLvl w:val="1"/>
        <w:rPr>
          <w:rFonts w:ascii="仿宋" w:hAnsi="仿宋" w:eastAsia="仿宋" w:cs="仿宋"/>
          <w:b/>
          <w:color w:val="auto"/>
          <w:sz w:val="24"/>
          <w:szCs w:val="20"/>
        </w:rPr>
      </w:pPr>
      <w:r>
        <w:rPr>
          <w:rFonts w:hint="eastAsia" w:ascii="仿宋" w:hAnsi="仿宋" w:eastAsia="仿宋" w:cs="仿宋"/>
          <w:b/>
          <w:color w:val="auto"/>
          <w:sz w:val="24"/>
          <w:szCs w:val="20"/>
        </w:rPr>
        <w:t>商务评分表</w:t>
      </w:r>
    </w:p>
    <w:tbl>
      <w:tblPr>
        <w:tblStyle w:val="37"/>
        <w:tblpPr w:leftFromText="180" w:rightFromText="180" w:vertAnchor="text" w:horzAnchor="page" w:tblpXSpec="center" w:tblpY="191"/>
        <w:tblOverlap w:val="never"/>
        <w:tblW w:w="8498" w:type="dxa"/>
        <w:jc w:val="center"/>
        <w:tblLayout w:type="fixed"/>
        <w:tblCellMar>
          <w:top w:w="0" w:type="dxa"/>
          <w:left w:w="0" w:type="dxa"/>
          <w:bottom w:w="0" w:type="dxa"/>
          <w:right w:w="0" w:type="dxa"/>
        </w:tblCellMar>
      </w:tblPr>
      <w:tblGrid>
        <w:gridCol w:w="639"/>
        <w:gridCol w:w="3876"/>
        <w:gridCol w:w="3202"/>
        <w:gridCol w:w="781"/>
      </w:tblGrid>
      <w:tr>
        <w:tblPrEx>
          <w:tblCellMar>
            <w:top w:w="0" w:type="dxa"/>
            <w:left w:w="0" w:type="dxa"/>
            <w:bottom w:w="0" w:type="dxa"/>
            <w:right w:w="0" w:type="dxa"/>
          </w:tblCellMar>
        </w:tblPrEx>
        <w:trPr>
          <w:trHeight w:val="36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序号</w:t>
            </w:r>
          </w:p>
        </w:tc>
        <w:tc>
          <w:tcPr>
            <w:tcW w:w="38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评分内容</w:t>
            </w:r>
          </w:p>
        </w:tc>
        <w:tc>
          <w:tcPr>
            <w:tcW w:w="320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评分标准</w:t>
            </w:r>
          </w:p>
        </w:tc>
        <w:tc>
          <w:tcPr>
            <w:tcW w:w="7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满分</w:t>
            </w:r>
          </w:p>
        </w:tc>
      </w:tr>
      <w:tr>
        <w:tblPrEx>
          <w:tblCellMar>
            <w:top w:w="0" w:type="dxa"/>
            <w:left w:w="0" w:type="dxa"/>
            <w:bottom w:w="0" w:type="dxa"/>
            <w:right w:w="0" w:type="dxa"/>
          </w:tblCellMar>
        </w:tblPrEx>
        <w:trPr>
          <w:trHeight w:val="36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p>
        </w:tc>
        <w:tc>
          <w:tcPr>
            <w:tcW w:w="38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p>
        </w:tc>
        <w:tc>
          <w:tcPr>
            <w:tcW w:w="32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p>
        </w:tc>
        <w:tc>
          <w:tcPr>
            <w:tcW w:w="78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10分</w:t>
            </w:r>
          </w:p>
        </w:tc>
      </w:tr>
      <w:tr>
        <w:tblPrEx>
          <w:tblCellMar>
            <w:top w:w="0" w:type="dxa"/>
            <w:left w:w="0" w:type="dxa"/>
            <w:bottom w:w="0" w:type="dxa"/>
            <w:right w:w="0" w:type="dxa"/>
          </w:tblCellMar>
        </w:tblPrEx>
        <w:trPr>
          <w:trHeight w:val="956"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1</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abs>
                <w:tab w:val="left" w:pos="1381"/>
              </w:tabs>
              <w:jc w:val="left"/>
              <w:textAlignment w:val="center"/>
              <w:rPr>
                <w:rFonts w:ascii="仿宋" w:hAnsi="仿宋" w:eastAsia="仿宋" w:cs="仿宋"/>
                <w:color w:val="auto"/>
                <w:sz w:val="22"/>
                <w:szCs w:val="22"/>
              </w:rPr>
            </w:pPr>
            <w:r>
              <w:rPr>
                <w:rFonts w:hint="eastAsia" w:ascii="仿宋" w:hAnsi="仿宋" w:eastAsia="仿宋" w:cs="仿宋"/>
                <w:color w:val="auto"/>
                <w:sz w:val="22"/>
                <w:szCs w:val="22"/>
              </w:rPr>
              <w:t>对招标文件及合同条款的确认。</w:t>
            </w:r>
          </w:p>
        </w:tc>
        <w:tc>
          <w:tcPr>
            <w:tcW w:w="32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sz w:val="22"/>
                <w:szCs w:val="22"/>
              </w:rPr>
              <w:t>具有明确的确认说明1分，无说明不得分。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1</w:t>
            </w:r>
          </w:p>
        </w:tc>
      </w:tr>
      <w:tr>
        <w:tblPrEx>
          <w:tblCellMar>
            <w:top w:w="0" w:type="dxa"/>
            <w:left w:w="0" w:type="dxa"/>
            <w:bottom w:w="0" w:type="dxa"/>
            <w:right w:w="0" w:type="dxa"/>
          </w:tblCellMar>
        </w:tblPrEx>
        <w:trPr>
          <w:trHeight w:val="956"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2</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投入项目人员数量满足要求，工种齐全，人员专业结构配备合理。</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人员数量情况1-1.5分；工种搭配情况0.5-0.9分；专业结构情况≤0.4分。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1.5</w:t>
            </w:r>
          </w:p>
        </w:tc>
      </w:tr>
      <w:tr>
        <w:tblPrEx>
          <w:tblCellMar>
            <w:top w:w="0" w:type="dxa"/>
            <w:left w:w="0" w:type="dxa"/>
            <w:bottom w:w="0" w:type="dxa"/>
            <w:right w:w="0" w:type="dxa"/>
          </w:tblCellMar>
        </w:tblPrEx>
        <w:trPr>
          <w:trHeight w:val="1146"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3</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仪器、设备配置。</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设备齐全且满足需求1分；设备较齐全0.5分；其他情况≤0.4分。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1</w:t>
            </w:r>
          </w:p>
        </w:tc>
      </w:tr>
      <w:tr>
        <w:tblPrEx>
          <w:tblCellMar>
            <w:top w:w="0" w:type="dxa"/>
            <w:left w:w="0" w:type="dxa"/>
            <w:bottom w:w="0" w:type="dxa"/>
            <w:right w:w="0" w:type="dxa"/>
          </w:tblCellMar>
        </w:tblPrEx>
        <w:trPr>
          <w:trHeight w:val="645"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4</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sz w:val="22"/>
                <w:szCs w:val="22"/>
              </w:rPr>
              <w:t>近三年资产状况。</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sz w:val="22"/>
                <w:szCs w:val="22"/>
              </w:rPr>
              <w:t>资产状况良级及以上1分，良级以下不得分。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1</w:t>
            </w:r>
          </w:p>
        </w:tc>
      </w:tr>
      <w:tr>
        <w:tblPrEx>
          <w:tblCellMar>
            <w:top w:w="0" w:type="dxa"/>
            <w:left w:w="0" w:type="dxa"/>
            <w:bottom w:w="0" w:type="dxa"/>
            <w:right w:w="0" w:type="dxa"/>
          </w:tblCellMar>
        </w:tblPrEx>
        <w:trPr>
          <w:trHeight w:val="1426"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5</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组织管理、质量、进度、安全的保障体系及主要措施。</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保障体系齐全、措施有效1.5分；保障体系基本齐全、措施基本有效0.5-0.9分；保障体系不健全≤0.4分。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1.5</w:t>
            </w:r>
          </w:p>
        </w:tc>
      </w:tr>
      <w:tr>
        <w:tblPrEx>
          <w:tblCellMar>
            <w:top w:w="0" w:type="dxa"/>
            <w:left w:w="0" w:type="dxa"/>
            <w:bottom w:w="0" w:type="dxa"/>
            <w:right w:w="0" w:type="dxa"/>
          </w:tblCellMar>
        </w:tblPrEx>
        <w:trPr>
          <w:trHeight w:val="779"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6</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组织管理机构应健全，应建立领导小组。</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健全明确1分，基本健全明确0.5-0.9分，无内容≤0.4分。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szCs w:val="21"/>
              </w:rPr>
              <w:t>1</w:t>
            </w:r>
          </w:p>
        </w:tc>
      </w:tr>
      <w:tr>
        <w:tblPrEx>
          <w:tblCellMar>
            <w:top w:w="0" w:type="dxa"/>
            <w:left w:w="0" w:type="dxa"/>
            <w:bottom w:w="0" w:type="dxa"/>
            <w:right w:w="0" w:type="dxa"/>
          </w:tblCellMar>
        </w:tblPrEx>
        <w:trPr>
          <w:trHeight w:val="779"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kern w:val="0"/>
                <w:sz w:val="22"/>
                <w:szCs w:val="22"/>
              </w:rPr>
            </w:pPr>
            <w:r>
              <w:rPr>
                <w:rFonts w:hint="eastAsia" w:ascii="仿宋" w:hAnsi="仿宋" w:eastAsia="仿宋" w:cs="仿宋"/>
                <w:b/>
                <w:color w:val="auto"/>
                <w:kern w:val="0"/>
                <w:sz w:val="22"/>
                <w:szCs w:val="22"/>
              </w:rPr>
              <w:t>7</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拟派出的总监、总监代表人的职称。</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总监、总监代表人具有全国地质灾害治理工程培训证书1分，没有不得分。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kern w:val="0"/>
                <w:szCs w:val="21"/>
              </w:rPr>
            </w:pPr>
            <w:r>
              <w:rPr>
                <w:rFonts w:hint="eastAsia" w:ascii="仿宋" w:hAnsi="仿宋" w:eastAsia="仿宋" w:cs="仿宋"/>
                <w:b/>
                <w:color w:val="auto"/>
                <w:kern w:val="0"/>
                <w:szCs w:val="21"/>
              </w:rPr>
              <w:t>1</w:t>
            </w:r>
          </w:p>
        </w:tc>
      </w:tr>
      <w:tr>
        <w:tblPrEx>
          <w:tblCellMar>
            <w:top w:w="0" w:type="dxa"/>
            <w:left w:w="0" w:type="dxa"/>
            <w:bottom w:w="0" w:type="dxa"/>
            <w:right w:w="0" w:type="dxa"/>
          </w:tblCellMar>
        </w:tblPrEx>
        <w:trPr>
          <w:trHeight w:val="863"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kern w:val="0"/>
                <w:sz w:val="22"/>
                <w:szCs w:val="22"/>
              </w:rPr>
            </w:pPr>
            <w:r>
              <w:rPr>
                <w:rFonts w:hint="eastAsia" w:ascii="仿宋" w:hAnsi="仿宋" w:eastAsia="仿宋" w:cs="仿宋"/>
                <w:b/>
                <w:color w:val="auto"/>
                <w:kern w:val="0"/>
                <w:sz w:val="22"/>
                <w:szCs w:val="22"/>
              </w:rPr>
              <w:t>8</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主要业绩。</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每提供近三年一项类似业绩并提供证明材料得0.5分，未提供证明材料不得分，本项最高得1.5分。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kern w:val="0"/>
                <w:szCs w:val="21"/>
              </w:rPr>
            </w:pPr>
            <w:r>
              <w:rPr>
                <w:rFonts w:hint="eastAsia" w:ascii="仿宋" w:hAnsi="仿宋" w:eastAsia="仿宋" w:cs="仿宋"/>
                <w:b/>
                <w:color w:val="auto"/>
                <w:kern w:val="0"/>
                <w:szCs w:val="21"/>
              </w:rPr>
              <w:t>1.5</w:t>
            </w:r>
          </w:p>
        </w:tc>
      </w:tr>
      <w:tr>
        <w:tblPrEx>
          <w:tblCellMar>
            <w:top w:w="0" w:type="dxa"/>
            <w:left w:w="0" w:type="dxa"/>
            <w:bottom w:w="0" w:type="dxa"/>
            <w:right w:w="0" w:type="dxa"/>
          </w:tblCellMar>
        </w:tblPrEx>
        <w:trPr>
          <w:trHeight w:val="779" w:hRule="atLeast"/>
          <w:jc w:val="center"/>
        </w:trPr>
        <w:tc>
          <w:tcPr>
            <w:tcW w:w="6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kern w:val="0"/>
                <w:sz w:val="22"/>
                <w:szCs w:val="22"/>
              </w:rPr>
            </w:pPr>
            <w:r>
              <w:rPr>
                <w:rFonts w:hint="eastAsia" w:ascii="仿宋" w:hAnsi="仿宋" w:eastAsia="仿宋" w:cs="仿宋"/>
                <w:b/>
                <w:color w:val="auto"/>
                <w:kern w:val="0"/>
                <w:sz w:val="22"/>
                <w:szCs w:val="22"/>
              </w:rPr>
              <w:t>9</w:t>
            </w:r>
          </w:p>
        </w:tc>
        <w:tc>
          <w:tcPr>
            <w:tcW w:w="3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相关承诺。</w:t>
            </w:r>
          </w:p>
        </w:tc>
        <w:tc>
          <w:tcPr>
            <w:tcW w:w="32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0"/>
                <w:szCs w:val="20"/>
              </w:rPr>
              <w:t>承诺全面0.5分，基本全面0.3分，无承诺不得分。</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kern w:val="0"/>
                <w:szCs w:val="21"/>
              </w:rPr>
            </w:pPr>
            <w:r>
              <w:rPr>
                <w:rFonts w:hint="eastAsia" w:ascii="仿宋" w:hAnsi="仿宋" w:eastAsia="仿宋" w:cs="仿宋"/>
                <w:b/>
                <w:color w:val="auto"/>
                <w:kern w:val="0"/>
                <w:szCs w:val="21"/>
              </w:rPr>
              <w:t>0.5</w:t>
            </w:r>
          </w:p>
        </w:tc>
      </w:tr>
      <w:tr>
        <w:tblPrEx>
          <w:tblCellMar>
            <w:top w:w="0" w:type="dxa"/>
            <w:left w:w="0" w:type="dxa"/>
            <w:bottom w:w="0" w:type="dxa"/>
            <w:right w:w="0" w:type="dxa"/>
          </w:tblCellMar>
        </w:tblPrEx>
        <w:trPr>
          <w:trHeight w:val="466" w:hRule="atLeast"/>
          <w:jc w:val="center"/>
        </w:trPr>
        <w:tc>
          <w:tcPr>
            <w:tcW w:w="771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总得分V</w:t>
            </w:r>
          </w:p>
        </w:tc>
        <w:tc>
          <w:tcPr>
            <w:tcW w:w="7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10</w:t>
            </w:r>
          </w:p>
        </w:tc>
      </w:tr>
    </w:tbl>
    <w:p>
      <w:pPr>
        <w:pStyle w:val="26"/>
        <w:rPr>
          <w:color w:val="auto"/>
        </w:rPr>
      </w:pPr>
    </w:p>
    <w:p>
      <w:pPr>
        <w:tabs>
          <w:tab w:val="right" w:pos="9213"/>
        </w:tabs>
        <w:jc w:val="center"/>
        <w:rPr>
          <w:rFonts w:ascii="仿宋" w:hAnsi="仿宋" w:eastAsia="仿宋" w:cs="仿宋"/>
          <w:b/>
          <w:color w:val="auto"/>
          <w:sz w:val="24"/>
          <w:szCs w:val="20"/>
        </w:rPr>
      </w:pPr>
      <w:r>
        <w:rPr>
          <w:rFonts w:hint="eastAsia" w:ascii="仿宋" w:hAnsi="仿宋" w:eastAsia="仿宋" w:cs="仿宋"/>
          <w:color w:val="auto"/>
          <w:sz w:val="24"/>
        </w:rPr>
        <w:br w:type="page"/>
      </w:r>
    </w:p>
    <w:p>
      <w:pPr>
        <w:tabs>
          <w:tab w:val="right" w:pos="9213"/>
        </w:tabs>
        <w:jc w:val="center"/>
        <w:rPr>
          <w:rFonts w:ascii="仿宋" w:hAnsi="仿宋" w:eastAsia="仿宋" w:cs="仿宋"/>
          <w:b/>
          <w:color w:val="auto"/>
          <w:sz w:val="24"/>
          <w:szCs w:val="20"/>
        </w:rPr>
      </w:pPr>
      <w:r>
        <w:rPr>
          <w:rFonts w:hint="eastAsia" w:ascii="仿宋" w:hAnsi="仿宋" w:eastAsia="仿宋" w:cs="仿宋"/>
          <w:b/>
          <w:color w:val="auto"/>
          <w:sz w:val="24"/>
          <w:szCs w:val="20"/>
        </w:rPr>
        <w:t>技术评分表</w:t>
      </w:r>
    </w:p>
    <w:tbl>
      <w:tblPr>
        <w:tblStyle w:val="37"/>
        <w:tblW w:w="8278" w:type="dxa"/>
        <w:tblInd w:w="0" w:type="dxa"/>
        <w:tblLayout w:type="fixed"/>
        <w:tblCellMar>
          <w:top w:w="0" w:type="dxa"/>
          <w:left w:w="0" w:type="dxa"/>
          <w:bottom w:w="0" w:type="dxa"/>
          <w:right w:w="0" w:type="dxa"/>
        </w:tblCellMar>
      </w:tblPr>
      <w:tblGrid>
        <w:gridCol w:w="622"/>
        <w:gridCol w:w="3776"/>
        <w:gridCol w:w="3119"/>
        <w:gridCol w:w="761"/>
      </w:tblGrid>
      <w:tr>
        <w:tblPrEx>
          <w:tblCellMar>
            <w:top w:w="0" w:type="dxa"/>
            <w:left w:w="0" w:type="dxa"/>
            <w:bottom w:w="0" w:type="dxa"/>
            <w:right w:w="0" w:type="dxa"/>
          </w:tblCellMar>
        </w:tblPrEx>
        <w:trPr>
          <w:trHeight w:val="408" w:hRule="atLeast"/>
        </w:trPr>
        <w:tc>
          <w:tcPr>
            <w:tcW w:w="6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序号</w:t>
            </w:r>
          </w:p>
        </w:tc>
        <w:tc>
          <w:tcPr>
            <w:tcW w:w="37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评分内容</w:t>
            </w:r>
          </w:p>
        </w:tc>
        <w:tc>
          <w:tcPr>
            <w:tcW w:w="311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评分标准</w:t>
            </w:r>
          </w:p>
        </w:tc>
        <w:tc>
          <w:tcPr>
            <w:tcW w:w="7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满分</w:t>
            </w:r>
          </w:p>
        </w:tc>
      </w:tr>
      <w:tr>
        <w:tblPrEx>
          <w:tblCellMar>
            <w:top w:w="0" w:type="dxa"/>
            <w:left w:w="0" w:type="dxa"/>
            <w:bottom w:w="0" w:type="dxa"/>
            <w:right w:w="0" w:type="dxa"/>
          </w:tblCellMar>
        </w:tblPrEx>
        <w:trPr>
          <w:trHeight w:val="408" w:hRule="atLeast"/>
        </w:trPr>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p>
        </w:tc>
        <w:tc>
          <w:tcPr>
            <w:tcW w:w="37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p>
        </w:tc>
        <w:tc>
          <w:tcPr>
            <w:tcW w:w="311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b/>
                <w:color w:val="auto"/>
                <w:sz w:val="24"/>
              </w:rPr>
            </w:pPr>
          </w:p>
        </w:tc>
        <w:tc>
          <w:tcPr>
            <w:tcW w:w="7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80分</w:t>
            </w:r>
          </w:p>
        </w:tc>
      </w:tr>
      <w:tr>
        <w:tblPrEx>
          <w:tblCellMar>
            <w:top w:w="0" w:type="dxa"/>
            <w:left w:w="0" w:type="dxa"/>
            <w:bottom w:w="0" w:type="dxa"/>
            <w:right w:w="0" w:type="dxa"/>
          </w:tblCellMar>
        </w:tblPrEx>
        <w:trPr>
          <w:trHeight w:val="1084"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1</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标书与招标文件的响应性或完整性。</w:t>
            </w:r>
          </w:p>
        </w:tc>
        <w:tc>
          <w:tcPr>
            <w:tcW w:w="31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完全响应和完整8分；部分响应或部分完整4-7分；未响应部分分额较大且不完整≤3分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8</w:t>
            </w:r>
          </w:p>
        </w:tc>
      </w:tr>
      <w:tr>
        <w:tblPrEx>
          <w:tblCellMar>
            <w:top w:w="0" w:type="dxa"/>
            <w:left w:w="0" w:type="dxa"/>
            <w:bottom w:w="0" w:type="dxa"/>
            <w:right w:w="0" w:type="dxa"/>
          </w:tblCellMar>
        </w:tblPrEx>
        <w:trPr>
          <w:trHeight w:val="1084"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2</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监理工作范围、内容、目标及依据，监理机构和组织形式健全。</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合理20-24分；较合理14-19分；其他情况≤13分（一项不合理扣2分）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24</w:t>
            </w:r>
          </w:p>
        </w:tc>
      </w:tr>
      <w:tr>
        <w:tblPrEx>
          <w:tblCellMar>
            <w:top w:w="0" w:type="dxa"/>
            <w:left w:w="0" w:type="dxa"/>
            <w:bottom w:w="0" w:type="dxa"/>
            <w:right w:w="0" w:type="dxa"/>
          </w:tblCellMar>
        </w:tblPrEx>
        <w:trPr>
          <w:trHeight w:val="1299"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3</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监理工作程序的合理性，技术要求的可行性。技术要求应符合相关地质灾害工程监理规范</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合理16-20分；较合理10-15分；其他情况≤10分（一项不合理扣2分）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20</w:t>
            </w:r>
          </w:p>
        </w:tc>
      </w:tr>
      <w:tr>
        <w:tblPrEx>
          <w:tblCellMar>
            <w:top w:w="0" w:type="dxa"/>
            <w:left w:w="0" w:type="dxa"/>
            <w:bottom w:w="0" w:type="dxa"/>
            <w:right w:w="0" w:type="dxa"/>
          </w:tblCellMar>
        </w:tblPrEx>
        <w:trPr>
          <w:trHeight w:val="731"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4</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监理工作方法、措施和制度，工程质量控制方法及措施全面合理。</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全面16分；较全面8-15分；其他情况≤7分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16</w:t>
            </w:r>
          </w:p>
        </w:tc>
      </w:tr>
      <w:tr>
        <w:tblPrEx>
          <w:tblCellMar>
            <w:top w:w="0" w:type="dxa"/>
            <w:left w:w="0" w:type="dxa"/>
            <w:bottom w:w="0" w:type="dxa"/>
            <w:right w:w="0" w:type="dxa"/>
          </w:tblCellMar>
        </w:tblPrEx>
        <w:trPr>
          <w:trHeight w:val="1617"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5</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预期成果应包括：监理规划、项目监理实施细则；监理工作总结、质量评估报告；监理工作照片集、监理日志、月报、通知单及相关记录，其他原始资料等</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齐全有效8分；基本齐全有效4-7分；其他情况≤3分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8</w:t>
            </w:r>
          </w:p>
        </w:tc>
      </w:tr>
      <w:tr>
        <w:tblPrEx>
          <w:tblCellMar>
            <w:top w:w="0" w:type="dxa"/>
            <w:left w:w="0" w:type="dxa"/>
            <w:bottom w:w="0" w:type="dxa"/>
            <w:right w:w="0" w:type="dxa"/>
          </w:tblCellMar>
        </w:tblPrEx>
        <w:trPr>
          <w:trHeight w:val="883" w:hRule="atLeast"/>
        </w:trPr>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2"/>
                <w:szCs w:val="22"/>
              </w:rPr>
            </w:pPr>
            <w:r>
              <w:rPr>
                <w:rFonts w:hint="eastAsia" w:ascii="仿宋" w:hAnsi="仿宋" w:eastAsia="仿宋" w:cs="仿宋"/>
                <w:b/>
                <w:color w:val="auto"/>
                <w:kern w:val="0"/>
                <w:sz w:val="22"/>
                <w:szCs w:val="22"/>
              </w:rPr>
              <w:t>6</w:t>
            </w:r>
          </w:p>
        </w:tc>
        <w:tc>
          <w:tcPr>
            <w:tcW w:w="37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项目负责人及主要技术人员的配备应全面，人员结构应合理。</w:t>
            </w:r>
          </w:p>
        </w:tc>
        <w:tc>
          <w:tcPr>
            <w:tcW w:w="31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auto"/>
                <w:sz w:val="22"/>
                <w:szCs w:val="22"/>
              </w:rPr>
            </w:pPr>
            <w:r>
              <w:rPr>
                <w:rFonts w:hint="eastAsia" w:ascii="仿宋" w:hAnsi="仿宋" w:eastAsia="仿宋" w:cs="仿宋"/>
                <w:color w:val="auto"/>
                <w:kern w:val="0"/>
                <w:sz w:val="22"/>
                <w:szCs w:val="22"/>
              </w:rPr>
              <w:t>人员配置合理4分，较合理≤3分</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Cs w:val="21"/>
              </w:rPr>
            </w:pPr>
            <w:r>
              <w:rPr>
                <w:rFonts w:hint="eastAsia" w:ascii="仿宋" w:hAnsi="仿宋" w:eastAsia="仿宋" w:cs="仿宋"/>
                <w:b/>
                <w:color w:val="auto"/>
                <w:kern w:val="0"/>
                <w:szCs w:val="21"/>
              </w:rPr>
              <w:t>4</w:t>
            </w:r>
          </w:p>
        </w:tc>
      </w:tr>
      <w:tr>
        <w:tblPrEx>
          <w:tblCellMar>
            <w:top w:w="0" w:type="dxa"/>
            <w:left w:w="0" w:type="dxa"/>
            <w:bottom w:w="0" w:type="dxa"/>
            <w:right w:w="0" w:type="dxa"/>
          </w:tblCellMar>
        </w:tblPrEx>
        <w:trPr>
          <w:trHeight w:val="528" w:hRule="atLeast"/>
        </w:trPr>
        <w:tc>
          <w:tcPr>
            <w:tcW w:w="7517"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总得分V</w:t>
            </w:r>
          </w:p>
        </w:tc>
        <w:tc>
          <w:tcPr>
            <w:tcW w:w="7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80</w:t>
            </w:r>
          </w:p>
        </w:tc>
      </w:tr>
    </w:tbl>
    <w:p>
      <w:pPr>
        <w:pStyle w:val="25"/>
        <w:rPr>
          <w:rFonts w:ascii="仿宋" w:hAnsi="仿宋" w:eastAsia="仿宋" w:cs="仿宋"/>
          <w:color w:val="auto"/>
        </w:rPr>
      </w:pPr>
    </w:p>
    <w:p>
      <w:pPr>
        <w:rPr>
          <w:color w:val="auto"/>
        </w:rPr>
      </w:pPr>
    </w:p>
    <w:p>
      <w:pPr>
        <w:rPr>
          <w:color w:val="auto"/>
        </w:rPr>
      </w:pPr>
    </w:p>
    <w:p>
      <w:pPr>
        <w:tabs>
          <w:tab w:val="right" w:pos="9213"/>
        </w:tabs>
        <w:jc w:val="center"/>
        <w:rPr>
          <w:color w:val="auto"/>
        </w:rPr>
      </w:pPr>
      <w:r>
        <w:rPr>
          <w:rFonts w:hint="eastAsia"/>
          <w:color w:val="auto"/>
        </w:rPr>
        <w:br w:type="page"/>
      </w:r>
    </w:p>
    <w:p>
      <w:pPr>
        <w:tabs>
          <w:tab w:val="right" w:pos="9213"/>
        </w:tabs>
        <w:jc w:val="center"/>
        <w:rPr>
          <w:color w:val="auto"/>
        </w:rPr>
      </w:pPr>
      <w:bookmarkStart w:id="273" w:name="_Toc24923"/>
      <w:r>
        <w:rPr>
          <w:rFonts w:hint="eastAsia" w:ascii="仿宋" w:hAnsi="仿宋" w:eastAsia="仿宋" w:cs="仿宋"/>
          <w:b/>
          <w:color w:val="auto"/>
          <w:sz w:val="24"/>
          <w:szCs w:val="20"/>
        </w:rPr>
        <w:t>报价评分表</w:t>
      </w:r>
      <w:bookmarkEnd w:id="273"/>
    </w:p>
    <w:p>
      <w:pPr>
        <w:pStyle w:val="25"/>
        <w:rPr>
          <w:color w:val="auto"/>
        </w:rPr>
      </w:pPr>
    </w:p>
    <w:tbl>
      <w:tblPr>
        <w:tblStyle w:val="3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63" w:type="dxa"/>
            <w:vAlign w:val="center"/>
          </w:tcPr>
          <w:p>
            <w:pPr>
              <w:jc w:val="center"/>
              <w:rPr>
                <w:rFonts w:ascii="仿宋" w:hAnsi="仿宋" w:eastAsia="仿宋" w:cs="仿宋"/>
                <w:color w:val="auto"/>
              </w:rPr>
            </w:pPr>
            <w:r>
              <w:rPr>
                <w:rFonts w:hint="eastAsia" w:ascii="仿宋" w:hAnsi="仿宋" w:eastAsia="仿宋" w:cs="仿宋"/>
                <w:color w:val="auto"/>
              </w:rPr>
              <w:t>报价评审</w:t>
            </w:r>
          </w:p>
        </w:tc>
        <w:tc>
          <w:tcPr>
            <w:tcW w:w="681" w:type="dxa"/>
            <w:vAlign w:val="center"/>
          </w:tcPr>
          <w:p>
            <w:pPr>
              <w:jc w:val="center"/>
              <w:rPr>
                <w:rFonts w:ascii="仿宋" w:hAnsi="仿宋" w:eastAsia="仿宋" w:cs="仿宋"/>
                <w:color w:val="auto"/>
              </w:rPr>
            </w:pPr>
            <w:r>
              <w:rPr>
                <w:rFonts w:hint="eastAsia" w:ascii="仿宋" w:hAnsi="仿宋" w:eastAsia="仿宋" w:cs="仿宋"/>
                <w:color w:val="auto"/>
              </w:rPr>
              <w:t>10</w:t>
            </w:r>
          </w:p>
        </w:tc>
        <w:tc>
          <w:tcPr>
            <w:tcW w:w="6698" w:type="dxa"/>
            <w:vAlign w:val="center"/>
          </w:tcPr>
          <w:p>
            <w:pPr>
              <w:spacing w:line="440" w:lineRule="exact"/>
              <w:rPr>
                <w:rFonts w:ascii="仿宋" w:hAnsi="仿宋" w:eastAsia="仿宋" w:cs="仿宋"/>
                <w:color w:val="auto"/>
              </w:rPr>
            </w:pPr>
            <w:r>
              <w:rPr>
                <w:rFonts w:hint="eastAsia" w:ascii="仿宋" w:hAnsi="仿宋" w:eastAsia="仿宋" w:cs="仿宋"/>
                <w:color w:val="auto"/>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10%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1944" w:type="dxa"/>
            <w:gridSpan w:val="2"/>
            <w:vAlign w:val="center"/>
          </w:tcPr>
          <w:p>
            <w:pPr>
              <w:jc w:val="center"/>
              <w:rPr>
                <w:rFonts w:ascii="仿宋" w:hAnsi="仿宋" w:eastAsia="仿宋" w:cs="仿宋"/>
                <w:color w:val="auto"/>
              </w:rPr>
            </w:pPr>
            <w:r>
              <w:rPr>
                <w:rFonts w:hint="eastAsia" w:ascii="仿宋" w:hAnsi="仿宋" w:eastAsia="仿宋" w:cs="仿宋"/>
                <w:color w:val="auto"/>
              </w:rPr>
              <w:t>报价分合计</w:t>
            </w:r>
          </w:p>
        </w:tc>
        <w:tc>
          <w:tcPr>
            <w:tcW w:w="6698" w:type="dxa"/>
            <w:vAlign w:val="center"/>
          </w:tcPr>
          <w:p>
            <w:pPr>
              <w:jc w:val="center"/>
              <w:rPr>
                <w:rFonts w:ascii="仿宋" w:hAnsi="仿宋" w:eastAsia="仿宋" w:cs="仿宋"/>
                <w:color w:val="auto"/>
              </w:rPr>
            </w:pPr>
            <w:r>
              <w:rPr>
                <w:rFonts w:hint="eastAsia" w:ascii="仿宋" w:hAnsi="仿宋" w:eastAsia="仿宋" w:cs="仿宋"/>
                <w:color w:val="auto"/>
              </w:rPr>
              <w:t>10</w:t>
            </w:r>
          </w:p>
        </w:tc>
      </w:tr>
    </w:tbl>
    <w:p>
      <w:pPr>
        <w:rPr>
          <w:rFonts w:ascii="楷体" w:hAnsi="楷体" w:eastAsia="楷体" w:cs="楷体"/>
          <w:b/>
          <w:color w:val="auto"/>
          <w:sz w:val="24"/>
        </w:rPr>
      </w:pPr>
    </w:p>
    <w:p>
      <w:pPr>
        <w:rPr>
          <w:color w:val="auto"/>
        </w:rPr>
      </w:pPr>
      <w:r>
        <w:rPr>
          <w:rFonts w:hint="eastAsia"/>
          <w:color w:val="auto"/>
        </w:rPr>
        <w:br w:type="page"/>
      </w:r>
    </w:p>
    <w:p>
      <w:pPr>
        <w:pStyle w:val="35"/>
        <w:ind w:firstLine="480"/>
        <w:rPr>
          <w:color w:val="auto"/>
        </w:rPr>
      </w:pPr>
    </w:p>
    <w:p>
      <w:pPr>
        <w:pStyle w:val="36"/>
        <w:ind w:firstLine="480"/>
        <w:rPr>
          <w:color w:val="auto"/>
        </w:rPr>
      </w:pPr>
    </w:p>
    <w:p>
      <w:pPr>
        <w:widowControl/>
        <w:jc w:val="center"/>
        <w:rPr>
          <w:rFonts w:ascii="仿宋" w:hAnsi="仿宋" w:eastAsia="仿宋" w:cs="仿宋"/>
          <w:b/>
          <w:color w:val="auto"/>
          <w:sz w:val="48"/>
          <w:szCs w:val="48"/>
        </w:rPr>
      </w:pPr>
    </w:p>
    <w:p>
      <w:pPr>
        <w:widowControl/>
        <w:jc w:val="center"/>
        <w:rPr>
          <w:rFonts w:hint="eastAsia" w:ascii="仿宋" w:hAnsi="仿宋" w:eastAsia="仿宋" w:cs="仿宋"/>
          <w:b/>
          <w:color w:val="auto"/>
          <w:sz w:val="40"/>
          <w:szCs w:val="40"/>
        </w:rPr>
      </w:pPr>
      <w:r>
        <w:rPr>
          <w:rFonts w:hint="eastAsia" w:ascii="仿宋" w:hAnsi="仿宋" w:eastAsia="仿宋" w:cs="仿宋"/>
          <w:b/>
          <w:color w:val="auto"/>
          <w:sz w:val="40"/>
          <w:szCs w:val="40"/>
        </w:rPr>
        <w:t>喀什地区2023年地质灾害防治体系建设项目</w:t>
      </w:r>
    </w:p>
    <w:p>
      <w:pPr>
        <w:pStyle w:val="25"/>
        <w:jc w:val="center"/>
        <w:rPr>
          <w:rFonts w:ascii="仿宋" w:hAnsi="仿宋" w:eastAsia="仿宋" w:cs="仿宋"/>
          <w:b/>
          <w:color w:val="auto"/>
          <w:sz w:val="48"/>
          <w:szCs w:val="48"/>
        </w:rPr>
      </w:pPr>
      <w:r>
        <w:rPr>
          <w:rFonts w:hint="eastAsia" w:ascii="仿宋" w:hAnsi="仿宋" w:eastAsia="仿宋" w:cs="仿宋"/>
          <w:b/>
          <w:color w:val="auto"/>
          <w:sz w:val="40"/>
          <w:szCs w:val="40"/>
          <w:lang w:val="en-US" w:eastAsia="zh-CN"/>
        </w:rPr>
        <w:t>2023年自然资源领域（第一批）专项资金项目</w:t>
      </w:r>
    </w:p>
    <w:p>
      <w:pPr>
        <w:widowControl/>
        <w:jc w:val="left"/>
        <w:rPr>
          <w:rFonts w:ascii="仿宋" w:hAnsi="仿宋" w:eastAsia="仿宋" w:cs="仿宋"/>
          <w:color w:val="auto"/>
        </w:rPr>
      </w:pPr>
    </w:p>
    <w:p>
      <w:pPr>
        <w:pStyle w:val="36"/>
        <w:ind w:firstLine="480"/>
        <w:rPr>
          <w:color w:val="auto"/>
        </w:rPr>
      </w:pPr>
    </w:p>
    <w:p>
      <w:pPr>
        <w:pStyle w:val="35"/>
        <w:rPr>
          <w:color w:val="auto"/>
        </w:rPr>
      </w:pPr>
    </w:p>
    <w:p>
      <w:pPr>
        <w:spacing w:line="240" w:lineRule="atLeast"/>
        <w:jc w:val="center"/>
        <w:rPr>
          <w:rFonts w:ascii="仿宋" w:hAnsi="仿宋" w:eastAsia="仿宋" w:cs="仿宋"/>
          <w:bCs/>
          <w:color w:val="auto"/>
          <w:sz w:val="52"/>
          <w:szCs w:val="52"/>
        </w:rPr>
      </w:pPr>
      <w:r>
        <w:rPr>
          <w:rFonts w:hint="eastAsia" w:ascii="仿宋" w:hAnsi="仿宋" w:eastAsia="仿宋" w:cs="仿宋"/>
          <w:bCs/>
          <w:color w:val="auto"/>
          <w:sz w:val="52"/>
          <w:szCs w:val="52"/>
        </w:rPr>
        <w:t xml:space="preserve"> </w:t>
      </w:r>
      <w:r>
        <w:rPr>
          <w:rFonts w:hint="eastAsia" w:ascii="仿宋" w:hAnsi="仿宋" w:eastAsia="仿宋" w:cs="仿宋"/>
          <w:b/>
          <w:color w:val="auto"/>
          <w:sz w:val="52"/>
          <w:szCs w:val="52"/>
        </w:rPr>
        <w:t>采购文件</w:t>
      </w:r>
    </w:p>
    <w:p>
      <w:pPr>
        <w:spacing w:line="240" w:lineRule="atLeast"/>
        <w:ind w:left="1080" w:leftChars="257" w:hanging="540"/>
        <w:jc w:val="center"/>
        <w:rPr>
          <w:rFonts w:ascii="仿宋" w:hAnsi="仿宋" w:eastAsia="仿宋" w:cs="仿宋"/>
          <w:bCs/>
          <w:color w:val="auto"/>
          <w:sz w:val="52"/>
          <w:szCs w:val="52"/>
        </w:rPr>
      </w:pPr>
    </w:p>
    <w:p>
      <w:pPr>
        <w:spacing w:line="240" w:lineRule="atLeast"/>
        <w:ind w:left="1080" w:leftChars="257" w:hanging="540"/>
        <w:jc w:val="center"/>
        <w:rPr>
          <w:rFonts w:ascii="仿宋" w:hAnsi="仿宋" w:eastAsia="仿宋" w:cs="仿宋"/>
          <w:bCs/>
          <w:color w:val="auto"/>
          <w:sz w:val="32"/>
          <w:szCs w:val="32"/>
        </w:rPr>
      </w:pPr>
      <w:r>
        <w:rPr>
          <w:rFonts w:hint="eastAsia" w:ascii="仿宋" w:hAnsi="仿宋" w:eastAsia="仿宋" w:cs="仿宋"/>
          <w:bCs/>
          <w:color w:val="auto"/>
          <w:sz w:val="32"/>
          <w:szCs w:val="32"/>
        </w:rPr>
        <w:t>（项目编号：GYZB-KSDZFZ2023）</w:t>
      </w:r>
    </w:p>
    <w:p>
      <w:pPr>
        <w:pStyle w:val="2"/>
        <w:ind w:firstLine="0"/>
        <w:rPr>
          <w:color w:val="auto"/>
        </w:rPr>
      </w:pPr>
    </w:p>
    <w:p>
      <w:pPr>
        <w:spacing w:line="240" w:lineRule="atLeast"/>
        <w:ind w:left="1080" w:leftChars="257" w:hanging="540"/>
        <w:jc w:val="center"/>
        <w:rPr>
          <w:rFonts w:ascii="仿宋" w:hAnsi="仿宋" w:eastAsia="仿宋" w:cs="仿宋"/>
          <w:b/>
          <w:color w:val="auto"/>
          <w:sz w:val="52"/>
        </w:rPr>
      </w:pPr>
    </w:p>
    <w:p>
      <w:pPr>
        <w:pStyle w:val="2"/>
        <w:rPr>
          <w:color w:val="auto"/>
        </w:rPr>
      </w:pPr>
    </w:p>
    <w:p>
      <w:pPr>
        <w:spacing w:line="240" w:lineRule="atLeast"/>
        <w:ind w:left="1079" w:leftChars="257" w:hanging="539"/>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第三册</w:t>
      </w:r>
    </w:p>
    <w:p>
      <w:pPr>
        <w:pStyle w:val="35"/>
        <w:ind w:firstLine="1044"/>
        <w:rPr>
          <w:rFonts w:ascii="仿宋" w:hAnsi="仿宋" w:eastAsia="仿宋" w:cs="仿宋"/>
          <w:b/>
          <w:color w:val="auto"/>
          <w:sz w:val="52"/>
        </w:rPr>
      </w:pPr>
    </w:p>
    <w:p>
      <w:pPr>
        <w:pStyle w:val="36"/>
        <w:ind w:firstLine="480"/>
        <w:rPr>
          <w:color w:val="auto"/>
        </w:rPr>
      </w:pPr>
    </w:p>
    <w:p>
      <w:pPr>
        <w:spacing w:line="360" w:lineRule="auto"/>
        <w:ind w:firstLine="837" w:firstLineChars="299"/>
        <w:jc w:val="left"/>
        <w:rPr>
          <w:rFonts w:ascii="仿宋" w:hAnsi="仿宋" w:eastAsia="仿宋" w:cs="仿宋"/>
          <w:color w:val="auto"/>
          <w:sz w:val="28"/>
          <w:szCs w:val="28"/>
          <w:u w:val="single"/>
        </w:rPr>
      </w:pPr>
      <w:r>
        <w:rPr>
          <w:rFonts w:hint="eastAsia" w:ascii="仿宋" w:hAnsi="仿宋" w:eastAsia="仿宋" w:cs="仿宋"/>
          <w:color w:val="auto"/>
          <w:sz w:val="28"/>
          <w:szCs w:val="28"/>
        </w:rPr>
        <w:t>采 购 人：</w:t>
      </w:r>
      <w:r>
        <w:rPr>
          <w:rFonts w:hint="eastAsia" w:ascii="仿宋" w:hAnsi="仿宋" w:eastAsia="仿宋" w:cs="仿宋"/>
          <w:color w:val="auto"/>
          <w:sz w:val="28"/>
          <w:szCs w:val="28"/>
          <w:u w:val="single"/>
        </w:rPr>
        <w:t>喀什地区自然资源局</w:t>
      </w:r>
    </w:p>
    <w:p>
      <w:pPr>
        <w:spacing w:line="600" w:lineRule="exact"/>
        <w:ind w:firstLine="837" w:firstLineChars="299"/>
        <w:rPr>
          <w:rFonts w:ascii="仿宋" w:hAnsi="仿宋" w:eastAsia="仿宋" w:cs="仿宋"/>
          <w:color w:val="auto"/>
          <w:sz w:val="28"/>
          <w:szCs w:val="28"/>
        </w:rPr>
      </w:pPr>
      <w:r>
        <w:rPr>
          <w:rFonts w:hint="eastAsia" w:ascii="仿宋" w:hAnsi="仿宋" w:eastAsia="仿宋" w:cs="仿宋"/>
          <w:color w:val="auto"/>
          <w:sz w:val="28"/>
          <w:szCs w:val="28"/>
          <w:lang w:eastAsia="zh-CN"/>
        </w:rPr>
        <w:t>采购代理机构</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新疆国源土地矿产资源交易中心（有限公司）</w:t>
      </w:r>
      <w:r>
        <w:rPr>
          <w:rFonts w:hint="eastAsia" w:ascii="仿宋" w:hAnsi="仿宋" w:eastAsia="仿宋" w:cs="仿宋"/>
          <w:color w:val="auto"/>
          <w:sz w:val="28"/>
          <w:szCs w:val="28"/>
        </w:rPr>
        <w:t xml:space="preserve"> </w:t>
      </w:r>
    </w:p>
    <w:p>
      <w:pPr>
        <w:spacing w:line="600" w:lineRule="exact"/>
        <w:ind w:firstLine="837" w:firstLineChars="299"/>
        <w:rPr>
          <w:rFonts w:ascii="仿宋" w:hAnsi="仿宋" w:eastAsia="仿宋" w:cs="仿宋"/>
          <w:color w:val="auto"/>
          <w:sz w:val="28"/>
          <w:szCs w:val="28"/>
          <w:u w:val="single"/>
        </w:rPr>
      </w:pPr>
      <w:r>
        <w:rPr>
          <w:rFonts w:hint="eastAsia" w:ascii="仿宋" w:hAnsi="仿宋" w:eastAsia="仿宋" w:cs="仿宋"/>
          <w:color w:val="auto"/>
          <w:sz w:val="28"/>
          <w:szCs w:val="28"/>
        </w:rPr>
        <w:t>发出日期：</w:t>
      </w:r>
      <w:r>
        <w:rPr>
          <w:rFonts w:hint="eastAsia" w:ascii="仿宋" w:hAnsi="仿宋" w:eastAsia="仿宋" w:cs="仿宋"/>
          <w:color w:val="auto"/>
          <w:sz w:val="28"/>
          <w:szCs w:val="28"/>
          <w:u w:val="single"/>
        </w:rPr>
        <w:t>2023年2月</w:t>
      </w:r>
    </w:p>
    <w:p>
      <w:pPr>
        <w:pStyle w:val="36"/>
        <w:ind w:firstLine="560"/>
        <w:rPr>
          <w:rFonts w:ascii="仿宋" w:hAnsi="仿宋" w:eastAsia="仿宋" w:cs="仿宋"/>
          <w:color w:val="auto"/>
          <w:sz w:val="28"/>
          <w:szCs w:val="28"/>
          <w:u w:val="single"/>
        </w:rPr>
      </w:pPr>
      <w:r>
        <w:rPr>
          <w:rFonts w:hint="eastAsia" w:ascii="仿宋" w:hAnsi="仿宋" w:eastAsia="仿宋" w:cs="仿宋"/>
          <w:color w:val="auto"/>
          <w:sz w:val="28"/>
          <w:szCs w:val="28"/>
          <w:u w:val="single"/>
        </w:rPr>
        <w:br w:type="page"/>
      </w:r>
    </w:p>
    <w:p>
      <w:pPr>
        <w:pStyle w:val="4"/>
        <w:tabs>
          <w:tab w:val="left" w:pos="0"/>
        </w:tabs>
        <w:spacing w:before="0" w:after="0" w:line="240" w:lineRule="atLeast"/>
        <w:ind w:firstLine="2249" w:firstLineChars="700"/>
        <w:jc w:val="both"/>
        <w:rPr>
          <w:rFonts w:ascii="仿宋" w:hAnsi="仿宋" w:eastAsia="仿宋" w:cs="仿宋"/>
          <w:color w:val="auto"/>
        </w:rPr>
      </w:pPr>
      <w:bookmarkStart w:id="274" w:name="_Toc518923128"/>
      <w:bookmarkStart w:id="275" w:name="_Toc23018"/>
      <w:r>
        <w:rPr>
          <w:rFonts w:hint="eastAsia" w:ascii="仿宋" w:hAnsi="仿宋" w:eastAsia="仿宋" w:cs="仿宋"/>
          <w:color w:val="auto"/>
        </w:rPr>
        <w:t>第7章  政府采购合同</w:t>
      </w:r>
      <w:bookmarkEnd w:id="251"/>
      <w:bookmarkEnd w:id="274"/>
      <w:bookmarkEnd w:id="275"/>
      <w:bookmarkStart w:id="276" w:name="_Hlt487972895"/>
      <w:bookmarkEnd w:id="276"/>
      <w:bookmarkStart w:id="277" w:name="_Toc216513788"/>
      <w:bookmarkStart w:id="278" w:name="_Toc487900382"/>
    </w:p>
    <w:bookmarkEnd w:id="277"/>
    <w:bookmarkEnd w:id="278"/>
    <w:p>
      <w:pPr>
        <w:pStyle w:val="2"/>
        <w:spacing w:line="240" w:lineRule="atLeast"/>
        <w:ind w:left="1080" w:leftChars="257" w:hanging="540"/>
        <w:rPr>
          <w:rFonts w:ascii="仿宋" w:hAnsi="仿宋" w:eastAsia="仿宋" w:cs="仿宋"/>
          <w:color w:val="auto"/>
          <w:sz w:val="28"/>
        </w:rPr>
      </w:pPr>
    </w:p>
    <w:p>
      <w:pPr>
        <w:spacing w:line="240" w:lineRule="atLeast"/>
        <w:ind w:left="-567" w:leftChars="-270" w:firstLine="540"/>
        <w:jc w:val="center"/>
        <w:rPr>
          <w:rFonts w:ascii="仿宋" w:hAnsi="仿宋" w:eastAsia="仿宋" w:cs="仿宋"/>
          <w:color w:val="auto"/>
          <w:kern w:val="44"/>
          <w:sz w:val="28"/>
          <w:szCs w:val="28"/>
        </w:rPr>
      </w:pPr>
      <w:r>
        <w:rPr>
          <w:rFonts w:hint="eastAsia" w:ascii="仿宋" w:hAnsi="仿宋" w:eastAsia="仿宋" w:cs="仿宋"/>
          <w:color w:val="auto"/>
          <w:kern w:val="44"/>
          <w:sz w:val="28"/>
          <w:szCs w:val="28"/>
        </w:rPr>
        <w:t>请参照服务类政府采购合同参考范本订立采购合同。</w:t>
      </w:r>
    </w:p>
    <w:p>
      <w:pPr>
        <w:rPr>
          <w:rFonts w:ascii="仿宋" w:hAnsi="仿宋" w:eastAsia="仿宋" w:cs="仿宋"/>
          <w:color w:val="auto"/>
          <w:sz w:val="28"/>
          <w:szCs w:val="28"/>
          <w:u w:val="single"/>
        </w:rPr>
      </w:pPr>
      <w:r>
        <w:rPr>
          <w:rFonts w:hint="eastAsia" w:ascii="仿宋" w:hAnsi="仿宋" w:eastAsia="仿宋" w:cs="仿宋"/>
          <w:color w:val="auto"/>
          <w:sz w:val="28"/>
          <w:szCs w:val="28"/>
        </w:rPr>
        <w:t>合同编号：</w:t>
      </w:r>
      <w:r>
        <w:rPr>
          <w:rFonts w:hint="eastAsia" w:ascii="仿宋" w:hAnsi="仿宋" w:eastAsia="仿宋" w:cs="仿宋"/>
          <w:color w:val="auto"/>
          <w:sz w:val="28"/>
          <w:szCs w:val="28"/>
          <w:u w:val="single"/>
        </w:rPr>
        <w:t xml:space="preserve">           </w:t>
      </w:r>
    </w:p>
    <w:p>
      <w:pPr>
        <w:spacing w:line="480" w:lineRule="auto"/>
        <w:rPr>
          <w:rFonts w:ascii="仿宋" w:hAnsi="仿宋" w:eastAsia="仿宋" w:cs="仿宋"/>
          <w:b/>
          <w:bCs/>
          <w:color w:val="auto"/>
          <w:sz w:val="28"/>
          <w:szCs w:val="28"/>
        </w:rPr>
      </w:pPr>
    </w:p>
    <w:p>
      <w:pPr>
        <w:spacing w:line="48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喀什地区政府采购合同</w:t>
      </w:r>
    </w:p>
    <w:p>
      <w:pPr>
        <w:pStyle w:val="53"/>
        <w:ind w:firstLine="0"/>
        <w:rPr>
          <w:rFonts w:ascii="仿宋" w:hAnsi="仿宋" w:eastAsia="仿宋" w:cs="仿宋"/>
          <w:color w:val="auto"/>
          <w:sz w:val="28"/>
          <w:szCs w:val="28"/>
        </w:rPr>
      </w:pPr>
    </w:p>
    <w:p>
      <w:pPr>
        <w:pStyle w:val="53"/>
        <w:ind w:firstLine="0"/>
        <w:rPr>
          <w:rFonts w:ascii="仿宋" w:hAnsi="仿宋" w:eastAsia="仿宋" w:cs="仿宋"/>
          <w:color w:val="auto"/>
          <w:sz w:val="28"/>
          <w:szCs w:val="28"/>
        </w:rPr>
      </w:pPr>
    </w:p>
    <w:p>
      <w:pPr>
        <w:pStyle w:val="53"/>
        <w:ind w:firstLine="0"/>
        <w:jc w:val="center"/>
        <w:rPr>
          <w:rFonts w:ascii="仿宋" w:hAnsi="仿宋" w:eastAsia="仿宋" w:cs="仿宋"/>
          <w:b/>
          <w:bCs/>
          <w:color w:val="auto"/>
          <w:sz w:val="28"/>
          <w:szCs w:val="28"/>
        </w:rPr>
      </w:pPr>
      <w:r>
        <w:rPr>
          <w:rFonts w:hint="eastAsia" w:ascii="仿宋" w:hAnsi="仿宋" w:eastAsia="仿宋" w:cs="仿宋"/>
          <w:b/>
          <w:bCs/>
          <w:color w:val="auto"/>
          <w:sz w:val="28"/>
          <w:szCs w:val="28"/>
        </w:rPr>
        <w:t>第一部分 合同书</w:t>
      </w:r>
    </w:p>
    <w:p>
      <w:pPr>
        <w:pStyle w:val="53"/>
        <w:ind w:firstLine="0"/>
        <w:rPr>
          <w:rFonts w:ascii="仿宋" w:hAnsi="仿宋" w:eastAsia="仿宋" w:cs="仿宋"/>
          <w:color w:val="auto"/>
          <w:sz w:val="28"/>
          <w:szCs w:val="28"/>
        </w:rPr>
      </w:pPr>
    </w:p>
    <w:p>
      <w:pPr>
        <w:pStyle w:val="53"/>
        <w:ind w:firstLine="0"/>
        <w:rPr>
          <w:rFonts w:ascii="仿宋" w:hAnsi="仿宋" w:eastAsia="仿宋" w:cs="仿宋"/>
          <w:color w:val="auto"/>
          <w:sz w:val="28"/>
          <w:szCs w:val="28"/>
        </w:rPr>
      </w:pPr>
    </w:p>
    <w:p>
      <w:pPr>
        <w:spacing w:before="120" w:line="22" w:lineRule="atLeast"/>
        <w:rPr>
          <w:rFonts w:ascii="仿宋" w:hAnsi="仿宋" w:eastAsia="仿宋" w:cs="仿宋"/>
          <w:color w:val="auto"/>
          <w:sz w:val="28"/>
          <w:szCs w:val="28"/>
        </w:rPr>
      </w:pPr>
    </w:p>
    <w:p>
      <w:pPr>
        <w:spacing w:before="120" w:line="22" w:lineRule="atLeast"/>
        <w:ind w:left="96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pPr>
        <w:pStyle w:val="51"/>
        <w:spacing w:before="120" w:line="22" w:lineRule="atLeast"/>
        <w:rPr>
          <w:rFonts w:ascii="仿宋" w:hAnsi="仿宋" w:eastAsia="仿宋" w:cs="仿宋"/>
          <w:color w:val="auto"/>
          <w:szCs w:val="24"/>
        </w:rPr>
      </w:pPr>
    </w:p>
    <w:p>
      <w:pPr>
        <w:pStyle w:val="51"/>
        <w:spacing w:before="120" w:line="22" w:lineRule="atLeast"/>
        <w:rPr>
          <w:rFonts w:ascii="仿宋" w:hAnsi="仿宋" w:eastAsia="仿宋" w:cs="仿宋"/>
          <w:color w:val="auto"/>
          <w:szCs w:val="24"/>
        </w:rPr>
      </w:pPr>
    </w:p>
    <w:p>
      <w:pPr>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pPr>
        <w:spacing w:before="120" w:line="22" w:lineRule="atLeast"/>
        <w:rPr>
          <w:rFonts w:ascii="仿宋" w:hAnsi="仿宋" w:eastAsia="仿宋" w:cs="仿宋"/>
          <w:color w:val="auto"/>
          <w:sz w:val="24"/>
        </w:rPr>
      </w:pPr>
    </w:p>
    <w:p>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autoSpaceDE w:val="0"/>
        <w:autoSpaceDN w:val="0"/>
        <w:adjustRightInd w:val="0"/>
        <w:spacing w:line="600" w:lineRule="exact"/>
        <w:ind w:firstLine="640"/>
        <w:jc w:val="center"/>
        <w:rPr>
          <w:rFonts w:ascii="仿宋" w:hAnsi="仿宋" w:eastAsia="仿宋" w:cs="仿宋"/>
          <w:color w:val="auto"/>
          <w:sz w:val="24"/>
        </w:rPr>
        <w:sectPr>
          <w:headerReference r:id="rId5" w:type="default"/>
          <w:footerReference r:id="rId6" w:type="default"/>
          <w:pgSz w:w="11907" w:h="16840"/>
          <w:pgMar w:top="1474" w:right="1814" w:bottom="1474" w:left="1814" w:header="851" w:footer="851" w:gutter="0"/>
          <w:cols w:space="720" w:num="1"/>
          <w:docGrid w:linePitch="462" w:charSpace="0"/>
        </w:sectPr>
      </w:pP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喀什地区自然资源局  </w:t>
      </w:r>
      <w:r>
        <w:rPr>
          <w:rFonts w:hint="eastAsia" w:ascii="仿宋" w:hAnsi="仿宋" w:eastAsia="仿宋" w:cs="仿宋"/>
          <w:color w:val="auto"/>
          <w:sz w:val="24"/>
        </w:rPr>
        <w:t>以</w:t>
      </w:r>
      <w:r>
        <w:rPr>
          <w:rFonts w:hint="eastAsia" w:ascii="仿宋" w:hAnsi="仿宋" w:eastAsia="仿宋" w:cs="仿宋"/>
          <w:color w:val="auto"/>
          <w:sz w:val="24"/>
          <w:u w:val="single"/>
        </w:rPr>
        <w:t xml:space="preserve">公开招标方式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ascii="仿宋" w:hAnsi="仿宋" w:eastAsia="仿宋" w:cs="仿宋"/>
          <w:color w:val="auto"/>
          <w:sz w:val="24"/>
        </w:rPr>
      </w:pPr>
      <w:bookmarkStart w:id="279" w:name="_Toc15367"/>
      <w:bookmarkStart w:id="280" w:name="_Toc22967"/>
      <w:bookmarkStart w:id="281" w:name="_Toc28855"/>
      <w:bookmarkStart w:id="282" w:name="_Toc19273"/>
      <w:bookmarkStart w:id="283" w:name="_Toc20421"/>
      <w:r>
        <w:rPr>
          <w:rFonts w:hint="eastAsia" w:ascii="仿宋" w:hAnsi="仿宋" w:eastAsia="仿宋" w:cs="仿宋"/>
          <w:b/>
          <w:bCs/>
          <w:color w:val="auto"/>
          <w:sz w:val="24"/>
        </w:rPr>
        <w:t>1.1 合同组成部分</w:t>
      </w:r>
      <w:bookmarkEnd w:id="279"/>
      <w:bookmarkEnd w:id="280"/>
      <w:bookmarkEnd w:id="281"/>
      <w:bookmarkEnd w:id="282"/>
      <w:bookmarkEnd w:id="28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1.1.4 采购文件（含澄清或者修改文件）；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ascii="仿宋" w:hAnsi="仿宋" w:eastAsia="仿宋" w:cs="仿宋"/>
          <w:b/>
          <w:bCs/>
          <w:color w:val="auto"/>
          <w:sz w:val="24"/>
        </w:rPr>
      </w:pPr>
      <w:bookmarkStart w:id="284" w:name="_Toc6311"/>
      <w:bookmarkStart w:id="285" w:name="_Toc18585"/>
      <w:bookmarkStart w:id="286" w:name="_Toc2918"/>
      <w:bookmarkStart w:id="287" w:name="_Toc22185"/>
      <w:bookmarkStart w:id="288" w:name="_Toc6773"/>
      <w:r>
        <w:rPr>
          <w:rFonts w:hint="eastAsia" w:ascii="仿宋" w:hAnsi="仿宋" w:eastAsia="仿宋" w:cs="仿宋"/>
          <w:b/>
          <w:bCs/>
          <w:color w:val="auto"/>
          <w:sz w:val="24"/>
        </w:rPr>
        <w:t>1.2 标的</w:t>
      </w:r>
      <w:bookmarkEnd w:id="284"/>
      <w:bookmarkEnd w:id="285"/>
      <w:bookmarkEnd w:id="286"/>
      <w:bookmarkEnd w:id="287"/>
      <w:bookmarkEnd w:id="288"/>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1.2.1 标的名称：</w:t>
      </w:r>
      <w:r>
        <w:rPr>
          <w:rFonts w:hint="eastAsia" w:ascii="仿宋" w:hAnsi="仿宋" w:eastAsia="仿宋" w:cs="仿宋"/>
          <w:color w:val="auto"/>
          <w:sz w:val="24"/>
          <w:u w:val="single"/>
        </w:rPr>
        <w:t xml:space="preserve">                （详见清单）</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1.2.2 标的数量：</w:t>
      </w:r>
      <w:r>
        <w:rPr>
          <w:rFonts w:hint="eastAsia" w:ascii="仿宋" w:hAnsi="仿宋" w:eastAsia="仿宋" w:cs="仿宋"/>
          <w:color w:val="auto"/>
          <w:sz w:val="24"/>
          <w:u w:val="single"/>
        </w:rPr>
        <w:t>按采购文件要求（详见清单）</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1.2.3 标的质量：</w:t>
      </w:r>
      <w:r>
        <w:rPr>
          <w:rFonts w:hint="eastAsia" w:ascii="仿宋" w:hAnsi="仿宋" w:eastAsia="仿宋" w:cs="仿宋"/>
          <w:color w:val="auto"/>
          <w:sz w:val="24"/>
          <w:u w:val="single"/>
        </w:rPr>
        <w:t>按采购文件要求和投标文件的实际填写。</w:t>
      </w:r>
    </w:p>
    <w:p>
      <w:pPr>
        <w:spacing w:line="560" w:lineRule="exact"/>
        <w:ind w:firstLine="482" w:firstLineChars="200"/>
        <w:outlineLvl w:val="0"/>
        <w:rPr>
          <w:rFonts w:ascii="仿宋" w:hAnsi="仿宋" w:eastAsia="仿宋" w:cs="仿宋"/>
          <w:b/>
          <w:bCs/>
          <w:color w:val="auto"/>
          <w:sz w:val="24"/>
        </w:rPr>
      </w:pPr>
      <w:bookmarkStart w:id="289" w:name="_Toc5635"/>
      <w:bookmarkStart w:id="290" w:name="_Toc4929"/>
      <w:bookmarkStart w:id="291" w:name="_Toc21124"/>
      <w:bookmarkStart w:id="292" w:name="_Toc13918"/>
      <w:bookmarkStart w:id="293" w:name="_Toc1386"/>
      <w:r>
        <w:rPr>
          <w:rFonts w:hint="eastAsia" w:ascii="仿宋" w:hAnsi="仿宋" w:eastAsia="仿宋" w:cs="仿宋"/>
          <w:b/>
          <w:bCs/>
          <w:color w:val="auto"/>
          <w:sz w:val="24"/>
        </w:rPr>
        <w:t>1.3 价款</w:t>
      </w:r>
      <w:bookmarkEnd w:id="289"/>
      <w:bookmarkEnd w:id="290"/>
      <w:bookmarkEnd w:id="291"/>
      <w:bookmarkEnd w:id="292"/>
      <w:bookmarkEnd w:id="29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价格：</w:t>
      </w:r>
    </w:p>
    <w:tbl>
      <w:tblPr>
        <w:tblStyle w:val="3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2"/>
              <w:spacing w:line="560" w:lineRule="exac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3402" w:type="dxa"/>
            <w:vAlign w:val="center"/>
          </w:tcPr>
          <w:p>
            <w:pPr>
              <w:pStyle w:val="52"/>
              <w:spacing w:line="560" w:lineRule="exact"/>
              <w:ind w:firstLine="200"/>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产品名称</w:t>
            </w:r>
          </w:p>
        </w:tc>
        <w:tc>
          <w:tcPr>
            <w:tcW w:w="2552" w:type="dxa"/>
            <w:vAlign w:val="center"/>
          </w:tcPr>
          <w:p>
            <w:pPr>
              <w:pStyle w:val="52"/>
              <w:spacing w:line="560" w:lineRule="exact"/>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产品价格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2"/>
              <w:spacing w:line="560" w:lineRule="exact"/>
              <w:ind w:firstLine="200"/>
              <w:jc w:val="center"/>
              <w:rPr>
                <w:rFonts w:ascii="仿宋" w:hAnsi="仿宋" w:eastAsia="仿宋" w:cs="仿宋"/>
                <w:color w:val="auto"/>
                <w:kern w:val="2"/>
                <w:sz w:val="24"/>
                <w:szCs w:val="24"/>
              </w:rPr>
            </w:pPr>
          </w:p>
        </w:tc>
        <w:tc>
          <w:tcPr>
            <w:tcW w:w="3402" w:type="dxa"/>
            <w:vAlign w:val="center"/>
          </w:tcPr>
          <w:p>
            <w:pPr>
              <w:pStyle w:val="52"/>
              <w:spacing w:line="560" w:lineRule="exact"/>
              <w:ind w:firstLine="200"/>
              <w:jc w:val="center"/>
              <w:rPr>
                <w:rFonts w:ascii="仿宋" w:hAnsi="仿宋" w:eastAsia="仿宋" w:cs="仿宋"/>
                <w:color w:val="auto"/>
                <w:kern w:val="2"/>
                <w:sz w:val="24"/>
                <w:szCs w:val="24"/>
              </w:rPr>
            </w:pPr>
          </w:p>
        </w:tc>
        <w:tc>
          <w:tcPr>
            <w:tcW w:w="2552" w:type="dxa"/>
            <w:vAlign w:val="center"/>
          </w:tcPr>
          <w:p>
            <w:pPr>
              <w:pStyle w:val="52"/>
              <w:spacing w:line="560" w:lineRule="exact"/>
              <w:ind w:firstLine="200"/>
              <w:jc w:val="center"/>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2"/>
              <w:spacing w:line="560" w:lineRule="exact"/>
              <w:ind w:firstLine="200"/>
              <w:jc w:val="center"/>
              <w:rPr>
                <w:rFonts w:ascii="仿宋" w:hAnsi="仿宋" w:eastAsia="仿宋" w:cs="仿宋"/>
                <w:color w:val="auto"/>
                <w:kern w:val="2"/>
                <w:sz w:val="24"/>
                <w:szCs w:val="24"/>
              </w:rPr>
            </w:pPr>
          </w:p>
        </w:tc>
        <w:tc>
          <w:tcPr>
            <w:tcW w:w="3402" w:type="dxa"/>
            <w:vAlign w:val="center"/>
          </w:tcPr>
          <w:p>
            <w:pPr>
              <w:pStyle w:val="52"/>
              <w:spacing w:line="560" w:lineRule="exact"/>
              <w:ind w:firstLine="200"/>
              <w:jc w:val="center"/>
              <w:rPr>
                <w:rFonts w:ascii="仿宋" w:hAnsi="仿宋" w:eastAsia="仿宋" w:cs="仿宋"/>
                <w:color w:val="auto"/>
                <w:kern w:val="2"/>
                <w:sz w:val="24"/>
                <w:szCs w:val="24"/>
              </w:rPr>
            </w:pPr>
          </w:p>
        </w:tc>
        <w:tc>
          <w:tcPr>
            <w:tcW w:w="2552" w:type="dxa"/>
            <w:vAlign w:val="center"/>
          </w:tcPr>
          <w:p>
            <w:pPr>
              <w:pStyle w:val="52"/>
              <w:spacing w:line="560" w:lineRule="exact"/>
              <w:ind w:firstLine="200"/>
              <w:jc w:val="center"/>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2"/>
              <w:spacing w:line="560" w:lineRule="exact"/>
              <w:ind w:firstLine="200"/>
              <w:jc w:val="center"/>
              <w:rPr>
                <w:rFonts w:ascii="仿宋" w:hAnsi="仿宋" w:eastAsia="仿宋" w:cs="仿宋"/>
                <w:color w:val="auto"/>
                <w:kern w:val="2"/>
                <w:sz w:val="24"/>
                <w:szCs w:val="24"/>
              </w:rPr>
            </w:pPr>
          </w:p>
        </w:tc>
        <w:tc>
          <w:tcPr>
            <w:tcW w:w="3402" w:type="dxa"/>
            <w:vAlign w:val="center"/>
          </w:tcPr>
          <w:p>
            <w:pPr>
              <w:pStyle w:val="52"/>
              <w:spacing w:line="560" w:lineRule="exact"/>
              <w:ind w:firstLine="200"/>
              <w:jc w:val="center"/>
              <w:rPr>
                <w:rFonts w:ascii="仿宋" w:hAnsi="仿宋" w:eastAsia="仿宋" w:cs="仿宋"/>
                <w:color w:val="auto"/>
                <w:kern w:val="2"/>
                <w:sz w:val="24"/>
                <w:szCs w:val="24"/>
              </w:rPr>
            </w:pPr>
          </w:p>
        </w:tc>
        <w:tc>
          <w:tcPr>
            <w:tcW w:w="2552" w:type="dxa"/>
            <w:vAlign w:val="center"/>
          </w:tcPr>
          <w:p>
            <w:pPr>
              <w:pStyle w:val="52"/>
              <w:spacing w:line="560" w:lineRule="exact"/>
              <w:ind w:firstLine="200"/>
              <w:jc w:val="center"/>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52"/>
              <w:spacing w:line="560" w:lineRule="exact"/>
              <w:ind w:firstLine="200"/>
              <w:jc w:val="center"/>
              <w:rPr>
                <w:rFonts w:ascii="仿宋" w:hAnsi="仿宋" w:eastAsia="仿宋" w:cs="仿宋"/>
                <w:color w:val="auto"/>
                <w:kern w:val="2"/>
                <w:sz w:val="24"/>
                <w:szCs w:val="24"/>
              </w:rPr>
            </w:pPr>
          </w:p>
        </w:tc>
        <w:tc>
          <w:tcPr>
            <w:tcW w:w="3402" w:type="dxa"/>
            <w:vAlign w:val="center"/>
          </w:tcPr>
          <w:p>
            <w:pPr>
              <w:pStyle w:val="52"/>
              <w:spacing w:line="560" w:lineRule="exact"/>
              <w:ind w:firstLine="200"/>
              <w:jc w:val="center"/>
              <w:rPr>
                <w:rFonts w:ascii="仿宋" w:hAnsi="仿宋" w:eastAsia="仿宋" w:cs="仿宋"/>
                <w:color w:val="auto"/>
                <w:kern w:val="2"/>
                <w:sz w:val="24"/>
                <w:szCs w:val="24"/>
              </w:rPr>
            </w:pPr>
          </w:p>
        </w:tc>
        <w:tc>
          <w:tcPr>
            <w:tcW w:w="2552" w:type="dxa"/>
            <w:vAlign w:val="center"/>
          </w:tcPr>
          <w:p>
            <w:pPr>
              <w:pStyle w:val="52"/>
              <w:spacing w:line="560" w:lineRule="exact"/>
              <w:ind w:firstLine="200"/>
              <w:jc w:val="center"/>
              <w:rPr>
                <w:rFonts w:ascii="仿宋" w:hAnsi="仿宋" w:eastAsia="仿宋" w:cs="仿宋"/>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52"/>
              <w:spacing w:line="560" w:lineRule="exact"/>
              <w:ind w:firstLine="200"/>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总价</w:t>
            </w:r>
          </w:p>
        </w:tc>
        <w:tc>
          <w:tcPr>
            <w:tcW w:w="2552" w:type="dxa"/>
            <w:vAlign w:val="center"/>
          </w:tcPr>
          <w:p>
            <w:pPr>
              <w:pStyle w:val="52"/>
              <w:spacing w:line="560" w:lineRule="exact"/>
              <w:ind w:firstLine="200"/>
              <w:jc w:val="center"/>
              <w:rPr>
                <w:rFonts w:ascii="仿宋" w:hAnsi="仿宋" w:eastAsia="仿宋" w:cs="仿宋"/>
                <w:color w:val="auto"/>
                <w:kern w:val="2"/>
                <w:sz w:val="24"/>
                <w:szCs w:val="24"/>
              </w:rPr>
            </w:pPr>
          </w:p>
        </w:tc>
      </w:tr>
    </w:tbl>
    <w:p>
      <w:pPr>
        <w:spacing w:line="560" w:lineRule="exact"/>
        <w:ind w:firstLine="482" w:firstLineChars="200"/>
        <w:outlineLvl w:val="0"/>
        <w:rPr>
          <w:rFonts w:ascii="仿宋" w:hAnsi="仿宋" w:eastAsia="仿宋" w:cs="仿宋"/>
          <w:b/>
          <w:bCs/>
          <w:color w:val="auto"/>
          <w:sz w:val="24"/>
        </w:rPr>
      </w:pPr>
      <w:bookmarkStart w:id="294" w:name="_Toc30506"/>
      <w:bookmarkStart w:id="295" w:name="_Toc14993"/>
      <w:bookmarkStart w:id="296" w:name="_Toc30158"/>
      <w:bookmarkStart w:id="297" w:name="_Toc3654"/>
      <w:bookmarkStart w:id="298" w:name="_Toc26916"/>
      <w:r>
        <w:rPr>
          <w:rFonts w:hint="eastAsia" w:ascii="仿宋" w:hAnsi="仿宋" w:eastAsia="仿宋" w:cs="仿宋"/>
          <w:b/>
          <w:bCs/>
          <w:color w:val="auto"/>
          <w:sz w:val="24"/>
        </w:rPr>
        <w:t>1.4 付款方式和发票开具方式</w:t>
      </w:r>
      <w:bookmarkEnd w:id="294"/>
      <w:bookmarkEnd w:id="295"/>
      <w:bookmarkEnd w:id="296"/>
      <w:bookmarkEnd w:id="297"/>
      <w:bookmarkEnd w:id="298"/>
    </w:p>
    <w:p>
      <w:pPr>
        <w:pStyle w:val="15"/>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1.4.1付款方式：详见采购文件要求。</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1.4.2 发票开具方式：乙方提供发票</w:t>
      </w:r>
    </w:p>
    <w:p>
      <w:pPr>
        <w:spacing w:line="560" w:lineRule="exact"/>
        <w:ind w:firstLine="482" w:firstLineChars="200"/>
        <w:outlineLvl w:val="0"/>
        <w:rPr>
          <w:rFonts w:ascii="仿宋" w:hAnsi="仿宋" w:eastAsia="仿宋" w:cs="仿宋"/>
          <w:b/>
          <w:bCs/>
          <w:color w:val="auto"/>
          <w:sz w:val="24"/>
        </w:rPr>
      </w:pPr>
      <w:bookmarkStart w:id="299" w:name="_Toc8772"/>
      <w:bookmarkStart w:id="300" w:name="_Toc11108"/>
      <w:bookmarkStart w:id="301" w:name="_Toc3625"/>
      <w:bookmarkStart w:id="302" w:name="_Toc4760"/>
      <w:bookmarkStart w:id="303" w:name="_Toc31421"/>
      <w:r>
        <w:rPr>
          <w:rFonts w:hint="eastAsia" w:ascii="仿宋" w:hAnsi="仿宋" w:eastAsia="仿宋" w:cs="仿宋"/>
          <w:b/>
          <w:bCs/>
          <w:color w:val="auto"/>
          <w:sz w:val="24"/>
        </w:rPr>
        <w:t>1.5 履行期限、地点和方式</w:t>
      </w:r>
      <w:bookmarkEnd w:id="299"/>
      <w:bookmarkEnd w:id="300"/>
      <w:bookmarkEnd w:id="301"/>
      <w:bookmarkEnd w:id="302"/>
      <w:bookmarkEnd w:id="303"/>
    </w:p>
    <w:p>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1.5.1 履行期限：</w:t>
      </w:r>
      <w:r>
        <w:rPr>
          <w:rFonts w:hint="eastAsia" w:ascii="仿宋" w:hAnsi="仿宋" w:eastAsia="仿宋" w:cs="仿宋"/>
          <w:color w:val="auto"/>
          <w:sz w:val="24"/>
          <w:u w:val="single"/>
        </w:rPr>
        <w:t xml:space="preserve">  按采购文件要求      </w:t>
      </w:r>
    </w:p>
    <w:p>
      <w:pPr>
        <w:spacing w:line="56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 xml:space="preserve">1.5.2 </w:t>
      </w:r>
      <w:r>
        <w:rPr>
          <w:rFonts w:hint="eastAsia" w:ascii="仿宋" w:hAnsi="仿宋" w:eastAsia="仿宋" w:cs="仿宋"/>
          <w:b/>
          <w:bCs/>
          <w:color w:val="auto"/>
          <w:sz w:val="24"/>
        </w:rPr>
        <w:t>履行地点：采购人指定地点</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1.5.3 履行方式：现场验收。</w:t>
      </w:r>
    </w:p>
    <w:p>
      <w:pPr>
        <w:spacing w:line="560" w:lineRule="exact"/>
        <w:ind w:firstLine="482" w:firstLineChars="200"/>
        <w:outlineLvl w:val="0"/>
        <w:rPr>
          <w:rFonts w:ascii="仿宋" w:hAnsi="仿宋" w:eastAsia="仿宋" w:cs="仿宋"/>
          <w:color w:val="auto"/>
          <w:sz w:val="24"/>
          <w:u w:val="single"/>
        </w:rPr>
      </w:pPr>
      <w:bookmarkStart w:id="304" w:name="_Toc8586"/>
      <w:bookmarkStart w:id="305" w:name="_Toc2375"/>
      <w:bookmarkStart w:id="306" w:name="_Toc3079"/>
      <w:bookmarkStart w:id="307" w:name="_Toc24662"/>
      <w:bookmarkStart w:id="308" w:name="_Toc5698"/>
      <w:r>
        <w:rPr>
          <w:rFonts w:hint="eastAsia" w:ascii="仿宋" w:hAnsi="仿宋" w:eastAsia="仿宋" w:cs="仿宋"/>
          <w:b/>
          <w:bCs/>
          <w:color w:val="auto"/>
          <w:sz w:val="24"/>
        </w:rPr>
        <w:t>1.6 违约责任</w:t>
      </w:r>
      <w:bookmarkEnd w:id="304"/>
      <w:bookmarkEnd w:id="305"/>
      <w:bookmarkEnd w:id="306"/>
      <w:bookmarkEnd w:id="307"/>
      <w:bookmarkEnd w:id="30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ascii="仿宋" w:hAnsi="仿宋" w:eastAsia="仿宋" w:cs="仿宋"/>
          <w:b/>
          <w:bCs/>
          <w:color w:val="auto"/>
          <w:sz w:val="24"/>
        </w:rPr>
      </w:pPr>
      <w:bookmarkStart w:id="309" w:name="_Toc26807"/>
      <w:bookmarkStart w:id="310" w:name="_Toc18683"/>
      <w:bookmarkStart w:id="311" w:name="_Toc30329"/>
      <w:bookmarkStart w:id="312" w:name="_Toc9497"/>
      <w:bookmarkStart w:id="313" w:name="_Toc32454"/>
      <w:r>
        <w:rPr>
          <w:rFonts w:hint="eastAsia" w:ascii="仿宋" w:hAnsi="仿宋" w:eastAsia="仿宋" w:cs="仿宋"/>
          <w:b/>
          <w:bCs/>
          <w:color w:val="auto"/>
          <w:sz w:val="24"/>
        </w:rPr>
        <w:t>1.7 合同争议的解决</w:t>
      </w:r>
      <w:bookmarkEnd w:id="309"/>
      <w:bookmarkEnd w:id="310"/>
      <w:bookmarkEnd w:id="311"/>
      <w:bookmarkEnd w:id="312"/>
      <w:bookmarkEnd w:id="31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u w:val="single"/>
        </w:rPr>
        <w:t xml:space="preserve"> 2 </w:t>
      </w:r>
      <w:r>
        <w:rPr>
          <w:rFonts w:hint="eastAsia" w:ascii="仿宋" w:hAnsi="仿宋" w:eastAsia="仿宋" w:cs="仿宋"/>
          <w:color w:val="auto"/>
          <w:sz w:val="24"/>
        </w:rPr>
        <w:t>种方式解决：</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color w:val="auto"/>
          <w:sz w:val="24"/>
          <w:u w:val="single"/>
        </w:rPr>
        <w:t xml:space="preserve">              </w:t>
      </w:r>
      <w:r>
        <w:rPr>
          <w:rFonts w:hint="eastAsia" w:ascii="仿宋" w:hAnsi="仿宋" w:eastAsia="仿宋" w:cs="仿宋"/>
          <w:color w:val="auto"/>
          <w:sz w:val="24"/>
        </w:rPr>
        <w:t>仲裁委员会依申请仲裁时其现行有效的仲裁规则裁决；</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color w:val="auto"/>
          <w:sz w:val="24"/>
          <w:u w:val="single"/>
        </w:rPr>
        <w:t>喀什市</w:t>
      </w:r>
      <w:r>
        <w:rPr>
          <w:rFonts w:hint="eastAsia" w:ascii="仿宋" w:hAnsi="仿宋" w:eastAsia="仿宋" w:cs="仿宋"/>
          <w:color w:val="auto"/>
          <w:sz w:val="24"/>
        </w:rPr>
        <w:t>人民法院起诉。</w:t>
      </w:r>
    </w:p>
    <w:p>
      <w:pPr>
        <w:spacing w:line="560" w:lineRule="exact"/>
        <w:ind w:firstLine="482" w:firstLineChars="200"/>
        <w:outlineLvl w:val="0"/>
        <w:rPr>
          <w:rFonts w:ascii="仿宋" w:hAnsi="仿宋" w:eastAsia="仿宋" w:cs="仿宋"/>
          <w:b/>
          <w:bCs/>
          <w:color w:val="auto"/>
          <w:sz w:val="24"/>
        </w:rPr>
      </w:pPr>
      <w:bookmarkStart w:id="314" w:name="_Toc23784"/>
      <w:bookmarkStart w:id="315" w:name="_Toc26227"/>
      <w:bookmarkStart w:id="316" w:name="_Toc15827"/>
      <w:bookmarkStart w:id="317" w:name="_Toc12273"/>
      <w:bookmarkStart w:id="318" w:name="_Toc16417"/>
      <w:r>
        <w:rPr>
          <w:rFonts w:hint="eastAsia" w:ascii="仿宋" w:hAnsi="仿宋" w:eastAsia="仿宋" w:cs="仿宋"/>
          <w:b/>
          <w:bCs/>
          <w:color w:val="auto"/>
          <w:sz w:val="24"/>
        </w:rPr>
        <w:t>1.8 合同生效</w:t>
      </w:r>
      <w:bookmarkEnd w:id="314"/>
      <w:bookmarkEnd w:id="315"/>
      <w:bookmarkEnd w:id="316"/>
      <w:bookmarkEnd w:id="317"/>
      <w:bookmarkEnd w:id="318"/>
    </w:p>
    <w:p>
      <w:pPr>
        <w:spacing w:line="560" w:lineRule="exact"/>
        <w:ind w:firstLine="480" w:firstLineChars="200"/>
        <w:rPr>
          <w:rFonts w:ascii="仿宋" w:hAnsi="仿宋" w:eastAsia="仿宋" w:cs="仿宋"/>
          <w:b/>
          <w:bCs/>
          <w:color w:val="auto"/>
          <w:sz w:val="24"/>
        </w:rPr>
      </w:pPr>
      <w:r>
        <w:rPr>
          <w:rFonts w:hint="eastAsia" w:ascii="仿宋" w:hAnsi="仿宋" w:eastAsia="仿宋" w:cs="仿宋"/>
          <w:color w:val="auto"/>
          <w:sz w:val="24"/>
        </w:rPr>
        <w:t>本合同自双方当事人盖章或者签字时生效。</w:t>
      </w:r>
    </w:p>
    <w:p>
      <w:pPr>
        <w:autoSpaceDE w:val="0"/>
        <w:autoSpaceDN w:val="0"/>
        <w:adjustRightInd w:val="0"/>
        <w:spacing w:line="560" w:lineRule="exact"/>
        <w:rPr>
          <w:rFonts w:ascii="仿宋" w:hAnsi="仿宋" w:eastAsia="仿宋" w:cs="仿宋"/>
          <w:color w:val="auto"/>
          <w:sz w:val="24"/>
          <w:lang w:val="zh-CN"/>
        </w:rPr>
      </w:pPr>
    </w:p>
    <w:p>
      <w:pPr>
        <w:autoSpaceDE w:val="0"/>
        <w:autoSpaceDN w:val="0"/>
        <w:adjustRightInd w:val="0"/>
        <w:spacing w:line="560" w:lineRule="exact"/>
        <w:rPr>
          <w:rFonts w:ascii="仿宋" w:hAnsi="仿宋" w:eastAsia="仿宋" w:cs="仿宋"/>
          <w:color w:val="auto"/>
          <w:sz w:val="24"/>
          <w:lang w:val="zh-CN"/>
        </w:rPr>
      </w:pPr>
      <w:r>
        <w:rPr>
          <w:rFonts w:hint="eastAsia" w:ascii="仿宋" w:hAnsi="仿宋" w:eastAsia="仿宋" w:cs="仿宋"/>
          <w:b/>
          <w:bCs/>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bCs/>
          <w:color w:val="auto"/>
          <w:sz w:val="24"/>
          <w:lang w:val="zh-CN"/>
        </w:rPr>
        <w:t xml:space="preserve">      乙方</w:t>
      </w:r>
      <w:r>
        <w:rPr>
          <w:rFonts w:hint="eastAsia" w:ascii="仿宋" w:hAnsi="仿宋" w:eastAsia="仿宋" w:cs="仿宋"/>
          <w:color w:val="auto"/>
          <w:sz w:val="24"/>
          <w:lang w:val="zh-CN"/>
        </w:rPr>
        <w:t>：</w:t>
      </w:r>
    </w:p>
    <w:p>
      <w:pPr>
        <w:autoSpaceDE w:val="0"/>
        <w:autoSpaceDN w:val="0"/>
        <w:adjustRightInd w:val="0"/>
        <w:spacing w:line="560" w:lineRule="exact"/>
        <w:ind w:left="5040" w:hanging="5040" w:hangingChars="2100"/>
        <w:rPr>
          <w:rFonts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adjustRightInd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adjustRightInd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adjustRightInd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adjustRightInd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adjustRightInd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adjustRightInd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adjustRightInd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adjustRightInd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adjustRightInd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adjustRightInd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adjustRightInd w:val="0"/>
        <w:spacing w:line="560" w:lineRule="exact"/>
        <w:rPr>
          <w:rFonts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adjustRightInd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pPr>
        <w:widowControl/>
        <w:spacing w:line="560" w:lineRule="exact"/>
        <w:jc w:val="left"/>
        <w:rPr>
          <w:rFonts w:ascii="仿宋" w:hAnsi="仿宋" w:eastAsia="仿宋" w:cs="仿宋"/>
          <w:b/>
          <w:bCs/>
          <w:color w:val="auto"/>
          <w:sz w:val="24"/>
        </w:rPr>
      </w:pPr>
    </w:p>
    <w:p>
      <w:pPr>
        <w:widowControl/>
        <w:spacing w:line="560" w:lineRule="exact"/>
        <w:jc w:val="left"/>
        <w:rPr>
          <w:rFonts w:ascii="仿宋" w:hAnsi="仿宋" w:eastAsia="仿宋" w:cs="仿宋"/>
          <w:b/>
          <w:bCs/>
          <w:color w:val="auto"/>
          <w:kern w:val="0"/>
          <w:sz w:val="24"/>
        </w:rPr>
      </w:pPr>
    </w:p>
    <w:p>
      <w:pPr>
        <w:pStyle w:val="53"/>
        <w:spacing w:line="560" w:lineRule="exact"/>
        <w:ind w:firstLine="200"/>
        <w:jc w:val="center"/>
        <w:rPr>
          <w:rFonts w:ascii="仿宋" w:hAnsi="仿宋" w:eastAsia="仿宋" w:cs="仿宋"/>
          <w:b/>
          <w:bCs/>
          <w:color w:val="auto"/>
          <w:szCs w:val="24"/>
        </w:rPr>
      </w:pPr>
      <w:r>
        <w:rPr>
          <w:rFonts w:hint="eastAsia" w:ascii="仿宋" w:hAnsi="仿宋" w:eastAsia="仿宋" w:cs="仿宋"/>
          <w:b/>
          <w:bCs/>
          <w:color w:val="auto"/>
          <w:szCs w:val="24"/>
        </w:rPr>
        <w:t>第二部分 合同一般条款</w:t>
      </w:r>
    </w:p>
    <w:p>
      <w:pPr>
        <w:spacing w:line="560" w:lineRule="exact"/>
        <w:ind w:firstLine="482" w:firstLineChars="200"/>
        <w:outlineLvl w:val="0"/>
        <w:rPr>
          <w:rFonts w:ascii="仿宋" w:hAnsi="仿宋" w:eastAsia="仿宋" w:cs="仿宋"/>
          <w:b/>
          <w:bCs/>
          <w:color w:val="auto"/>
          <w:sz w:val="24"/>
        </w:rPr>
      </w:pPr>
      <w:bookmarkStart w:id="319" w:name="_Toc19680"/>
      <w:bookmarkStart w:id="320" w:name="_Toc25079"/>
      <w:bookmarkStart w:id="321" w:name="_Toc5228"/>
      <w:bookmarkStart w:id="322" w:name="_Toc31297"/>
      <w:bookmarkStart w:id="323" w:name="_Toc14021"/>
      <w:r>
        <w:rPr>
          <w:rFonts w:hint="eastAsia" w:ascii="仿宋" w:hAnsi="仿宋" w:eastAsia="仿宋" w:cs="仿宋"/>
          <w:b/>
          <w:bCs/>
          <w:color w:val="auto"/>
          <w:sz w:val="24"/>
        </w:rPr>
        <w:t>2.1 定义</w:t>
      </w:r>
      <w:bookmarkEnd w:id="319"/>
      <w:bookmarkEnd w:id="320"/>
      <w:bookmarkEnd w:id="321"/>
      <w:bookmarkEnd w:id="322"/>
      <w:bookmarkEnd w:id="32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 “现场”系指合同约定提供服务的地点。</w:t>
      </w:r>
    </w:p>
    <w:p>
      <w:pPr>
        <w:spacing w:line="560" w:lineRule="exact"/>
        <w:ind w:firstLine="482" w:firstLineChars="200"/>
        <w:outlineLvl w:val="0"/>
        <w:rPr>
          <w:rFonts w:ascii="仿宋" w:hAnsi="仿宋" w:eastAsia="仿宋" w:cs="仿宋"/>
          <w:b/>
          <w:bCs/>
          <w:color w:val="auto"/>
          <w:sz w:val="24"/>
        </w:rPr>
      </w:pPr>
      <w:bookmarkStart w:id="324" w:name="_Toc19539"/>
      <w:bookmarkStart w:id="325" w:name="_Toc3769"/>
      <w:bookmarkStart w:id="326" w:name="_Toc23289"/>
      <w:bookmarkStart w:id="327" w:name="_Toc31402"/>
      <w:bookmarkStart w:id="328" w:name="_Toc16752"/>
      <w:r>
        <w:rPr>
          <w:rFonts w:hint="eastAsia" w:ascii="仿宋" w:hAnsi="仿宋" w:eastAsia="仿宋" w:cs="仿宋"/>
          <w:b/>
          <w:bCs/>
          <w:color w:val="auto"/>
          <w:sz w:val="24"/>
        </w:rPr>
        <w:t>2.2 技术规范</w:t>
      </w:r>
      <w:bookmarkEnd w:id="324"/>
      <w:bookmarkEnd w:id="325"/>
      <w:bookmarkEnd w:id="326"/>
      <w:bookmarkEnd w:id="327"/>
      <w:bookmarkEnd w:id="32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bCs/>
          <w:color w:val="auto"/>
          <w:sz w:val="24"/>
        </w:rPr>
      </w:pPr>
      <w:bookmarkStart w:id="329" w:name="_Toc12412"/>
      <w:bookmarkStart w:id="330" w:name="_Toc13673"/>
      <w:bookmarkStart w:id="331" w:name="_Toc27945"/>
      <w:bookmarkStart w:id="332" w:name="_Toc4133"/>
      <w:bookmarkStart w:id="333" w:name="_Toc9161"/>
      <w:r>
        <w:rPr>
          <w:rFonts w:hint="eastAsia" w:ascii="仿宋" w:hAnsi="仿宋" w:eastAsia="仿宋" w:cs="仿宋"/>
          <w:b/>
          <w:bCs/>
          <w:color w:val="auto"/>
          <w:sz w:val="24"/>
        </w:rPr>
        <w:t>2.3 知识产权</w:t>
      </w:r>
      <w:bookmarkEnd w:id="329"/>
      <w:bookmarkEnd w:id="330"/>
      <w:bookmarkEnd w:id="331"/>
      <w:bookmarkEnd w:id="332"/>
      <w:bookmarkEnd w:id="333"/>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2.4 履约检查和问题反馈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2.4.1甲方有权在其认为必要时，对乙方是否能够按照合同约定提供服务进行履约检查，以确保乙方所提供的服务能够依约满足甲方之采购需求，但不得因履约检查妨碍乙方的正常工作，乙方应予积极配合；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bCs/>
          <w:color w:val="auto"/>
          <w:sz w:val="24"/>
        </w:rPr>
      </w:pPr>
      <w:bookmarkStart w:id="334" w:name="_Toc18990"/>
      <w:bookmarkStart w:id="335" w:name="_Toc30507"/>
      <w:bookmarkStart w:id="336" w:name="_Toc13154"/>
      <w:bookmarkStart w:id="337" w:name="_Toc16163"/>
      <w:bookmarkStart w:id="338" w:name="_Toc13467"/>
      <w:r>
        <w:rPr>
          <w:rFonts w:hint="eastAsia" w:ascii="仿宋" w:hAnsi="仿宋" w:eastAsia="仿宋" w:cs="仿宋"/>
          <w:b/>
          <w:bCs/>
          <w:color w:val="auto"/>
          <w:sz w:val="24"/>
        </w:rPr>
        <w:t>2.5 技术资料和保密义务</w:t>
      </w:r>
      <w:bookmarkEnd w:id="334"/>
      <w:bookmarkEnd w:id="335"/>
      <w:bookmarkEnd w:id="336"/>
      <w:bookmarkEnd w:id="337"/>
      <w:bookmarkEnd w:id="338"/>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2.5.2 乙方有义务妥善保管和保护由甲方提供的前款信息和资料等；</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bCs/>
          <w:color w:val="auto"/>
          <w:sz w:val="24"/>
        </w:rPr>
      </w:pPr>
      <w:bookmarkStart w:id="339" w:name="_Toc19069"/>
      <w:r>
        <w:rPr>
          <w:rFonts w:hint="eastAsia" w:ascii="仿宋" w:hAnsi="仿宋" w:eastAsia="仿宋" w:cs="仿宋"/>
          <w:b/>
          <w:bCs/>
          <w:color w:val="auto"/>
          <w:sz w:val="24"/>
        </w:rPr>
        <w:t>2.6 质量保证</w:t>
      </w:r>
      <w:bookmarkEnd w:id="339"/>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bCs/>
          <w:color w:val="auto"/>
          <w:sz w:val="24"/>
        </w:rPr>
      </w:pPr>
      <w:bookmarkStart w:id="340" w:name="_Toc22267"/>
      <w:r>
        <w:rPr>
          <w:rFonts w:hint="eastAsia" w:ascii="仿宋" w:hAnsi="仿宋" w:eastAsia="仿宋" w:cs="仿宋"/>
          <w:b/>
          <w:bCs/>
          <w:color w:val="auto"/>
          <w:sz w:val="24"/>
        </w:rPr>
        <w:t>2.7 延迟履行</w:t>
      </w:r>
      <w:bookmarkEnd w:id="340"/>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bCs/>
          <w:color w:val="auto"/>
          <w:sz w:val="24"/>
        </w:rPr>
      </w:pPr>
      <w:bookmarkStart w:id="341" w:name="_Toc10611"/>
      <w:r>
        <w:rPr>
          <w:rFonts w:hint="eastAsia" w:ascii="仿宋" w:hAnsi="仿宋" w:eastAsia="仿宋" w:cs="仿宋"/>
          <w:b/>
          <w:bCs/>
          <w:color w:val="auto"/>
          <w:sz w:val="24"/>
        </w:rPr>
        <w:t>2.8 合同变更</w:t>
      </w:r>
      <w:bookmarkEnd w:id="34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2.8.1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2.8.2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bCs/>
          <w:color w:val="auto"/>
          <w:sz w:val="24"/>
        </w:rPr>
      </w:pPr>
      <w:bookmarkStart w:id="342" w:name="_Toc10663"/>
      <w:bookmarkStart w:id="343" w:name="_Toc23368"/>
      <w:bookmarkStart w:id="344" w:name="_Toc42"/>
      <w:bookmarkStart w:id="345" w:name="_Toc21830"/>
      <w:bookmarkStart w:id="346" w:name="_Toc26689"/>
      <w:r>
        <w:rPr>
          <w:rFonts w:hint="eastAsia" w:ascii="仿宋" w:hAnsi="仿宋" w:eastAsia="仿宋" w:cs="仿宋"/>
          <w:b/>
          <w:bCs/>
          <w:color w:val="auto"/>
          <w:sz w:val="24"/>
        </w:rPr>
        <w:t>2.9 合同转让和分包</w:t>
      </w:r>
      <w:bookmarkEnd w:id="342"/>
      <w:bookmarkEnd w:id="343"/>
      <w:bookmarkEnd w:id="344"/>
      <w:bookmarkEnd w:id="345"/>
      <w:bookmarkEnd w:id="34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bCs/>
          <w:color w:val="auto"/>
          <w:sz w:val="24"/>
        </w:rPr>
      </w:pPr>
      <w:bookmarkStart w:id="347" w:name="_Toc14371"/>
      <w:bookmarkStart w:id="348" w:name="_Toc4720"/>
      <w:bookmarkStart w:id="349" w:name="_Toc25571"/>
      <w:bookmarkStart w:id="350" w:name="_Toc32494"/>
      <w:bookmarkStart w:id="351" w:name="_Toc26633"/>
      <w:r>
        <w:rPr>
          <w:rFonts w:hint="eastAsia" w:ascii="仿宋" w:hAnsi="仿宋" w:eastAsia="仿宋" w:cs="仿宋"/>
          <w:b/>
          <w:bCs/>
          <w:color w:val="auto"/>
          <w:sz w:val="24"/>
        </w:rPr>
        <w:t>2.10 不可抗力</w:t>
      </w:r>
      <w:bookmarkEnd w:id="347"/>
      <w:bookmarkEnd w:id="348"/>
      <w:bookmarkEnd w:id="349"/>
      <w:bookmarkEnd w:id="350"/>
      <w:bookmarkEnd w:id="35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2.10.2 因不可抗力致使不能实现合同目的的，当事人可以解除合同；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2.10.3 因不可抗力致使合同有变更必要的，双方当事人应在</w:t>
      </w:r>
      <w:r>
        <w:rPr>
          <w:rFonts w:hint="eastAsia" w:ascii="仿宋" w:hAnsi="仿宋" w:eastAsia="仿宋" w:cs="仿宋"/>
          <w:b/>
          <w:bCs/>
          <w:i/>
          <w:iCs/>
          <w:color w:val="auto"/>
          <w:sz w:val="24"/>
          <w:u w:val="single"/>
        </w:rPr>
        <w:t>5个工作日</w:t>
      </w:r>
      <w:r>
        <w:rPr>
          <w:rFonts w:hint="eastAsia" w:ascii="仿宋" w:hAnsi="仿宋" w:eastAsia="仿宋" w:cs="仿宋"/>
          <w:color w:val="auto"/>
          <w:sz w:val="24"/>
        </w:rPr>
        <w:t>内以书面形式变更合同；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2.10.4受不可抗力影响的一方在不可抗力发生后，应在</w:t>
      </w:r>
      <w:r>
        <w:rPr>
          <w:rFonts w:hint="eastAsia" w:ascii="仿宋" w:hAnsi="仿宋" w:eastAsia="仿宋" w:cs="仿宋"/>
          <w:b/>
          <w:bCs/>
          <w:i/>
          <w:iCs/>
          <w:color w:val="auto"/>
          <w:sz w:val="24"/>
          <w:u w:val="single"/>
        </w:rPr>
        <w:t>3个工作日</w:t>
      </w:r>
      <w:r>
        <w:rPr>
          <w:rFonts w:hint="eastAsia" w:ascii="仿宋" w:hAnsi="仿宋" w:eastAsia="仿宋" w:cs="仿宋"/>
          <w:color w:val="auto"/>
          <w:sz w:val="24"/>
        </w:rPr>
        <w:t>内以书面形式通知对方当事人，并在</w:t>
      </w:r>
      <w:r>
        <w:rPr>
          <w:rFonts w:hint="eastAsia" w:ascii="仿宋" w:hAnsi="仿宋" w:eastAsia="仿宋" w:cs="仿宋"/>
          <w:b/>
          <w:bCs/>
          <w:i/>
          <w:iCs/>
          <w:color w:val="auto"/>
          <w:sz w:val="24"/>
          <w:u w:val="single"/>
        </w:rPr>
        <w:t>5个工作日</w:t>
      </w:r>
      <w:r>
        <w:rPr>
          <w:rFonts w:hint="eastAsia" w:ascii="仿宋" w:hAnsi="仿宋" w:eastAsia="仿宋" w:cs="仿宋"/>
          <w:color w:val="auto"/>
          <w:sz w:val="24"/>
        </w:rPr>
        <w:t>内，将有关部门出具的证明文件送达对方当事人。</w:t>
      </w:r>
    </w:p>
    <w:p>
      <w:pPr>
        <w:spacing w:line="560" w:lineRule="exact"/>
        <w:ind w:firstLine="482" w:firstLineChars="200"/>
        <w:outlineLvl w:val="0"/>
        <w:rPr>
          <w:rFonts w:ascii="仿宋" w:hAnsi="仿宋" w:eastAsia="仿宋" w:cs="仿宋"/>
          <w:b/>
          <w:bCs/>
          <w:color w:val="auto"/>
          <w:sz w:val="24"/>
        </w:rPr>
      </w:pPr>
      <w:bookmarkStart w:id="352" w:name="_Toc25783"/>
      <w:bookmarkStart w:id="353" w:name="_Toc3638"/>
      <w:bookmarkStart w:id="354" w:name="_Toc14115"/>
      <w:bookmarkStart w:id="355" w:name="_Toc24465"/>
      <w:bookmarkStart w:id="356" w:name="_Toc23854"/>
      <w:r>
        <w:rPr>
          <w:rFonts w:hint="eastAsia" w:ascii="仿宋" w:hAnsi="仿宋" w:eastAsia="仿宋" w:cs="仿宋"/>
          <w:b/>
          <w:bCs/>
          <w:color w:val="auto"/>
          <w:sz w:val="24"/>
        </w:rPr>
        <w:t>2.11 税费</w:t>
      </w:r>
      <w:bookmarkEnd w:id="352"/>
      <w:bookmarkEnd w:id="353"/>
      <w:bookmarkEnd w:id="354"/>
      <w:bookmarkEnd w:id="355"/>
      <w:bookmarkEnd w:id="35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pPr>
        <w:spacing w:line="560" w:lineRule="exact"/>
        <w:ind w:firstLine="482" w:firstLineChars="200"/>
        <w:outlineLvl w:val="0"/>
        <w:rPr>
          <w:rFonts w:ascii="仿宋" w:hAnsi="仿宋" w:eastAsia="仿宋" w:cs="仿宋"/>
          <w:b/>
          <w:bCs/>
          <w:color w:val="auto"/>
          <w:sz w:val="24"/>
        </w:rPr>
      </w:pPr>
      <w:bookmarkStart w:id="357" w:name="_Toc7315"/>
      <w:bookmarkStart w:id="358" w:name="_Toc14814"/>
      <w:bookmarkStart w:id="359" w:name="_Toc25525"/>
      <w:bookmarkStart w:id="360" w:name="_Toc26883"/>
      <w:bookmarkStart w:id="361" w:name="_Toc30105"/>
      <w:r>
        <w:rPr>
          <w:rFonts w:hint="eastAsia" w:ascii="仿宋" w:hAnsi="仿宋" w:eastAsia="仿宋" w:cs="仿宋"/>
          <w:b/>
          <w:bCs/>
          <w:color w:val="auto"/>
          <w:sz w:val="24"/>
        </w:rPr>
        <w:t>2.12 乙方破产</w:t>
      </w:r>
      <w:bookmarkEnd w:id="357"/>
      <w:bookmarkEnd w:id="358"/>
      <w:bookmarkEnd w:id="359"/>
      <w:bookmarkEnd w:id="360"/>
      <w:bookmarkEnd w:id="36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bCs/>
          <w:color w:val="auto"/>
          <w:sz w:val="24"/>
        </w:rPr>
      </w:pPr>
      <w:bookmarkStart w:id="362" w:name="_Toc1123"/>
      <w:bookmarkStart w:id="363" w:name="_Toc2016"/>
      <w:bookmarkStart w:id="364" w:name="_Toc23323"/>
      <w:r>
        <w:rPr>
          <w:rFonts w:hint="eastAsia" w:ascii="仿宋" w:hAnsi="仿宋" w:eastAsia="仿宋" w:cs="仿宋"/>
          <w:b/>
          <w:bCs/>
          <w:color w:val="auto"/>
          <w:sz w:val="24"/>
        </w:rPr>
        <w:t>2.13 合同中止、终止</w:t>
      </w:r>
      <w:bookmarkEnd w:id="362"/>
      <w:bookmarkEnd w:id="363"/>
      <w:bookmarkEnd w:id="364"/>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2.13.1 双方当事人不得擅自中止或者终止合同；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bCs/>
          <w:color w:val="auto"/>
          <w:sz w:val="24"/>
        </w:rPr>
      </w:pPr>
      <w:bookmarkStart w:id="365" w:name="_Toc17363"/>
      <w:bookmarkStart w:id="366" w:name="_Toc1969"/>
      <w:bookmarkStart w:id="367" w:name="_Toc14525"/>
      <w:r>
        <w:rPr>
          <w:rFonts w:hint="eastAsia" w:ascii="仿宋" w:hAnsi="仿宋" w:eastAsia="仿宋" w:cs="仿宋"/>
          <w:b/>
          <w:bCs/>
          <w:color w:val="auto"/>
          <w:sz w:val="24"/>
        </w:rPr>
        <w:t>2.14 检验和验收</w:t>
      </w:r>
      <w:bookmarkEnd w:id="365"/>
      <w:bookmarkEnd w:id="366"/>
      <w:bookmarkEnd w:id="367"/>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2.14.2 检验和验收标准、程序等具体内容以及前述验收书的效力详见磋商文件及投标文件要求。</w:t>
      </w:r>
    </w:p>
    <w:p>
      <w:pPr>
        <w:spacing w:line="560" w:lineRule="exact"/>
        <w:ind w:firstLine="482" w:firstLineChars="200"/>
        <w:outlineLvl w:val="0"/>
        <w:rPr>
          <w:rFonts w:ascii="仿宋" w:hAnsi="仿宋" w:eastAsia="仿宋" w:cs="仿宋"/>
          <w:b/>
          <w:bCs/>
          <w:color w:val="auto"/>
          <w:sz w:val="24"/>
        </w:rPr>
      </w:pPr>
      <w:bookmarkStart w:id="368" w:name="_Toc31892"/>
      <w:bookmarkStart w:id="369" w:name="_Toc25198"/>
      <w:bookmarkStart w:id="370" w:name="_Toc12666"/>
      <w:bookmarkStart w:id="371" w:name="_Toc9808"/>
      <w:bookmarkStart w:id="372" w:name="_Toc2308"/>
      <w:r>
        <w:rPr>
          <w:rFonts w:hint="eastAsia" w:ascii="仿宋" w:hAnsi="仿宋" w:eastAsia="仿宋" w:cs="仿宋"/>
          <w:b/>
          <w:bCs/>
          <w:color w:val="auto"/>
          <w:sz w:val="24"/>
        </w:rPr>
        <w:t>2.15 通知和送达</w:t>
      </w:r>
      <w:bookmarkEnd w:id="368"/>
      <w:bookmarkEnd w:id="369"/>
      <w:bookmarkEnd w:id="370"/>
      <w:bookmarkEnd w:id="371"/>
      <w:bookmarkEnd w:id="372"/>
    </w:p>
    <w:p>
      <w:pPr>
        <w:spacing w:line="560" w:lineRule="exact"/>
        <w:ind w:firstLine="480" w:firstLineChars="200"/>
        <w:rPr>
          <w:rFonts w:ascii="仿宋" w:hAnsi="仿宋" w:eastAsia="仿宋" w:cs="仿宋"/>
          <w:color w:val="auto"/>
          <w:sz w:val="24"/>
        </w:rPr>
      </w:pPr>
      <w:bookmarkStart w:id="373" w:name="_Toc7073"/>
      <w:bookmarkStart w:id="374" w:name="_Toc29220"/>
      <w:r>
        <w:rPr>
          <w:rFonts w:hint="eastAsia" w:ascii="仿宋" w:hAnsi="仿宋" w:eastAsia="仿宋" w:cs="仿宋"/>
          <w:color w:val="auto"/>
          <w:sz w:val="24"/>
        </w:rPr>
        <w:t>2.15.1 任何一方因履行合同而以合同第一部分尾部所列明的所有通知、文件、材料，均视为已向对方当事人送达；任何一方变更上述送达方式或者地址的，应于</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373"/>
      <w:bookmarkEnd w:id="374"/>
    </w:p>
    <w:p>
      <w:pPr>
        <w:spacing w:line="560" w:lineRule="exact"/>
        <w:ind w:firstLine="480" w:firstLineChars="200"/>
        <w:rPr>
          <w:rFonts w:ascii="仿宋" w:hAnsi="仿宋" w:eastAsia="仿宋" w:cs="仿宋"/>
          <w:color w:val="auto"/>
          <w:sz w:val="24"/>
        </w:rPr>
      </w:pPr>
      <w:bookmarkStart w:id="375" w:name="_Toc27674"/>
      <w:bookmarkStart w:id="376" w:name="_Toc18401"/>
      <w:r>
        <w:rPr>
          <w:rFonts w:hint="eastAsia" w:ascii="仿宋" w:hAnsi="仿宋" w:eastAsia="仿宋" w:cs="仿宋"/>
          <w:color w:val="auto"/>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375"/>
      <w:bookmarkEnd w:id="376"/>
    </w:p>
    <w:p>
      <w:pPr>
        <w:spacing w:line="560" w:lineRule="exact"/>
        <w:ind w:firstLine="482" w:firstLineChars="200"/>
        <w:outlineLvl w:val="0"/>
        <w:rPr>
          <w:rFonts w:ascii="仿宋" w:hAnsi="仿宋" w:eastAsia="仿宋" w:cs="仿宋"/>
          <w:b/>
          <w:bCs/>
          <w:color w:val="auto"/>
          <w:sz w:val="24"/>
        </w:rPr>
      </w:pPr>
      <w:bookmarkStart w:id="377" w:name="_Toc20808"/>
      <w:bookmarkStart w:id="378" w:name="_Toc27644"/>
      <w:bookmarkStart w:id="379" w:name="_Toc5063"/>
      <w:bookmarkStart w:id="380" w:name="_Toc12254"/>
      <w:bookmarkStart w:id="381" w:name="_Toc28906"/>
      <w:r>
        <w:rPr>
          <w:rFonts w:hint="eastAsia" w:ascii="仿宋" w:hAnsi="仿宋" w:eastAsia="仿宋" w:cs="仿宋"/>
          <w:b/>
          <w:bCs/>
          <w:color w:val="auto"/>
          <w:sz w:val="24"/>
        </w:rPr>
        <w:t>2.16 合同使用的文字和适用的法律</w:t>
      </w:r>
      <w:bookmarkEnd w:id="377"/>
      <w:bookmarkEnd w:id="378"/>
      <w:bookmarkEnd w:id="379"/>
      <w:bookmarkEnd w:id="380"/>
      <w:bookmarkEnd w:id="381"/>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2.16.1 合同使用汉语书就、变更和解释；</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2.16.2 合同适用中华人民共和国法律。</w:t>
      </w:r>
    </w:p>
    <w:p>
      <w:pPr>
        <w:spacing w:line="560" w:lineRule="exact"/>
        <w:ind w:firstLine="482" w:firstLineChars="200"/>
        <w:outlineLvl w:val="0"/>
        <w:rPr>
          <w:rFonts w:ascii="仿宋" w:hAnsi="仿宋" w:eastAsia="仿宋" w:cs="仿宋"/>
          <w:b/>
          <w:bCs/>
          <w:color w:val="auto"/>
          <w:sz w:val="24"/>
        </w:rPr>
      </w:pPr>
      <w:bookmarkStart w:id="382" w:name="_Toc30096"/>
      <w:bookmarkStart w:id="383" w:name="_Toc22266"/>
      <w:bookmarkStart w:id="384" w:name="_Toc1492"/>
      <w:bookmarkStart w:id="385" w:name="_Toc27127"/>
      <w:bookmarkStart w:id="386" w:name="_Toc27403"/>
      <w:r>
        <w:rPr>
          <w:rFonts w:hint="eastAsia" w:ascii="仿宋" w:hAnsi="仿宋" w:eastAsia="仿宋" w:cs="仿宋"/>
          <w:b/>
          <w:bCs/>
          <w:color w:val="auto"/>
          <w:sz w:val="24"/>
        </w:rPr>
        <w:t>2.17 履约保证金</w:t>
      </w:r>
      <w:bookmarkEnd w:id="382"/>
      <w:bookmarkEnd w:id="383"/>
      <w:bookmarkEnd w:id="384"/>
      <w:bookmarkEnd w:id="385"/>
      <w:bookmarkEnd w:id="386"/>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2.17.1 采购文件要求乙方提交履约保证金的，乙方应按合同金额的</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计算向下取整至万元，以支票、汇票或者转账等非现金形式，在签订合同前5个日历日内向采购人交纳履约保证金；</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2.17.2 履约保证金在项目安装调试完成试运行3个月验收合格后5个工作日内，将履约保证金退还乙方；</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2.18 合同份数</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合同一式四份，甲乙双方各持2份，每份均具有同等法律效力。</w:t>
      </w:r>
    </w:p>
    <w:p>
      <w:pPr>
        <w:pStyle w:val="2"/>
        <w:rPr>
          <w:rFonts w:ascii="仿宋" w:hAnsi="仿宋" w:eastAsia="仿宋" w:cs="仿宋"/>
          <w:color w:val="auto"/>
          <w:sz w:val="28"/>
          <w:szCs w:val="21"/>
          <w:highlight w:val="red"/>
        </w:rPr>
      </w:pPr>
    </w:p>
    <w:p>
      <w:pPr>
        <w:pStyle w:val="2"/>
        <w:rPr>
          <w:rFonts w:ascii="仿宋" w:hAnsi="仿宋" w:eastAsia="仿宋" w:cs="仿宋"/>
          <w:color w:val="auto"/>
          <w:kern w:val="44"/>
          <w:sz w:val="28"/>
          <w:szCs w:val="28"/>
        </w:rPr>
      </w:pPr>
      <w:r>
        <w:rPr>
          <w:rFonts w:hint="eastAsia" w:ascii="仿宋" w:hAnsi="仿宋" w:eastAsia="仿宋" w:cs="仿宋"/>
          <w:b/>
          <w:bCs/>
          <w:color w:val="auto"/>
          <w:kern w:val="2"/>
          <w:sz w:val="32"/>
          <w:szCs w:val="32"/>
        </w:rPr>
        <w:t>（本合同仅供参考）</w:t>
      </w:r>
    </w:p>
    <w:p>
      <w:pPr>
        <w:pStyle w:val="36"/>
        <w:ind w:firstLine="560"/>
        <w:rPr>
          <w:rFonts w:ascii="仿宋" w:hAnsi="仿宋" w:eastAsia="仿宋" w:cs="仿宋"/>
          <w:color w:val="auto"/>
          <w:kern w:val="44"/>
          <w:sz w:val="28"/>
          <w:szCs w:val="28"/>
        </w:rPr>
      </w:pPr>
    </w:p>
    <w:p>
      <w:pPr>
        <w:pStyle w:val="35"/>
        <w:ind w:firstLine="560"/>
        <w:rPr>
          <w:rFonts w:ascii="仿宋" w:hAnsi="仿宋" w:eastAsia="仿宋" w:cs="仿宋"/>
          <w:color w:val="auto"/>
          <w:kern w:val="44"/>
          <w:sz w:val="28"/>
          <w:szCs w:val="28"/>
        </w:rPr>
      </w:pPr>
    </w:p>
    <w:p>
      <w:pPr>
        <w:pStyle w:val="36"/>
        <w:ind w:firstLine="560"/>
        <w:rPr>
          <w:rFonts w:ascii="仿宋" w:hAnsi="仿宋" w:eastAsia="仿宋" w:cs="仿宋"/>
          <w:color w:val="auto"/>
          <w:kern w:val="44"/>
          <w:sz w:val="28"/>
          <w:szCs w:val="28"/>
        </w:rPr>
      </w:pPr>
    </w:p>
    <w:p>
      <w:pPr>
        <w:pStyle w:val="35"/>
        <w:ind w:firstLine="560"/>
        <w:rPr>
          <w:rFonts w:ascii="仿宋" w:hAnsi="仿宋" w:eastAsia="仿宋" w:cs="仿宋"/>
          <w:color w:val="auto"/>
          <w:kern w:val="44"/>
          <w:sz w:val="28"/>
          <w:szCs w:val="28"/>
        </w:rPr>
      </w:pPr>
    </w:p>
    <w:p>
      <w:pPr>
        <w:pStyle w:val="36"/>
        <w:ind w:firstLine="560"/>
        <w:rPr>
          <w:rFonts w:ascii="仿宋" w:hAnsi="仿宋" w:eastAsia="仿宋" w:cs="仿宋"/>
          <w:color w:val="auto"/>
          <w:kern w:val="44"/>
          <w:sz w:val="28"/>
          <w:szCs w:val="28"/>
        </w:rPr>
      </w:pPr>
    </w:p>
    <w:p>
      <w:pPr>
        <w:pStyle w:val="35"/>
        <w:ind w:firstLine="560"/>
        <w:rPr>
          <w:rFonts w:ascii="仿宋" w:hAnsi="仿宋" w:eastAsia="仿宋" w:cs="仿宋"/>
          <w:color w:val="auto"/>
          <w:kern w:val="44"/>
          <w:sz w:val="28"/>
          <w:szCs w:val="28"/>
        </w:rPr>
      </w:pPr>
    </w:p>
    <w:p>
      <w:pPr>
        <w:pStyle w:val="36"/>
        <w:ind w:firstLine="560"/>
        <w:rPr>
          <w:rFonts w:ascii="仿宋" w:hAnsi="仿宋" w:eastAsia="仿宋" w:cs="仿宋"/>
          <w:color w:val="auto"/>
          <w:kern w:val="44"/>
          <w:sz w:val="28"/>
          <w:szCs w:val="28"/>
        </w:rPr>
      </w:pPr>
    </w:p>
    <w:p>
      <w:pPr>
        <w:pStyle w:val="5"/>
        <w:spacing w:before="0" w:line="240" w:lineRule="atLeast"/>
        <w:jc w:val="both"/>
        <w:rPr>
          <w:rFonts w:ascii="仿宋" w:hAnsi="仿宋" w:eastAsia="仿宋" w:cs="仿宋"/>
          <w:color w:val="auto"/>
          <w:sz w:val="24"/>
        </w:rPr>
      </w:pPr>
    </w:p>
    <w:sectPr>
      <w:headerReference r:id="rId7" w:type="default"/>
      <w:footerReference r:id="rId8"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right"/>
    </w:pPr>
    <w:r>
      <w:pict>
        <v:shape id="_x0000_s2049" o:spid="_x0000_s2049"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QCJI0QAAAAIBAAAPAAAAAAAAAAEAIAAAACIAAABkcnMvZG93&#10;bnJldi54bWxQSwECFAAUAAAACACHTuJA+cOZ+c4BAACWAwAADgAAAAAAAAABACAAAAAgAQAAZHJz&#10;L2Uyb0RvYy54bWxQSwUGAAAAAAYABgBZAQAAYAUAAAAA&#10;">
          <v:path/>
          <v:fill on="f" focussize="0,0"/>
          <v:stroke on="f" joinstyle="miter"/>
          <v:imagedata o:title=""/>
          <o:lock v:ext="edit"/>
          <v:textbox inset="0mm,0mm,0mm,0mm" style="mso-fit-shape-to-text:t;">
            <w:txbxContent>
              <w:p>
                <w:pPr>
                  <w:pStyle w:val="20"/>
                  <w:rPr>
                    <w:rStyle w:val="41"/>
                  </w:rPr>
                </w:pPr>
                <w:r>
                  <w:fldChar w:fldCharType="begin"/>
                </w:r>
                <w:r>
                  <w:rPr>
                    <w:rStyle w:val="41"/>
                  </w:rPr>
                  <w:instrText xml:space="preserve">PAGE  </w:instrText>
                </w:r>
                <w:r>
                  <w:fldChar w:fldCharType="separate"/>
                </w:r>
                <w:r>
                  <w:rPr>
                    <w:rStyle w:val="41"/>
                  </w:rPr>
                  <w:t>27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pict>
        <v:shape id="文本框 5"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EWS8gBAACaAwAADgAAAGRycy9lMm9Eb2MueG1srVPNjtMwEL4j8Q6W&#10;79RpJ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Wv&#10;sz99gBrbHgI2puHOD9g75wGTWfagos1vFESwjlDnq7tySETkj9ar9brCksDafEB89vh5iJDeSm9J&#10;DhoacX3FVX56D2lsnVvyNOfvtTFlhcb9lUDMnGGZ+8gxR2nYD5OgvW/PqKfHzTfU4UWnxLxzaCzy&#10;S3MQ52A/B8cQ9aFDasvCC8LtMSGJwi1PGGGnwbiyom66XvlO/HkuXY+/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FkvIAQAAmgMAAA4AAAAAAAAAAQAgAAAAHgEAAGRycy9lMm9Eb2Mu&#10;eG1sUEsFBgAAAAAGAAYAWQEAAFgFAAAAAA==&#10;">
          <v:path/>
          <v:fill on="f" focussize="0,0"/>
          <v:stroke on="f" joinstyle="miter"/>
          <v:imagedata o:title=""/>
          <o:lock v:ext="edit"/>
          <v:textbox inset="0mm,0mm,0mm,0mm" style="mso-fit-shape-to-text:t;">
            <w:txbxContent>
              <w:p>
                <w:pPr>
                  <w:pStyle w:val="20"/>
                  <w:jc w:val="center"/>
                </w:pPr>
                <w:r>
                  <w:fldChar w:fldCharType="begin"/>
                </w:r>
                <w:r>
                  <w:instrText xml:space="preserve">PAGE   \* MERGEFORMAT</w:instrText>
                </w:r>
                <w:r>
                  <w:fldChar w:fldCharType="separate"/>
                </w:r>
                <w:r>
                  <w:rPr>
                    <w:lang w:val="zh-CN"/>
                  </w:rPr>
                  <w:t>116</w:t>
                </w:r>
                <w:r>
                  <w:rPr>
                    <w:lang w:val="zh-CN"/>
                  </w:rPr>
                  <w:fldChar w:fldCharType="end"/>
                </w:r>
              </w:p>
            </w:txbxContent>
          </v:textbox>
        </v:shape>
      </w:pict>
    </w:r>
  </w:p>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pict>
        <v:shape id="文本框 4" o:spid="_x0000_s2051"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m/trvM4BAACXAwAADgAAAAAAAAABACAAAAAgAQAAZHJz&#10;L2Uyb0RvYy54bWxQSwUGAAAAAAYABgBZAQAAYAUAAAAA&#10;">
          <v:path/>
          <v:fill on="f" focussize="0,0"/>
          <v:stroke on="f" joinstyle="miter"/>
          <v:imagedata o:title=""/>
          <o:lock v:ext="edit"/>
          <v:textbox inset="0mm,0mm,0mm,0mm" style="mso-fit-shape-to-text:t;">
            <w:txbxContent>
              <w:p>
                <w:pPr>
                  <w:pStyle w:val="20"/>
                  <w:jc w:val="center"/>
                </w:pPr>
                <w:r>
                  <w:fldChar w:fldCharType="begin"/>
                </w:r>
                <w:r>
                  <w:instrText xml:space="preserve">PAGE   \* MERGEFORMAT</w:instrText>
                </w:r>
                <w:r>
                  <w:fldChar w:fldCharType="separate"/>
                </w:r>
                <w:r>
                  <w:rPr>
                    <w:lang w:val="zh-CN"/>
                  </w:rPr>
                  <w:t>129</w:t>
                </w:r>
                <w:r>
                  <w:fldChar w:fldCharType="end"/>
                </w:r>
              </w:p>
            </w:txbxContent>
          </v:textbox>
        </v:shape>
      </w:pict>
    </w:r>
  </w:p>
  <w:p>
    <w:pPr>
      <w:pStyle w:val="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52F77"/>
    <w:multiLevelType w:val="singleLevel"/>
    <w:tmpl w:val="8AE52F77"/>
    <w:lvl w:ilvl="0" w:tentative="0">
      <w:start w:val="2"/>
      <w:numFmt w:val="decimal"/>
      <w:lvlText w:val="%1."/>
      <w:lvlJc w:val="left"/>
      <w:pPr>
        <w:tabs>
          <w:tab w:val="left" w:pos="312"/>
        </w:tabs>
      </w:pPr>
    </w:lvl>
  </w:abstractNum>
  <w:abstractNum w:abstractNumId="1">
    <w:nsid w:val="B9AFFFA1"/>
    <w:multiLevelType w:val="singleLevel"/>
    <w:tmpl w:val="B9AFFFA1"/>
    <w:lvl w:ilvl="0" w:tentative="0">
      <w:start w:val="2"/>
      <w:numFmt w:val="decimal"/>
      <w:suff w:val="space"/>
      <w:lvlText w:val="第%1章"/>
      <w:lvlJc w:val="left"/>
    </w:lvl>
  </w:abstractNum>
  <w:abstractNum w:abstractNumId="2">
    <w:nsid w:val="E9C3715F"/>
    <w:multiLevelType w:val="singleLevel"/>
    <w:tmpl w:val="E9C3715F"/>
    <w:lvl w:ilvl="0" w:tentative="0">
      <w:start w:val="1"/>
      <w:numFmt w:val="decimal"/>
      <w:lvlText w:val="%1."/>
      <w:lvlJc w:val="left"/>
      <w:pPr>
        <w:tabs>
          <w:tab w:val="left" w:pos="312"/>
        </w:tabs>
      </w:pPr>
    </w:lvl>
  </w:abstractNum>
  <w:abstractNum w:abstractNumId="3">
    <w:nsid w:val="155E6A8F"/>
    <w:multiLevelType w:val="multilevel"/>
    <w:tmpl w:val="155E6A8F"/>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41DF016E"/>
    <w:multiLevelType w:val="singleLevel"/>
    <w:tmpl w:val="41DF016E"/>
    <w:lvl w:ilvl="0" w:tentative="0">
      <w:start w:val="2"/>
      <w:numFmt w:val="chineseCounting"/>
      <w:suff w:val="space"/>
      <w:lvlText w:val="第%1部分"/>
      <w:lvlJc w:val="left"/>
      <w:rPr>
        <w:rFonts w:hint="eastAsia"/>
      </w:rPr>
    </w:lvl>
  </w:abstractNum>
  <w:abstractNum w:abstractNumId="6">
    <w:nsid w:val="53F98F85"/>
    <w:multiLevelType w:val="singleLevel"/>
    <w:tmpl w:val="53F98F85"/>
    <w:lvl w:ilvl="0" w:tentative="0">
      <w:start w:val="2"/>
      <w:numFmt w:val="chineseCounting"/>
      <w:suff w:val="nothing"/>
      <w:lvlText w:val="（%1）"/>
      <w:lvlJc w:val="left"/>
    </w:lvl>
  </w:abstractNum>
  <w:abstractNum w:abstractNumId="7">
    <w:nsid w:val="6B02DAB2"/>
    <w:multiLevelType w:val="singleLevel"/>
    <w:tmpl w:val="6B02DAB2"/>
    <w:lvl w:ilvl="0" w:tentative="0">
      <w:start w:val="3"/>
      <w:numFmt w:val="chineseCounting"/>
      <w:pStyle w:val="50"/>
      <w:suff w:val="nothing"/>
      <w:lvlText w:val="%1、"/>
      <w:lvlJc w:val="left"/>
      <w:rPr>
        <w:rFonts w:hint="eastAsia"/>
      </w:rPr>
    </w:lvl>
  </w:abstractNum>
  <w:num w:numId="1">
    <w:abstractNumId w:val="7"/>
  </w:num>
  <w:num w:numId="2">
    <w:abstractNumId w:val="4"/>
  </w:num>
  <w:num w:numId="3">
    <w:abstractNumId w:val="3"/>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ACTIVE" w:val="03年范本稿123.doc"/>
    <w:docVar w:name="commondata" w:val="eyJoZGlkIjoiY2Y1NDE4NWJhNjZmYThmNDVlNGIyMDQyZjEwNTM3YmUifQ=="/>
    <w:docVar w:name="KSO_WPS_MARK_KEY" w:val="f293f1da-b373-4688-bb46-942be30dfeef"/>
    <w:docVar w:name="VTCASE" w:val="4"/>
    <w:docVar w:name="VTCommandPending" w:val="NONE"/>
  </w:docVars>
  <w:rsids>
    <w:rsidRoot w:val="00172A27"/>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68B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31D"/>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23DF"/>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817"/>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0E8"/>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3D5"/>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331"/>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16C6"/>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3782"/>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2A19"/>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1BA"/>
    <w:rsid w:val="00A56524"/>
    <w:rsid w:val="00A5794D"/>
    <w:rsid w:val="00A610B8"/>
    <w:rsid w:val="00A61208"/>
    <w:rsid w:val="00A62660"/>
    <w:rsid w:val="00A64D6A"/>
    <w:rsid w:val="00A66A0F"/>
    <w:rsid w:val="00A67FB0"/>
    <w:rsid w:val="00A700BE"/>
    <w:rsid w:val="00A7038D"/>
    <w:rsid w:val="00A73440"/>
    <w:rsid w:val="00A74945"/>
    <w:rsid w:val="00A755F2"/>
    <w:rsid w:val="00A75908"/>
    <w:rsid w:val="00A75D01"/>
    <w:rsid w:val="00A76B01"/>
    <w:rsid w:val="00A813D7"/>
    <w:rsid w:val="00A83BB1"/>
    <w:rsid w:val="00A8704A"/>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E789E"/>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10A"/>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18E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56D"/>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4CD"/>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C7943"/>
    <w:rsid w:val="00ED1413"/>
    <w:rsid w:val="00ED1663"/>
    <w:rsid w:val="00ED1976"/>
    <w:rsid w:val="00ED49E6"/>
    <w:rsid w:val="00ED50F5"/>
    <w:rsid w:val="00ED6B63"/>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10DA"/>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2C5761"/>
    <w:rsid w:val="017046B5"/>
    <w:rsid w:val="018F054B"/>
    <w:rsid w:val="024B26CE"/>
    <w:rsid w:val="02AB0B8E"/>
    <w:rsid w:val="03433819"/>
    <w:rsid w:val="036A4C3C"/>
    <w:rsid w:val="03822C68"/>
    <w:rsid w:val="03C602CF"/>
    <w:rsid w:val="03CB50B5"/>
    <w:rsid w:val="041651F4"/>
    <w:rsid w:val="049F43DF"/>
    <w:rsid w:val="04B22E9E"/>
    <w:rsid w:val="051D1B41"/>
    <w:rsid w:val="05540833"/>
    <w:rsid w:val="05DF46DF"/>
    <w:rsid w:val="06225B6E"/>
    <w:rsid w:val="06667684"/>
    <w:rsid w:val="07C1731B"/>
    <w:rsid w:val="09A37CB3"/>
    <w:rsid w:val="09BD6E8E"/>
    <w:rsid w:val="09D449C2"/>
    <w:rsid w:val="0A6D7B49"/>
    <w:rsid w:val="0A774A1C"/>
    <w:rsid w:val="0A9C1B06"/>
    <w:rsid w:val="0AA8018E"/>
    <w:rsid w:val="0B1873A5"/>
    <w:rsid w:val="0B450737"/>
    <w:rsid w:val="0B49704E"/>
    <w:rsid w:val="0BC03108"/>
    <w:rsid w:val="0BD05DC0"/>
    <w:rsid w:val="0BE47B36"/>
    <w:rsid w:val="0C054382"/>
    <w:rsid w:val="0C9A104D"/>
    <w:rsid w:val="0CDC6CA4"/>
    <w:rsid w:val="0D983A1B"/>
    <w:rsid w:val="0DB74BA1"/>
    <w:rsid w:val="0EB16EFF"/>
    <w:rsid w:val="0F0136F4"/>
    <w:rsid w:val="0F04001A"/>
    <w:rsid w:val="0F7A70CC"/>
    <w:rsid w:val="0FA1651E"/>
    <w:rsid w:val="0FC50D8F"/>
    <w:rsid w:val="10451C7D"/>
    <w:rsid w:val="10A3646A"/>
    <w:rsid w:val="118848CF"/>
    <w:rsid w:val="11CA69B5"/>
    <w:rsid w:val="124E25CC"/>
    <w:rsid w:val="13172843"/>
    <w:rsid w:val="132451DE"/>
    <w:rsid w:val="13472720"/>
    <w:rsid w:val="14377EC4"/>
    <w:rsid w:val="14675B7E"/>
    <w:rsid w:val="14CE2B49"/>
    <w:rsid w:val="155E4085"/>
    <w:rsid w:val="15B52295"/>
    <w:rsid w:val="15EC5AC1"/>
    <w:rsid w:val="168A6CDE"/>
    <w:rsid w:val="168E2D78"/>
    <w:rsid w:val="16A64D6D"/>
    <w:rsid w:val="16C04C56"/>
    <w:rsid w:val="16EB2471"/>
    <w:rsid w:val="172E2B9C"/>
    <w:rsid w:val="18003993"/>
    <w:rsid w:val="180F43A1"/>
    <w:rsid w:val="18196A06"/>
    <w:rsid w:val="182D3D5F"/>
    <w:rsid w:val="18434A76"/>
    <w:rsid w:val="18A272E6"/>
    <w:rsid w:val="18BA600F"/>
    <w:rsid w:val="1956552E"/>
    <w:rsid w:val="1A3426E3"/>
    <w:rsid w:val="1A853F9F"/>
    <w:rsid w:val="1AEC041D"/>
    <w:rsid w:val="1AEC419B"/>
    <w:rsid w:val="1AF6583C"/>
    <w:rsid w:val="1BF16E97"/>
    <w:rsid w:val="1C026497"/>
    <w:rsid w:val="1C085136"/>
    <w:rsid w:val="1D242FC2"/>
    <w:rsid w:val="1D692916"/>
    <w:rsid w:val="1DC01C11"/>
    <w:rsid w:val="1DE87BD4"/>
    <w:rsid w:val="1E054C48"/>
    <w:rsid w:val="1E1B3173"/>
    <w:rsid w:val="1E211684"/>
    <w:rsid w:val="1FCF77B6"/>
    <w:rsid w:val="20572949"/>
    <w:rsid w:val="20643AA1"/>
    <w:rsid w:val="20977CB4"/>
    <w:rsid w:val="2133411B"/>
    <w:rsid w:val="214B4697"/>
    <w:rsid w:val="223A00A8"/>
    <w:rsid w:val="23447637"/>
    <w:rsid w:val="23F5768F"/>
    <w:rsid w:val="246529A6"/>
    <w:rsid w:val="24C26623"/>
    <w:rsid w:val="25997426"/>
    <w:rsid w:val="25BF62B8"/>
    <w:rsid w:val="25CF59CB"/>
    <w:rsid w:val="25DF5936"/>
    <w:rsid w:val="260C39F2"/>
    <w:rsid w:val="261A0491"/>
    <w:rsid w:val="26C66E06"/>
    <w:rsid w:val="26D259BC"/>
    <w:rsid w:val="270246D4"/>
    <w:rsid w:val="271257BE"/>
    <w:rsid w:val="27645745"/>
    <w:rsid w:val="27C621B9"/>
    <w:rsid w:val="282B1716"/>
    <w:rsid w:val="28855A7D"/>
    <w:rsid w:val="28E40298"/>
    <w:rsid w:val="29027DD4"/>
    <w:rsid w:val="299C178C"/>
    <w:rsid w:val="29A21E55"/>
    <w:rsid w:val="29F714A0"/>
    <w:rsid w:val="2A0A2D83"/>
    <w:rsid w:val="2A472991"/>
    <w:rsid w:val="2AAB0BA0"/>
    <w:rsid w:val="2AC01C3E"/>
    <w:rsid w:val="2AFB4D94"/>
    <w:rsid w:val="2B755F4B"/>
    <w:rsid w:val="2BA67271"/>
    <w:rsid w:val="2BE0319D"/>
    <w:rsid w:val="2BE95450"/>
    <w:rsid w:val="2C6544D8"/>
    <w:rsid w:val="2C8C39F6"/>
    <w:rsid w:val="2CD52E61"/>
    <w:rsid w:val="2CF2533C"/>
    <w:rsid w:val="2D632394"/>
    <w:rsid w:val="2D6B654B"/>
    <w:rsid w:val="2DA550C5"/>
    <w:rsid w:val="2DE515E5"/>
    <w:rsid w:val="2EB22755"/>
    <w:rsid w:val="2EB65D97"/>
    <w:rsid w:val="2EC218D0"/>
    <w:rsid w:val="2EC64046"/>
    <w:rsid w:val="2F182A95"/>
    <w:rsid w:val="2F434FDE"/>
    <w:rsid w:val="2F725AED"/>
    <w:rsid w:val="30561E3F"/>
    <w:rsid w:val="306150E4"/>
    <w:rsid w:val="30735F9F"/>
    <w:rsid w:val="30A06F64"/>
    <w:rsid w:val="30CC197B"/>
    <w:rsid w:val="31B91D72"/>
    <w:rsid w:val="31BE00A8"/>
    <w:rsid w:val="31E22C88"/>
    <w:rsid w:val="322C3A43"/>
    <w:rsid w:val="328205D3"/>
    <w:rsid w:val="32C9667D"/>
    <w:rsid w:val="32E853BA"/>
    <w:rsid w:val="33760457"/>
    <w:rsid w:val="33EB1895"/>
    <w:rsid w:val="34066E5C"/>
    <w:rsid w:val="350D4388"/>
    <w:rsid w:val="353A46B7"/>
    <w:rsid w:val="356F73C9"/>
    <w:rsid w:val="35A32A3D"/>
    <w:rsid w:val="35B1151A"/>
    <w:rsid w:val="35B6520A"/>
    <w:rsid w:val="36035BCB"/>
    <w:rsid w:val="36524D5F"/>
    <w:rsid w:val="36593EB8"/>
    <w:rsid w:val="365E0BEC"/>
    <w:rsid w:val="3680580C"/>
    <w:rsid w:val="369B0D16"/>
    <w:rsid w:val="377B5A21"/>
    <w:rsid w:val="3799633A"/>
    <w:rsid w:val="37B809E5"/>
    <w:rsid w:val="37C07E80"/>
    <w:rsid w:val="38520B8E"/>
    <w:rsid w:val="39070852"/>
    <w:rsid w:val="3929383F"/>
    <w:rsid w:val="399B1DB8"/>
    <w:rsid w:val="3A12743D"/>
    <w:rsid w:val="3BC978A7"/>
    <w:rsid w:val="3BFC46F4"/>
    <w:rsid w:val="3C183F80"/>
    <w:rsid w:val="3C18466D"/>
    <w:rsid w:val="3C403F67"/>
    <w:rsid w:val="3C792FD5"/>
    <w:rsid w:val="3CDB4807"/>
    <w:rsid w:val="3D2179C7"/>
    <w:rsid w:val="3D3E557C"/>
    <w:rsid w:val="3E727BBA"/>
    <w:rsid w:val="3F3A5152"/>
    <w:rsid w:val="3FAD1C0E"/>
    <w:rsid w:val="3FC833AB"/>
    <w:rsid w:val="3FFC0940"/>
    <w:rsid w:val="40156849"/>
    <w:rsid w:val="40345B32"/>
    <w:rsid w:val="4049358C"/>
    <w:rsid w:val="40A904D7"/>
    <w:rsid w:val="40D85040"/>
    <w:rsid w:val="412214B2"/>
    <w:rsid w:val="4160274D"/>
    <w:rsid w:val="44086C32"/>
    <w:rsid w:val="44EF1B82"/>
    <w:rsid w:val="454651CE"/>
    <w:rsid w:val="45644B25"/>
    <w:rsid w:val="45E77C31"/>
    <w:rsid w:val="45FD1FD2"/>
    <w:rsid w:val="461B2714"/>
    <w:rsid w:val="465855D4"/>
    <w:rsid w:val="469B2720"/>
    <w:rsid w:val="47241A8F"/>
    <w:rsid w:val="473D2DF8"/>
    <w:rsid w:val="47522DCC"/>
    <w:rsid w:val="48536338"/>
    <w:rsid w:val="491B7D4D"/>
    <w:rsid w:val="49221512"/>
    <w:rsid w:val="499B2B75"/>
    <w:rsid w:val="4A226C77"/>
    <w:rsid w:val="4A4C1516"/>
    <w:rsid w:val="4AD42B57"/>
    <w:rsid w:val="4AF01045"/>
    <w:rsid w:val="4B1F5524"/>
    <w:rsid w:val="4B307AE9"/>
    <w:rsid w:val="4B526CB8"/>
    <w:rsid w:val="4B717BA7"/>
    <w:rsid w:val="4B862CAD"/>
    <w:rsid w:val="4BDA5CFE"/>
    <w:rsid w:val="4C575E58"/>
    <w:rsid w:val="4CFA39CE"/>
    <w:rsid w:val="4D282CB4"/>
    <w:rsid w:val="4D3B1AB9"/>
    <w:rsid w:val="4D48236F"/>
    <w:rsid w:val="4D844937"/>
    <w:rsid w:val="4DC1760D"/>
    <w:rsid w:val="4E6B322B"/>
    <w:rsid w:val="4EC56C2F"/>
    <w:rsid w:val="4EEE449A"/>
    <w:rsid w:val="4F231585"/>
    <w:rsid w:val="4F7E6A86"/>
    <w:rsid w:val="502A3BD2"/>
    <w:rsid w:val="502D02BC"/>
    <w:rsid w:val="503700FB"/>
    <w:rsid w:val="51423F3F"/>
    <w:rsid w:val="516914A3"/>
    <w:rsid w:val="5176537C"/>
    <w:rsid w:val="517944E3"/>
    <w:rsid w:val="51933661"/>
    <w:rsid w:val="51AC6956"/>
    <w:rsid w:val="51E5108B"/>
    <w:rsid w:val="52D24297"/>
    <w:rsid w:val="52D32AFD"/>
    <w:rsid w:val="52E16C74"/>
    <w:rsid w:val="53240C30"/>
    <w:rsid w:val="535D0F42"/>
    <w:rsid w:val="55076E96"/>
    <w:rsid w:val="55314071"/>
    <w:rsid w:val="556E1D75"/>
    <w:rsid w:val="559B644A"/>
    <w:rsid w:val="56D97FD1"/>
    <w:rsid w:val="572A1B2D"/>
    <w:rsid w:val="578E58A0"/>
    <w:rsid w:val="57B53639"/>
    <w:rsid w:val="58881554"/>
    <w:rsid w:val="59E11BC5"/>
    <w:rsid w:val="5AF56077"/>
    <w:rsid w:val="5B001520"/>
    <w:rsid w:val="5B9E0C30"/>
    <w:rsid w:val="5C223BC9"/>
    <w:rsid w:val="5C7C6396"/>
    <w:rsid w:val="5C9A03FD"/>
    <w:rsid w:val="5D8D419C"/>
    <w:rsid w:val="5DC155E2"/>
    <w:rsid w:val="5DD51960"/>
    <w:rsid w:val="5DED6DA2"/>
    <w:rsid w:val="5E3B443B"/>
    <w:rsid w:val="5EC42D73"/>
    <w:rsid w:val="5F197194"/>
    <w:rsid w:val="5F1C601C"/>
    <w:rsid w:val="5F3D2878"/>
    <w:rsid w:val="5F55219B"/>
    <w:rsid w:val="5F944D2C"/>
    <w:rsid w:val="5FCB4D87"/>
    <w:rsid w:val="5FED68F6"/>
    <w:rsid w:val="5FF95CF0"/>
    <w:rsid w:val="60384F4A"/>
    <w:rsid w:val="603E49EB"/>
    <w:rsid w:val="60C648E5"/>
    <w:rsid w:val="60C66115"/>
    <w:rsid w:val="60CD4825"/>
    <w:rsid w:val="60EE1FAE"/>
    <w:rsid w:val="61800D2B"/>
    <w:rsid w:val="61BC2A15"/>
    <w:rsid w:val="61D86AC2"/>
    <w:rsid w:val="622E1FAD"/>
    <w:rsid w:val="62337EF3"/>
    <w:rsid w:val="625D6CF6"/>
    <w:rsid w:val="62716BBC"/>
    <w:rsid w:val="627E7A26"/>
    <w:rsid w:val="634E7828"/>
    <w:rsid w:val="639F78D1"/>
    <w:rsid w:val="63B63F59"/>
    <w:rsid w:val="648870F5"/>
    <w:rsid w:val="65117867"/>
    <w:rsid w:val="654639B4"/>
    <w:rsid w:val="66700908"/>
    <w:rsid w:val="66781736"/>
    <w:rsid w:val="668D28D9"/>
    <w:rsid w:val="66A40EC3"/>
    <w:rsid w:val="67375276"/>
    <w:rsid w:val="67A535E2"/>
    <w:rsid w:val="67A80762"/>
    <w:rsid w:val="688C19B0"/>
    <w:rsid w:val="689A7718"/>
    <w:rsid w:val="689F0ED6"/>
    <w:rsid w:val="6917469A"/>
    <w:rsid w:val="697E2311"/>
    <w:rsid w:val="69B33D58"/>
    <w:rsid w:val="69F50936"/>
    <w:rsid w:val="6A0368D7"/>
    <w:rsid w:val="6A472730"/>
    <w:rsid w:val="6AA628DF"/>
    <w:rsid w:val="6B0A3E88"/>
    <w:rsid w:val="6B700603"/>
    <w:rsid w:val="6B94314E"/>
    <w:rsid w:val="6B974B12"/>
    <w:rsid w:val="6BAB7017"/>
    <w:rsid w:val="6BD4551A"/>
    <w:rsid w:val="6BDD4FB2"/>
    <w:rsid w:val="6BE50451"/>
    <w:rsid w:val="6BEF2BAB"/>
    <w:rsid w:val="6C283CF7"/>
    <w:rsid w:val="6CC0101E"/>
    <w:rsid w:val="6D8816C8"/>
    <w:rsid w:val="6E505373"/>
    <w:rsid w:val="6EA16987"/>
    <w:rsid w:val="6EA25DF9"/>
    <w:rsid w:val="6F6A7B6F"/>
    <w:rsid w:val="6F8D1FC2"/>
    <w:rsid w:val="6F8D5C1A"/>
    <w:rsid w:val="6FD27139"/>
    <w:rsid w:val="7010208F"/>
    <w:rsid w:val="7020696A"/>
    <w:rsid w:val="703B6854"/>
    <w:rsid w:val="704A44DC"/>
    <w:rsid w:val="70BF1008"/>
    <w:rsid w:val="71326C39"/>
    <w:rsid w:val="716147BD"/>
    <w:rsid w:val="71883D59"/>
    <w:rsid w:val="71D96059"/>
    <w:rsid w:val="72611DE4"/>
    <w:rsid w:val="726E545D"/>
    <w:rsid w:val="72B73FF5"/>
    <w:rsid w:val="72FF44EF"/>
    <w:rsid w:val="74A165CC"/>
    <w:rsid w:val="751C3962"/>
    <w:rsid w:val="755B645C"/>
    <w:rsid w:val="75615E2A"/>
    <w:rsid w:val="75776E8F"/>
    <w:rsid w:val="75B60F89"/>
    <w:rsid w:val="75CB08C8"/>
    <w:rsid w:val="761728C2"/>
    <w:rsid w:val="76B07EDE"/>
    <w:rsid w:val="775D10FB"/>
    <w:rsid w:val="77695595"/>
    <w:rsid w:val="791D4BEA"/>
    <w:rsid w:val="7987697C"/>
    <w:rsid w:val="79D1422E"/>
    <w:rsid w:val="7A9F47F8"/>
    <w:rsid w:val="7AC205BA"/>
    <w:rsid w:val="7B602F54"/>
    <w:rsid w:val="7C1C6325"/>
    <w:rsid w:val="7C520C2F"/>
    <w:rsid w:val="7CC067C4"/>
    <w:rsid w:val="7D3E444E"/>
    <w:rsid w:val="7D566613"/>
    <w:rsid w:val="7D602FB4"/>
    <w:rsid w:val="7D622872"/>
    <w:rsid w:val="7DD74FBC"/>
    <w:rsid w:val="7E462371"/>
    <w:rsid w:val="7F083EE0"/>
    <w:rsid w:val="7F4B70A4"/>
    <w:rsid w:val="7F862913"/>
    <w:rsid w:val="7F99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7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6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szCs w:val="20"/>
    </w:rPr>
  </w:style>
  <w:style w:type="paragraph" w:customStyle="1" w:styleId="3">
    <w:name w:val="样式 正文缩进 + 首行缩进:  2 字符"/>
    <w:basedOn w:val="2"/>
    <w:qFormat/>
    <w:uiPriority w:val="0"/>
    <w:pPr>
      <w:ind w:firstLine="560" w:firstLineChars="200"/>
    </w:pPr>
    <w:rPr>
      <w:rFonts w:cs="宋体"/>
    </w:rPr>
  </w:style>
  <w:style w:type="paragraph" w:styleId="8">
    <w:name w:val="toc 7"/>
    <w:basedOn w:val="1"/>
    <w:next w:val="1"/>
    <w:qFormat/>
    <w:uiPriority w:val="39"/>
    <w:pPr>
      <w:ind w:left="2520" w:leftChars="1200"/>
    </w:pPr>
  </w:style>
  <w:style w:type="paragraph" w:styleId="9">
    <w:name w:val="Document Map"/>
    <w:basedOn w:val="1"/>
    <w:link w:val="76"/>
    <w:qFormat/>
    <w:uiPriority w:val="0"/>
    <w:rPr>
      <w:rFonts w:ascii="宋体"/>
      <w:sz w:val="18"/>
      <w:szCs w:val="18"/>
    </w:rPr>
  </w:style>
  <w:style w:type="paragraph" w:styleId="10">
    <w:name w:val="annotation text"/>
    <w:basedOn w:val="1"/>
    <w:link w:val="59"/>
    <w:qFormat/>
    <w:uiPriority w:val="99"/>
    <w:pPr>
      <w:jc w:val="left"/>
    </w:pPr>
  </w:style>
  <w:style w:type="paragraph" w:styleId="11">
    <w:name w:val="Body Text"/>
    <w:basedOn w:val="1"/>
    <w:next w:val="1"/>
    <w:link w:val="65"/>
    <w:qFormat/>
    <w:uiPriority w:val="0"/>
    <w:pPr>
      <w:tabs>
        <w:tab w:val="left" w:pos="567"/>
      </w:tabs>
      <w:spacing w:before="120" w:line="22" w:lineRule="atLeast"/>
    </w:pPr>
    <w:rPr>
      <w:rFonts w:ascii="宋体" w:hAnsi="宋体"/>
      <w:sz w:val="24"/>
    </w:rPr>
  </w:style>
  <w:style w:type="paragraph" w:styleId="12">
    <w:name w:val="Body Text Indent"/>
    <w:basedOn w:val="1"/>
    <w:next w:val="7"/>
    <w:qFormat/>
    <w:uiPriority w:val="0"/>
    <w:pPr>
      <w:spacing w:line="360" w:lineRule="auto"/>
      <w:ind w:firstLine="570"/>
    </w:pPr>
    <w:rPr>
      <w:sz w:val="24"/>
    </w:rPr>
  </w:style>
  <w:style w:type="paragraph" w:styleId="13">
    <w:name w:val="toc 5"/>
    <w:basedOn w:val="1"/>
    <w:next w:val="1"/>
    <w:qFormat/>
    <w:uiPriority w:val="39"/>
    <w:pPr>
      <w:ind w:left="1680" w:leftChars="800"/>
    </w:pPr>
  </w:style>
  <w:style w:type="paragraph" w:styleId="14">
    <w:name w:val="toc 3"/>
    <w:basedOn w:val="1"/>
    <w:next w:val="1"/>
    <w:qFormat/>
    <w:uiPriority w:val="39"/>
    <w:pPr>
      <w:tabs>
        <w:tab w:val="left" w:pos="1260"/>
        <w:tab w:val="right" w:leader="dot" w:pos="8630"/>
      </w:tabs>
      <w:ind w:left="840" w:leftChars="400"/>
    </w:pPr>
  </w:style>
  <w:style w:type="paragraph" w:styleId="15">
    <w:name w:val="Plain Text"/>
    <w:basedOn w:val="1"/>
    <w:link w:val="63"/>
    <w:qFormat/>
    <w:uiPriority w:val="0"/>
    <w:rPr>
      <w:rFonts w:ascii="宋体" w:hAnsi="Courier New"/>
      <w:szCs w:val="20"/>
    </w:rPr>
  </w:style>
  <w:style w:type="paragraph" w:styleId="16">
    <w:name w:val="toc 8"/>
    <w:basedOn w:val="1"/>
    <w:next w:val="1"/>
    <w:qFormat/>
    <w:uiPriority w:val="39"/>
    <w:pPr>
      <w:ind w:left="2940" w:leftChars="1400"/>
    </w:pPr>
  </w:style>
  <w:style w:type="paragraph" w:styleId="17">
    <w:name w:val="Date"/>
    <w:basedOn w:val="1"/>
    <w:next w:val="1"/>
    <w:link w:val="68"/>
    <w:qFormat/>
    <w:uiPriority w:val="0"/>
    <w:pPr>
      <w:ind w:left="100" w:leftChars="2500"/>
    </w:pPr>
    <w:rPr>
      <w:rFonts w:ascii="仿宋_GB2312" w:hAnsi="宋体" w:eastAsia="仿宋_GB2312"/>
      <w:color w:val="000000"/>
      <w:sz w:val="24"/>
    </w:rPr>
  </w:style>
  <w:style w:type="paragraph" w:styleId="18">
    <w:name w:val="Body Text Indent 2"/>
    <w:basedOn w:val="1"/>
    <w:qFormat/>
    <w:uiPriority w:val="0"/>
    <w:pPr>
      <w:ind w:firstLine="480" w:firstLineChars="200"/>
    </w:pPr>
    <w:rPr>
      <w:rFonts w:ascii="仿宋_GB2312" w:eastAsia="仿宋_GB2312"/>
      <w:sz w:val="24"/>
    </w:rPr>
  </w:style>
  <w:style w:type="paragraph" w:styleId="19">
    <w:name w:val="Balloon Text"/>
    <w:basedOn w:val="1"/>
    <w:link w:val="61"/>
    <w:qFormat/>
    <w:uiPriority w:val="0"/>
    <w:rPr>
      <w:sz w:val="18"/>
      <w:szCs w:val="18"/>
    </w:rPr>
  </w:style>
  <w:style w:type="paragraph" w:styleId="20">
    <w:name w:val="footer"/>
    <w:basedOn w:val="1"/>
    <w:link w:val="5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1">
    <w:name w:val="envelope return"/>
    <w:basedOn w:val="1"/>
    <w:qFormat/>
    <w:uiPriority w:val="0"/>
    <w:pPr>
      <w:snapToGrid w:val="0"/>
    </w:pPr>
    <w:rPr>
      <w:rFonts w:ascii="Arial" w:hAnsi="Arial"/>
    </w:rPr>
  </w:style>
  <w:style w:type="paragraph" w:styleId="22">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39"/>
    <w:pPr>
      <w:ind w:left="1260" w:leftChars="600"/>
    </w:pPr>
  </w:style>
  <w:style w:type="paragraph" w:styleId="25">
    <w:name w:val="List"/>
    <w:basedOn w:val="1"/>
    <w:qFormat/>
    <w:uiPriority w:val="0"/>
    <w:pPr>
      <w:ind w:left="420" w:hanging="420"/>
    </w:pPr>
    <w:rPr>
      <w:sz w:val="24"/>
      <w:szCs w:val="20"/>
    </w:rPr>
  </w:style>
  <w:style w:type="paragraph" w:styleId="26">
    <w:name w:val="footnote text"/>
    <w:basedOn w:val="1"/>
    <w:qFormat/>
    <w:uiPriority w:val="0"/>
    <w:pPr>
      <w:adjustRightInd w:val="0"/>
      <w:spacing w:line="315" w:lineRule="atLeast"/>
      <w:textAlignment w:val="baseline"/>
    </w:pPr>
    <w:rPr>
      <w:rFonts w:ascii="宋体" w:hAnsi="宋体"/>
      <w:sz w:val="18"/>
      <w:szCs w:val="18"/>
    </w:rPr>
  </w:style>
  <w:style w:type="paragraph" w:styleId="27">
    <w:name w:val="toc 6"/>
    <w:basedOn w:val="1"/>
    <w:next w:val="1"/>
    <w:qFormat/>
    <w:uiPriority w:val="39"/>
    <w:pPr>
      <w:ind w:left="2100" w:leftChars="1000"/>
    </w:pPr>
  </w:style>
  <w:style w:type="paragraph" w:styleId="28">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toc 2"/>
    <w:basedOn w:val="1"/>
    <w:next w:val="1"/>
    <w:qFormat/>
    <w:uiPriority w:val="39"/>
    <w:pPr>
      <w:ind w:left="420" w:leftChars="200"/>
    </w:pPr>
  </w:style>
  <w:style w:type="paragraph" w:styleId="30">
    <w:name w:val="toc 9"/>
    <w:basedOn w:val="1"/>
    <w:next w:val="1"/>
    <w:qFormat/>
    <w:uiPriority w:val="39"/>
    <w:pPr>
      <w:ind w:left="3360" w:leftChars="1600"/>
    </w:pPr>
  </w:style>
  <w:style w:type="paragraph" w:styleId="31">
    <w:name w:val="Body Text 2"/>
    <w:basedOn w:val="1"/>
    <w:qFormat/>
    <w:uiPriority w:val="0"/>
    <w:pPr>
      <w:spacing w:after="120" w:line="480" w:lineRule="auto"/>
    </w:pPr>
    <w:rPr>
      <w:rFonts w:ascii="Arial" w:hAnsi="Arial"/>
      <w:sz w:val="24"/>
    </w:rPr>
  </w:style>
  <w:style w:type="paragraph" w:styleId="32">
    <w:name w:val="Normal (Web)"/>
    <w:basedOn w:val="1"/>
    <w:qFormat/>
    <w:uiPriority w:val="0"/>
    <w:pPr>
      <w:widowControl/>
      <w:jc w:val="left"/>
    </w:pPr>
    <w:rPr>
      <w:rFonts w:ascii="宋体" w:hAnsi="宋体" w:cs="宋体"/>
      <w:kern w:val="0"/>
      <w:sz w:val="24"/>
    </w:rPr>
  </w:style>
  <w:style w:type="paragraph" w:styleId="33">
    <w:name w:val="index 1"/>
    <w:basedOn w:val="1"/>
    <w:next w:val="1"/>
    <w:semiHidden/>
    <w:qFormat/>
    <w:uiPriority w:val="0"/>
    <w:rPr>
      <w:szCs w:val="20"/>
    </w:rPr>
  </w:style>
  <w:style w:type="paragraph" w:styleId="34">
    <w:name w:val="annotation subject"/>
    <w:basedOn w:val="10"/>
    <w:next w:val="10"/>
    <w:link w:val="62"/>
    <w:qFormat/>
    <w:uiPriority w:val="0"/>
    <w:rPr>
      <w:b/>
      <w:bCs/>
    </w:rPr>
  </w:style>
  <w:style w:type="paragraph" w:styleId="35">
    <w:name w:val="Body Text First Indent"/>
    <w:basedOn w:val="11"/>
    <w:next w:val="36"/>
    <w:qFormat/>
    <w:uiPriority w:val="0"/>
    <w:pPr>
      <w:autoSpaceDE w:val="0"/>
      <w:autoSpaceDN w:val="0"/>
      <w:adjustRightInd w:val="0"/>
      <w:spacing w:line="360" w:lineRule="auto"/>
      <w:ind w:firstLine="420" w:firstLineChars="200"/>
    </w:pPr>
    <w:rPr>
      <w:rFonts w:ascii="Arial" w:hAnsi="Arial"/>
      <w:szCs w:val="21"/>
    </w:rPr>
  </w:style>
  <w:style w:type="paragraph" w:styleId="36">
    <w:name w:val="Body Text First Indent 2"/>
    <w:basedOn w:val="12"/>
    <w:next w:val="35"/>
    <w:unhideWhenUsed/>
    <w:qFormat/>
    <w:uiPriority w:val="99"/>
    <w:pPr>
      <w:ind w:firstLine="420" w:firstLineChars="200"/>
    </w:p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rFonts w:ascii="Arial" w:hAnsi="Arial" w:eastAsia="Times New Roman" w:cs="Verdana"/>
      <w:b/>
      <w:bCs/>
      <w:kern w:val="0"/>
      <w:sz w:val="24"/>
      <w:lang w:eastAsia="en-US"/>
    </w:rPr>
  </w:style>
  <w:style w:type="character" w:styleId="41">
    <w:name w:val="page number"/>
    <w:qFormat/>
    <w:uiPriority w:val="0"/>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paragraph" w:customStyle="1" w:styleId="44">
    <w:name w:val="Default"/>
    <w:next w:val="1"/>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5">
    <w:name w:val="样式1"/>
    <w:basedOn w:val="1"/>
    <w:qFormat/>
    <w:uiPriority w:val="0"/>
    <w:pPr>
      <w:adjustRightInd w:val="0"/>
      <w:textAlignment w:val="baseline"/>
    </w:pPr>
    <w:rPr>
      <w:rFonts w:ascii="宋体" w:hAnsi="宋体"/>
      <w:kern w:val="0"/>
      <w:szCs w:val="21"/>
    </w:rPr>
  </w:style>
  <w:style w:type="paragraph" w:customStyle="1" w:styleId="46">
    <w:name w:val="列出段落1"/>
    <w:basedOn w:val="1"/>
    <w:qFormat/>
    <w:uiPriority w:val="99"/>
    <w:pPr>
      <w:ind w:firstLine="420" w:firstLineChars="200"/>
    </w:pPr>
  </w:style>
  <w:style w:type="paragraph" w:customStyle="1" w:styleId="47">
    <w:name w:val="正文1"/>
    <w:basedOn w:val="1"/>
    <w:qFormat/>
    <w:uiPriority w:val="0"/>
    <w:pPr>
      <w:ind w:firstLine="420" w:firstLineChars="200"/>
    </w:pPr>
    <w:rPr>
      <w:rFonts w:ascii="宋体" w:hAnsi="宋体"/>
    </w:rPr>
  </w:style>
  <w:style w:type="paragraph" w:styleId="48">
    <w:name w:val="List Paragraph"/>
    <w:basedOn w:val="1"/>
    <w:qFormat/>
    <w:uiPriority w:val="34"/>
    <w:pPr>
      <w:widowControl/>
      <w:ind w:firstLine="420" w:firstLineChars="200"/>
      <w:jc w:val="left"/>
    </w:pPr>
    <w:rPr>
      <w:kern w:val="0"/>
      <w:sz w:val="24"/>
    </w:rPr>
  </w:style>
  <w:style w:type="paragraph" w:customStyle="1" w:styleId="49">
    <w:name w:val="Char"/>
    <w:basedOn w:val="1"/>
    <w:qFormat/>
    <w:uiPriority w:val="0"/>
    <w:pPr>
      <w:tabs>
        <w:tab w:val="left" w:pos="360"/>
      </w:tabs>
    </w:pPr>
    <w:rPr>
      <w:sz w:val="24"/>
    </w:rPr>
  </w:style>
  <w:style w:type="paragraph" w:customStyle="1" w:styleId="50">
    <w:name w:val="标号标题"/>
    <w:basedOn w:val="1"/>
    <w:qFormat/>
    <w:uiPriority w:val="99"/>
    <w:pPr>
      <w:widowControl/>
      <w:numPr>
        <w:ilvl w:val="0"/>
        <w:numId w:val="1"/>
      </w:numPr>
      <w:tabs>
        <w:tab w:val="left" w:pos="360"/>
        <w:tab w:val="left" w:pos="1133"/>
      </w:tabs>
      <w:spacing w:line="360" w:lineRule="auto"/>
      <w:jc w:val="left"/>
    </w:pPr>
    <w:rPr>
      <w:b/>
      <w:bCs/>
      <w:szCs w:val="21"/>
    </w:rPr>
  </w:style>
  <w:style w:type="paragraph" w:customStyle="1" w:styleId="51">
    <w:name w:val="索引 11"/>
    <w:basedOn w:val="1"/>
    <w:next w:val="1"/>
    <w:qFormat/>
    <w:uiPriority w:val="0"/>
    <w:pPr>
      <w:spacing w:line="360" w:lineRule="auto"/>
    </w:pPr>
    <w:rPr>
      <w:rFonts w:ascii="仿宋_GB2312" w:eastAsia="仿宋_GB2312"/>
      <w:sz w:val="24"/>
      <w:szCs w:val="20"/>
    </w:rPr>
  </w:style>
  <w:style w:type="paragraph" w:customStyle="1" w:styleId="52">
    <w:name w:val="纯文本1"/>
    <w:basedOn w:val="1"/>
    <w:link w:val="57"/>
    <w:qFormat/>
    <w:uiPriority w:val="0"/>
    <w:rPr>
      <w:rFonts w:ascii="宋体" w:hAnsi="Courier New"/>
      <w:kern w:val="0"/>
      <w:sz w:val="20"/>
      <w:szCs w:val="20"/>
    </w:rPr>
  </w:style>
  <w:style w:type="paragraph" w:customStyle="1" w:styleId="53">
    <w:name w:val="正文缩进1"/>
    <w:basedOn w:val="1"/>
    <w:link w:val="67"/>
    <w:qFormat/>
    <w:uiPriority w:val="0"/>
    <w:pPr>
      <w:autoSpaceDE w:val="0"/>
      <w:autoSpaceDN w:val="0"/>
      <w:adjustRightInd w:val="0"/>
      <w:ind w:firstLine="420"/>
      <w:jc w:val="left"/>
    </w:pPr>
    <w:rPr>
      <w:rFonts w:ascii="宋体"/>
      <w:kern w:val="0"/>
      <w:sz w:val="24"/>
      <w:szCs w:val="20"/>
    </w:rPr>
  </w:style>
  <w:style w:type="character" w:customStyle="1" w:styleId="54">
    <w:name w:val="页眉 Char1"/>
    <w:semiHidden/>
    <w:qFormat/>
    <w:uiPriority w:val="99"/>
    <w:rPr>
      <w:kern w:val="2"/>
      <w:sz w:val="18"/>
      <w:szCs w:val="18"/>
    </w:rPr>
  </w:style>
  <w:style w:type="character" w:customStyle="1" w:styleId="55">
    <w:name w:val="标题 2 Char"/>
    <w:link w:val="5"/>
    <w:qFormat/>
    <w:uiPriority w:val="0"/>
    <w:rPr>
      <w:rFonts w:ascii="Arial" w:hAnsi="Arial" w:eastAsia="黑体"/>
      <w:b/>
      <w:sz w:val="30"/>
    </w:rPr>
  </w:style>
  <w:style w:type="character" w:customStyle="1" w:styleId="56">
    <w:name w:val="页脚 Char"/>
    <w:link w:val="20"/>
    <w:qFormat/>
    <w:uiPriority w:val="99"/>
    <w:rPr>
      <w:rFonts w:ascii="宋体"/>
      <w:sz w:val="18"/>
    </w:rPr>
  </w:style>
  <w:style w:type="character" w:customStyle="1" w:styleId="57">
    <w:name w:val="纯文本 Char1"/>
    <w:link w:val="52"/>
    <w:qFormat/>
    <w:uiPriority w:val="0"/>
    <w:rPr>
      <w:rFonts w:ascii="宋体" w:hAnsi="Courier New"/>
    </w:rPr>
  </w:style>
  <w:style w:type="character" w:customStyle="1" w:styleId="58">
    <w:name w:val="NormalCharacter"/>
    <w:qFormat/>
    <w:uiPriority w:val="0"/>
  </w:style>
  <w:style w:type="character" w:customStyle="1" w:styleId="59">
    <w:name w:val="批注文字 Char"/>
    <w:link w:val="10"/>
    <w:qFormat/>
    <w:uiPriority w:val="99"/>
    <w:rPr>
      <w:kern w:val="2"/>
      <w:sz w:val="21"/>
      <w:szCs w:val="24"/>
    </w:rPr>
  </w:style>
  <w:style w:type="character" w:customStyle="1" w:styleId="60">
    <w:name w:val="批注主题 Char1"/>
    <w:semiHidden/>
    <w:qFormat/>
    <w:uiPriority w:val="99"/>
    <w:rPr>
      <w:b/>
      <w:bCs/>
      <w:kern w:val="2"/>
      <w:sz w:val="21"/>
      <w:szCs w:val="24"/>
    </w:rPr>
  </w:style>
  <w:style w:type="character" w:customStyle="1" w:styleId="61">
    <w:name w:val="批注框文本 Char"/>
    <w:link w:val="19"/>
    <w:qFormat/>
    <w:uiPriority w:val="0"/>
    <w:rPr>
      <w:kern w:val="2"/>
      <w:sz w:val="18"/>
      <w:szCs w:val="18"/>
    </w:rPr>
  </w:style>
  <w:style w:type="character" w:customStyle="1" w:styleId="62">
    <w:name w:val="批注主题 Char"/>
    <w:link w:val="34"/>
    <w:qFormat/>
    <w:uiPriority w:val="0"/>
    <w:rPr>
      <w:b/>
      <w:bCs/>
      <w:kern w:val="2"/>
      <w:sz w:val="21"/>
      <w:szCs w:val="24"/>
    </w:rPr>
  </w:style>
  <w:style w:type="character" w:customStyle="1" w:styleId="63">
    <w:name w:val="纯文本 Char"/>
    <w:link w:val="15"/>
    <w:qFormat/>
    <w:uiPriority w:val="0"/>
    <w:rPr>
      <w:rFonts w:ascii="宋体" w:hAnsi="Courier New"/>
      <w:kern w:val="2"/>
      <w:sz w:val="21"/>
    </w:rPr>
  </w:style>
  <w:style w:type="character" w:customStyle="1" w:styleId="64">
    <w:name w:val="标题 3 Char"/>
    <w:link w:val="6"/>
    <w:qFormat/>
    <w:uiPriority w:val="0"/>
    <w:rPr>
      <w:rFonts w:ascii="宋体"/>
      <w:b/>
      <w:sz w:val="24"/>
      <w:u w:val="single"/>
    </w:rPr>
  </w:style>
  <w:style w:type="character" w:customStyle="1" w:styleId="65">
    <w:name w:val="正文文本 Char"/>
    <w:link w:val="11"/>
    <w:qFormat/>
    <w:uiPriority w:val="0"/>
    <w:rPr>
      <w:rFonts w:ascii="宋体" w:hAnsi="宋体"/>
      <w:kern w:val="2"/>
      <w:sz w:val="24"/>
      <w:szCs w:val="24"/>
    </w:rPr>
  </w:style>
  <w:style w:type="character" w:customStyle="1" w:styleId="66">
    <w:name w:val="批注框文本 Char1"/>
    <w:semiHidden/>
    <w:qFormat/>
    <w:uiPriority w:val="99"/>
    <w:rPr>
      <w:kern w:val="2"/>
      <w:sz w:val="18"/>
      <w:szCs w:val="18"/>
    </w:rPr>
  </w:style>
  <w:style w:type="character" w:customStyle="1" w:styleId="67">
    <w:name w:val="正文缩进 Char1"/>
    <w:link w:val="53"/>
    <w:qFormat/>
    <w:uiPriority w:val="0"/>
    <w:rPr>
      <w:rFonts w:ascii="宋体"/>
      <w:sz w:val="24"/>
    </w:rPr>
  </w:style>
  <w:style w:type="character" w:customStyle="1" w:styleId="68">
    <w:name w:val="日期 Char"/>
    <w:link w:val="17"/>
    <w:qFormat/>
    <w:uiPriority w:val="0"/>
    <w:rPr>
      <w:rFonts w:ascii="仿宋_GB2312" w:hAnsi="宋体" w:eastAsia="仿宋_GB2312"/>
      <w:color w:val="000000"/>
      <w:kern w:val="2"/>
      <w:sz w:val="24"/>
      <w:szCs w:val="24"/>
    </w:rPr>
  </w:style>
  <w:style w:type="character" w:customStyle="1" w:styleId="69">
    <w:name w:val="页眉 Char"/>
    <w:link w:val="22"/>
    <w:qFormat/>
    <w:uiPriority w:val="0"/>
    <w:rPr>
      <w:kern w:val="2"/>
      <w:sz w:val="18"/>
      <w:szCs w:val="18"/>
    </w:rPr>
  </w:style>
  <w:style w:type="character" w:customStyle="1" w:styleId="70">
    <w:name w:val="标题 1 Char"/>
    <w:link w:val="4"/>
    <w:qFormat/>
    <w:uiPriority w:val="0"/>
    <w:rPr>
      <w:rFonts w:ascii="宋体"/>
      <w:b/>
      <w:kern w:val="44"/>
      <w:sz w:val="32"/>
    </w:rPr>
  </w:style>
  <w:style w:type="character" w:customStyle="1" w:styleId="71">
    <w:name w:val="批注文字 Char1"/>
    <w:semiHidden/>
    <w:qFormat/>
    <w:uiPriority w:val="99"/>
    <w:rPr>
      <w:kern w:val="2"/>
      <w:sz w:val="21"/>
      <w:szCs w:val="24"/>
    </w:rPr>
  </w:style>
  <w:style w:type="table" w:customStyle="1" w:styleId="72">
    <w:name w:val="Table Normal"/>
    <w:qFormat/>
    <w:uiPriority w:val="0"/>
    <w:tblPr>
      <w:tblCellMar>
        <w:top w:w="0" w:type="dxa"/>
        <w:left w:w="0" w:type="dxa"/>
        <w:bottom w:w="0" w:type="dxa"/>
        <w:right w:w="0" w:type="dxa"/>
      </w:tblCellMar>
    </w:tblPr>
  </w:style>
  <w:style w:type="character" w:customStyle="1" w:styleId="73">
    <w:name w:val="fontstyle01"/>
    <w:basedOn w:val="39"/>
    <w:qFormat/>
    <w:uiPriority w:val="0"/>
    <w:rPr>
      <w:rFonts w:hint="eastAsia" w:ascii="仿宋_GB2312" w:eastAsia="仿宋_GB2312"/>
      <w:color w:val="000000"/>
      <w:sz w:val="28"/>
      <w:szCs w:val="28"/>
    </w:rPr>
  </w:style>
  <w:style w:type="paragraph" w:customStyle="1" w:styleId="74">
    <w:name w:val="Table Paragraph"/>
    <w:basedOn w:val="1"/>
    <w:qFormat/>
    <w:uiPriority w:val="1"/>
    <w:rPr>
      <w:rFonts w:ascii="宋体" w:hAnsi="宋体" w:cs="宋体"/>
      <w:lang w:val="zh-CN" w:bidi="zh-CN"/>
    </w:rPr>
  </w:style>
  <w:style w:type="character" w:customStyle="1" w:styleId="75">
    <w:name w:val="标题 2 Char1"/>
    <w:link w:val="5"/>
    <w:qFormat/>
    <w:uiPriority w:val="0"/>
    <w:rPr>
      <w:rFonts w:ascii="Arial" w:hAnsi="Arial" w:eastAsia="黑体" w:cs="Times New Roman"/>
      <w:b/>
      <w:bCs/>
      <w:sz w:val="32"/>
      <w:szCs w:val="32"/>
    </w:rPr>
  </w:style>
  <w:style w:type="character" w:customStyle="1" w:styleId="76">
    <w:name w:val="文档结构图 Char"/>
    <w:basedOn w:val="39"/>
    <w:link w:val="9"/>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12843</Words>
  <Characters>73211</Characters>
  <Lines>610</Lines>
  <Paragraphs>171</Paragraphs>
  <TotalTime>18</TotalTime>
  <ScaleCrop>false</ScaleCrop>
  <LinksUpToDate>false</LinksUpToDate>
  <CharactersWithSpaces>85883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2021-04-05T13:24:00Z</dcterms:created>
  <dc:creator>USER-</dc:creator>
  <cp:lastModifiedBy>Administrator</cp:lastModifiedBy>
  <cp:lastPrinted>2021-11-29T04:41:00Z</cp:lastPrinted>
  <dcterms:modified xsi:type="dcterms:W3CDTF">2023-02-14T09:35:28Z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73E162CEAF26417A857C40B038ACF297</vt:lpwstr>
  </property>
</Properties>
</file>