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伊犁州2023年中央自然灾害防治体系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34"/>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GYZB-YLZDZFZ2023</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pStyle w:val="42"/>
        <w:rPr>
          <w:rFonts w:hint="eastAsia" w:ascii="仿宋" w:hAnsi="仿宋" w:eastAsia="仿宋" w:cs="仿宋"/>
          <w:b/>
          <w:sz w:val="52"/>
        </w:rPr>
      </w:pPr>
    </w:p>
    <w:p>
      <w:pPr>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lang w:eastAsia="zh-CN"/>
        </w:rPr>
        <w:t>采购代理机构</w:t>
      </w:r>
      <w:r>
        <w:rPr>
          <w:rFonts w:hint="eastAsia" w:ascii="仿宋" w:hAnsi="仿宋" w:eastAsia="仿宋" w:cs="仿宋"/>
          <w:sz w:val="28"/>
          <w:szCs w:val="28"/>
        </w:rPr>
        <w:t>：</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2023年2月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_Toc9228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第1章   </w:t>
      </w:r>
      <w:r>
        <w:rPr>
          <w:rFonts w:hint="eastAsia" w:ascii="仿宋" w:hAnsi="仿宋" w:eastAsia="仿宋" w:cs="仿宋"/>
          <w:sz w:val="24"/>
          <w:szCs w:val="32"/>
          <w:lang w:eastAsia="zh-CN"/>
        </w:rPr>
        <w:t>供应商</w:t>
      </w:r>
      <w:r>
        <w:rPr>
          <w:rFonts w:hint="eastAsia" w:ascii="仿宋" w:hAnsi="仿宋" w:eastAsia="仿宋" w:cs="仿宋"/>
          <w:sz w:val="24"/>
          <w:szCs w:val="32"/>
        </w:rPr>
        <w:t>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_Toc9228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_Toc9485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一   总  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_Toc9485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_Toc12013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1.采购人、采购代理机构及</w:t>
      </w:r>
      <w:r>
        <w:rPr>
          <w:rFonts w:hint="eastAsia" w:ascii="仿宋" w:hAnsi="仿宋" w:eastAsia="仿宋" w:cs="仿宋"/>
          <w:sz w:val="24"/>
          <w:szCs w:val="32"/>
          <w:lang w:eastAsia="zh-CN"/>
        </w:rPr>
        <w:t>供应商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_Toc12013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_Toc2643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2.资金来源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_Toc2643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_Toc28166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3.投标费用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_Toc28166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_Toc32365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4.适用法律</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_Toc32365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_Toc809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二   </w:t>
      </w:r>
      <w:r>
        <w:rPr>
          <w:rFonts w:hint="eastAsia" w:ascii="仿宋" w:hAnsi="仿宋" w:eastAsia="仿宋" w:cs="仿宋"/>
          <w:sz w:val="24"/>
          <w:szCs w:val="32"/>
          <w:lang w:eastAsia="zh-CN"/>
        </w:rPr>
        <w:t>采购文件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_Toc809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_Toc22990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5.</w:t>
      </w:r>
      <w:r>
        <w:rPr>
          <w:rFonts w:hint="eastAsia" w:ascii="仿宋" w:hAnsi="仿宋" w:eastAsia="仿宋" w:cs="仿宋"/>
          <w:sz w:val="24"/>
          <w:szCs w:val="32"/>
          <w:lang w:eastAsia="zh-CN"/>
        </w:rPr>
        <w:t>采购文件</w:t>
      </w:r>
      <w:r>
        <w:rPr>
          <w:rFonts w:hint="eastAsia" w:ascii="仿宋" w:hAnsi="仿宋" w:eastAsia="仿宋" w:cs="仿宋"/>
          <w:sz w:val="24"/>
          <w:szCs w:val="32"/>
        </w:rPr>
        <w:t>构成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_Toc22990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_Toc21314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6.</w:t>
      </w:r>
      <w:r>
        <w:rPr>
          <w:rFonts w:hint="eastAsia" w:ascii="仿宋" w:hAnsi="仿宋" w:eastAsia="仿宋" w:cs="仿宋"/>
          <w:sz w:val="24"/>
          <w:szCs w:val="32"/>
          <w:lang w:eastAsia="zh-CN"/>
        </w:rPr>
        <w:t>采购文件</w:t>
      </w:r>
      <w:r>
        <w:rPr>
          <w:rFonts w:hint="eastAsia" w:ascii="仿宋" w:hAnsi="仿宋" w:eastAsia="仿宋" w:cs="仿宋"/>
          <w:sz w:val="24"/>
          <w:szCs w:val="32"/>
        </w:rPr>
        <w:t>的澄清与修改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_Toc21314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_Toc10994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7.投标截止时间的顺延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_Toc10994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_Toc25389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三   投标文件的编制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_Toc25389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pos="3600"/>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_Toc6728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8.</w:t>
      </w:r>
      <w:r>
        <w:rPr>
          <w:rFonts w:hint="eastAsia" w:ascii="仿宋" w:hAnsi="仿宋" w:eastAsia="仿宋" w:cs="仿宋"/>
          <w:sz w:val="24"/>
          <w:szCs w:val="32"/>
        </w:rPr>
        <w:tab/>
      </w:r>
      <w:r>
        <w:rPr>
          <w:rFonts w:hint="eastAsia" w:ascii="仿宋" w:hAnsi="仿宋" w:eastAsia="仿宋" w:cs="仿宋"/>
          <w:sz w:val="24"/>
          <w:szCs w:val="32"/>
        </w:rPr>
        <w:t>投标范围及投标文件中标准和计量单位的使用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_Toc6728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_Toc15487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9.投标文件构成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_Toc15487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pos="3600"/>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_Toc2671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10.</w:t>
      </w:r>
      <w:r>
        <w:rPr>
          <w:rFonts w:hint="eastAsia" w:ascii="仿宋" w:hAnsi="仿宋" w:eastAsia="仿宋" w:cs="仿宋"/>
          <w:sz w:val="24"/>
          <w:szCs w:val="32"/>
        </w:rPr>
        <w:tab/>
      </w:r>
      <w:r>
        <w:rPr>
          <w:rFonts w:hint="eastAsia" w:ascii="仿宋" w:hAnsi="仿宋" w:eastAsia="仿宋" w:cs="仿宋"/>
          <w:sz w:val="24"/>
          <w:szCs w:val="32"/>
        </w:rPr>
        <w:t>证明投标标的的合格性和符合</w:t>
      </w:r>
      <w:r>
        <w:rPr>
          <w:rFonts w:hint="eastAsia" w:ascii="仿宋" w:hAnsi="仿宋" w:eastAsia="仿宋" w:cs="仿宋"/>
          <w:sz w:val="24"/>
          <w:szCs w:val="32"/>
          <w:lang w:eastAsia="zh-CN"/>
        </w:rPr>
        <w:t>采购文件</w:t>
      </w:r>
      <w:r>
        <w:rPr>
          <w:rFonts w:hint="eastAsia" w:ascii="仿宋" w:hAnsi="仿宋" w:eastAsia="仿宋" w:cs="仿宋"/>
          <w:sz w:val="24"/>
          <w:szCs w:val="32"/>
        </w:rPr>
        <w:t>规定的</w:t>
      </w:r>
      <w:r>
        <w:rPr>
          <w:rFonts w:hint="eastAsia" w:ascii="仿宋" w:hAnsi="仿宋" w:eastAsia="仿宋" w:cs="仿宋"/>
          <w:sz w:val="24"/>
          <w:szCs w:val="32"/>
          <w:lang w:eastAsia="zh-CN"/>
        </w:rPr>
        <w:t>投标文件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_Toc2671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_Toc8529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11.投标报价</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_Toc8529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_Toc16199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12.投标保证金</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_Toc16199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_Toc20355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13.投标有效期</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_Toc20355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_Toc27303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14.投标文件的签署及规定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_Toc27303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_Toc22303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_Toc22303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_Toc13247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15.投标文件的密封和标记</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_Toc13247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_Toc25787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16.投标截止</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_Toc25787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_Toc13921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17.投标文件的接收、修改与撤回</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_Toc13921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_Toc10257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五   开标及评标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_Toc10257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_Toc8653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18.开标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_Toc8653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19.资格审查及组建评标委员会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_Toc34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_Toc6842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20.投标文件的符合性审查与澄清</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_Toc6842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_Toc8603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21.投标偏离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_Toc8603 </w:instrText>
      </w:r>
      <w:r>
        <w:rPr>
          <w:rFonts w:hint="eastAsia" w:ascii="仿宋" w:hAnsi="仿宋" w:eastAsia="仿宋" w:cs="仿宋"/>
          <w:sz w:val="24"/>
          <w:szCs w:val="32"/>
        </w:rPr>
        <w:fldChar w:fldCharType="separate"/>
      </w:r>
      <w:r>
        <w:rPr>
          <w:rFonts w:hint="eastAsia" w:ascii="仿宋" w:hAnsi="仿宋" w:eastAsia="仿宋" w:cs="仿宋"/>
          <w:sz w:val="24"/>
          <w:szCs w:val="32"/>
        </w:rPr>
        <w:t>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_Toc25255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22.投标无效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_Toc25255 </w:instrText>
      </w:r>
      <w:r>
        <w:rPr>
          <w:rFonts w:hint="eastAsia" w:ascii="仿宋" w:hAnsi="仿宋" w:eastAsia="仿宋" w:cs="仿宋"/>
          <w:sz w:val="24"/>
          <w:szCs w:val="32"/>
        </w:rPr>
        <w:fldChar w:fldCharType="separate"/>
      </w:r>
      <w:r>
        <w:rPr>
          <w:rFonts w:hint="eastAsia" w:ascii="仿宋" w:hAnsi="仿宋" w:eastAsia="仿宋" w:cs="仿宋"/>
          <w:sz w:val="24"/>
          <w:szCs w:val="32"/>
        </w:rPr>
        <w:t>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_Toc20835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23.比较与评价</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_Toc20835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_Toc5823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24.废标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_Toc5823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_Toc23660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25.保密原则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_Toc23660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_Toc10964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六   确定中标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_Toc10964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_Toc32578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26.中标候选人的确定原则及标准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_Toc32578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_Toc10555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27.确定中标候选人和中标人</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_Toc10555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_Toc17138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28.采购任务取消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_Toc17138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_Toc18072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29.中标通知书和招标结果通知书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_Toc18072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_Toc16952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30.签订合同</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_Toc4302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31.履约保证金</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_Toc4302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_Toc8476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32.中标服务费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_Toc8476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_Toc31411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33.政府采购信用担保</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_Toc31411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_Toc4701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34.廉洁自律规定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_Toc4701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_Toc21055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35.人员回避</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_Toc21055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3"/>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_Toc24931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36.质疑与接收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_Toc24931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_Toc23883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附件1：履约保证金保函（格式）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_Toc23883 </w:instrText>
      </w:r>
      <w:r>
        <w:rPr>
          <w:rFonts w:hint="eastAsia" w:ascii="仿宋" w:hAnsi="仿宋" w:eastAsia="仿宋" w:cs="仿宋"/>
          <w:sz w:val="24"/>
          <w:szCs w:val="32"/>
        </w:rPr>
        <w:fldChar w:fldCharType="separate"/>
      </w:r>
      <w:r>
        <w:rPr>
          <w:rFonts w:hint="eastAsia" w:ascii="仿宋" w:hAnsi="仿宋" w:eastAsia="仿宋" w:cs="仿宋"/>
          <w:sz w:val="24"/>
          <w:szCs w:val="32"/>
        </w:rPr>
        <w:t>18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_Toc27788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附件2：履约担保函格式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_Toc27788 </w:instrText>
      </w:r>
      <w:r>
        <w:rPr>
          <w:rFonts w:hint="eastAsia" w:ascii="仿宋" w:hAnsi="仿宋" w:eastAsia="仿宋" w:cs="仿宋"/>
          <w:sz w:val="24"/>
          <w:szCs w:val="32"/>
        </w:rPr>
        <w:fldChar w:fldCharType="separate"/>
      </w:r>
      <w:r>
        <w:rPr>
          <w:rFonts w:hint="eastAsia" w:ascii="仿宋" w:hAnsi="仿宋" w:eastAsia="仿宋" w:cs="仿宋"/>
          <w:sz w:val="24"/>
          <w:szCs w:val="32"/>
        </w:rPr>
        <w:t>13</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_Toc30995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（采用政府采购信用担保形式时使用）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_Toc30995 </w:instrText>
      </w:r>
      <w:r>
        <w:rPr>
          <w:rFonts w:hint="eastAsia" w:ascii="仿宋" w:hAnsi="仿宋" w:eastAsia="仿宋" w:cs="仿宋"/>
          <w:sz w:val="24"/>
          <w:szCs w:val="32"/>
        </w:rPr>
        <w:fldChar w:fldCharType="separate"/>
      </w:r>
      <w:r>
        <w:rPr>
          <w:rFonts w:hint="eastAsia" w:ascii="仿宋" w:hAnsi="仿宋" w:eastAsia="仿宋" w:cs="仿宋"/>
          <w:sz w:val="24"/>
          <w:szCs w:val="32"/>
        </w:rPr>
        <w:t>13</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_Toc6923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第2章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_Toc6923 </w:instrText>
      </w:r>
      <w:r>
        <w:rPr>
          <w:rFonts w:hint="eastAsia" w:ascii="仿宋" w:hAnsi="仿宋" w:eastAsia="仿宋" w:cs="仿宋"/>
          <w:sz w:val="24"/>
          <w:szCs w:val="32"/>
        </w:rPr>
        <w:fldChar w:fldCharType="separate"/>
      </w:r>
      <w:r>
        <w:rPr>
          <w:rFonts w:hint="eastAsia" w:ascii="仿宋" w:hAnsi="仿宋" w:eastAsia="仿宋" w:cs="仿宋"/>
          <w:sz w:val="24"/>
          <w:szCs w:val="32"/>
        </w:rPr>
        <w:t>15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7"/>
        <w:tabs>
          <w:tab w:val="right" w:leader="dot" w:pos="8312"/>
        </w:tabs>
        <w:rPr>
          <w:rFonts w:hint="eastAsia" w:ascii="仿宋" w:hAnsi="仿宋" w:eastAsia="仿宋" w:cs="仿宋"/>
          <w:sz w:val="24"/>
          <w:szCs w:val="32"/>
          <w:lang w:val="en-US" w:eastAsia="zh-CN"/>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_Toc15142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第一部分 </w:t>
      </w:r>
      <w:r>
        <w:rPr>
          <w:rFonts w:hint="eastAsia" w:ascii="仿宋" w:hAnsi="仿宋" w:eastAsia="仿宋" w:cs="仿宋"/>
          <w:sz w:val="24"/>
          <w:szCs w:val="32"/>
          <w:lang w:eastAsia="zh-CN"/>
        </w:rPr>
        <w:t>报价单</w:t>
      </w:r>
      <w:r>
        <w:rPr>
          <w:rFonts w:hint="eastAsia" w:ascii="仿宋" w:hAnsi="仿宋" w:eastAsia="仿宋" w:cs="仿宋"/>
          <w:sz w:val="24"/>
          <w:szCs w:val="32"/>
        </w:rPr>
        <w:tab/>
      </w:r>
      <w:r>
        <w:rPr>
          <w:rFonts w:hint="eastAsia" w:ascii="仿宋" w:hAnsi="仿宋" w:eastAsia="仿宋" w:cs="仿宋"/>
          <w:sz w:val="24"/>
          <w:szCs w:val="32"/>
          <w:lang w:val="en-US" w:eastAsia="zh-CN"/>
        </w:rPr>
        <w:t>1</w:t>
      </w:r>
      <w:r>
        <w:rPr>
          <w:rFonts w:hint="eastAsia" w:ascii="仿宋" w:hAnsi="仿宋" w:eastAsia="仿宋" w:cs="仿宋"/>
          <w:kern w:val="0"/>
          <w:sz w:val="24"/>
          <w:szCs w:val="24"/>
        </w:rPr>
        <w:fldChar w:fldCharType="end"/>
      </w:r>
      <w:r>
        <w:rPr>
          <w:rFonts w:hint="eastAsia" w:ascii="仿宋" w:hAnsi="仿宋" w:eastAsia="仿宋" w:cs="仿宋"/>
          <w:kern w:val="0"/>
          <w:sz w:val="24"/>
          <w:szCs w:val="24"/>
          <w:lang w:val="en-US" w:eastAsia="zh-CN"/>
        </w:rPr>
        <w:t>8</w:t>
      </w:r>
    </w:p>
    <w:p>
      <w:pPr>
        <w:pStyle w:val="27"/>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_Toc16844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第二部分 商务及技术文件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_Toc16844 </w:instrText>
      </w:r>
      <w:r>
        <w:rPr>
          <w:rFonts w:hint="eastAsia" w:ascii="仿宋" w:hAnsi="仿宋" w:eastAsia="仿宋" w:cs="仿宋"/>
          <w:sz w:val="24"/>
          <w:szCs w:val="32"/>
        </w:rPr>
        <w:fldChar w:fldCharType="separate"/>
      </w:r>
      <w:r>
        <w:rPr>
          <w:rFonts w:hint="eastAsia" w:ascii="仿宋" w:hAnsi="仿宋" w:eastAsia="仿宋" w:cs="仿宋"/>
          <w:sz w:val="24"/>
          <w:szCs w:val="32"/>
        </w:rPr>
        <w:t>18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_Toc9913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第3章 </w:t>
      </w:r>
      <w:r>
        <w:rPr>
          <w:rFonts w:hint="eastAsia" w:ascii="仿宋" w:hAnsi="仿宋" w:eastAsia="仿宋" w:cs="仿宋"/>
          <w:sz w:val="24"/>
          <w:szCs w:val="32"/>
          <w:lang w:eastAsia="zh-CN"/>
        </w:rPr>
        <w:t>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_Toc9913 </w:instrText>
      </w:r>
      <w:r>
        <w:rPr>
          <w:rFonts w:hint="eastAsia" w:ascii="仿宋" w:hAnsi="仿宋" w:eastAsia="仿宋" w:cs="仿宋"/>
          <w:sz w:val="24"/>
          <w:szCs w:val="32"/>
        </w:rPr>
        <w:fldChar w:fldCharType="separate"/>
      </w:r>
      <w:r>
        <w:rPr>
          <w:rFonts w:hint="eastAsia" w:ascii="仿宋" w:hAnsi="仿宋" w:eastAsia="仿宋" w:cs="仿宋"/>
          <w:sz w:val="24"/>
          <w:szCs w:val="32"/>
        </w:rPr>
        <w:t>28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_Toc28647 </w:instrText>
      </w:r>
      <w:r>
        <w:rPr>
          <w:rFonts w:hint="eastAsia" w:ascii="仿宋" w:hAnsi="仿宋" w:eastAsia="仿宋" w:cs="仿宋"/>
          <w:kern w:val="0"/>
          <w:sz w:val="24"/>
          <w:szCs w:val="24"/>
        </w:rPr>
        <w:fldChar w:fldCharType="separate"/>
      </w:r>
      <w:r>
        <w:rPr>
          <w:rFonts w:hint="eastAsia" w:ascii="仿宋" w:hAnsi="仿宋" w:eastAsia="仿宋" w:cs="仿宋"/>
          <w:sz w:val="24"/>
          <w:szCs w:val="40"/>
        </w:rPr>
        <w:t xml:space="preserve">第4章 </w:t>
      </w:r>
      <w:r>
        <w:rPr>
          <w:rFonts w:hint="eastAsia" w:ascii="仿宋" w:hAnsi="仿宋" w:eastAsia="仿宋" w:cs="仿宋"/>
          <w:sz w:val="24"/>
          <w:szCs w:val="32"/>
          <w:lang w:eastAsia="zh-CN"/>
        </w:rPr>
        <w:t>供应商</w:t>
      </w:r>
      <w:r>
        <w:rPr>
          <w:rFonts w:hint="eastAsia" w:ascii="仿宋" w:hAnsi="仿宋" w:eastAsia="仿宋" w:cs="仿宋"/>
          <w:sz w:val="24"/>
          <w:szCs w:val="32"/>
        </w:rPr>
        <w:t>须知资料表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_Toc28647 </w:instrText>
      </w:r>
      <w:r>
        <w:rPr>
          <w:rFonts w:hint="eastAsia" w:ascii="仿宋" w:hAnsi="仿宋" w:eastAsia="仿宋" w:cs="仿宋"/>
          <w:sz w:val="24"/>
          <w:szCs w:val="32"/>
        </w:rPr>
        <w:fldChar w:fldCharType="separate"/>
      </w:r>
      <w:r>
        <w:rPr>
          <w:rFonts w:hint="eastAsia" w:ascii="仿宋" w:hAnsi="仿宋" w:eastAsia="仿宋" w:cs="仿宋"/>
          <w:sz w:val="24"/>
          <w:szCs w:val="32"/>
        </w:rPr>
        <w:t>30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_Toc7112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第5章 </w:t>
      </w:r>
      <w:r>
        <w:rPr>
          <w:rFonts w:hint="eastAsia" w:ascii="仿宋" w:hAnsi="仿宋" w:eastAsia="仿宋" w:cs="仿宋"/>
          <w:sz w:val="24"/>
          <w:szCs w:val="32"/>
          <w:lang w:eastAsia="zh-CN"/>
        </w:rPr>
        <w:t>采购</w:t>
      </w:r>
      <w:r>
        <w:rPr>
          <w:rFonts w:hint="eastAsia" w:ascii="仿宋" w:hAnsi="仿宋" w:eastAsia="仿宋" w:cs="仿宋"/>
          <w:sz w:val="24"/>
          <w:szCs w:val="32"/>
        </w:rPr>
        <w:t>需求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_Toc7112 </w:instrText>
      </w:r>
      <w:r>
        <w:rPr>
          <w:rFonts w:hint="eastAsia" w:ascii="仿宋" w:hAnsi="仿宋" w:eastAsia="仿宋" w:cs="仿宋"/>
          <w:sz w:val="24"/>
          <w:szCs w:val="32"/>
        </w:rPr>
        <w:fldChar w:fldCharType="separate"/>
      </w:r>
      <w:r>
        <w:rPr>
          <w:rFonts w:hint="eastAsia" w:ascii="仿宋" w:hAnsi="仿宋" w:eastAsia="仿宋" w:cs="仿宋"/>
          <w:sz w:val="24"/>
          <w:szCs w:val="32"/>
        </w:rPr>
        <w:t>32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_Toc10220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第6章 评标方法和标准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_Toc10220 </w:instrText>
      </w:r>
      <w:r>
        <w:rPr>
          <w:rFonts w:hint="eastAsia" w:ascii="仿宋" w:hAnsi="仿宋" w:eastAsia="仿宋" w:cs="仿宋"/>
          <w:sz w:val="24"/>
          <w:szCs w:val="32"/>
        </w:rPr>
        <w:fldChar w:fldCharType="separate"/>
      </w:r>
      <w:r>
        <w:rPr>
          <w:rFonts w:hint="eastAsia" w:ascii="仿宋" w:hAnsi="仿宋" w:eastAsia="仿宋" w:cs="仿宋"/>
          <w:sz w:val="24"/>
          <w:szCs w:val="32"/>
        </w:rPr>
        <w:t>62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2"/>
        <w:tabs>
          <w:tab w:val="right" w:leader="dot" w:pos="8312"/>
        </w:tabs>
        <w:rPr>
          <w:rFonts w:hint="eastAsia" w:ascii="仿宋" w:hAnsi="仿宋" w:eastAsia="仿宋" w:cs="仿宋"/>
          <w:kern w:val="0"/>
          <w:szCs w:val="21"/>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_Toc23018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第7章 政府采购合同标准文本</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_Toc23018 </w:instrText>
      </w:r>
      <w:r>
        <w:rPr>
          <w:rFonts w:hint="eastAsia" w:ascii="仿宋" w:hAnsi="仿宋" w:eastAsia="仿宋" w:cs="仿宋"/>
          <w:sz w:val="24"/>
          <w:szCs w:val="32"/>
        </w:rPr>
        <w:fldChar w:fldCharType="separate"/>
      </w:r>
      <w:r>
        <w:rPr>
          <w:rFonts w:hint="eastAsia" w:ascii="仿宋" w:hAnsi="仿宋" w:eastAsia="仿宋" w:cs="仿宋"/>
          <w:sz w:val="24"/>
          <w:szCs w:val="32"/>
        </w:rPr>
        <w:t>77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jc w:val="center"/>
        <w:textAlignment w:val="auto"/>
        <w:rPr>
          <w:rFonts w:hint="eastAsia" w:ascii="仿宋" w:hAnsi="仿宋" w:eastAsia="仿宋" w:cs="仿宋"/>
        </w:rPr>
      </w:pPr>
      <w:r>
        <w:rPr>
          <w:rFonts w:hint="eastAsia" w:ascii="仿宋" w:hAnsi="仿宋" w:eastAsia="仿宋" w:cs="仿宋"/>
          <w:kern w:val="0"/>
          <w:szCs w:val="21"/>
        </w:rPr>
        <w:fldChar w:fldCharType="end"/>
      </w:r>
      <w:bookmarkStart w:id="0" w:name="_Toc9228"/>
      <w:bookmarkStart w:id="1" w:name="_Toc216582804"/>
      <w:r>
        <w:rPr>
          <w:rFonts w:hint="eastAsia" w:ascii="仿宋" w:hAnsi="仿宋" w:eastAsia="仿宋" w:cs="仿宋"/>
          <w:lang w:val="en-US" w:eastAsia="zh-CN"/>
        </w:rPr>
        <w:t>第1章</w:t>
      </w:r>
      <w:r>
        <w:rPr>
          <w:rFonts w:hint="eastAsia" w:ascii="仿宋" w:hAnsi="仿宋" w:eastAsia="仿宋" w:cs="仿宋"/>
        </w:rPr>
        <w:t xml:space="preserve"> </w:t>
      </w:r>
      <w:bookmarkStart w:id="2" w:name="_Toc518923059"/>
      <w:r>
        <w:rPr>
          <w:rFonts w:hint="eastAsia" w:ascii="仿宋" w:hAnsi="仿宋" w:eastAsia="仿宋" w:cs="仿宋"/>
          <w:lang w:eastAsia="zh-CN"/>
        </w:rPr>
        <w:t>供应商</w:t>
      </w:r>
      <w:r>
        <w:rPr>
          <w:rFonts w:hint="eastAsia" w:ascii="仿宋" w:hAnsi="仿宋" w:eastAsia="仿宋" w:cs="仿宋"/>
        </w:rPr>
        <w:t>须知</w:t>
      </w:r>
      <w:bookmarkEnd w:id="0"/>
      <w:bookmarkEnd w:id="1"/>
      <w:bookmarkEnd w:id="2"/>
    </w:p>
    <w:p>
      <w:pPr>
        <w:rPr>
          <w:rFonts w:hint="eastAsia" w:ascii="仿宋" w:hAnsi="仿宋" w:eastAsia="仿宋" w:cs="仿宋"/>
        </w:rPr>
      </w:pPr>
    </w:p>
    <w:p>
      <w:pPr>
        <w:pStyle w:val="4"/>
        <w:spacing w:before="0" w:line="240" w:lineRule="atLeast"/>
        <w:ind w:left="1080"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8"/>
        <w:rPr>
          <w:rFonts w:hint="eastAsia" w:ascii="仿宋" w:hAnsi="仿宋" w:eastAsia="仿宋" w:cs="仿宋"/>
        </w:rPr>
      </w:pPr>
    </w:p>
    <w:p>
      <w:pPr>
        <w:pStyle w:val="5"/>
        <w:spacing w:before="0" w:after="0" w:line="240" w:lineRule="atLeast"/>
        <w:rPr>
          <w:rFonts w:hint="eastAsia" w:ascii="仿宋" w:hAnsi="仿宋" w:eastAsia="仿宋" w:cs="仿宋"/>
          <w:u w:val="none"/>
          <w:lang w:eastAsia="zh-CN"/>
        </w:rPr>
      </w:pPr>
      <w:bookmarkStart w:id="7" w:name="_Toc520356144"/>
      <w:bookmarkStart w:id="8" w:name="_Toc518923061"/>
      <w:bookmarkStart w:id="9" w:name="_Toc12013"/>
      <w:r>
        <w:rPr>
          <w:rFonts w:hint="eastAsia" w:ascii="仿宋" w:hAnsi="仿宋" w:eastAsia="仿宋" w:cs="仿宋"/>
          <w:u w:val="none"/>
        </w:rPr>
        <w:t>1.采购人、采购代理机构及</w:t>
      </w:r>
      <w:bookmarkEnd w:id="7"/>
      <w:bookmarkEnd w:id="8"/>
      <w:bookmarkEnd w:id="9"/>
      <w:r>
        <w:rPr>
          <w:rFonts w:hint="eastAsia" w:ascii="仿宋" w:hAnsi="仿宋" w:eastAsia="仿宋" w:cs="仿宋"/>
          <w:u w:val="none"/>
          <w:lang w:eastAsia="zh-CN"/>
        </w:rPr>
        <w:t>供应商</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采购代理机构：是指集中</w:t>
      </w:r>
      <w:r>
        <w:rPr>
          <w:rFonts w:hint="eastAsia" w:ascii="仿宋" w:hAnsi="仿宋" w:eastAsia="仿宋" w:cs="仿宋"/>
          <w:sz w:val="24"/>
          <w:lang w:eastAsia="zh-CN"/>
        </w:rPr>
        <w:t>采购代理机构</w:t>
      </w:r>
      <w:r>
        <w:rPr>
          <w:rFonts w:hint="eastAsia" w:ascii="仿宋" w:hAnsi="仿宋" w:eastAsia="仿宋" w:cs="仿宋"/>
          <w:sz w:val="24"/>
        </w:rPr>
        <w:t>或从事采购代理业务的社会中介机构。本项目的采购代理机构见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：是指向采购人提供货物、工程或者服务的法人、非法人组织或者自然人。本项目的</w:t>
      </w:r>
      <w:r>
        <w:rPr>
          <w:rFonts w:hint="eastAsia" w:ascii="仿宋" w:hAnsi="仿宋" w:eastAsia="仿宋" w:cs="仿宋"/>
          <w:sz w:val="24"/>
          <w:lang w:eastAsia="zh-CN"/>
        </w:rPr>
        <w:t>供应商</w:t>
      </w:r>
      <w:r>
        <w:rPr>
          <w:rFonts w:hint="eastAsia" w:ascii="仿宋" w:hAnsi="仿宋" w:eastAsia="仿宋" w:cs="仿宋"/>
          <w:sz w:val="24"/>
        </w:rPr>
        <w:t>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w:t>
      </w:r>
      <w:r>
        <w:rPr>
          <w:rFonts w:hint="eastAsia" w:ascii="仿宋" w:hAnsi="仿宋" w:eastAsia="仿宋" w:cs="仿宋"/>
          <w:sz w:val="24"/>
          <w:lang w:eastAsia="zh-CN"/>
        </w:rPr>
        <w:t>采购文件</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中写明专门面向中小企业采购的，如</w:t>
      </w:r>
      <w:r>
        <w:rPr>
          <w:rFonts w:hint="eastAsia" w:ascii="仿宋" w:hAnsi="仿宋" w:eastAsia="仿宋" w:cs="仿宋"/>
          <w:sz w:val="24"/>
          <w:lang w:eastAsia="zh-CN"/>
        </w:rPr>
        <w:t>供应商</w:t>
      </w:r>
      <w:r>
        <w:rPr>
          <w:rFonts w:hint="eastAsia" w:ascii="仿宋" w:hAnsi="仿宋" w:eastAsia="仿宋" w:cs="仿宋"/>
          <w:sz w:val="24"/>
        </w:rPr>
        <w:t>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w:t>
      </w:r>
      <w:r>
        <w:rPr>
          <w:rFonts w:hint="eastAsia" w:ascii="仿宋" w:hAnsi="仿宋" w:eastAsia="仿宋" w:cs="仿宋"/>
          <w:sz w:val="24"/>
          <w:lang w:eastAsia="zh-CN"/>
        </w:rPr>
        <w:t>供应商</w:t>
      </w:r>
      <w:r>
        <w:rPr>
          <w:rFonts w:hint="eastAsia" w:ascii="仿宋" w:hAnsi="仿宋" w:eastAsia="仿宋" w:cs="仿宋"/>
          <w:sz w:val="24"/>
        </w:rPr>
        <w:t>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w:t>
      </w:r>
      <w:r>
        <w:rPr>
          <w:rFonts w:hint="eastAsia" w:ascii="仿宋" w:hAnsi="仿宋" w:eastAsia="仿宋" w:cs="仿宋"/>
          <w:sz w:val="24"/>
          <w:lang w:eastAsia="zh-CN"/>
        </w:rPr>
        <w:t>供应商</w:t>
      </w:r>
      <w:r>
        <w:rPr>
          <w:rFonts w:hint="eastAsia" w:ascii="仿宋" w:hAnsi="仿宋" w:eastAsia="仿宋" w:cs="仿宋"/>
          <w:sz w:val="24"/>
        </w:rPr>
        <w:t>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 w:name="_Toc518923062"/>
      <w:bookmarkStart w:id="11" w:name="_Toc2643"/>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2.3    </w:t>
      </w:r>
      <w:r>
        <w:rPr>
          <w:rFonts w:hint="eastAsia" w:ascii="仿宋" w:hAnsi="仿宋" w:eastAsia="仿宋" w:cs="仿宋"/>
          <w:sz w:val="24"/>
          <w:lang w:eastAsia="zh-CN"/>
        </w:rPr>
        <w:t>供应商</w:t>
      </w:r>
      <w:r>
        <w:rPr>
          <w:rFonts w:hint="eastAsia" w:ascii="仿宋" w:hAnsi="仿宋" w:eastAsia="仿宋" w:cs="仿宋"/>
          <w:sz w:val="24"/>
        </w:rPr>
        <w:t>报价超过</w:t>
      </w:r>
      <w:r>
        <w:rPr>
          <w:rFonts w:hint="eastAsia" w:ascii="仿宋" w:hAnsi="仿宋" w:eastAsia="仿宋" w:cs="仿宋"/>
          <w:sz w:val="24"/>
          <w:lang w:eastAsia="zh-CN"/>
        </w:rPr>
        <w:t>采购文件</w:t>
      </w:r>
      <w:r>
        <w:rPr>
          <w:rFonts w:hint="eastAsia" w:ascii="仿宋" w:hAnsi="仿宋" w:eastAsia="仿宋" w:cs="仿宋"/>
          <w:sz w:val="24"/>
        </w:rPr>
        <w:t>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2" w:name="_Toc28166"/>
      <w:bookmarkStart w:id="13" w:name="_Toc518923063"/>
      <w:bookmarkStart w:id="14" w:name="_Toc520356145"/>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w:t>
      </w:r>
      <w:r>
        <w:rPr>
          <w:rFonts w:hint="eastAsia" w:ascii="仿宋" w:hAnsi="仿宋" w:eastAsia="仿宋" w:cs="仿宋"/>
          <w:sz w:val="24"/>
          <w:lang w:eastAsia="zh-CN"/>
        </w:rPr>
        <w:t>供应商</w:t>
      </w:r>
      <w:r>
        <w:rPr>
          <w:rFonts w:hint="eastAsia" w:ascii="仿宋" w:hAnsi="仿宋" w:eastAsia="仿宋" w:cs="仿宋"/>
          <w:sz w:val="24"/>
        </w:rPr>
        <w:t>应承担所有与准备和参加投标有关的费用。</w:t>
      </w:r>
    </w:p>
    <w:p>
      <w:pPr>
        <w:pStyle w:val="5"/>
        <w:spacing w:before="0" w:after="0" w:line="240" w:lineRule="atLeast"/>
        <w:rPr>
          <w:rFonts w:hint="eastAsia" w:ascii="仿宋" w:hAnsi="仿宋" w:eastAsia="仿宋" w:cs="仿宋"/>
          <w:u w:val="none"/>
        </w:rPr>
      </w:pPr>
      <w:bookmarkStart w:id="15" w:name="_Toc518923064"/>
      <w:bookmarkStart w:id="16" w:name="_Toc32365"/>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w:t>
      </w:r>
      <w:r>
        <w:rPr>
          <w:rFonts w:hint="eastAsia" w:ascii="仿宋" w:hAnsi="仿宋" w:eastAsia="仿宋" w:cs="仿宋"/>
          <w:sz w:val="24"/>
          <w:lang w:eastAsia="zh-CN"/>
        </w:rPr>
        <w:t>供应商</w:t>
      </w:r>
      <w:r>
        <w:rPr>
          <w:rFonts w:hint="eastAsia" w:ascii="仿宋" w:hAnsi="仿宋" w:eastAsia="仿宋" w:cs="仿宋"/>
          <w:sz w:val="24"/>
        </w:rPr>
        <w:t>、评标委员会的相关行为均受《中华人民共和国政府采购法》、《中华人民共和国政府采购法实施条例》及本项目本级和上级财政部门政府采购有关规定的约束，其权利受到上述法律法规的保护。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8"/>
          <w:lang w:eastAsia="zh-CN"/>
        </w:rPr>
      </w:pPr>
      <w:bookmarkStart w:id="17" w:name="_Toc518923065"/>
      <w:bookmarkStart w:id="18" w:name="_Toc216582806"/>
      <w:bookmarkStart w:id="19" w:name="_Toc809"/>
      <w:bookmarkStart w:id="20" w:name="_Toc520356146"/>
      <w:r>
        <w:rPr>
          <w:rFonts w:hint="eastAsia" w:ascii="仿宋" w:hAnsi="仿宋" w:eastAsia="仿宋" w:cs="仿宋"/>
          <w:sz w:val="28"/>
        </w:rPr>
        <w:t xml:space="preserve">二   </w:t>
      </w:r>
      <w:bookmarkEnd w:id="17"/>
      <w:bookmarkEnd w:id="18"/>
      <w:bookmarkEnd w:id="19"/>
      <w:bookmarkEnd w:id="20"/>
      <w:r>
        <w:rPr>
          <w:rFonts w:hint="eastAsia" w:ascii="仿宋" w:hAnsi="仿宋" w:eastAsia="仿宋" w:cs="仿宋"/>
          <w:sz w:val="28"/>
          <w:lang w:eastAsia="zh-CN"/>
        </w:rPr>
        <w:t>采购文件</w:t>
      </w:r>
    </w:p>
    <w:p>
      <w:pPr>
        <w:pStyle w:val="8"/>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21" w:name="_Toc22990"/>
      <w:bookmarkStart w:id="22" w:name="_Toc520356147"/>
      <w:bookmarkStart w:id="23" w:name="_Toc518923066"/>
      <w:r>
        <w:rPr>
          <w:rFonts w:hint="eastAsia" w:ascii="仿宋" w:hAnsi="仿宋" w:eastAsia="仿宋" w:cs="仿宋"/>
          <w:u w:val="none"/>
        </w:rPr>
        <w:t>5.</w:t>
      </w:r>
      <w:r>
        <w:rPr>
          <w:rFonts w:hint="eastAsia" w:ascii="仿宋" w:hAnsi="仿宋" w:eastAsia="仿宋" w:cs="仿宋"/>
          <w:u w:val="none"/>
          <w:lang w:eastAsia="zh-CN"/>
        </w:rPr>
        <w:t>采购文件</w:t>
      </w:r>
      <w:r>
        <w:rPr>
          <w:rFonts w:hint="eastAsia" w:ascii="仿宋" w:hAnsi="仿宋" w:eastAsia="仿宋" w:cs="仿宋"/>
          <w:u w:val="none"/>
        </w:rPr>
        <w:t>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lang w:eastAsia="zh-CN"/>
        </w:rPr>
        <w:t>采购文件</w:t>
      </w:r>
      <w:r>
        <w:rPr>
          <w:rFonts w:hint="eastAsia" w:ascii="仿宋" w:hAnsi="仿宋" w:eastAsia="仿宋" w:cs="仿宋"/>
          <w:sz w:val="24"/>
        </w:rPr>
        <w:t>分为三册共7章，内容如下：</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 xml:space="preserve">第1章  </w:t>
      </w:r>
      <w:r>
        <w:rPr>
          <w:rFonts w:hint="eastAsia" w:ascii="仿宋" w:hAnsi="仿宋" w:eastAsia="仿宋" w:cs="仿宋"/>
          <w:sz w:val="24"/>
          <w:lang w:eastAsia="zh-CN"/>
        </w:rPr>
        <w:t>供应商</w:t>
      </w:r>
      <w:r>
        <w:rPr>
          <w:rFonts w:hint="eastAsia" w:ascii="仿宋" w:hAnsi="仿宋" w:eastAsia="仿宋" w:cs="仿宋"/>
          <w:sz w:val="24"/>
        </w:rPr>
        <w:t>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1"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0"/>
        </w:numPr>
        <w:spacing w:line="240" w:lineRule="atLeast"/>
        <w:ind w:leftChars="429"/>
        <w:rPr>
          <w:rFonts w:hint="eastAsia" w:ascii="仿宋" w:hAnsi="仿宋" w:eastAsia="仿宋" w:cs="仿宋"/>
          <w:sz w:val="24"/>
          <w:lang w:eastAsia="zh-CN"/>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3章  </w:t>
      </w:r>
      <w:r>
        <w:rPr>
          <w:rFonts w:hint="eastAsia" w:ascii="仿宋" w:hAnsi="仿宋" w:eastAsia="仿宋" w:cs="仿宋"/>
          <w:sz w:val="24"/>
          <w:lang w:eastAsia="zh-CN"/>
        </w:rPr>
        <w:t>招标公告</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4章 </w:t>
      </w: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须知资料表</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5章  </w:t>
      </w:r>
      <w:r>
        <w:rPr>
          <w:rFonts w:hint="eastAsia" w:ascii="仿宋" w:hAnsi="仿宋" w:eastAsia="仿宋" w:cs="仿宋"/>
          <w:sz w:val="24"/>
          <w:lang w:eastAsia="zh-CN"/>
        </w:rPr>
        <w:t>采购</w:t>
      </w:r>
      <w:r>
        <w:rPr>
          <w:rFonts w:hint="eastAsia" w:ascii="仿宋" w:hAnsi="仿宋" w:eastAsia="仿宋" w:cs="仿宋"/>
          <w:sz w:val="24"/>
        </w:rPr>
        <w:t>需求</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6章 </w:t>
      </w: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7章  </w:t>
      </w:r>
      <w:r>
        <w:rPr>
          <w:rFonts w:hint="eastAsia" w:ascii="仿宋" w:hAnsi="仿宋" w:eastAsia="仿宋" w:cs="仿宋"/>
          <w:sz w:val="24"/>
        </w:rPr>
        <w:t>政府采购合同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5.3    </w:t>
      </w:r>
      <w:r>
        <w:rPr>
          <w:rFonts w:hint="eastAsia" w:ascii="仿宋" w:hAnsi="仿宋" w:eastAsia="仿宋" w:cs="仿宋"/>
          <w:sz w:val="24"/>
          <w:lang w:eastAsia="zh-CN"/>
        </w:rPr>
        <w:t>供应商</w:t>
      </w:r>
      <w:r>
        <w:rPr>
          <w:rFonts w:hint="eastAsia" w:ascii="仿宋" w:hAnsi="仿宋" w:eastAsia="仿宋" w:cs="仿宋"/>
          <w:sz w:val="24"/>
        </w:rPr>
        <w:t>应认真阅读</w:t>
      </w:r>
      <w:r>
        <w:rPr>
          <w:rFonts w:hint="eastAsia" w:ascii="仿宋" w:hAnsi="仿宋" w:eastAsia="仿宋" w:cs="仿宋"/>
          <w:sz w:val="24"/>
          <w:lang w:eastAsia="zh-CN"/>
        </w:rPr>
        <w:t>采购文件</w:t>
      </w:r>
      <w:r>
        <w:rPr>
          <w:rFonts w:hint="eastAsia" w:ascii="仿宋" w:hAnsi="仿宋" w:eastAsia="仿宋" w:cs="仿宋"/>
          <w:sz w:val="24"/>
        </w:rPr>
        <w:t>所有的事项、格式、条款和技术规范等。如</w:t>
      </w:r>
      <w:r>
        <w:rPr>
          <w:rFonts w:hint="eastAsia" w:ascii="仿宋" w:hAnsi="仿宋" w:eastAsia="仿宋" w:cs="仿宋"/>
          <w:sz w:val="24"/>
          <w:lang w:eastAsia="zh-CN"/>
        </w:rPr>
        <w:t>供应商</w:t>
      </w:r>
      <w:r>
        <w:rPr>
          <w:rFonts w:hint="eastAsia" w:ascii="仿宋" w:hAnsi="仿宋" w:eastAsia="仿宋" w:cs="仿宋"/>
          <w:sz w:val="24"/>
        </w:rPr>
        <w:t>没有按照</w:t>
      </w:r>
      <w:r>
        <w:rPr>
          <w:rFonts w:hint="eastAsia" w:ascii="仿宋" w:hAnsi="仿宋" w:eastAsia="仿宋" w:cs="仿宋"/>
          <w:sz w:val="24"/>
          <w:lang w:eastAsia="zh-CN"/>
        </w:rPr>
        <w:t>采购文件</w:t>
      </w:r>
      <w:r>
        <w:rPr>
          <w:rFonts w:hint="eastAsia" w:ascii="仿宋" w:hAnsi="仿宋" w:eastAsia="仿宋" w:cs="仿宋"/>
          <w:sz w:val="24"/>
        </w:rPr>
        <w:t>要求提交全部资料，或者投标文件没有对</w:t>
      </w:r>
      <w:r>
        <w:rPr>
          <w:rFonts w:hint="eastAsia" w:ascii="仿宋" w:hAnsi="仿宋" w:eastAsia="仿宋" w:cs="仿宋"/>
          <w:sz w:val="24"/>
          <w:lang w:eastAsia="zh-CN"/>
        </w:rPr>
        <w:t>采购文件</w:t>
      </w:r>
      <w:r>
        <w:rPr>
          <w:rFonts w:hint="eastAsia" w:ascii="仿宋" w:hAnsi="仿宋" w:eastAsia="仿宋" w:cs="仿宋"/>
          <w:sz w:val="24"/>
        </w:rPr>
        <w:t>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b w:val="0"/>
          <w:u w:val="none"/>
        </w:rPr>
      </w:pPr>
      <w:bookmarkStart w:id="24" w:name="_Toc520356148"/>
      <w:bookmarkStart w:id="25" w:name="_Toc21314"/>
      <w:bookmarkStart w:id="26" w:name="_Toc518923067"/>
      <w:r>
        <w:rPr>
          <w:rFonts w:hint="eastAsia" w:ascii="仿宋" w:hAnsi="仿宋" w:eastAsia="仿宋" w:cs="仿宋"/>
          <w:u w:val="none"/>
        </w:rPr>
        <w:t>6.</w:t>
      </w:r>
      <w:r>
        <w:rPr>
          <w:rFonts w:hint="eastAsia" w:ascii="仿宋" w:hAnsi="仿宋" w:eastAsia="仿宋" w:cs="仿宋"/>
          <w:u w:val="none"/>
          <w:lang w:eastAsia="zh-CN"/>
        </w:rPr>
        <w:t>采购文件</w:t>
      </w:r>
      <w:r>
        <w:rPr>
          <w:rFonts w:hint="eastAsia" w:ascii="仿宋" w:hAnsi="仿宋" w:eastAsia="仿宋" w:cs="仿宋"/>
          <w:u w:val="none"/>
        </w:rPr>
        <w:t>的澄清</w:t>
      </w:r>
      <w:bookmarkEnd w:id="24"/>
      <w:r>
        <w:rPr>
          <w:rFonts w:hint="eastAsia" w:ascii="仿宋" w:hAnsi="仿宋" w:eastAsia="仿宋" w:cs="仿宋"/>
          <w:u w:val="none"/>
        </w:rPr>
        <w:t>与修改</w:t>
      </w:r>
      <w:bookmarkEnd w:id="25"/>
      <w:bookmarkEnd w:id="26"/>
    </w:p>
    <w:p>
      <w:pPr>
        <w:pStyle w:val="8"/>
        <w:ind w:left="840" w:hanging="840" w:hangingChars="350"/>
        <w:rPr>
          <w:rFonts w:hint="eastAsia" w:ascii="仿宋" w:hAnsi="仿宋" w:eastAsia="仿宋" w:cs="仿宋"/>
          <w:szCs w:val="24"/>
        </w:rPr>
      </w:pPr>
      <w:r>
        <w:rPr>
          <w:rFonts w:hint="eastAsia" w:ascii="仿宋" w:hAnsi="仿宋" w:eastAsia="仿宋" w:cs="仿宋"/>
          <w:szCs w:val="24"/>
        </w:rPr>
        <w:t>6.1    为了保证对</w:t>
      </w:r>
      <w:r>
        <w:rPr>
          <w:rFonts w:hint="eastAsia" w:ascii="仿宋" w:hAnsi="仿宋" w:eastAsia="仿宋" w:cs="仿宋"/>
          <w:szCs w:val="24"/>
          <w:lang w:eastAsia="zh-CN"/>
        </w:rPr>
        <w:t>采购文件</w:t>
      </w:r>
      <w:r>
        <w:rPr>
          <w:rFonts w:hint="eastAsia" w:ascii="仿宋" w:hAnsi="仿宋" w:eastAsia="仿宋" w:cs="仿宋"/>
          <w:szCs w:val="24"/>
        </w:rPr>
        <w:t>的澄清和修改满足法律的时限要求，任何要求对</w:t>
      </w:r>
      <w:r>
        <w:rPr>
          <w:rFonts w:hint="eastAsia" w:ascii="仿宋" w:hAnsi="仿宋" w:eastAsia="仿宋" w:cs="仿宋"/>
          <w:szCs w:val="24"/>
          <w:lang w:eastAsia="zh-CN"/>
        </w:rPr>
        <w:t>采购文件</w:t>
      </w:r>
      <w:r>
        <w:rPr>
          <w:rFonts w:hint="eastAsia" w:ascii="仿宋" w:hAnsi="仿宋" w:eastAsia="仿宋" w:cs="仿宋"/>
          <w:szCs w:val="24"/>
        </w:rPr>
        <w:t>进行澄清的</w:t>
      </w:r>
      <w:r>
        <w:rPr>
          <w:rFonts w:hint="eastAsia" w:ascii="仿宋" w:hAnsi="仿宋" w:eastAsia="仿宋" w:cs="仿宋"/>
          <w:szCs w:val="24"/>
          <w:lang w:eastAsia="zh-CN"/>
        </w:rPr>
        <w:t>供应商</w:t>
      </w:r>
      <w:r>
        <w:rPr>
          <w:rFonts w:hint="eastAsia" w:ascii="仿宋" w:hAnsi="仿宋" w:eastAsia="仿宋" w:cs="仿宋"/>
          <w:szCs w:val="24"/>
        </w:rPr>
        <w:t>，均应在投标截止期十五日前，以书面形式将澄清要求通知采购人或采购代理机构。</w:t>
      </w:r>
    </w:p>
    <w:p>
      <w:pPr>
        <w:pStyle w:val="8"/>
        <w:ind w:left="840" w:hanging="840" w:hangingChars="350"/>
        <w:rPr>
          <w:rFonts w:hint="eastAsia" w:ascii="仿宋" w:hAnsi="仿宋" w:eastAsia="仿宋" w:cs="仿宋"/>
          <w:szCs w:val="24"/>
        </w:rPr>
      </w:pPr>
      <w:bookmarkStart w:id="27" w:name="_Ref467378678"/>
      <w:bookmarkStart w:id="28" w:name="_Toc520356149"/>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w:t>
      </w:r>
      <w:r>
        <w:rPr>
          <w:rFonts w:hint="eastAsia" w:ascii="仿宋" w:hAnsi="仿宋" w:eastAsia="仿宋" w:cs="仿宋"/>
          <w:szCs w:val="24"/>
          <w:lang w:eastAsia="zh-CN"/>
        </w:rPr>
        <w:t>供应商</w:t>
      </w:r>
      <w:r>
        <w:rPr>
          <w:rFonts w:hint="eastAsia" w:ascii="仿宋" w:hAnsi="仿宋" w:eastAsia="仿宋" w:cs="仿宋"/>
          <w:szCs w:val="24"/>
        </w:rPr>
        <w:t>提出的澄清问题时对</w:t>
      </w:r>
      <w:r>
        <w:rPr>
          <w:rFonts w:hint="eastAsia" w:ascii="仿宋" w:hAnsi="仿宋" w:eastAsia="仿宋" w:cs="仿宋"/>
          <w:szCs w:val="24"/>
          <w:lang w:eastAsia="zh-CN"/>
        </w:rPr>
        <w:t>采购文件</w:t>
      </w:r>
      <w:r>
        <w:rPr>
          <w:rFonts w:hint="eastAsia" w:ascii="仿宋" w:hAnsi="仿宋" w:eastAsia="仿宋" w:cs="仿宋"/>
          <w:szCs w:val="24"/>
        </w:rPr>
        <w:t>澄清或修改。采购代理机构将以发布澄清（更正）公告的方式，澄清或修改</w:t>
      </w:r>
      <w:r>
        <w:rPr>
          <w:rFonts w:hint="eastAsia" w:ascii="仿宋" w:hAnsi="仿宋" w:eastAsia="仿宋" w:cs="仿宋"/>
          <w:szCs w:val="24"/>
          <w:lang w:eastAsia="zh-CN"/>
        </w:rPr>
        <w:t>采购文件</w:t>
      </w:r>
      <w:r>
        <w:rPr>
          <w:rFonts w:hint="eastAsia" w:ascii="仿宋" w:hAnsi="仿宋" w:eastAsia="仿宋" w:cs="仿宋"/>
          <w:szCs w:val="24"/>
        </w:rPr>
        <w:t>，澄清或修改内容作为</w:t>
      </w:r>
      <w:r>
        <w:rPr>
          <w:rFonts w:hint="eastAsia" w:ascii="仿宋" w:hAnsi="仿宋" w:eastAsia="仿宋" w:cs="仿宋"/>
          <w:szCs w:val="24"/>
          <w:lang w:eastAsia="zh-CN"/>
        </w:rPr>
        <w:t>采购文件</w:t>
      </w:r>
      <w:r>
        <w:rPr>
          <w:rFonts w:hint="eastAsia" w:ascii="仿宋" w:hAnsi="仿宋" w:eastAsia="仿宋" w:cs="仿宋"/>
          <w:szCs w:val="24"/>
        </w:rPr>
        <w:t>的组成部分。</w:t>
      </w:r>
    </w:p>
    <w:p>
      <w:pPr>
        <w:pStyle w:val="8"/>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w:t>
      </w:r>
      <w:r>
        <w:rPr>
          <w:rFonts w:hint="eastAsia" w:ascii="仿宋" w:hAnsi="仿宋" w:eastAsia="仿宋" w:cs="仿宋"/>
          <w:szCs w:val="24"/>
          <w:lang w:eastAsia="zh-CN"/>
        </w:rPr>
        <w:t>供应商</w:t>
      </w:r>
      <w:r>
        <w:rPr>
          <w:rFonts w:hint="eastAsia" w:ascii="仿宋" w:hAnsi="仿宋" w:eastAsia="仿宋" w:cs="仿宋"/>
          <w:szCs w:val="24"/>
        </w:rPr>
        <w:t>，并对其具有约束力。</w:t>
      </w:r>
    </w:p>
    <w:p>
      <w:pPr>
        <w:pStyle w:val="5"/>
        <w:tabs>
          <w:tab w:val="left" w:pos="900"/>
        </w:tabs>
        <w:spacing w:before="0" w:after="0" w:line="240" w:lineRule="atLeast"/>
        <w:rPr>
          <w:rFonts w:hint="eastAsia" w:ascii="仿宋" w:hAnsi="仿宋" w:eastAsia="仿宋" w:cs="仿宋"/>
          <w:u w:val="none"/>
        </w:rPr>
      </w:pPr>
      <w:bookmarkStart w:id="29" w:name="_Toc10994"/>
      <w:bookmarkStart w:id="30" w:name="_Toc518923068"/>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w:t>
      </w:r>
      <w:r>
        <w:rPr>
          <w:rFonts w:hint="eastAsia" w:ascii="仿宋" w:hAnsi="仿宋" w:eastAsia="仿宋" w:cs="仿宋"/>
          <w:sz w:val="24"/>
          <w:lang w:eastAsia="zh-CN"/>
        </w:rPr>
        <w:t>供应商</w:t>
      </w:r>
      <w:r>
        <w:rPr>
          <w:rFonts w:hint="eastAsia" w:ascii="仿宋" w:hAnsi="仿宋" w:eastAsia="仿宋" w:cs="仿宋"/>
          <w:sz w:val="24"/>
        </w:rPr>
        <w:t>准备投标时有足够的时间对</w:t>
      </w:r>
      <w:r>
        <w:rPr>
          <w:rFonts w:hint="eastAsia" w:ascii="仿宋" w:hAnsi="仿宋" w:eastAsia="仿宋" w:cs="仿宋"/>
          <w:sz w:val="24"/>
          <w:lang w:eastAsia="zh-CN"/>
        </w:rPr>
        <w:t>采购文件</w:t>
      </w:r>
      <w:r>
        <w:rPr>
          <w:rFonts w:hint="eastAsia" w:ascii="仿宋" w:hAnsi="仿宋" w:eastAsia="仿宋" w:cs="仿宋"/>
          <w:sz w:val="24"/>
        </w:rPr>
        <w:t>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4"/>
        <w:tabs>
          <w:tab w:val="left" w:pos="900"/>
        </w:tabs>
        <w:spacing w:before="0" w:line="240" w:lineRule="atLeast"/>
        <w:ind w:left="1080" w:leftChars="257" w:hanging="540"/>
        <w:rPr>
          <w:rFonts w:hint="eastAsia" w:ascii="仿宋" w:hAnsi="仿宋" w:eastAsia="仿宋" w:cs="仿宋"/>
          <w:sz w:val="28"/>
        </w:rPr>
      </w:pPr>
      <w:bookmarkStart w:id="31" w:name="_Toc516367020"/>
      <w:bookmarkStart w:id="32" w:name="_Toc216582807"/>
      <w:bookmarkStart w:id="33" w:name="_Toc518923069"/>
      <w:bookmarkStart w:id="34" w:name="_Toc520356150"/>
      <w:bookmarkStart w:id="35" w:name="_Toc2538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8"/>
        <w:rPr>
          <w:rFonts w:hint="eastAsia" w:ascii="仿宋" w:hAnsi="仿宋" w:eastAsia="仿宋" w:cs="仿宋"/>
        </w:rPr>
      </w:pPr>
    </w:p>
    <w:p>
      <w:pPr>
        <w:pStyle w:val="5"/>
        <w:tabs>
          <w:tab w:val="left" w:pos="900"/>
        </w:tabs>
        <w:spacing w:before="0" w:after="0" w:line="240" w:lineRule="atLeast"/>
        <w:rPr>
          <w:rFonts w:hint="eastAsia" w:ascii="仿宋" w:hAnsi="仿宋" w:eastAsia="仿宋" w:cs="仿宋"/>
          <w:u w:val="none"/>
        </w:rPr>
      </w:pPr>
      <w:bookmarkStart w:id="36" w:name="_Toc6728"/>
      <w:bookmarkStart w:id="37" w:name="_Toc518923070"/>
      <w:bookmarkStart w:id="38" w:name="_Toc520356151"/>
      <w:bookmarkStart w:id="39" w:name="_Toc516367021"/>
      <w:r>
        <w:rPr>
          <w:rFonts w:hint="eastAsia" w:ascii="仿宋" w:hAnsi="仿宋" w:eastAsia="仿宋" w:cs="仿宋"/>
          <w:u w:val="none"/>
        </w:rPr>
        <w:t>8.投标范围及投标文件中标准和计量单位的使用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w:t>
      </w:r>
      <w:r>
        <w:rPr>
          <w:rFonts w:hint="eastAsia" w:ascii="仿宋" w:hAnsi="仿宋" w:eastAsia="仿宋" w:cs="仿宋"/>
          <w:sz w:val="24"/>
          <w:lang w:eastAsia="zh-CN"/>
        </w:rPr>
        <w:t>供应商</w:t>
      </w:r>
      <w:r>
        <w:rPr>
          <w:rFonts w:hint="eastAsia" w:ascii="仿宋" w:hAnsi="仿宋" w:eastAsia="仿宋" w:cs="仿宋"/>
          <w:sz w:val="24"/>
        </w:rPr>
        <w:t>可对</w:t>
      </w:r>
      <w:r>
        <w:rPr>
          <w:rFonts w:hint="eastAsia" w:ascii="仿宋" w:hAnsi="仿宋" w:eastAsia="仿宋" w:cs="仿宋"/>
          <w:sz w:val="24"/>
          <w:lang w:eastAsia="zh-CN"/>
        </w:rPr>
        <w:t>采购文件</w:t>
      </w:r>
      <w:r>
        <w:rPr>
          <w:rFonts w:hint="eastAsia" w:ascii="仿宋" w:hAnsi="仿宋" w:eastAsia="仿宋" w:cs="仿宋"/>
          <w:sz w:val="24"/>
        </w:rPr>
        <w:t>其中一个或几个分包进行投标，除非在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8.2    </w:t>
      </w:r>
      <w:r>
        <w:rPr>
          <w:rFonts w:hint="eastAsia" w:ascii="仿宋" w:hAnsi="仿宋" w:eastAsia="仿宋" w:cs="仿宋"/>
          <w:sz w:val="24"/>
          <w:lang w:eastAsia="zh-CN"/>
        </w:rPr>
        <w:t>供应商</w:t>
      </w:r>
      <w:r>
        <w:rPr>
          <w:rFonts w:hint="eastAsia" w:ascii="仿宋" w:hAnsi="仿宋" w:eastAsia="仿宋" w:cs="仿宋"/>
          <w:sz w:val="24"/>
        </w:rPr>
        <w:t>应当对所投分包</w:t>
      </w:r>
      <w:r>
        <w:rPr>
          <w:rFonts w:hint="eastAsia" w:ascii="仿宋" w:hAnsi="仿宋" w:eastAsia="仿宋" w:cs="仿宋"/>
          <w:sz w:val="24"/>
          <w:lang w:eastAsia="zh-CN"/>
        </w:rPr>
        <w:t>采购文件</w:t>
      </w:r>
      <w:r>
        <w:rPr>
          <w:rFonts w:hint="eastAsia" w:ascii="仿宋" w:hAnsi="仿宋" w:eastAsia="仿宋" w:cs="仿宋"/>
          <w:sz w:val="24"/>
        </w:rPr>
        <w:t>中“</w:t>
      </w:r>
      <w:r>
        <w:rPr>
          <w:rFonts w:hint="eastAsia" w:ascii="仿宋" w:hAnsi="仿宋" w:eastAsia="仿宋" w:cs="仿宋"/>
          <w:sz w:val="24"/>
          <w:lang w:val="en-US" w:eastAsia="zh-CN"/>
        </w:rPr>
        <w:t>采购需求</w:t>
      </w:r>
      <w:r>
        <w:rPr>
          <w:rFonts w:hint="eastAsia" w:ascii="仿宋" w:hAnsi="仿宋" w:eastAsia="仿宋" w:cs="仿宋"/>
          <w:sz w:val="24"/>
        </w:rPr>
        <w:t>”所列的所有服务内容进行投标，如仅响应分包中的部分内容，其投标将被认定为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w:t>
      </w:r>
      <w:r>
        <w:rPr>
          <w:rFonts w:hint="eastAsia" w:ascii="仿宋" w:hAnsi="仿宋" w:eastAsia="仿宋" w:cs="仿宋"/>
          <w:sz w:val="24"/>
          <w:lang w:eastAsia="zh-CN"/>
        </w:rPr>
        <w:t>采购文件</w:t>
      </w:r>
      <w:r>
        <w:rPr>
          <w:rFonts w:hint="eastAsia" w:ascii="仿宋" w:hAnsi="仿宋" w:eastAsia="仿宋" w:cs="仿宋"/>
          <w:sz w:val="24"/>
        </w:rPr>
        <w:t>第5章</w:t>
      </w:r>
      <w:r>
        <w:rPr>
          <w:rFonts w:hint="eastAsia" w:ascii="仿宋" w:hAnsi="仿宋" w:eastAsia="仿宋" w:cs="仿宋"/>
          <w:sz w:val="24"/>
          <w:lang w:val="en-US" w:eastAsia="zh-CN"/>
        </w:rPr>
        <w:t>采购需求</w:t>
      </w:r>
      <w:r>
        <w:rPr>
          <w:rFonts w:hint="eastAsia" w:ascii="仿宋" w:hAnsi="仿宋" w:eastAsia="仿宋" w:cs="仿宋"/>
          <w:sz w:val="24"/>
        </w:rPr>
        <w:t>中是否要求，</w:t>
      </w:r>
      <w:r>
        <w:rPr>
          <w:rFonts w:hint="eastAsia" w:ascii="仿宋" w:hAnsi="仿宋" w:eastAsia="仿宋" w:cs="仿宋"/>
          <w:sz w:val="24"/>
          <w:lang w:eastAsia="zh-CN"/>
        </w:rPr>
        <w:t>供应商</w:t>
      </w:r>
      <w:r>
        <w:rPr>
          <w:rFonts w:hint="eastAsia" w:ascii="仿宋" w:hAnsi="仿宋" w:eastAsia="仿宋" w:cs="仿宋"/>
          <w:sz w:val="24"/>
        </w:rPr>
        <w:t>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w:t>
      </w:r>
      <w:r>
        <w:rPr>
          <w:rFonts w:hint="eastAsia" w:ascii="仿宋" w:hAnsi="仿宋" w:eastAsia="仿宋" w:cs="仿宋"/>
          <w:sz w:val="24"/>
          <w:lang w:eastAsia="zh-CN"/>
        </w:rPr>
        <w:t>采购文件</w:t>
      </w:r>
      <w:r>
        <w:rPr>
          <w:rFonts w:hint="eastAsia" w:ascii="仿宋" w:hAnsi="仿宋" w:eastAsia="仿宋" w:cs="仿宋"/>
          <w:sz w:val="24"/>
        </w:rPr>
        <w:t>中有特殊要求外，投标文件中所使用的计量单位，应采用中华人民共和国法定计量单位。</w:t>
      </w:r>
    </w:p>
    <w:p>
      <w:pPr>
        <w:pStyle w:val="5"/>
        <w:tabs>
          <w:tab w:val="left" w:pos="900"/>
        </w:tabs>
        <w:spacing w:before="0" w:after="0" w:line="240" w:lineRule="atLeast"/>
        <w:rPr>
          <w:rFonts w:hint="eastAsia" w:ascii="仿宋" w:hAnsi="仿宋" w:eastAsia="仿宋" w:cs="仿宋"/>
          <w:u w:val="none"/>
        </w:rPr>
      </w:pPr>
      <w:bookmarkStart w:id="40" w:name="_Ref467306195"/>
      <w:bookmarkStart w:id="41" w:name="_Ref467306676"/>
      <w:bookmarkStart w:id="42" w:name="_Toc516367022"/>
      <w:bookmarkStart w:id="43" w:name="_Toc15487"/>
      <w:bookmarkStart w:id="44" w:name="_Toc518923071"/>
      <w:bookmarkStart w:id="45" w:name="_Toc520356152"/>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lang w:eastAsia="zh-CN"/>
        </w:rPr>
        <w:t>供应商</w:t>
      </w:r>
      <w:r>
        <w:rPr>
          <w:rFonts w:hint="eastAsia" w:ascii="仿宋" w:hAnsi="仿宋" w:eastAsia="仿宋" w:cs="仿宋"/>
          <w:b/>
          <w:bCs/>
          <w:color w:val="auto"/>
          <w:sz w:val="24"/>
          <w:u w:val="single"/>
        </w:rPr>
        <w:t>应完整地按</w:t>
      </w:r>
      <w:r>
        <w:rPr>
          <w:rFonts w:hint="eastAsia" w:ascii="仿宋" w:hAnsi="仿宋" w:eastAsia="仿宋" w:cs="仿宋"/>
          <w:b/>
          <w:bCs/>
          <w:color w:val="auto"/>
          <w:sz w:val="24"/>
          <w:u w:val="single"/>
          <w:lang w:eastAsia="zh-CN"/>
        </w:rPr>
        <w:t>采购文件</w:t>
      </w:r>
      <w:r>
        <w:rPr>
          <w:rFonts w:hint="eastAsia" w:ascii="仿宋" w:hAnsi="仿宋" w:eastAsia="仿宋" w:cs="仿宋"/>
          <w:b/>
          <w:bCs/>
          <w:color w:val="auto"/>
          <w:sz w:val="24"/>
          <w:u w:val="single"/>
        </w:rPr>
        <w:t>提供的投标文件格式及要求编写投标文件，投标文件应包括</w:t>
      </w:r>
      <w:bookmarkEnd w:id="46"/>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报价单</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商务资信投标文件</w:t>
      </w:r>
      <w:r>
        <w:rPr>
          <w:rFonts w:hint="eastAsia" w:ascii="仿宋" w:hAnsi="仿宋" w:eastAsia="仿宋" w:cs="仿宋"/>
          <w:b/>
          <w:bCs/>
          <w:color w:val="auto"/>
          <w:sz w:val="24"/>
          <w:u w:val="single"/>
          <w:lang w:val="en-US" w:eastAsia="zh-CN"/>
        </w:rPr>
        <w:t>”和“</w:t>
      </w:r>
      <w:r>
        <w:rPr>
          <w:rFonts w:hint="eastAsia" w:ascii="仿宋" w:hAnsi="仿宋" w:eastAsia="仿宋" w:cs="仿宋"/>
          <w:b/>
          <w:bCs/>
          <w:color w:val="auto"/>
          <w:sz w:val="24"/>
          <w:u w:val="single"/>
          <w:lang w:eastAsia="zh-CN"/>
        </w:rPr>
        <w:t>技术投标方案</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w:t>
      </w:r>
      <w:r>
        <w:rPr>
          <w:rFonts w:hint="eastAsia" w:ascii="仿宋" w:hAnsi="仿宋" w:eastAsia="仿宋" w:cs="仿宋"/>
          <w:sz w:val="24"/>
          <w:lang w:eastAsia="zh-CN"/>
        </w:rPr>
        <w:t>采购文件</w:t>
      </w:r>
      <w:r>
        <w:rPr>
          <w:rFonts w:hint="eastAsia" w:ascii="仿宋" w:hAnsi="仿宋" w:eastAsia="仿宋" w:cs="仿宋"/>
          <w:sz w:val="24"/>
        </w:rPr>
        <w:t>规定的格式填写、签署和盖章。若</w:t>
      </w:r>
      <w:r>
        <w:rPr>
          <w:rFonts w:hint="eastAsia" w:ascii="仿宋" w:hAnsi="仿宋" w:eastAsia="仿宋" w:cs="仿宋"/>
          <w:sz w:val="24"/>
          <w:lang w:eastAsia="zh-CN"/>
        </w:rPr>
        <w:t>供应商</w:t>
      </w:r>
      <w:r>
        <w:rPr>
          <w:rFonts w:hint="eastAsia" w:ascii="仿宋" w:hAnsi="仿宋" w:eastAsia="仿宋" w:cs="仿宋"/>
          <w:sz w:val="24"/>
        </w:rPr>
        <w:t>未依照要求制作投标文件的，则视为不响应</w:t>
      </w:r>
      <w:r>
        <w:rPr>
          <w:rFonts w:hint="eastAsia" w:ascii="仿宋" w:hAnsi="仿宋" w:eastAsia="仿宋" w:cs="仿宋"/>
          <w:sz w:val="24"/>
          <w:lang w:eastAsia="zh-CN"/>
        </w:rPr>
        <w:t>采购文件</w:t>
      </w:r>
      <w:r>
        <w:rPr>
          <w:rFonts w:hint="eastAsia" w:ascii="仿宋" w:hAnsi="仿宋" w:eastAsia="仿宋" w:cs="仿宋"/>
          <w:sz w:val="24"/>
        </w:rPr>
        <w:t>编制投标文件的要求，</w:t>
      </w:r>
      <w:r>
        <w:rPr>
          <w:rFonts w:hint="eastAsia" w:ascii="仿宋" w:hAnsi="仿宋" w:eastAsia="仿宋" w:cs="仿宋"/>
          <w:b/>
          <w:bCs/>
          <w:sz w:val="24"/>
        </w:rPr>
        <w:t>为无效投标。</w:t>
      </w:r>
    </w:p>
    <w:p>
      <w:pPr>
        <w:pStyle w:val="5"/>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508185920"/>
      <w:bookmarkStart w:id="48" w:name="_Toc518923072"/>
      <w:bookmarkStart w:id="49" w:name="_Toc516367023"/>
      <w:bookmarkStart w:id="50" w:name="_Toc520356153"/>
      <w:bookmarkStart w:id="51" w:name="_Toc2671"/>
      <w:bookmarkStart w:id="52" w:name="_Toc520356155"/>
      <w:r>
        <w:rPr>
          <w:rFonts w:hint="eastAsia" w:ascii="仿宋" w:hAnsi="仿宋" w:eastAsia="仿宋" w:cs="仿宋"/>
          <w:u w:val="none"/>
        </w:rPr>
        <w:t>10.</w:t>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证明投标标的的合格性和符合采购文件规定的技术文件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应提交证明文件，证明其投标内容符合</w:t>
      </w:r>
      <w:r>
        <w:rPr>
          <w:rFonts w:hint="eastAsia" w:ascii="仿宋" w:hAnsi="仿宋" w:eastAsia="仿宋" w:cs="仿宋"/>
          <w:sz w:val="24"/>
          <w:lang w:eastAsia="zh-CN"/>
        </w:rPr>
        <w:t>采购文件</w:t>
      </w:r>
      <w:r>
        <w:rPr>
          <w:rFonts w:hint="eastAsia" w:ascii="仿宋" w:hAnsi="仿宋" w:eastAsia="仿宋" w:cs="仿宋"/>
          <w:sz w:val="24"/>
        </w:rPr>
        <w:t>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54" w:name="_Toc8529"/>
      <w:bookmarkStart w:id="55" w:name="_Toc518923073"/>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w:t>
      </w:r>
      <w:r>
        <w:rPr>
          <w:rFonts w:hint="eastAsia" w:ascii="仿宋" w:hAnsi="仿宋" w:eastAsia="仿宋" w:cs="仿宋"/>
          <w:sz w:val="24"/>
          <w:lang w:eastAsia="zh-CN"/>
        </w:rPr>
        <w:t>供应商</w:t>
      </w:r>
      <w:r>
        <w:rPr>
          <w:rFonts w:hint="eastAsia" w:ascii="仿宋" w:hAnsi="仿宋" w:eastAsia="仿宋" w:cs="仿宋"/>
          <w:sz w:val="24"/>
        </w:rPr>
        <w:t>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所报的投标报价在合同履行过程中是固定不变的，不得以任何理由予以变更。任何包含价格调整要求的投标，将被认定为投标无效。</w:t>
      </w:r>
    </w:p>
    <w:p>
      <w:pPr>
        <w:pStyle w:val="5"/>
        <w:spacing w:before="0" w:after="0" w:line="240" w:lineRule="atLeast"/>
        <w:rPr>
          <w:rFonts w:hint="eastAsia" w:ascii="仿宋" w:hAnsi="仿宋" w:eastAsia="仿宋" w:cs="仿宋"/>
          <w:u w:val="none"/>
        </w:rPr>
      </w:pPr>
      <w:bookmarkStart w:id="56" w:name="_Toc520356156"/>
      <w:bookmarkStart w:id="57" w:name="_Toc16199"/>
      <w:bookmarkStart w:id="58" w:name="_Ref467306513"/>
      <w:bookmarkStart w:id="59" w:name="_Toc518923074"/>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应提交</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4"/>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4"/>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4"/>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4"/>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w:t>
      </w:r>
      <w:r>
        <w:rPr>
          <w:rFonts w:hint="eastAsia" w:ascii="仿宋" w:hAnsi="仿宋" w:eastAsia="仿宋" w:cs="仿宋"/>
          <w:sz w:val="24"/>
          <w:lang w:eastAsia="zh-CN"/>
        </w:rPr>
        <w:t>供应商</w:t>
      </w:r>
      <w:r>
        <w:rPr>
          <w:rFonts w:hint="eastAsia" w:ascii="仿宋" w:hAnsi="仿宋" w:eastAsia="仿宋" w:cs="仿宋"/>
          <w:sz w:val="24"/>
        </w:rPr>
        <w:t>的投标保证金将在中标通知书发出之日暨中标结果公告公布之日起5个工作日内无息退还。</w:t>
      </w:r>
      <w:r>
        <w:rPr>
          <w:rFonts w:hint="eastAsia" w:ascii="仿宋" w:hAnsi="仿宋" w:eastAsia="仿宋" w:cs="仿宋"/>
          <w:sz w:val="24"/>
          <w:lang w:eastAsia="zh-CN"/>
        </w:rPr>
        <w:t>供应商</w:t>
      </w:r>
      <w:r>
        <w:rPr>
          <w:rFonts w:hint="eastAsia" w:ascii="仿宋" w:hAnsi="仿宋" w:eastAsia="仿宋" w:cs="仿宋"/>
          <w:sz w:val="24"/>
        </w:rPr>
        <w:t>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w:t>
      </w:r>
      <w:r>
        <w:rPr>
          <w:rFonts w:hint="eastAsia" w:ascii="仿宋" w:hAnsi="仿宋" w:eastAsia="仿宋" w:cs="仿宋"/>
          <w:sz w:val="24"/>
          <w:lang w:eastAsia="zh-CN"/>
        </w:rPr>
        <w:t>供应商</w:t>
      </w:r>
      <w:r>
        <w:rPr>
          <w:rFonts w:hint="eastAsia" w:ascii="仿宋" w:hAnsi="仿宋" w:eastAsia="仿宋" w:cs="仿宋"/>
          <w:sz w:val="24"/>
        </w:rPr>
        <w:t>自身原因导致无法及时退还的，采购人或采购代理机构将不承担相应责任。</w:t>
      </w:r>
    </w:p>
    <w:p>
      <w:pPr>
        <w:pStyle w:val="5"/>
        <w:spacing w:before="0" w:after="0" w:line="240" w:lineRule="atLeast"/>
        <w:rPr>
          <w:rFonts w:hint="eastAsia" w:ascii="仿宋" w:hAnsi="仿宋" w:eastAsia="仿宋" w:cs="仿宋"/>
          <w:u w:val="none"/>
        </w:rPr>
      </w:pPr>
      <w:bookmarkStart w:id="63" w:name="_Toc520356157"/>
      <w:bookmarkStart w:id="64" w:name="_Toc20355"/>
      <w:bookmarkStart w:id="65" w:name="_Toc518923076"/>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w:t>
      </w:r>
      <w:r>
        <w:rPr>
          <w:rFonts w:hint="eastAsia" w:ascii="仿宋" w:hAnsi="仿宋" w:eastAsia="仿宋" w:cs="仿宋"/>
          <w:sz w:val="24"/>
          <w:lang w:eastAsia="zh-CN"/>
        </w:rPr>
        <w:t>供应商</w:t>
      </w:r>
      <w:r>
        <w:rPr>
          <w:rFonts w:hint="eastAsia" w:ascii="仿宋" w:hAnsi="仿宋" w:eastAsia="仿宋" w:cs="仿宋"/>
          <w:sz w:val="24"/>
        </w:rPr>
        <w:t>延长投标文件的有效期。接受该要求的</w:t>
      </w:r>
      <w:r>
        <w:rPr>
          <w:rFonts w:hint="eastAsia" w:ascii="仿宋" w:hAnsi="仿宋" w:eastAsia="仿宋" w:cs="仿宋"/>
          <w:sz w:val="24"/>
          <w:lang w:eastAsia="zh-CN"/>
        </w:rPr>
        <w:t>供应商</w:t>
      </w:r>
      <w:r>
        <w:rPr>
          <w:rFonts w:hint="eastAsia" w:ascii="仿宋" w:hAnsi="仿宋" w:eastAsia="仿宋" w:cs="仿宋"/>
          <w:sz w:val="24"/>
        </w:rPr>
        <w:t>将不会被要求和允许修正其投标，且本须知中有关投标保证金的要求须在延长的有效期内继续有效。</w:t>
      </w:r>
      <w:r>
        <w:rPr>
          <w:rFonts w:hint="eastAsia" w:ascii="仿宋" w:hAnsi="仿宋" w:eastAsia="仿宋" w:cs="仿宋"/>
          <w:sz w:val="24"/>
          <w:lang w:eastAsia="zh-CN"/>
        </w:rPr>
        <w:t>供应商</w:t>
      </w:r>
      <w:r>
        <w:rPr>
          <w:rFonts w:hint="eastAsia" w:ascii="仿宋" w:hAnsi="仿宋" w:eastAsia="仿宋" w:cs="仿宋"/>
          <w:sz w:val="24"/>
        </w:rPr>
        <w:t>可以拒绝延长投标有效期的要求，其投标保证金将及时按规定无息退还。上述要求和答复都应以书面形式提交。</w:t>
      </w:r>
    </w:p>
    <w:p>
      <w:pPr>
        <w:pStyle w:val="5"/>
        <w:spacing w:before="0" w:after="0" w:line="240" w:lineRule="atLeast"/>
        <w:rPr>
          <w:rFonts w:hint="eastAsia" w:ascii="仿宋" w:hAnsi="仿宋" w:eastAsia="仿宋" w:cs="仿宋"/>
          <w:u w:val="none"/>
        </w:rPr>
      </w:pPr>
      <w:bookmarkStart w:id="66" w:name="_Toc520356158"/>
      <w:bookmarkStart w:id="67" w:name="_Toc518923077"/>
      <w:bookmarkStart w:id="68" w:name="_Toc27303"/>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lang w:eastAsia="zh-CN"/>
        </w:rPr>
        <w:t>供应商</w:t>
      </w:r>
      <w:r>
        <w:rPr>
          <w:rFonts w:hint="eastAsia" w:ascii="仿宋" w:hAnsi="仿宋" w:eastAsia="仿宋" w:cs="仿宋"/>
          <w:color w:val="auto"/>
          <w:sz w:val="24"/>
        </w:rPr>
        <w:t>应按</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中的规定，</w:t>
      </w:r>
      <w:r>
        <w:rPr>
          <w:rFonts w:hint="eastAsia" w:ascii="仿宋" w:hAnsi="仿宋" w:eastAsia="仿宋" w:cs="仿宋"/>
          <w:sz w:val="24"/>
        </w:rPr>
        <w:t>准备和</w:t>
      </w:r>
      <w:r>
        <w:rPr>
          <w:rFonts w:hint="eastAsia" w:ascii="仿宋" w:hAnsi="仿宋" w:eastAsia="仿宋" w:cs="仿宋"/>
          <w:sz w:val="24"/>
          <w:lang w:val="en-US" w:eastAsia="zh-CN"/>
        </w:rPr>
        <w:t>上传</w:t>
      </w:r>
      <w:r>
        <w:rPr>
          <w:rFonts w:hint="eastAsia" w:ascii="仿宋" w:hAnsi="仿宋" w:eastAsia="仿宋" w:cs="仿宋"/>
          <w:sz w:val="24"/>
        </w:rPr>
        <w:t>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投标文件由</w:t>
      </w:r>
      <w:r>
        <w:rPr>
          <w:rFonts w:hint="eastAsia" w:ascii="仿宋" w:hAnsi="仿宋" w:eastAsia="仿宋" w:cs="仿宋"/>
          <w:b/>
          <w:bCs/>
          <w:sz w:val="24"/>
          <w:lang w:eastAsia="zh-CN"/>
        </w:rPr>
        <w:t>供应商</w:t>
      </w:r>
      <w:r>
        <w:rPr>
          <w:rFonts w:hint="eastAsia" w:ascii="仿宋" w:hAnsi="仿宋" w:eastAsia="仿宋" w:cs="仿宋"/>
          <w:b/>
          <w:bCs/>
          <w:sz w:val="24"/>
        </w:rPr>
        <w:t>的法定代表人或其委托代理人按</w:t>
      </w:r>
      <w:r>
        <w:rPr>
          <w:rFonts w:hint="eastAsia" w:ascii="仿宋" w:hAnsi="仿宋" w:eastAsia="仿宋" w:cs="仿宋"/>
          <w:b/>
          <w:bCs/>
          <w:sz w:val="24"/>
          <w:lang w:eastAsia="zh-CN"/>
        </w:rPr>
        <w:t>采购文件</w:t>
      </w:r>
      <w:r>
        <w:rPr>
          <w:rFonts w:hint="eastAsia" w:ascii="仿宋" w:hAnsi="仿宋" w:eastAsia="仿宋" w:cs="仿宋"/>
          <w:b/>
          <w:bCs/>
          <w:sz w:val="24"/>
        </w:rPr>
        <w:t>规定在投标文件上签字并加盖单位印章。</w:t>
      </w:r>
    </w:p>
    <w:p>
      <w:pPr>
        <w:spacing w:line="240" w:lineRule="atLeast"/>
        <w:ind w:left="900" w:hanging="900" w:hangingChars="375"/>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bookmarkStart w:id="69" w:name="_Toc216582808"/>
      <w:bookmarkStart w:id="70" w:name="_Toc518923078"/>
      <w:bookmarkStart w:id="71" w:name="_Toc22303"/>
      <w:bookmarkStart w:id="72" w:name="_Toc520356159"/>
      <w:r>
        <w:rPr>
          <w:rFonts w:hint="eastAsia" w:ascii="仿宋" w:hAnsi="仿宋" w:eastAsia="仿宋" w:cs="仿宋"/>
          <w:sz w:val="24"/>
        </w:rPr>
        <w:t>四   投标文件的递交</w:t>
      </w:r>
      <w:bookmarkEnd w:id="69"/>
      <w:bookmarkEnd w:id="70"/>
      <w:bookmarkEnd w:id="71"/>
      <w:bookmarkEnd w:id="72"/>
    </w:p>
    <w:p>
      <w:pPr>
        <w:pStyle w:val="8"/>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3" w:name="_Toc520356160"/>
      <w:bookmarkStart w:id="74" w:name="_Toc518923079"/>
      <w:bookmarkStart w:id="75" w:name="_Toc13247"/>
      <w:r>
        <w:rPr>
          <w:rFonts w:hint="eastAsia" w:ascii="仿宋" w:hAnsi="仿宋" w:eastAsia="仿宋" w:cs="仿宋"/>
          <w:u w:val="none"/>
        </w:rPr>
        <w:t>15.投标文件的</w:t>
      </w:r>
      <w:bookmarkEnd w:id="73"/>
      <w:bookmarkEnd w:id="74"/>
      <w:bookmarkEnd w:id="75"/>
      <w:r>
        <w:rPr>
          <w:rFonts w:hint="eastAsia" w:ascii="仿宋" w:hAnsi="仿宋" w:eastAsia="仿宋" w:cs="仿宋"/>
          <w:u w:val="none"/>
          <w:lang w:val="en-US" w:eastAsia="zh-CN"/>
        </w:rPr>
        <w:t>编制</w:t>
      </w:r>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分别拟编</w:t>
      </w:r>
      <w:r>
        <w:rPr>
          <w:rFonts w:hint="eastAsia" w:ascii="仿宋" w:hAnsi="仿宋" w:eastAsia="仿宋" w:cs="仿宋"/>
          <w:sz w:val="24"/>
          <w:lang w:eastAsia="zh-CN"/>
        </w:rPr>
        <w:t>。</w:t>
      </w:r>
    </w:p>
    <w:p>
      <w:pPr>
        <w:spacing w:line="240" w:lineRule="atLeast"/>
        <w:ind w:left="900" w:hanging="900" w:hangingChars="375"/>
        <w:rPr>
          <w:rFonts w:hint="eastAsia" w:ascii="仿宋" w:hAnsi="仿宋" w:eastAsia="仿宋" w:cs="仿宋"/>
          <w:sz w:val="24"/>
          <w:highlight w:val="none"/>
          <w:lang w:val="en-US" w:eastAsia="zh-CN"/>
        </w:rPr>
      </w:pPr>
      <w:r>
        <w:rPr>
          <w:rFonts w:hint="eastAsia" w:ascii="仿宋" w:hAnsi="仿宋" w:eastAsia="仿宋" w:cs="仿宋"/>
          <w:sz w:val="24"/>
        </w:rPr>
        <w:t xml:space="preserve">15.2   </w:t>
      </w:r>
      <w:r>
        <w:rPr>
          <w:rFonts w:hint="eastAsia" w:ascii="仿宋" w:hAnsi="仿宋" w:eastAsia="仿宋" w:cs="仿宋"/>
          <w:sz w:val="24"/>
          <w:highlight w:val="none"/>
        </w:rPr>
        <w:t>所有封</w:t>
      </w:r>
      <w:r>
        <w:rPr>
          <w:rFonts w:hint="eastAsia" w:ascii="仿宋" w:hAnsi="仿宋" w:eastAsia="仿宋" w:cs="仿宋"/>
          <w:sz w:val="24"/>
          <w:highlight w:val="none"/>
          <w:lang w:val="en-US" w:eastAsia="zh-CN"/>
        </w:rPr>
        <w:t>面</w:t>
      </w:r>
      <w:r>
        <w:rPr>
          <w:rFonts w:hint="eastAsia" w:ascii="仿宋" w:hAnsi="仿宋" w:eastAsia="仿宋" w:cs="仿宋"/>
          <w:sz w:val="24"/>
          <w:highlight w:val="none"/>
        </w:rPr>
        <w:t>上均应：</w:t>
      </w:r>
      <w:r>
        <w:rPr>
          <w:rFonts w:hint="eastAsia" w:ascii="仿宋" w:hAnsi="仿宋" w:eastAsia="仿宋" w:cs="仿宋"/>
          <w:sz w:val="24"/>
          <w:highlight w:val="none"/>
          <w:lang w:eastAsia="zh-CN"/>
        </w:rPr>
        <w:t>按照</w:t>
      </w:r>
      <w:r>
        <w:rPr>
          <w:rFonts w:hint="eastAsia" w:ascii="仿宋" w:hAnsi="仿宋" w:eastAsia="仿宋" w:cs="仿宋"/>
          <w:sz w:val="24"/>
          <w:highlight w:val="none"/>
          <w:lang w:val="en-US" w:eastAsia="zh-CN"/>
        </w:rPr>
        <w:t>投标文件格式进行编制。</w:t>
      </w:r>
    </w:p>
    <w:p>
      <w:pPr>
        <w:spacing w:line="240" w:lineRule="atLeast"/>
        <w:ind w:left="900" w:hanging="900" w:hangingChars="375"/>
        <w:rPr>
          <w:rFonts w:hint="eastAsia" w:ascii="仿宋" w:hAnsi="仿宋" w:eastAsia="仿宋" w:cs="仿宋"/>
          <w:sz w:val="24"/>
          <w:highlight w:val="none"/>
        </w:rPr>
      </w:pPr>
      <w:r>
        <w:rPr>
          <w:rFonts w:hint="eastAsia" w:ascii="仿宋" w:hAnsi="仿宋" w:eastAsia="仿宋" w:cs="仿宋"/>
          <w:sz w:val="24"/>
          <w:highlight w:val="none"/>
        </w:rPr>
        <w:t>15.3   如果</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未按上述要求</w:t>
      </w:r>
      <w:r>
        <w:rPr>
          <w:rFonts w:hint="eastAsia" w:ascii="仿宋" w:hAnsi="仿宋" w:eastAsia="仿宋" w:cs="仿宋"/>
          <w:sz w:val="24"/>
          <w:highlight w:val="none"/>
          <w:lang w:val="en-US" w:eastAsia="zh-CN"/>
        </w:rPr>
        <w:t>编制</w:t>
      </w:r>
      <w:r>
        <w:rPr>
          <w:rFonts w:hint="eastAsia" w:ascii="仿宋" w:hAnsi="仿宋" w:eastAsia="仿宋" w:cs="仿宋"/>
          <w:sz w:val="24"/>
          <w:highlight w:val="none"/>
        </w:rPr>
        <w:t>，其投标文件将</w:t>
      </w:r>
      <w:r>
        <w:rPr>
          <w:rFonts w:hint="eastAsia" w:ascii="仿宋" w:hAnsi="仿宋" w:eastAsia="仿宋" w:cs="仿宋"/>
          <w:color w:val="000000"/>
          <w:sz w:val="24"/>
        </w:rPr>
        <w:t>被认定为</w:t>
      </w:r>
      <w:r>
        <w:rPr>
          <w:rFonts w:hint="eastAsia" w:ascii="仿宋" w:hAnsi="仿宋" w:eastAsia="仿宋" w:cs="仿宋"/>
          <w:b/>
          <w:bCs/>
          <w:color w:val="000000"/>
          <w:sz w:val="24"/>
        </w:rPr>
        <w:t>投标无效</w:t>
      </w:r>
      <w:r>
        <w:rPr>
          <w:rFonts w:hint="eastAsia" w:ascii="仿宋" w:hAnsi="仿宋" w:eastAsia="仿宋" w:cs="仿宋"/>
          <w:b/>
          <w:bCs/>
          <w:sz w:val="24"/>
          <w:highlight w:val="none"/>
        </w:rPr>
        <w:t>。</w:t>
      </w:r>
    </w:p>
    <w:p>
      <w:pPr>
        <w:pStyle w:val="5"/>
        <w:spacing w:before="0" w:after="0" w:line="240" w:lineRule="atLeast"/>
        <w:rPr>
          <w:rFonts w:hint="eastAsia" w:ascii="仿宋" w:hAnsi="仿宋" w:eastAsia="仿宋" w:cs="仿宋"/>
          <w:u w:val="none"/>
        </w:rPr>
      </w:pPr>
      <w:bookmarkStart w:id="76" w:name="_Toc518923080"/>
      <w:bookmarkStart w:id="77" w:name="_Toc25787"/>
      <w:bookmarkStart w:id="78" w:name="_Toc520356161"/>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应在</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中规定的截止时间前，将投标文件</w:t>
      </w:r>
      <w:r>
        <w:rPr>
          <w:rFonts w:hint="eastAsia" w:ascii="仿宋" w:hAnsi="仿宋" w:eastAsia="仿宋" w:cs="仿宋"/>
          <w:sz w:val="24"/>
          <w:lang w:eastAsia="zh-CN"/>
        </w:rPr>
        <w:t>上传至</w:t>
      </w:r>
      <w:r>
        <w:rPr>
          <w:rFonts w:hint="eastAsia" w:ascii="仿宋" w:hAnsi="仿宋" w:eastAsia="仿宋" w:cs="仿宋"/>
          <w:sz w:val="24"/>
        </w:rPr>
        <w:t>招标公告中规定的平台</w:t>
      </w:r>
      <w:r>
        <w:rPr>
          <w:rFonts w:hint="eastAsia" w:ascii="仿宋" w:hAnsi="仿宋" w:eastAsia="仿宋" w:cs="仿宋"/>
          <w:sz w:val="24"/>
          <w:lang w:eastAsia="zh-CN"/>
        </w:rPr>
        <w:t>中</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w:t>
      </w:r>
      <w:r>
        <w:rPr>
          <w:rFonts w:hint="eastAsia" w:ascii="仿宋" w:hAnsi="仿宋" w:eastAsia="仿宋" w:cs="仿宋"/>
          <w:sz w:val="24"/>
          <w:lang w:eastAsia="zh-CN"/>
        </w:rPr>
        <w:t>供应商</w:t>
      </w:r>
      <w:r>
        <w:rPr>
          <w:rFonts w:hint="eastAsia" w:ascii="仿宋" w:hAnsi="仿宋" w:eastAsia="仿宋" w:cs="仿宋"/>
          <w:sz w:val="24"/>
        </w:rPr>
        <w:t>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lang w:eastAsia="zh-CN"/>
        </w:rPr>
        <w:t>未按照公告时间内完成投标文件的上传，</w:t>
      </w:r>
      <w:r>
        <w:rPr>
          <w:rFonts w:hint="eastAsia" w:ascii="仿宋" w:hAnsi="仿宋" w:eastAsia="仿宋" w:cs="仿宋"/>
          <w:sz w:val="24"/>
        </w:rPr>
        <w:t>采购人和采购代理机构将拒绝接收在截止时间后的投标文件。</w:t>
      </w:r>
    </w:p>
    <w:p>
      <w:pPr>
        <w:pStyle w:val="5"/>
        <w:spacing w:before="0" w:after="0" w:line="240" w:lineRule="atLeast"/>
        <w:rPr>
          <w:rFonts w:hint="eastAsia" w:ascii="仿宋" w:hAnsi="仿宋" w:eastAsia="仿宋" w:cs="仿宋"/>
          <w:u w:val="none"/>
        </w:rPr>
      </w:pPr>
      <w:bookmarkStart w:id="79" w:name="_Toc520356162"/>
      <w:bookmarkStart w:id="80" w:name="_Toc518923081"/>
      <w:bookmarkStart w:id="81" w:name="_Toc1392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w:t>
      </w:r>
      <w:r>
        <w:rPr>
          <w:rFonts w:hint="eastAsia" w:ascii="仿宋" w:hAnsi="仿宋" w:eastAsia="仿宋" w:cs="仿宋"/>
          <w:sz w:val="24"/>
          <w:lang w:eastAsia="zh-CN"/>
        </w:rPr>
        <w:t>解密时间</w:t>
      </w:r>
      <w:r>
        <w:rPr>
          <w:rFonts w:hint="eastAsia" w:ascii="仿宋" w:hAnsi="仿宋" w:eastAsia="仿宋" w:cs="仿宋"/>
          <w:sz w:val="24"/>
        </w:rPr>
        <w:t>截止后</w:t>
      </w:r>
      <w:r>
        <w:rPr>
          <w:rFonts w:hint="eastAsia" w:ascii="仿宋" w:hAnsi="仿宋" w:eastAsia="仿宋" w:cs="仿宋"/>
          <w:sz w:val="24"/>
          <w:lang w:val="en-US" w:eastAsia="zh-CN"/>
        </w:rPr>
        <w:t>解密</w:t>
      </w:r>
      <w:r>
        <w:rPr>
          <w:rFonts w:hint="eastAsia" w:ascii="仿宋" w:hAnsi="仿宋" w:eastAsia="仿宋" w:cs="仿宋"/>
          <w:sz w:val="24"/>
        </w:rPr>
        <w:t>投标文件的，采购人和采购代理机构将拒绝接收。</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lang w:val="en-US" w:eastAsia="zh-CN"/>
        </w:rPr>
        <w:t xml:space="preserve">   </w:t>
      </w:r>
      <w:r>
        <w:rPr>
          <w:rFonts w:hint="eastAsia" w:ascii="仿宋" w:hAnsi="仿宋" w:eastAsia="仿宋" w:cs="仿宋"/>
          <w:sz w:val="24"/>
        </w:rPr>
        <w:t>在投标截止期之后，采购人和采购代理机构不接受</w:t>
      </w:r>
      <w:r>
        <w:rPr>
          <w:rFonts w:hint="eastAsia" w:ascii="仿宋" w:hAnsi="仿宋" w:eastAsia="仿宋" w:cs="仿宋"/>
          <w:sz w:val="24"/>
          <w:lang w:eastAsia="zh-CN"/>
        </w:rPr>
        <w:t>供应商</w:t>
      </w:r>
      <w:r>
        <w:rPr>
          <w:rFonts w:hint="eastAsia" w:ascii="仿宋" w:hAnsi="仿宋" w:eastAsia="仿宋" w:cs="仿宋"/>
          <w:sz w:val="24"/>
        </w:rPr>
        <w:t>主动对其投标文件做任何修改。</w:t>
      </w:r>
    </w:p>
    <w:p>
      <w:pPr>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bookmarkStart w:id="82" w:name="_Toc216582809"/>
      <w:bookmarkStart w:id="83" w:name="_Toc10257"/>
      <w:bookmarkStart w:id="84" w:name="_Toc520356163"/>
      <w:bookmarkStart w:id="85" w:name="_Toc518923082"/>
      <w:r>
        <w:rPr>
          <w:rFonts w:hint="eastAsia" w:ascii="仿宋" w:hAnsi="仿宋" w:eastAsia="仿宋" w:cs="仿宋"/>
          <w:sz w:val="24"/>
        </w:rPr>
        <w:t>五   开标及评标</w:t>
      </w:r>
      <w:bookmarkEnd w:id="82"/>
      <w:bookmarkEnd w:id="83"/>
      <w:bookmarkEnd w:id="84"/>
      <w:bookmarkEnd w:id="85"/>
    </w:p>
    <w:p>
      <w:pPr>
        <w:pStyle w:val="8"/>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86" w:name="_Toc520356164"/>
      <w:bookmarkStart w:id="87" w:name="_Toc518923083"/>
      <w:bookmarkStart w:id="88" w:name="_Toc8653"/>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中规定的开标时间和地点组织公开开标</w:t>
      </w:r>
      <w:r>
        <w:rPr>
          <w:rFonts w:hint="eastAsia" w:ascii="仿宋" w:hAnsi="仿宋" w:eastAsia="仿宋" w:cs="仿宋"/>
          <w:sz w:val="24"/>
          <w:lang w:eastAsia="zh-CN"/>
        </w:rPr>
        <w:t>活动</w:t>
      </w:r>
      <w:r>
        <w:rPr>
          <w:rFonts w:hint="eastAsia" w:ascii="仿宋" w:hAnsi="仿宋" w:eastAsia="仿宋" w:cs="仿宋"/>
          <w:sz w:val="24"/>
        </w:rPr>
        <w:t xml:space="preserve">。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 xml:space="preserve">18.2   </w:t>
      </w:r>
      <w:r>
        <w:rPr>
          <w:rFonts w:hint="eastAsia" w:ascii="仿宋" w:hAnsi="仿宋" w:eastAsia="仿宋" w:cs="仿宋"/>
          <w:sz w:val="24"/>
          <w:lang w:val="en-US" w:eastAsia="zh-CN"/>
        </w:rPr>
        <w:t xml:space="preserve"> </w:t>
      </w:r>
      <w:r>
        <w:rPr>
          <w:rFonts w:hint="eastAsia" w:ascii="仿宋" w:hAnsi="仿宋" w:eastAsia="仿宋" w:cs="仿宋"/>
          <w:sz w:val="24"/>
        </w:rPr>
        <w:t>开标时，由采购人或采购代理机构当众</w:t>
      </w:r>
      <w:r>
        <w:rPr>
          <w:rFonts w:hint="eastAsia" w:ascii="仿宋" w:hAnsi="仿宋" w:eastAsia="仿宋" w:cs="仿宋"/>
          <w:sz w:val="24"/>
          <w:lang w:val="en-US" w:eastAsia="zh-CN"/>
        </w:rPr>
        <w:t>宣读</w:t>
      </w:r>
      <w:r>
        <w:rPr>
          <w:rFonts w:hint="eastAsia" w:ascii="仿宋" w:hAnsi="仿宋" w:eastAsia="仿宋" w:cs="仿宋"/>
          <w:sz w:val="24"/>
          <w:lang w:eastAsia="zh-CN"/>
        </w:rPr>
        <w:t>供应商</w:t>
      </w:r>
      <w:r>
        <w:rPr>
          <w:rFonts w:hint="eastAsia" w:ascii="仿宋" w:hAnsi="仿宋" w:eastAsia="仿宋" w:cs="仿宋"/>
          <w:sz w:val="24"/>
        </w:rPr>
        <w:t>名称、投标价格。</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未宣读投标价格等实质内容，评标时不予承认。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w:t>
      </w:r>
      <w:r>
        <w:rPr>
          <w:rFonts w:hint="eastAsia" w:ascii="仿宋" w:hAnsi="仿宋" w:eastAsia="仿宋" w:cs="仿宋"/>
          <w:sz w:val="24"/>
          <w:lang w:val="en-US" w:eastAsia="zh-CN"/>
        </w:rPr>
        <w:t>采购人代表或监督人员</w:t>
      </w:r>
      <w:r>
        <w:rPr>
          <w:rFonts w:hint="eastAsia" w:ascii="仿宋" w:hAnsi="仿宋" w:eastAsia="仿宋" w:cs="仿宋"/>
          <w:sz w:val="24"/>
        </w:rPr>
        <w:t>和相关工作人员签字确认，并存档备查。</w:t>
      </w:r>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18.4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供应商</w:t>
      </w:r>
      <w:r>
        <w:rPr>
          <w:rFonts w:hint="eastAsia" w:ascii="仿宋" w:hAnsi="仿宋" w:eastAsia="仿宋" w:cs="仿宋"/>
          <w:sz w:val="24"/>
        </w:rPr>
        <w:t>代表</w:t>
      </w:r>
      <w:r>
        <w:rPr>
          <w:rFonts w:hint="eastAsia" w:ascii="仿宋" w:hAnsi="仿宋" w:eastAsia="仿宋" w:cs="仿宋"/>
          <w:kern w:val="0"/>
          <w:sz w:val="24"/>
          <w:lang w:eastAsia="zh-CN"/>
        </w:rPr>
        <w:t>对</w:t>
      </w:r>
      <w:r>
        <w:rPr>
          <w:rFonts w:hint="eastAsia" w:ascii="仿宋" w:hAnsi="仿宋" w:eastAsia="仿宋" w:cs="仿宋"/>
          <w:kern w:val="0"/>
          <w:sz w:val="24"/>
        </w:rPr>
        <w:t>开标记录有疑义，应</w:t>
      </w:r>
      <w:r>
        <w:rPr>
          <w:rFonts w:hint="eastAsia" w:ascii="仿宋" w:hAnsi="仿宋" w:eastAsia="仿宋" w:cs="仿宋"/>
          <w:kern w:val="0"/>
          <w:sz w:val="24"/>
          <w:lang w:eastAsia="zh-CN"/>
        </w:rPr>
        <w:t>在线上</w:t>
      </w:r>
      <w:r>
        <w:rPr>
          <w:rFonts w:hint="eastAsia" w:ascii="仿宋" w:hAnsi="仿宋" w:eastAsia="仿宋" w:cs="仿宋"/>
          <w:kern w:val="0"/>
          <w:sz w:val="24"/>
        </w:rPr>
        <w:t>提出询问</w:t>
      </w:r>
      <w:r>
        <w:rPr>
          <w:rFonts w:hint="eastAsia" w:ascii="仿宋" w:hAnsi="仿宋" w:eastAsia="仿宋" w:cs="仿宋"/>
          <w:kern w:val="0"/>
          <w:sz w:val="24"/>
          <w:lang w:eastAsia="zh-CN"/>
        </w:rPr>
        <w:t>。</w:t>
      </w:r>
    </w:p>
    <w:p>
      <w:pPr>
        <w:pStyle w:val="5"/>
        <w:spacing w:before="0" w:after="0" w:line="240" w:lineRule="atLeast"/>
        <w:rPr>
          <w:rFonts w:hint="eastAsia" w:ascii="仿宋" w:hAnsi="仿宋" w:eastAsia="仿宋" w:cs="仿宋"/>
          <w:u w:val="none"/>
        </w:rPr>
      </w:pPr>
      <w:bookmarkStart w:id="90" w:name="_Toc518923084"/>
      <w:bookmarkStart w:id="91" w:name="_Toc3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 xml:space="preserve">19.1    </w:t>
      </w:r>
      <w:r>
        <w:rPr>
          <w:rFonts w:hint="eastAsia" w:ascii="仿宋" w:hAnsi="仿宋" w:eastAsia="仿宋" w:cs="仿宋"/>
          <w:sz w:val="24"/>
          <w:lang w:eastAsia="zh-CN"/>
        </w:rPr>
        <w:t>评标委员会</w:t>
      </w:r>
      <w:r>
        <w:rPr>
          <w:rFonts w:hint="eastAsia" w:ascii="仿宋" w:hAnsi="仿宋" w:eastAsia="仿宋" w:cs="仿宋"/>
          <w:sz w:val="24"/>
        </w:rPr>
        <w:t>依据法律法规和</w:t>
      </w:r>
      <w:r>
        <w:rPr>
          <w:rFonts w:hint="eastAsia" w:ascii="仿宋" w:hAnsi="仿宋" w:eastAsia="仿宋" w:cs="仿宋"/>
          <w:sz w:val="24"/>
          <w:lang w:eastAsia="zh-CN"/>
        </w:rPr>
        <w:t>采购文件</w:t>
      </w:r>
      <w:r>
        <w:rPr>
          <w:rFonts w:hint="eastAsia" w:ascii="仿宋" w:hAnsi="仿宋" w:eastAsia="仿宋" w:cs="仿宋"/>
          <w:sz w:val="24"/>
        </w:rPr>
        <w:t>中规定的内容，对</w:t>
      </w:r>
      <w:r>
        <w:rPr>
          <w:rFonts w:hint="eastAsia" w:ascii="仿宋" w:hAnsi="仿宋" w:eastAsia="仿宋" w:cs="仿宋"/>
          <w:sz w:val="24"/>
          <w:lang w:eastAsia="zh-CN"/>
        </w:rPr>
        <w:t>供应商</w:t>
      </w:r>
      <w:r>
        <w:rPr>
          <w:rFonts w:hint="eastAsia" w:ascii="仿宋" w:hAnsi="仿宋" w:eastAsia="仿宋" w:cs="仿宋"/>
          <w:sz w:val="24"/>
        </w:rPr>
        <w:t>的资格进行审查。未通过资格审查的</w:t>
      </w:r>
      <w:r>
        <w:rPr>
          <w:rFonts w:hint="eastAsia" w:ascii="仿宋" w:hAnsi="仿宋" w:eastAsia="仿宋" w:cs="仿宋"/>
          <w:sz w:val="24"/>
          <w:lang w:eastAsia="zh-CN"/>
        </w:rPr>
        <w:t>供应商</w:t>
      </w:r>
      <w:r>
        <w:rPr>
          <w:rFonts w:hint="eastAsia" w:ascii="仿宋" w:hAnsi="仿宋" w:eastAsia="仿宋" w:cs="仿宋"/>
          <w:sz w:val="24"/>
        </w:rPr>
        <w:t>不进入评标；进入评标的</w:t>
      </w:r>
      <w:r>
        <w:rPr>
          <w:rFonts w:hint="eastAsia" w:ascii="仿宋" w:hAnsi="仿宋" w:eastAsia="仿宋" w:cs="仿宋"/>
          <w:sz w:val="24"/>
          <w:lang w:eastAsia="zh-CN"/>
        </w:rPr>
        <w:t>供应商</w:t>
      </w:r>
      <w:r>
        <w:rPr>
          <w:rFonts w:hint="eastAsia" w:ascii="仿宋" w:hAnsi="仿宋" w:eastAsia="仿宋" w:cs="仿宋"/>
          <w:sz w:val="24"/>
        </w:rPr>
        <w:t>不足3家的，不得评标。</w:t>
      </w:r>
    </w:p>
    <w:p>
      <w:pPr>
        <w:pageBreakBefore w:val="0"/>
        <w:widowControl w:val="0"/>
        <w:kinsoku/>
        <w:wordWrap/>
        <w:overflowPunct/>
        <w:topLinePunct w:val="0"/>
        <w:bidi w:val="0"/>
        <w:snapToGrid/>
        <w:spacing w:line="240" w:lineRule="atLeast"/>
        <w:ind w:firstLine="790" w:firstLineChars="328"/>
        <w:textAlignment w:val="auto"/>
        <w:rPr>
          <w:rFonts w:hint="eastAsia" w:ascii="仿宋" w:hAnsi="仿宋" w:eastAsia="仿宋" w:cs="仿宋"/>
          <w:sz w:val="24"/>
        </w:rPr>
      </w:pPr>
      <w:r>
        <w:rPr>
          <w:rFonts w:hint="eastAsia" w:ascii="仿宋" w:hAnsi="仿宋" w:eastAsia="仿宋" w:cs="仿宋"/>
          <w:b/>
          <w:iCs/>
          <w:color w:val="000000"/>
          <w:sz w:val="24"/>
        </w:rPr>
        <w:t>通过资格审查的</w:t>
      </w:r>
      <w:r>
        <w:rPr>
          <w:rFonts w:hint="eastAsia" w:ascii="仿宋" w:hAnsi="仿宋" w:eastAsia="仿宋" w:cs="仿宋"/>
          <w:b/>
          <w:iCs/>
          <w:color w:val="000000"/>
          <w:sz w:val="24"/>
          <w:lang w:eastAsia="zh-CN"/>
        </w:rPr>
        <w:t>供应商</w:t>
      </w:r>
      <w:r>
        <w:rPr>
          <w:rFonts w:hint="eastAsia" w:ascii="仿宋" w:hAnsi="仿宋" w:eastAsia="仿宋" w:cs="仿宋"/>
          <w:b/>
          <w:iCs/>
          <w:color w:val="000000"/>
          <w:sz w:val="24"/>
        </w:rPr>
        <w:t>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w:t>
      </w:r>
      <w:r>
        <w:rPr>
          <w:rFonts w:hint="eastAsia" w:ascii="仿宋" w:hAnsi="仿宋" w:eastAsia="仿宋" w:cs="仿宋"/>
          <w:color w:val="000000"/>
          <w:sz w:val="24"/>
          <w:lang w:eastAsia="zh-CN"/>
        </w:rPr>
        <w:t>供应商</w:t>
      </w:r>
      <w:r>
        <w:rPr>
          <w:rFonts w:hint="eastAsia" w:ascii="仿宋" w:hAnsi="仿宋" w:eastAsia="仿宋" w:cs="仿宋"/>
          <w:color w:val="000000"/>
          <w:sz w:val="24"/>
        </w:rPr>
        <w:t>的信用记录。</w:t>
      </w:r>
      <w:r>
        <w:rPr>
          <w:rFonts w:hint="eastAsia" w:ascii="仿宋" w:hAnsi="仿宋" w:eastAsia="仿宋" w:cs="仿宋"/>
          <w:color w:val="000000"/>
          <w:sz w:val="24"/>
          <w:lang w:eastAsia="zh-CN"/>
        </w:rPr>
        <w:t>供应商</w:t>
      </w:r>
      <w:r>
        <w:rPr>
          <w:rFonts w:hint="eastAsia" w:ascii="仿宋" w:hAnsi="仿宋" w:eastAsia="仿宋" w:cs="仿宋"/>
          <w:color w:val="000000"/>
          <w:sz w:val="24"/>
        </w:rPr>
        <w:t>存在不良信用记录的，其投标将被认定为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8"/>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查询及记录方式：采购人或采购代理机构经办人将查询网页打印、签字并存档备查。供应商不良信用记录以采购人或采购代理机构查询结果为准。</w:t>
      </w:r>
    </w:p>
    <w:p>
      <w:pPr>
        <w:pStyle w:val="8"/>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在本采购文件规定的查询时间之后，网站信息发生的任何变更均不再作为评标依据。</w:t>
      </w:r>
    </w:p>
    <w:p>
      <w:pPr>
        <w:pStyle w:val="8"/>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供应商自行提供的与网站信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2" w:name="_Toc520356166"/>
      <w:r>
        <w:rPr>
          <w:rFonts w:hint="eastAsia" w:ascii="仿宋" w:hAnsi="仿宋" w:eastAsia="仿宋" w:cs="仿宋"/>
          <w:b/>
          <w:bCs/>
          <w:i w:val="0"/>
          <w:iCs w:val="0"/>
          <w:color w:val="000000"/>
          <w:sz w:val="24"/>
          <w:highlight w:val="none"/>
          <w:u w:val="single"/>
        </w:rPr>
        <w:t>本项目评标委员会成员</w:t>
      </w:r>
      <w:r>
        <w:rPr>
          <w:rFonts w:hint="eastAsia" w:ascii="仿宋" w:hAnsi="仿宋" w:eastAsia="仿宋" w:cs="仿宋"/>
          <w:b/>
          <w:bCs/>
          <w:i w:val="0"/>
          <w:iCs w:val="0"/>
          <w:color w:val="000000"/>
          <w:sz w:val="24"/>
          <w:highlight w:val="none"/>
          <w:u w:val="single"/>
          <w:lang w:val="en-US" w:eastAsia="zh-CN"/>
        </w:rPr>
        <w:t>7</w:t>
      </w:r>
      <w:r>
        <w:rPr>
          <w:rFonts w:hint="eastAsia" w:ascii="仿宋" w:hAnsi="仿宋" w:eastAsia="仿宋" w:cs="仿宋"/>
          <w:b/>
          <w:bCs/>
          <w:i w:val="0"/>
          <w:iCs w:val="0"/>
          <w:color w:val="000000"/>
          <w:sz w:val="24"/>
          <w:highlight w:val="none"/>
          <w:u w:val="single"/>
        </w:rPr>
        <w:t>名</w:t>
      </w:r>
      <w:r>
        <w:rPr>
          <w:rFonts w:hint="eastAsia" w:ascii="仿宋" w:hAnsi="仿宋" w:eastAsia="仿宋" w:cs="仿宋"/>
          <w:b/>
          <w:bCs/>
          <w:i w:val="0"/>
          <w:iCs w:val="0"/>
          <w:color w:val="000000"/>
          <w:sz w:val="24"/>
          <w:highlight w:val="none"/>
          <w:u w:val="single"/>
          <w:lang w:eastAsia="zh-CN"/>
        </w:rPr>
        <w:t>，</w:t>
      </w:r>
      <w:r>
        <w:rPr>
          <w:rFonts w:hint="eastAsia" w:ascii="仿宋" w:hAnsi="仿宋" w:eastAsia="仿宋" w:cs="仿宋"/>
          <w:b/>
          <w:bCs/>
          <w:i w:val="0"/>
          <w:iCs w:val="0"/>
          <w:color w:val="000000"/>
          <w:sz w:val="24"/>
          <w:highlight w:val="none"/>
          <w:u w:val="single"/>
          <w:lang w:val="en-US" w:eastAsia="zh-CN"/>
        </w:rPr>
        <w:t>在政府采购网自行组建按3:1比例</w:t>
      </w:r>
      <w:r>
        <w:rPr>
          <w:rFonts w:hint="eastAsia" w:ascii="仿宋" w:hAnsi="仿宋" w:eastAsia="仿宋" w:cs="仿宋"/>
          <w:b/>
          <w:bCs/>
          <w:i w:val="0"/>
          <w:iCs w:val="0"/>
          <w:color w:val="000000"/>
          <w:sz w:val="24"/>
          <w:highlight w:val="none"/>
          <w:u w:val="single"/>
          <w:lang w:eastAsia="zh-CN"/>
        </w:rPr>
        <w:t>随机抽取</w:t>
      </w:r>
      <w:r>
        <w:rPr>
          <w:rFonts w:hint="eastAsia" w:ascii="仿宋" w:hAnsi="仿宋" w:eastAsia="仿宋" w:cs="仿宋"/>
          <w:b/>
          <w:bCs/>
          <w:i w:val="0"/>
          <w:iCs w:val="0"/>
          <w:color w:val="000000"/>
          <w:sz w:val="24"/>
          <w:highlight w:val="none"/>
          <w:u w:val="single"/>
        </w:rPr>
        <w:t>。</w:t>
      </w:r>
    </w:p>
    <w:p>
      <w:pPr>
        <w:pStyle w:val="5"/>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3" w:name="_Toc6842"/>
      <w:bookmarkStart w:id="94" w:name="_Toc518923085"/>
      <w:r>
        <w:rPr>
          <w:rFonts w:hint="eastAsia" w:ascii="仿宋" w:hAnsi="仿宋" w:eastAsia="仿宋" w:cs="仿宋"/>
          <w:u w:val="none"/>
        </w:rPr>
        <w:t>20.投标文件的</w:t>
      </w:r>
      <w:bookmarkEnd w:id="92"/>
      <w:r>
        <w:rPr>
          <w:rFonts w:hint="eastAsia" w:ascii="仿宋" w:hAnsi="仿宋" w:eastAsia="仿宋" w:cs="仿宋"/>
          <w:u w:val="none"/>
        </w:rPr>
        <w:t>符合性审查与澄清</w:t>
      </w:r>
      <w:bookmarkEnd w:id="93"/>
      <w:bookmarkEnd w:id="94"/>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w:t>
      </w:r>
      <w:r>
        <w:rPr>
          <w:rFonts w:hint="eastAsia" w:ascii="仿宋" w:hAnsi="仿宋" w:eastAsia="仿宋" w:cs="仿宋"/>
          <w:sz w:val="24"/>
          <w:lang w:eastAsia="zh-CN"/>
        </w:rPr>
        <w:t>采购文件</w:t>
      </w:r>
      <w:r>
        <w:rPr>
          <w:rFonts w:hint="eastAsia" w:ascii="仿宋" w:hAnsi="仿宋" w:eastAsia="仿宋" w:cs="仿宋"/>
          <w:sz w:val="24"/>
        </w:rPr>
        <w:t>的规定，从投标文件的有效性和完整性对</w:t>
      </w:r>
      <w:r>
        <w:rPr>
          <w:rFonts w:hint="eastAsia" w:ascii="仿宋" w:hAnsi="仿宋" w:eastAsia="仿宋" w:cs="仿宋"/>
          <w:sz w:val="24"/>
          <w:lang w:eastAsia="zh-CN"/>
        </w:rPr>
        <w:t>采购文件</w:t>
      </w:r>
      <w:r>
        <w:rPr>
          <w:rFonts w:hint="eastAsia" w:ascii="仿宋" w:hAnsi="仿宋" w:eastAsia="仿宋" w:cs="仿宋"/>
          <w:sz w:val="24"/>
        </w:rPr>
        <w:t>的响应程度进行审查，以确定是否对</w:t>
      </w:r>
      <w:r>
        <w:rPr>
          <w:rFonts w:hint="eastAsia" w:ascii="仿宋" w:hAnsi="仿宋" w:eastAsia="仿宋" w:cs="仿宋"/>
          <w:sz w:val="24"/>
          <w:lang w:eastAsia="zh-CN"/>
        </w:rPr>
        <w:t>采购文件</w:t>
      </w:r>
      <w:r>
        <w:rPr>
          <w:rFonts w:hint="eastAsia" w:ascii="仿宋" w:hAnsi="仿宋" w:eastAsia="仿宋" w:cs="仿宋"/>
          <w:sz w:val="24"/>
        </w:rPr>
        <w:t>的实质性要求做出响应。</w:t>
      </w:r>
      <w:bookmarkStart w:id="95" w:name="_Hlt522424701"/>
      <w:bookmarkEnd w:id="95"/>
      <w:bookmarkStart w:id="96"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w:t>
      </w:r>
      <w:r>
        <w:rPr>
          <w:rFonts w:hint="eastAsia" w:ascii="仿宋" w:hAnsi="仿宋" w:eastAsia="仿宋" w:cs="仿宋"/>
          <w:sz w:val="24"/>
          <w:lang w:eastAsia="zh-CN"/>
        </w:rPr>
        <w:t>供应商</w:t>
      </w:r>
      <w:r>
        <w:rPr>
          <w:rFonts w:hint="eastAsia" w:ascii="仿宋" w:hAnsi="仿宋" w:eastAsia="仿宋" w:cs="仿宋"/>
          <w:sz w:val="24"/>
        </w:rPr>
        <w:t>对其投标文件中含义不明确、对同类问题表述不一致或者有明显文字和计算错误的内容，以及评标委员会认为</w:t>
      </w:r>
      <w:r>
        <w:rPr>
          <w:rFonts w:hint="eastAsia" w:ascii="仿宋" w:hAnsi="仿宋" w:eastAsia="仿宋" w:cs="仿宋"/>
          <w:sz w:val="24"/>
          <w:lang w:eastAsia="zh-CN"/>
        </w:rPr>
        <w:t>供应商</w:t>
      </w:r>
      <w:r>
        <w:rPr>
          <w:rFonts w:hint="eastAsia" w:ascii="仿宋" w:hAnsi="仿宋" w:eastAsia="仿宋" w:cs="仿宋"/>
          <w:sz w:val="24"/>
        </w:rPr>
        <w:t>的报价明显低于其他通过符合性检查</w:t>
      </w:r>
      <w:r>
        <w:rPr>
          <w:rFonts w:hint="eastAsia" w:ascii="仿宋" w:hAnsi="仿宋" w:eastAsia="仿宋" w:cs="仿宋"/>
          <w:sz w:val="24"/>
          <w:lang w:eastAsia="zh-CN"/>
        </w:rPr>
        <w:t>供应商</w:t>
      </w:r>
      <w:r>
        <w:rPr>
          <w:rFonts w:hint="eastAsia" w:ascii="仿宋" w:hAnsi="仿宋" w:eastAsia="仿宋" w:cs="仿宋"/>
          <w:sz w:val="24"/>
        </w:rPr>
        <w:t>的报价，有可能影响履约的情况作必要的澄清、说明或补正。</w:t>
      </w:r>
      <w:r>
        <w:rPr>
          <w:rFonts w:hint="eastAsia" w:ascii="仿宋" w:hAnsi="仿宋" w:eastAsia="仿宋" w:cs="仿宋"/>
          <w:sz w:val="24"/>
          <w:lang w:eastAsia="zh-CN"/>
        </w:rPr>
        <w:t>供应商</w:t>
      </w:r>
      <w:r>
        <w:rPr>
          <w:rFonts w:hint="eastAsia" w:ascii="仿宋" w:hAnsi="仿宋" w:eastAsia="仿宋" w:cs="仿宋"/>
          <w:sz w:val="24"/>
        </w:rPr>
        <w:t>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20.2.2  </w:t>
      </w:r>
      <w:r>
        <w:rPr>
          <w:rFonts w:hint="eastAsia" w:ascii="仿宋" w:hAnsi="仿宋" w:eastAsia="仿宋" w:cs="仿宋"/>
          <w:sz w:val="24"/>
          <w:lang w:eastAsia="zh-CN"/>
        </w:rPr>
        <w:t>供应商</w:t>
      </w:r>
      <w:r>
        <w:rPr>
          <w:rFonts w:hint="eastAsia" w:ascii="仿宋" w:hAnsi="仿宋" w:eastAsia="仿宋" w:cs="仿宋"/>
          <w:sz w:val="24"/>
        </w:rPr>
        <w:t>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w:t>
      </w:r>
      <w:r>
        <w:rPr>
          <w:rFonts w:hint="eastAsia" w:ascii="仿宋" w:hAnsi="仿宋" w:eastAsia="仿宋" w:cs="仿宋"/>
          <w:sz w:val="24"/>
          <w:lang w:eastAsia="zh-CN"/>
        </w:rPr>
        <w:t>报价表</w:t>
      </w:r>
      <w:r>
        <w:rPr>
          <w:rFonts w:hint="eastAsia" w:ascii="仿宋" w:hAnsi="仿宋" w:eastAsia="仿宋" w:cs="仿宋"/>
          <w:sz w:val="24"/>
        </w:rPr>
        <w:t>内容与投标文件中相应内容不一致的，以</w:t>
      </w:r>
      <w:r>
        <w:rPr>
          <w:rFonts w:hint="eastAsia" w:ascii="仿宋" w:hAnsi="仿宋" w:eastAsia="仿宋" w:cs="仿宋"/>
          <w:sz w:val="24"/>
          <w:lang w:eastAsia="zh-CN"/>
        </w:rPr>
        <w:t>报价表</w:t>
      </w:r>
      <w:r>
        <w:rPr>
          <w:rFonts w:hint="eastAsia" w:ascii="仿宋" w:hAnsi="仿宋" w:eastAsia="仿宋" w:cs="仿宋"/>
          <w:sz w:val="24"/>
        </w:rPr>
        <w:t>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w:t>
      </w:r>
      <w:r>
        <w:rPr>
          <w:rFonts w:hint="eastAsia" w:ascii="仿宋" w:hAnsi="仿宋" w:eastAsia="仿宋" w:cs="仿宋"/>
          <w:sz w:val="24"/>
          <w:lang w:eastAsia="zh-CN"/>
        </w:rPr>
        <w:t>供应商</w:t>
      </w:r>
      <w:r>
        <w:rPr>
          <w:rFonts w:hint="eastAsia" w:ascii="仿宋" w:hAnsi="仿宋" w:eastAsia="仿宋" w:cs="仿宋"/>
          <w:sz w:val="24"/>
        </w:rPr>
        <w:t>确认后产生约束力，</w:t>
      </w:r>
      <w:r>
        <w:rPr>
          <w:rFonts w:hint="eastAsia" w:ascii="仿宋" w:hAnsi="仿宋" w:eastAsia="仿宋" w:cs="仿宋"/>
          <w:sz w:val="24"/>
          <w:lang w:eastAsia="zh-CN"/>
        </w:rPr>
        <w:t>供应商</w:t>
      </w:r>
      <w:r>
        <w:rPr>
          <w:rFonts w:hint="eastAsia" w:ascii="仿宋" w:hAnsi="仿宋" w:eastAsia="仿宋" w:cs="仿宋"/>
          <w:sz w:val="24"/>
        </w:rPr>
        <w:t>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20.4   </w:t>
      </w:r>
      <w:r>
        <w:rPr>
          <w:rFonts w:hint="eastAsia" w:ascii="仿宋" w:hAnsi="仿宋" w:eastAsia="仿宋" w:cs="仿宋"/>
          <w:sz w:val="24"/>
          <w:lang w:eastAsia="zh-CN"/>
        </w:rPr>
        <w:t>供应商</w:t>
      </w:r>
      <w:r>
        <w:rPr>
          <w:rFonts w:hint="eastAsia" w:ascii="仿宋" w:hAnsi="仿宋" w:eastAsia="仿宋" w:cs="仿宋"/>
          <w:sz w:val="24"/>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 w:hAnsi="仿宋" w:eastAsia="仿宋" w:cs="仿宋"/>
          <w:u w:val="none"/>
        </w:rPr>
      </w:pPr>
      <w:bookmarkStart w:id="97" w:name="_Toc8603"/>
      <w:bookmarkStart w:id="98" w:name="_Toc518923086"/>
      <w:r>
        <w:rPr>
          <w:rFonts w:hint="eastAsia" w:ascii="仿宋" w:hAnsi="仿宋" w:eastAsia="仿宋" w:cs="仿宋"/>
          <w:u w:val="none"/>
        </w:rPr>
        <w:t>21.投标偏离</w:t>
      </w:r>
      <w:bookmarkEnd w:id="97"/>
      <w:bookmarkEnd w:id="98"/>
    </w:p>
    <w:p>
      <w:pPr>
        <w:spacing w:line="240" w:lineRule="atLeast"/>
        <w:ind w:left="848"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99" w:name="_Toc518923087"/>
      <w:bookmarkStart w:id="100" w:name="_Toc25255"/>
      <w:r>
        <w:rPr>
          <w:rFonts w:hint="eastAsia" w:ascii="仿宋" w:hAnsi="仿宋" w:eastAsia="仿宋" w:cs="仿宋"/>
          <w:u w:val="none"/>
        </w:rPr>
        <w:t>22.投标无效</w:t>
      </w:r>
      <w:bookmarkEnd w:id="99"/>
      <w:bookmarkEnd w:id="100"/>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w:t>
      </w:r>
      <w:r>
        <w:rPr>
          <w:rFonts w:hint="eastAsia" w:ascii="仿宋" w:hAnsi="仿宋" w:eastAsia="仿宋" w:cs="仿宋"/>
          <w:sz w:val="24"/>
          <w:lang w:eastAsia="zh-CN"/>
        </w:rPr>
        <w:t>采购文件</w:t>
      </w:r>
      <w:r>
        <w:rPr>
          <w:rFonts w:hint="eastAsia" w:ascii="仿宋" w:hAnsi="仿宋" w:eastAsia="仿宋" w:cs="仿宋"/>
          <w:sz w:val="24"/>
        </w:rPr>
        <w:t>的要求。实质上响应的投标应该是与</w:t>
      </w:r>
      <w:r>
        <w:rPr>
          <w:rFonts w:hint="eastAsia" w:ascii="仿宋" w:hAnsi="仿宋" w:eastAsia="仿宋" w:cs="仿宋"/>
          <w:sz w:val="24"/>
          <w:lang w:eastAsia="zh-CN"/>
        </w:rPr>
        <w:t>采购文件</w:t>
      </w:r>
      <w:r>
        <w:rPr>
          <w:rFonts w:hint="eastAsia" w:ascii="仿宋" w:hAnsi="仿宋" w:eastAsia="仿宋" w:cs="仿宋"/>
          <w:sz w:val="24"/>
        </w:rPr>
        <w:t>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sz w:val="24"/>
          <w:lang w:eastAsia="zh-CN"/>
        </w:rPr>
        <w:t>供应商</w:t>
      </w:r>
      <w:r>
        <w:rPr>
          <w:rFonts w:hint="eastAsia" w:ascii="仿宋" w:hAnsi="仿宋" w:eastAsia="仿宋" w:cs="仿宋"/>
          <w:sz w:val="24"/>
        </w:rPr>
        <w:t>不得通过修正或撤销不符合要求的偏离从而使其投标成为实质上响应的投标。</w:t>
      </w:r>
    </w:p>
    <w:p>
      <w:pPr>
        <w:spacing w:line="240" w:lineRule="atLeast"/>
        <w:ind w:left="792" w:leftChars="377"/>
        <w:rPr>
          <w:rFonts w:hint="eastAsia" w:ascii="仿宋" w:hAnsi="仿宋" w:eastAsia="仿宋" w:cs="仿宋"/>
          <w:sz w:val="24"/>
        </w:rPr>
      </w:pPr>
      <w:r>
        <w:rPr>
          <w:rFonts w:hint="eastAsia" w:ascii="仿宋" w:hAnsi="仿宋" w:eastAsia="仿宋" w:cs="仿宋"/>
          <w:sz w:val="24"/>
        </w:rPr>
        <w:t>评标委员会决定投标的响应性只根据</w:t>
      </w:r>
      <w:r>
        <w:rPr>
          <w:rFonts w:hint="eastAsia" w:ascii="仿宋" w:hAnsi="仿宋" w:eastAsia="仿宋" w:cs="仿宋"/>
          <w:sz w:val="24"/>
          <w:lang w:eastAsia="zh-CN"/>
        </w:rPr>
        <w:t>采购文件</w:t>
      </w:r>
      <w:r>
        <w:rPr>
          <w:rFonts w:hint="eastAsia" w:ascii="仿宋" w:hAnsi="仿宋" w:eastAsia="仿宋" w:cs="仿宋"/>
          <w:sz w:val="24"/>
        </w:rPr>
        <w:t>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w:t>
      </w:r>
      <w:r>
        <w:rPr>
          <w:rFonts w:hint="eastAsia" w:ascii="仿宋" w:hAnsi="仿宋" w:eastAsia="仿宋" w:cs="仿宋"/>
          <w:b/>
          <w:sz w:val="24"/>
          <w:lang w:eastAsia="zh-CN"/>
        </w:rPr>
        <w:t>采购文件</w:t>
      </w:r>
      <w:r>
        <w:rPr>
          <w:rFonts w:hint="eastAsia" w:ascii="仿宋" w:hAnsi="仿宋" w:eastAsia="仿宋" w:cs="仿宋"/>
          <w:b/>
          <w:sz w:val="24"/>
        </w:rPr>
        <w:t>中规定，并以醒目的方式标明</w:t>
      </w:r>
      <w:r>
        <w:rPr>
          <w:rFonts w:hint="eastAsia" w:ascii="仿宋" w:hAnsi="仿宋" w:eastAsia="仿宋" w:cs="仿宋"/>
          <w:sz w:val="24"/>
        </w:rPr>
        <w:t>）</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w:t>
      </w:r>
      <w:r>
        <w:rPr>
          <w:rFonts w:hint="eastAsia" w:ascii="仿宋" w:hAnsi="仿宋" w:eastAsia="仿宋" w:cs="仿宋"/>
          <w:b/>
          <w:bCs/>
          <w:sz w:val="24"/>
          <w:lang w:eastAsia="zh-CN"/>
        </w:rPr>
        <w:t>采购文件</w:t>
      </w:r>
      <w:r>
        <w:rPr>
          <w:rFonts w:hint="eastAsia" w:ascii="仿宋" w:hAnsi="仿宋" w:eastAsia="仿宋" w:cs="仿宋"/>
          <w:b/>
          <w:bCs/>
          <w:sz w:val="24"/>
        </w:rPr>
        <w:t>规定的形式和金额提交投标保证金的；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w:t>
      </w:r>
      <w:r>
        <w:rPr>
          <w:rFonts w:hint="eastAsia" w:ascii="仿宋" w:hAnsi="仿宋" w:eastAsia="仿宋" w:cs="仿宋"/>
          <w:b/>
          <w:bCs/>
          <w:sz w:val="24"/>
          <w:lang w:eastAsia="zh-CN"/>
        </w:rPr>
        <w:t>采购文件</w:t>
      </w:r>
      <w:r>
        <w:rPr>
          <w:rFonts w:hint="eastAsia" w:ascii="仿宋" w:hAnsi="仿宋" w:eastAsia="仿宋" w:cs="仿宋"/>
          <w:b/>
          <w:bCs/>
          <w:sz w:val="24"/>
        </w:rPr>
        <w:t>规定要求签署、盖章的；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w:t>
      </w:r>
      <w:r>
        <w:rPr>
          <w:rFonts w:hint="eastAsia" w:ascii="仿宋" w:hAnsi="仿宋" w:eastAsia="仿宋" w:cs="仿宋"/>
          <w:b/>
          <w:bCs/>
          <w:sz w:val="24"/>
          <w:lang w:eastAsia="zh-CN"/>
        </w:rPr>
        <w:t>采购文件</w:t>
      </w:r>
      <w:r>
        <w:rPr>
          <w:rFonts w:hint="eastAsia" w:ascii="仿宋" w:hAnsi="仿宋" w:eastAsia="仿宋" w:cs="仿宋"/>
          <w:b/>
          <w:bCs/>
          <w:sz w:val="24"/>
        </w:rPr>
        <w:t>中技术条款的实质性要求；</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w:t>
      </w:r>
      <w:r>
        <w:rPr>
          <w:rFonts w:hint="eastAsia" w:ascii="仿宋" w:hAnsi="仿宋" w:eastAsia="仿宋" w:cs="仿宋"/>
          <w:b/>
          <w:bCs/>
          <w:sz w:val="24"/>
          <w:lang w:eastAsia="zh-CN"/>
        </w:rPr>
        <w:t>供应商</w:t>
      </w:r>
      <w:r>
        <w:rPr>
          <w:rFonts w:hint="eastAsia" w:ascii="仿宋" w:hAnsi="仿宋" w:eastAsia="仿宋" w:cs="仿宋"/>
          <w:b/>
          <w:bCs/>
          <w:sz w:val="24"/>
        </w:rPr>
        <w:t>串通投标，或者与招标人串通投标；</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w:t>
      </w:r>
      <w:r>
        <w:rPr>
          <w:rFonts w:hint="eastAsia" w:ascii="仿宋" w:hAnsi="仿宋" w:eastAsia="仿宋" w:cs="仿宋"/>
          <w:b/>
          <w:bCs/>
          <w:sz w:val="24"/>
          <w:lang w:eastAsia="zh-CN"/>
        </w:rPr>
        <w:t>采购文件</w:t>
      </w:r>
      <w:r>
        <w:rPr>
          <w:rFonts w:hint="eastAsia" w:ascii="仿宋" w:hAnsi="仿宋" w:eastAsia="仿宋" w:cs="仿宋"/>
          <w:b/>
          <w:bCs/>
          <w:sz w:val="24"/>
        </w:rPr>
        <w:t>规定的其他投标无效情形；</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w:t>
      </w:r>
      <w:r>
        <w:rPr>
          <w:rFonts w:hint="eastAsia" w:ascii="仿宋" w:hAnsi="仿宋" w:eastAsia="仿宋" w:cs="仿宋"/>
          <w:b/>
          <w:bCs/>
          <w:sz w:val="24"/>
          <w:lang w:eastAsia="zh-CN"/>
        </w:rPr>
        <w:t>供应商</w:t>
      </w:r>
      <w:r>
        <w:rPr>
          <w:rFonts w:hint="eastAsia" w:ascii="仿宋" w:hAnsi="仿宋" w:eastAsia="仿宋" w:cs="仿宋"/>
          <w:b/>
          <w:bCs/>
          <w:sz w:val="24"/>
        </w:rPr>
        <w:t>的报价明显低于其他通过符合性检查</w:t>
      </w:r>
      <w:r>
        <w:rPr>
          <w:rFonts w:hint="eastAsia" w:ascii="仿宋" w:hAnsi="仿宋" w:eastAsia="仿宋" w:cs="仿宋"/>
          <w:b/>
          <w:bCs/>
          <w:sz w:val="24"/>
          <w:lang w:eastAsia="zh-CN"/>
        </w:rPr>
        <w:t>供应商</w:t>
      </w:r>
      <w:r>
        <w:rPr>
          <w:rFonts w:hint="eastAsia" w:ascii="仿宋" w:hAnsi="仿宋" w:eastAsia="仿宋" w:cs="仿宋"/>
          <w:b/>
          <w:bCs/>
          <w:sz w:val="24"/>
        </w:rPr>
        <w:t>的报价，有可能影响履约的，且</w:t>
      </w:r>
      <w:r>
        <w:rPr>
          <w:rFonts w:hint="eastAsia" w:ascii="仿宋" w:hAnsi="仿宋" w:eastAsia="仿宋" w:cs="仿宋"/>
          <w:b/>
          <w:bCs/>
          <w:sz w:val="24"/>
          <w:lang w:eastAsia="zh-CN"/>
        </w:rPr>
        <w:t>供应商</w:t>
      </w:r>
      <w:r>
        <w:rPr>
          <w:rFonts w:hint="eastAsia" w:ascii="仿宋" w:hAnsi="仿宋" w:eastAsia="仿宋" w:cs="仿宋"/>
          <w:b/>
          <w:bCs/>
          <w:sz w:val="24"/>
        </w:rPr>
        <w:t>未按照规定证明其报价合理性的；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3"/>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w:t>
      </w:r>
      <w:r>
        <w:rPr>
          <w:rFonts w:hint="eastAsia" w:ascii="仿宋" w:hAnsi="仿宋" w:eastAsia="仿宋" w:cs="仿宋"/>
          <w:b/>
          <w:bCs/>
          <w:sz w:val="24"/>
          <w:lang w:eastAsia="zh-CN"/>
        </w:rPr>
        <w:t>采购文件</w:t>
      </w:r>
      <w:r>
        <w:rPr>
          <w:rFonts w:hint="eastAsia" w:ascii="仿宋" w:hAnsi="仿宋" w:eastAsia="仿宋" w:cs="仿宋"/>
          <w:b/>
          <w:bCs/>
          <w:sz w:val="24"/>
        </w:rPr>
        <w:t>中规定的其他实质性要求的。</w:t>
      </w:r>
    </w:p>
    <w:p>
      <w:pPr>
        <w:spacing w:line="240" w:lineRule="atLeast"/>
        <w:rPr>
          <w:rFonts w:hint="eastAsia" w:ascii="仿宋" w:hAnsi="仿宋" w:eastAsia="仿宋" w:cs="仿宋"/>
        </w:rPr>
      </w:pPr>
      <w:bookmarkStart w:id="101" w:name="_Toc518923088"/>
      <w:bookmarkStart w:id="102" w:name="_Toc20835"/>
      <w:r>
        <w:rPr>
          <w:rFonts w:hint="eastAsia" w:ascii="仿宋" w:hAnsi="仿宋" w:eastAsia="仿宋" w:cs="仿宋"/>
          <w:b/>
          <w:kern w:val="0"/>
          <w:sz w:val="24"/>
          <w:szCs w:val="20"/>
        </w:rPr>
        <w:t>23</w:t>
      </w:r>
      <w:bookmarkEnd w:id="96"/>
      <w:r>
        <w:rPr>
          <w:rFonts w:hint="eastAsia" w:ascii="仿宋" w:hAnsi="仿宋" w:eastAsia="仿宋" w:cs="仿宋"/>
          <w:b/>
          <w:kern w:val="0"/>
          <w:sz w:val="24"/>
          <w:szCs w:val="20"/>
        </w:rPr>
        <w:t>.比较与评价</w:t>
      </w:r>
      <w:bookmarkEnd w:id="101"/>
      <w:bookmarkEnd w:id="102"/>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w:t>
      </w:r>
      <w:r>
        <w:rPr>
          <w:rFonts w:hint="eastAsia" w:ascii="仿宋" w:hAnsi="仿宋" w:eastAsia="仿宋" w:cs="仿宋"/>
          <w:sz w:val="24"/>
          <w:lang w:eastAsia="zh-CN"/>
        </w:rPr>
        <w:t>采购文件</w:t>
      </w:r>
      <w:r>
        <w:rPr>
          <w:rFonts w:hint="eastAsia" w:ascii="仿宋" w:hAnsi="仿宋" w:eastAsia="仿宋" w:cs="仿宋"/>
          <w:sz w:val="24"/>
        </w:rPr>
        <w:t>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w:t>
      </w:r>
      <w:r>
        <w:rPr>
          <w:rFonts w:hint="eastAsia" w:ascii="仿宋" w:hAnsi="仿宋" w:eastAsia="仿宋" w:cs="仿宋"/>
          <w:sz w:val="24"/>
          <w:lang w:eastAsia="zh-CN"/>
        </w:rPr>
        <w:t>采购文件</w:t>
      </w:r>
      <w:r>
        <w:rPr>
          <w:rFonts w:hint="eastAsia" w:ascii="仿宋" w:hAnsi="仿宋" w:eastAsia="仿宋" w:cs="仿宋"/>
          <w:sz w:val="24"/>
        </w:rPr>
        <w:t>的要求和条件进行。根据实际情况，在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4"/>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w:t>
      </w:r>
      <w:r>
        <w:rPr>
          <w:rFonts w:hint="eastAsia" w:ascii="仿宋" w:hAnsi="仿宋" w:eastAsia="仿宋" w:cs="仿宋"/>
          <w:sz w:val="24"/>
          <w:szCs w:val="24"/>
          <w:lang w:eastAsia="zh-CN"/>
        </w:rPr>
        <w:t>采购文件</w:t>
      </w:r>
      <w:r>
        <w:rPr>
          <w:rFonts w:hint="eastAsia" w:ascii="仿宋" w:hAnsi="仿宋" w:eastAsia="仿宋" w:cs="仿宋"/>
          <w:sz w:val="24"/>
          <w:szCs w:val="24"/>
        </w:rPr>
        <w:t>全部实质性要求，且投标报价最低的</w:t>
      </w:r>
      <w:r>
        <w:rPr>
          <w:rFonts w:hint="eastAsia" w:ascii="仿宋" w:hAnsi="仿宋" w:eastAsia="仿宋" w:cs="仿宋"/>
          <w:sz w:val="24"/>
          <w:szCs w:val="24"/>
          <w:lang w:eastAsia="zh-CN"/>
        </w:rPr>
        <w:t>供应商</w:t>
      </w:r>
      <w:r>
        <w:rPr>
          <w:rFonts w:hint="eastAsia" w:ascii="仿宋" w:hAnsi="仿宋" w:eastAsia="仿宋" w:cs="仿宋"/>
          <w:sz w:val="24"/>
          <w:szCs w:val="24"/>
        </w:rPr>
        <w:t>为中标候选人的评标方法。</w:t>
      </w:r>
    </w:p>
    <w:p>
      <w:pPr>
        <w:pStyle w:val="14"/>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w:t>
      </w:r>
      <w:r>
        <w:rPr>
          <w:rFonts w:hint="eastAsia" w:ascii="仿宋" w:hAnsi="仿宋" w:eastAsia="仿宋" w:cs="仿宋"/>
          <w:sz w:val="24"/>
          <w:szCs w:val="24"/>
          <w:lang w:eastAsia="zh-CN"/>
        </w:rPr>
        <w:t>采购文件</w:t>
      </w:r>
      <w:r>
        <w:rPr>
          <w:rFonts w:hint="eastAsia" w:ascii="仿宋" w:hAnsi="仿宋" w:eastAsia="仿宋" w:cs="仿宋"/>
          <w:sz w:val="24"/>
          <w:szCs w:val="24"/>
        </w:rPr>
        <w:t>全部实质性要求，且按照评审因素的量化指标评审得分最高的</w:t>
      </w:r>
      <w:r>
        <w:rPr>
          <w:rFonts w:hint="eastAsia" w:ascii="仿宋" w:hAnsi="仿宋" w:eastAsia="仿宋" w:cs="仿宋"/>
          <w:sz w:val="24"/>
          <w:szCs w:val="24"/>
          <w:lang w:eastAsia="zh-CN"/>
        </w:rPr>
        <w:t>供应商</w:t>
      </w:r>
      <w:r>
        <w:rPr>
          <w:rFonts w:hint="eastAsia" w:ascii="仿宋" w:hAnsi="仿宋" w:eastAsia="仿宋" w:cs="仿宋"/>
          <w:sz w:val="24"/>
          <w:szCs w:val="24"/>
        </w:rPr>
        <w:t>为中标候选人的评标方法。</w:t>
      </w:r>
    </w:p>
    <w:p>
      <w:pPr>
        <w:pStyle w:val="14"/>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23.3   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03" w:name="sendNo"/>
      <w:r>
        <w:rPr>
          <w:rFonts w:hint="eastAsia" w:ascii="仿宋" w:hAnsi="仿宋" w:eastAsia="仿宋" w:cs="仿宋"/>
          <w:bCs/>
          <w:sz w:val="24"/>
          <w:szCs w:val="24"/>
        </w:rPr>
        <w:t>财库〔</w:t>
      </w:r>
      <w:bookmarkEnd w:id="103"/>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w:t>
      </w:r>
      <w:r>
        <w:rPr>
          <w:rFonts w:hint="eastAsia" w:ascii="仿宋" w:hAnsi="仿宋" w:eastAsia="仿宋" w:cs="仿宋"/>
          <w:sz w:val="24"/>
          <w:szCs w:val="24"/>
          <w:lang w:eastAsia="zh-CN"/>
        </w:rPr>
        <w:t>供应商</w:t>
      </w:r>
      <w:r>
        <w:rPr>
          <w:rFonts w:hint="eastAsia" w:ascii="仿宋" w:hAnsi="仿宋" w:eastAsia="仿宋" w:cs="仿宋"/>
          <w:sz w:val="24"/>
          <w:szCs w:val="24"/>
        </w:rPr>
        <w:t>企业类型声明函》或省级以上监狱管理局、戒毒管理局（含新疆生产建设兵团）出具的属于监狱企业的证明文件的</w:t>
      </w:r>
      <w:r>
        <w:rPr>
          <w:rFonts w:hint="eastAsia" w:ascii="仿宋" w:hAnsi="仿宋" w:eastAsia="仿宋" w:cs="仿宋"/>
          <w:sz w:val="24"/>
          <w:szCs w:val="24"/>
          <w:lang w:eastAsia="zh-CN"/>
        </w:rPr>
        <w:t>供应商</w:t>
      </w:r>
      <w:r>
        <w:rPr>
          <w:rFonts w:hint="eastAsia" w:ascii="仿宋" w:hAnsi="仿宋" w:eastAsia="仿宋" w:cs="仿宋"/>
          <w:sz w:val="24"/>
          <w:szCs w:val="24"/>
        </w:rPr>
        <w:t>，其投标报价扣除6-10%后参与评审。具体办法详见</w:t>
      </w:r>
      <w:r>
        <w:rPr>
          <w:rFonts w:hint="eastAsia" w:ascii="仿宋" w:hAnsi="仿宋" w:eastAsia="仿宋" w:cs="仿宋"/>
          <w:sz w:val="24"/>
          <w:szCs w:val="24"/>
          <w:lang w:eastAsia="zh-CN"/>
        </w:rPr>
        <w:t>采购文件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4"/>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5"/>
        <w:spacing w:before="0" w:after="0" w:line="240" w:lineRule="atLeast"/>
        <w:rPr>
          <w:rFonts w:hint="eastAsia" w:ascii="仿宋" w:hAnsi="仿宋" w:eastAsia="仿宋" w:cs="仿宋"/>
          <w:u w:val="none"/>
        </w:rPr>
      </w:pPr>
      <w:bookmarkStart w:id="104" w:name="_Toc520356168"/>
      <w:bookmarkStart w:id="105" w:name="_Toc518923089"/>
      <w:bookmarkStart w:id="106" w:name="_Toc5823"/>
      <w:r>
        <w:rPr>
          <w:rFonts w:hint="eastAsia" w:ascii="仿宋" w:hAnsi="仿宋" w:eastAsia="仿宋" w:cs="仿宋"/>
          <w:u w:val="none"/>
        </w:rPr>
        <w:t>24</w:t>
      </w:r>
      <w:bookmarkEnd w:id="104"/>
      <w:r>
        <w:rPr>
          <w:rFonts w:hint="eastAsia" w:ascii="仿宋" w:hAnsi="仿宋" w:eastAsia="仿宋" w:cs="仿宋"/>
          <w:u w:val="none"/>
        </w:rPr>
        <w:t>.废标</w:t>
      </w:r>
      <w:bookmarkEnd w:id="105"/>
      <w:bookmarkEnd w:id="106"/>
    </w:p>
    <w:p>
      <w:pPr>
        <w:spacing w:line="240" w:lineRule="atLeast"/>
        <w:ind w:left="898"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w:t>
      </w:r>
      <w:r>
        <w:rPr>
          <w:rFonts w:hint="eastAsia" w:ascii="仿宋" w:hAnsi="仿宋" w:eastAsia="仿宋" w:cs="仿宋"/>
          <w:sz w:val="24"/>
          <w:lang w:eastAsia="zh-CN"/>
        </w:rPr>
        <w:t>采购文件</w:t>
      </w:r>
      <w:r>
        <w:rPr>
          <w:rFonts w:hint="eastAsia" w:ascii="仿宋" w:hAnsi="仿宋" w:eastAsia="仿宋" w:cs="仿宋"/>
          <w:sz w:val="24"/>
        </w:rPr>
        <w:t>做实质性响应的供应商不足三家；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供应商</w:t>
      </w:r>
      <w:r>
        <w:rPr>
          <w:rFonts w:hint="eastAsia" w:ascii="仿宋" w:hAnsi="仿宋" w:eastAsia="仿宋" w:cs="仿宋"/>
          <w:sz w:val="24"/>
        </w:rPr>
        <w:t>的报价均超过了采购预算，采购人不能支付的；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5"/>
        <w:spacing w:before="0" w:after="0" w:line="240" w:lineRule="atLeast"/>
        <w:rPr>
          <w:rFonts w:hint="eastAsia" w:ascii="仿宋" w:hAnsi="仿宋" w:eastAsia="仿宋" w:cs="仿宋"/>
          <w:u w:val="none"/>
        </w:rPr>
      </w:pPr>
      <w:bookmarkStart w:id="107" w:name="_Toc23660"/>
      <w:bookmarkStart w:id="108" w:name="_Toc518923090"/>
      <w:bookmarkStart w:id="109" w:name="_Toc520356169"/>
      <w:r>
        <w:rPr>
          <w:rFonts w:hint="eastAsia" w:ascii="仿宋" w:hAnsi="仿宋" w:eastAsia="仿宋" w:cs="仿宋"/>
          <w:u w:val="none"/>
        </w:rPr>
        <w:t>25.保密原则</w:t>
      </w:r>
      <w:bookmarkEnd w:id="107"/>
      <w:bookmarkEnd w:id="10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bookmarkStart w:id="110" w:name="_Toc518923091"/>
      <w:bookmarkStart w:id="111" w:name="_Toc216582810"/>
      <w:bookmarkStart w:id="112" w:name="_Toc10964"/>
      <w:r>
        <w:rPr>
          <w:rFonts w:hint="eastAsia" w:ascii="仿宋" w:hAnsi="仿宋" w:eastAsia="仿宋" w:cs="仿宋"/>
          <w:sz w:val="24"/>
        </w:rPr>
        <w:t xml:space="preserve">六   </w:t>
      </w:r>
      <w:bookmarkEnd w:id="109"/>
      <w:r>
        <w:rPr>
          <w:rFonts w:hint="eastAsia" w:ascii="仿宋" w:hAnsi="仿宋" w:eastAsia="仿宋" w:cs="仿宋"/>
          <w:sz w:val="24"/>
        </w:rPr>
        <w:t>确定中标</w:t>
      </w:r>
      <w:bookmarkEnd w:id="110"/>
      <w:bookmarkEnd w:id="111"/>
      <w:bookmarkEnd w:id="112"/>
    </w:p>
    <w:p>
      <w:pPr>
        <w:pStyle w:val="8"/>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113" w:name="_Toc32578"/>
      <w:bookmarkStart w:id="114" w:name="_Toc520356170"/>
      <w:bookmarkStart w:id="115" w:name="_Toc518923092"/>
      <w:bookmarkStart w:id="116" w:name="_Ref467307010"/>
      <w:r>
        <w:rPr>
          <w:rFonts w:hint="eastAsia" w:ascii="仿宋" w:hAnsi="仿宋" w:eastAsia="仿宋" w:cs="仿宋"/>
          <w:u w:val="none"/>
        </w:rPr>
        <w:t>26.中标候选人的确定原则及标准</w:t>
      </w:r>
      <w:bookmarkEnd w:id="113"/>
      <w:bookmarkEnd w:id="114"/>
      <w:bookmarkEnd w:id="115"/>
      <w:bookmarkEnd w:id="1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w:t>
      </w:r>
      <w:r>
        <w:rPr>
          <w:rFonts w:hint="eastAsia" w:ascii="仿宋" w:hAnsi="仿宋" w:eastAsia="仿宋" w:cs="仿宋"/>
          <w:sz w:val="24"/>
          <w:lang w:eastAsia="zh-CN"/>
        </w:rPr>
        <w:t>采购文件</w:t>
      </w:r>
      <w:r>
        <w:rPr>
          <w:rFonts w:hint="eastAsia" w:ascii="仿宋" w:hAnsi="仿宋" w:eastAsia="仿宋" w:cs="仿宋"/>
          <w:sz w:val="24"/>
        </w:rPr>
        <w:t>的</w:t>
      </w:r>
      <w:r>
        <w:rPr>
          <w:rFonts w:hint="eastAsia" w:ascii="仿宋" w:hAnsi="仿宋" w:eastAsia="仿宋" w:cs="仿宋"/>
          <w:sz w:val="24"/>
          <w:lang w:eastAsia="zh-CN"/>
        </w:rPr>
        <w:t>供应商</w:t>
      </w:r>
      <w:r>
        <w:rPr>
          <w:rFonts w:hint="eastAsia" w:ascii="仿宋" w:hAnsi="仿宋" w:eastAsia="仿宋" w:cs="仿宋"/>
          <w:sz w:val="24"/>
        </w:rPr>
        <w:t>按下列方法进行排序，确定中标候选人：</w:t>
      </w:r>
    </w:p>
    <w:p>
      <w:pPr>
        <w:spacing w:line="240" w:lineRule="atLeast"/>
        <w:ind w:left="901"/>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w:t>
      </w:r>
      <w:r>
        <w:rPr>
          <w:rFonts w:hint="eastAsia" w:ascii="仿宋" w:hAnsi="仿宋" w:eastAsia="仿宋" w:cs="仿宋"/>
          <w:sz w:val="24"/>
          <w:lang w:eastAsia="zh-CN"/>
        </w:rPr>
        <w:t>供应商</w:t>
      </w:r>
      <w:r>
        <w:rPr>
          <w:rFonts w:hint="eastAsia" w:ascii="仿宋" w:hAnsi="仿宋" w:eastAsia="仿宋" w:cs="仿宋"/>
          <w:sz w:val="24"/>
        </w:rPr>
        <w:t>的投标价格进行任何调整。评标结果按修正和扣除后的投标报价由低到高顺序排列。报价相同的处理方式详见</w:t>
      </w:r>
      <w:r>
        <w:rPr>
          <w:rFonts w:hint="eastAsia" w:ascii="仿宋" w:hAnsi="仿宋" w:eastAsia="仿宋" w:cs="仿宋"/>
          <w:sz w:val="24"/>
          <w:lang w:eastAsia="zh-CN"/>
        </w:rPr>
        <w:t>采购文件四、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w:t>
      </w:r>
      <w:r>
        <w:rPr>
          <w:rFonts w:hint="eastAsia" w:ascii="仿宋" w:hAnsi="仿宋" w:eastAsia="仿宋" w:cs="仿宋"/>
          <w:sz w:val="24"/>
          <w:lang w:eastAsia="zh-CN"/>
        </w:rPr>
        <w:t>采购文件</w:t>
      </w:r>
      <w:r>
        <w:rPr>
          <w:rFonts w:hint="eastAsia" w:ascii="仿宋" w:hAnsi="仿宋" w:eastAsia="仿宋" w:cs="仿宋"/>
          <w:sz w:val="24"/>
        </w:rPr>
        <w:t>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p>
    <w:p>
      <w:pPr>
        <w:pStyle w:val="5"/>
        <w:spacing w:before="0" w:after="0" w:line="240" w:lineRule="atLeast"/>
        <w:rPr>
          <w:rFonts w:hint="eastAsia" w:ascii="仿宋" w:hAnsi="仿宋" w:eastAsia="仿宋" w:cs="仿宋"/>
          <w:u w:val="none"/>
        </w:rPr>
      </w:pPr>
      <w:bookmarkStart w:id="117" w:name="_Toc520356171"/>
      <w:bookmarkStart w:id="118" w:name="_Toc518923093"/>
      <w:bookmarkStart w:id="119" w:name="_Toc10555"/>
      <w:r>
        <w:rPr>
          <w:rFonts w:hint="eastAsia" w:ascii="仿宋" w:hAnsi="仿宋" w:eastAsia="仿宋" w:cs="仿宋"/>
          <w:u w:val="none"/>
        </w:rPr>
        <w:t>27</w:t>
      </w:r>
      <w:bookmarkEnd w:id="117"/>
      <w:r>
        <w:rPr>
          <w:rFonts w:hint="eastAsia" w:ascii="仿宋" w:hAnsi="仿宋" w:eastAsia="仿宋" w:cs="仿宋"/>
          <w:u w:val="none"/>
        </w:rPr>
        <w:t>.确定中标候选人和中标人</w:t>
      </w:r>
      <w:bookmarkEnd w:id="118"/>
      <w:bookmarkEnd w:id="11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须知资料表中</w:t>
      </w:r>
      <w:r>
        <w:rPr>
          <w:rFonts w:hint="eastAsia" w:ascii="仿宋" w:hAnsi="仿宋" w:eastAsia="仿宋" w:cs="仿宋"/>
          <w:sz w:val="24"/>
        </w:rPr>
        <w:t>规定数量推荐中标候选人；或根据采购人的委托，直接确定中标人。</w:t>
      </w:r>
    </w:p>
    <w:p>
      <w:pPr>
        <w:pStyle w:val="5"/>
        <w:tabs>
          <w:tab w:val="left" w:pos="900"/>
        </w:tabs>
        <w:spacing w:before="0" w:after="0" w:line="240" w:lineRule="atLeast"/>
        <w:rPr>
          <w:rFonts w:hint="eastAsia" w:ascii="仿宋" w:hAnsi="仿宋" w:eastAsia="仿宋" w:cs="仿宋"/>
          <w:u w:val="none"/>
        </w:rPr>
      </w:pPr>
      <w:bookmarkStart w:id="120" w:name="_Ref467306874"/>
      <w:bookmarkStart w:id="121" w:name="_Toc520356173"/>
      <w:bookmarkStart w:id="122" w:name="_Toc518923094"/>
      <w:bookmarkStart w:id="123" w:name="_Toc17138"/>
      <w:r>
        <w:rPr>
          <w:rFonts w:hint="eastAsia" w:ascii="仿宋" w:hAnsi="仿宋" w:eastAsia="仿宋" w:cs="仿宋"/>
          <w:u w:val="none"/>
        </w:rPr>
        <w:t>28</w:t>
      </w:r>
      <w:bookmarkEnd w:id="120"/>
      <w:bookmarkEnd w:id="121"/>
      <w:r>
        <w:rPr>
          <w:rFonts w:hint="eastAsia" w:ascii="仿宋" w:hAnsi="仿宋" w:eastAsia="仿宋" w:cs="仿宋"/>
          <w:u w:val="none"/>
        </w:rPr>
        <w:t>.采购任务取消</w:t>
      </w:r>
      <w:bookmarkEnd w:id="122"/>
      <w:bookmarkEnd w:id="1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w:t>
      </w:r>
      <w:r>
        <w:rPr>
          <w:rFonts w:hint="eastAsia" w:ascii="仿宋" w:hAnsi="仿宋" w:eastAsia="仿宋" w:cs="仿宋"/>
          <w:sz w:val="24"/>
          <w:lang w:eastAsia="zh-CN"/>
        </w:rPr>
        <w:t>供应商</w:t>
      </w:r>
      <w:r>
        <w:rPr>
          <w:rFonts w:hint="eastAsia" w:ascii="仿宋" w:hAnsi="仿宋" w:eastAsia="仿宋" w:cs="仿宋"/>
          <w:sz w:val="24"/>
        </w:rPr>
        <w:t>中标，且对受影响的</w:t>
      </w:r>
      <w:r>
        <w:rPr>
          <w:rFonts w:hint="eastAsia" w:ascii="仿宋" w:hAnsi="仿宋" w:eastAsia="仿宋" w:cs="仿宋"/>
          <w:sz w:val="24"/>
          <w:lang w:eastAsia="zh-CN"/>
        </w:rPr>
        <w:t>供应商</w:t>
      </w:r>
      <w:r>
        <w:rPr>
          <w:rFonts w:hint="eastAsia" w:ascii="仿宋" w:hAnsi="仿宋" w:eastAsia="仿宋" w:cs="仿宋"/>
          <w:sz w:val="24"/>
        </w:rPr>
        <w:t>不承担任何责任。</w:t>
      </w:r>
      <w:bookmarkStart w:id="124" w:name="_Toc520356174"/>
    </w:p>
    <w:p>
      <w:pPr>
        <w:pStyle w:val="5"/>
        <w:spacing w:before="0" w:after="0" w:line="240" w:lineRule="atLeast"/>
        <w:rPr>
          <w:rFonts w:hint="eastAsia" w:ascii="仿宋" w:hAnsi="仿宋" w:eastAsia="仿宋" w:cs="仿宋"/>
          <w:u w:val="none"/>
          <w:lang w:eastAsia="zh-CN"/>
        </w:rPr>
      </w:pPr>
      <w:bookmarkStart w:id="125" w:name="_Toc18072"/>
      <w:bookmarkStart w:id="126" w:name="_Toc518923095"/>
      <w:r>
        <w:rPr>
          <w:rFonts w:hint="eastAsia" w:ascii="仿宋" w:hAnsi="仿宋" w:eastAsia="仿宋" w:cs="仿宋"/>
          <w:u w:val="none"/>
        </w:rPr>
        <w:t>29.中标通知书</w:t>
      </w:r>
      <w:bookmarkEnd w:id="124"/>
      <w:r>
        <w:rPr>
          <w:rFonts w:hint="eastAsia" w:ascii="仿宋" w:hAnsi="仿宋" w:eastAsia="仿宋" w:cs="仿宋"/>
          <w:u w:val="none"/>
        </w:rPr>
        <w:t>和招标结果</w:t>
      </w:r>
      <w:bookmarkEnd w:id="125"/>
      <w:bookmarkEnd w:id="126"/>
      <w:r>
        <w:rPr>
          <w:rFonts w:hint="eastAsia" w:ascii="仿宋" w:hAnsi="仿宋" w:eastAsia="仿宋" w:cs="仿宋"/>
          <w:u w:val="none"/>
          <w:lang w:eastAsia="zh-CN"/>
        </w:rPr>
        <w:t>公示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29.3   </w:t>
      </w:r>
      <w:r>
        <w:rPr>
          <w:rFonts w:hint="eastAsia" w:ascii="仿宋" w:hAnsi="仿宋" w:eastAsia="仿宋" w:cs="仿宋"/>
          <w:sz w:val="24"/>
          <w:highlight w:val="none"/>
        </w:rPr>
        <w:t xml:space="preserve"> 招标结果</w:t>
      </w:r>
      <w:r>
        <w:rPr>
          <w:rFonts w:hint="eastAsia" w:ascii="仿宋" w:hAnsi="仿宋" w:eastAsia="仿宋" w:cs="仿宋"/>
          <w:sz w:val="24"/>
          <w:highlight w:val="none"/>
          <w:lang w:eastAsia="zh-CN"/>
        </w:rPr>
        <w:t>公告</w:t>
      </w:r>
      <w:r>
        <w:rPr>
          <w:rFonts w:hint="eastAsia" w:ascii="仿宋" w:hAnsi="仿宋" w:eastAsia="仿宋" w:cs="仿宋"/>
          <w:sz w:val="24"/>
          <w:highlight w:val="none"/>
        </w:rPr>
        <w:t>和中标通知书同时发出。</w:t>
      </w:r>
    </w:p>
    <w:p>
      <w:pPr>
        <w:pStyle w:val="5"/>
        <w:spacing w:before="0" w:after="0" w:line="240" w:lineRule="atLeast"/>
        <w:rPr>
          <w:rFonts w:hint="eastAsia" w:ascii="仿宋" w:hAnsi="仿宋" w:eastAsia="仿宋" w:cs="仿宋"/>
          <w:u w:val="none"/>
        </w:rPr>
      </w:pPr>
      <w:bookmarkStart w:id="127" w:name="_Toc16952"/>
      <w:bookmarkStart w:id="128" w:name="_Ref467307062"/>
      <w:bookmarkStart w:id="129" w:name="_Ref467306978"/>
      <w:bookmarkStart w:id="130" w:name="_Toc520356175"/>
      <w:bookmarkStart w:id="131" w:name="_Toc518923096"/>
      <w:bookmarkStart w:id="132" w:name="_Ref467306377"/>
      <w:bookmarkStart w:id="133" w:name="_Ref467307204"/>
      <w:r>
        <w:rPr>
          <w:rFonts w:hint="eastAsia" w:ascii="仿宋" w:hAnsi="仿宋" w:eastAsia="仿宋" w:cs="仿宋"/>
          <w:u w:val="none"/>
        </w:rPr>
        <w:t>30.签订合同</w:t>
      </w:r>
      <w:bookmarkEnd w:id="127"/>
      <w:bookmarkEnd w:id="128"/>
      <w:bookmarkEnd w:id="129"/>
      <w:bookmarkEnd w:id="130"/>
      <w:bookmarkEnd w:id="131"/>
      <w:bookmarkEnd w:id="132"/>
      <w:bookmarkEnd w:id="13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4" w:name="_Ref467307090"/>
      <w:bookmarkStart w:id="135" w:name="_Toc520356176"/>
      <w:bookmarkStart w:id="136" w:name="_Ref467306425"/>
      <w:r>
        <w:rPr>
          <w:rFonts w:hint="eastAsia" w:ascii="仿宋" w:hAnsi="仿宋" w:eastAsia="仿宋" w:cs="仿宋"/>
          <w:sz w:val="24"/>
          <w:lang w:eastAsia="zh-CN"/>
        </w:rPr>
        <w:t>采购文件</w:t>
      </w:r>
      <w:r>
        <w:rPr>
          <w:rFonts w:hint="eastAsia" w:ascii="仿宋" w:hAnsi="仿宋" w:eastAsia="仿宋" w:cs="仿宋"/>
          <w:sz w:val="24"/>
        </w:rPr>
        <w:t>、中标人的投标文件及其澄清文件等，均为签订合同的依据。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rPr>
          <w:rFonts w:hint="eastAsia" w:ascii="仿宋" w:hAnsi="仿宋" w:eastAsia="仿宋" w:cs="仿宋"/>
          <w:u w:val="none"/>
        </w:rPr>
      </w:pPr>
      <w:bookmarkStart w:id="137" w:name="_Toc518923097"/>
      <w:bookmarkStart w:id="138" w:name="_Toc4302"/>
      <w:r>
        <w:rPr>
          <w:rFonts w:hint="eastAsia" w:ascii="仿宋" w:hAnsi="仿宋" w:eastAsia="仿宋" w:cs="仿宋"/>
          <w:u w:val="none"/>
        </w:rPr>
        <w:t>31.履约保证金</w:t>
      </w:r>
      <w:bookmarkEnd w:id="134"/>
      <w:bookmarkEnd w:id="135"/>
      <w:bookmarkEnd w:id="136"/>
      <w:bookmarkEnd w:id="137"/>
      <w:bookmarkEnd w:id="13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rPr>
          <w:rFonts w:hint="eastAsia" w:ascii="仿宋" w:hAnsi="仿宋" w:eastAsia="仿宋" w:cs="仿宋"/>
          <w:u w:val="none"/>
        </w:rPr>
      </w:pPr>
      <w:bookmarkStart w:id="139" w:name="_Toc518923098"/>
      <w:bookmarkStart w:id="140" w:name="_Toc8476"/>
      <w:r>
        <w:rPr>
          <w:rFonts w:hint="eastAsia" w:ascii="仿宋" w:hAnsi="仿宋" w:eastAsia="仿宋" w:cs="仿宋"/>
          <w:u w:val="none"/>
        </w:rPr>
        <w:t>32.中标服务费</w:t>
      </w:r>
      <w:bookmarkEnd w:id="139"/>
      <w:bookmarkEnd w:id="140"/>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rPr>
          <w:rFonts w:hint="eastAsia" w:ascii="仿宋" w:hAnsi="仿宋" w:eastAsia="仿宋" w:cs="仿宋"/>
          <w:u w:val="none"/>
        </w:rPr>
      </w:pPr>
      <w:bookmarkStart w:id="141" w:name="_Toc518923099"/>
      <w:bookmarkStart w:id="142" w:name="_Toc31411"/>
      <w:r>
        <w:rPr>
          <w:rFonts w:hint="eastAsia" w:ascii="仿宋" w:hAnsi="仿宋" w:eastAsia="仿宋" w:cs="仿宋"/>
          <w:u w:val="none"/>
        </w:rPr>
        <w:t>33.政府采购信用担保</w:t>
      </w:r>
      <w:bookmarkEnd w:id="141"/>
      <w:bookmarkEnd w:id="142"/>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w:t>
      </w:r>
      <w:r>
        <w:rPr>
          <w:rFonts w:hint="eastAsia" w:ascii="仿宋" w:hAnsi="仿宋" w:eastAsia="仿宋" w:cs="仿宋"/>
          <w:sz w:val="24"/>
          <w:lang w:eastAsia="zh-CN"/>
        </w:rPr>
        <w:t>供应商</w:t>
      </w:r>
      <w:r>
        <w:rPr>
          <w:rFonts w:hint="eastAsia" w:ascii="仿宋" w:hAnsi="仿宋" w:eastAsia="仿宋" w:cs="仿宋"/>
          <w:sz w:val="24"/>
        </w:rPr>
        <w:t>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33.2.1 </w:t>
      </w:r>
      <w:r>
        <w:rPr>
          <w:rFonts w:hint="eastAsia" w:ascii="仿宋" w:hAnsi="仿宋" w:eastAsia="仿宋" w:cs="仿宋"/>
          <w:sz w:val="24"/>
          <w:lang w:eastAsia="zh-CN"/>
        </w:rPr>
        <w:t>供应商</w:t>
      </w:r>
      <w:r>
        <w:rPr>
          <w:rFonts w:hint="eastAsia" w:ascii="仿宋" w:hAnsi="仿宋" w:eastAsia="仿宋" w:cs="仿宋"/>
          <w:sz w:val="24"/>
        </w:rPr>
        <w:t>递交的投标担保函和履约担保函应符合本</w:t>
      </w:r>
      <w:r>
        <w:rPr>
          <w:rFonts w:hint="eastAsia" w:ascii="仿宋" w:hAnsi="仿宋" w:eastAsia="仿宋" w:cs="仿宋"/>
          <w:sz w:val="24"/>
          <w:lang w:eastAsia="zh-CN"/>
        </w:rPr>
        <w:t>采购文件</w:t>
      </w:r>
      <w:r>
        <w:rPr>
          <w:rFonts w:hint="eastAsia" w:ascii="仿宋" w:hAnsi="仿宋" w:eastAsia="仿宋" w:cs="仿宋"/>
          <w:sz w:val="24"/>
        </w:rPr>
        <w:t>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43" w:name="_Toc4701"/>
      <w:bookmarkStart w:id="144" w:name="_Toc518923100"/>
      <w:r>
        <w:rPr>
          <w:rFonts w:hint="eastAsia" w:ascii="仿宋" w:hAnsi="仿宋" w:eastAsia="仿宋" w:cs="仿宋"/>
          <w:u w:val="none"/>
        </w:rPr>
        <w:t>34.廉洁自律规定</w:t>
      </w:r>
      <w:bookmarkEnd w:id="143"/>
      <w:bookmarkEnd w:id="14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须知资料表中的</w:t>
      </w:r>
      <w:r>
        <w:rPr>
          <w:rFonts w:hint="eastAsia" w:ascii="仿宋" w:hAnsi="仿宋" w:eastAsia="仿宋" w:cs="仿宋"/>
          <w:sz w:val="24"/>
        </w:rPr>
        <w:t>监督电话和信箱，反映采购代理机构的廉洁自律等问题。</w:t>
      </w:r>
    </w:p>
    <w:p>
      <w:pPr>
        <w:pStyle w:val="5"/>
        <w:spacing w:before="0" w:after="0" w:line="240" w:lineRule="atLeast"/>
        <w:rPr>
          <w:rFonts w:hint="eastAsia" w:ascii="仿宋" w:hAnsi="仿宋" w:eastAsia="仿宋" w:cs="仿宋"/>
          <w:u w:val="none"/>
        </w:rPr>
      </w:pPr>
      <w:bookmarkStart w:id="145" w:name="_Toc518923101"/>
      <w:bookmarkStart w:id="146" w:name="_Toc21055"/>
      <w:r>
        <w:rPr>
          <w:rFonts w:hint="eastAsia" w:ascii="仿宋" w:hAnsi="仿宋" w:eastAsia="仿宋" w:cs="仿宋"/>
          <w:u w:val="none"/>
        </w:rPr>
        <w:t>35.人员回避</w:t>
      </w:r>
      <w:bookmarkEnd w:id="145"/>
      <w:bookmarkEnd w:id="14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认为采购人员及其相关人员有法律法规所列与其他供应商有利害关系的，可以向采购人或采购代理机构书面提出回避申请，并说明理由。</w:t>
      </w:r>
    </w:p>
    <w:p>
      <w:pPr>
        <w:pStyle w:val="5"/>
        <w:spacing w:before="0" w:after="0" w:line="240" w:lineRule="atLeast"/>
        <w:rPr>
          <w:rFonts w:hint="eastAsia" w:ascii="仿宋" w:hAnsi="仿宋" w:eastAsia="仿宋" w:cs="仿宋"/>
          <w:u w:val="none"/>
        </w:rPr>
      </w:pPr>
      <w:bookmarkStart w:id="147" w:name="_Toc518923102"/>
      <w:bookmarkStart w:id="148" w:name="_Toc24931"/>
      <w:r>
        <w:rPr>
          <w:rFonts w:hint="eastAsia" w:ascii="仿宋" w:hAnsi="仿宋" w:eastAsia="仿宋" w:cs="仿宋"/>
          <w:u w:val="none"/>
        </w:rPr>
        <w:t>36.质疑与接收</w:t>
      </w:r>
      <w:bookmarkEnd w:id="147"/>
      <w:bookmarkEnd w:id="148"/>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 xml:space="preserve">36.1  </w:t>
      </w:r>
      <w:r>
        <w:rPr>
          <w:rFonts w:hint="eastAsia" w:ascii="仿宋" w:hAnsi="仿宋" w:eastAsia="仿宋" w:cs="仿宋"/>
          <w:sz w:val="24"/>
          <w:lang w:eastAsia="zh-CN"/>
        </w:rPr>
        <w:t>供应商</w:t>
      </w:r>
      <w:r>
        <w:rPr>
          <w:rFonts w:hint="eastAsia" w:ascii="仿宋" w:hAnsi="仿宋" w:eastAsia="仿宋" w:cs="仿宋"/>
          <w:sz w:val="24"/>
        </w:rPr>
        <w:t>认为</w:t>
      </w:r>
      <w:r>
        <w:rPr>
          <w:rFonts w:hint="eastAsia" w:ascii="仿宋" w:hAnsi="仿宋" w:eastAsia="仿宋" w:cs="仿宋"/>
          <w:sz w:val="24"/>
          <w:lang w:eastAsia="zh-CN"/>
        </w:rPr>
        <w:t>采购文件</w:t>
      </w:r>
      <w:r>
        <w:rPr>
          <w:rFonts w:hint="eastAsia" w:ascii="仿宋" w:hAnsi="仿宋" w:eastAsia="仿宋" w:cs="仿宋"/>
          <w:sz w:val="24"/>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p>
    <w:p>
      <w:pPr>
        <w:rPr>
          <w:rFonts w:hint="eastAsia" w:ascii="仿宋" w:hAnsi="仿宋" w:eastAsia="仿宋" w:cs="仿宋"/>
          <w:sz w:val="24"/>
        </w:rPr>
      </w:pPr>
      <w:r>
        <w:rPr>
          <w:rFonts w:hint="eastAsia" w:ascii="仿宋" w:hAnsi="仿宋" w:eastAsia="仿宋" w:cs="仿宋"/>
          <w:sz w:val="24"/>
        </w:rPr>
        <w:br w:type="page"/>
      </w:r>
    </w:p>
    <w:p>
      <w:pPr>
        <w:pStyle w:val="42"/>
        <w:rPr>
          <w:rFonts w:hint="eastAsia"/>
        </w:rPr>
      </w:pPr>
    </w:p>
    <w:p>
      <w:pPr>
        <w:pStyle w:val="4"/>
        <w:spacing w:before="0" w:line="240" w:lineRule="atLeast"/>
        <w:ind w:left="1080" w:leftChars="257" w:hanging="540"/>
        <w:rPr>
          <w:rFonts w:hint="eastAsia" w:ascii="仿宋" w:hAnsi="仿宋" w:eastAsia="仿宋" w:cs="仿宋"/>
          <w:szCs w:val="24"/>
        </w:rPr>
      </w:pPr>
      <w:bookmarkStart w:id="149" w:name="_Toc27788"/>
      <w:bookmarkStart w:id="150" w:name="_Toc518923104"/>
      <w:r>
        <w:rPr>
          <w:rFonts w:hint="eastAsia" w:ascii="仿宋" w:hAnsi="仿宋" w:eastAsia="仿宋" w:cs="仿宋"/>
          <w:szCs w:val="24"/>
        </w:rPr>
        <w:t>附件2：履约担保函格式</w:t>
      </w:r>
      <w:bookmarkEnd w:id="149"/>
      <w:bookmarkEnd w:id="150"/>
    </w:p>
    <w:p>
      <w:pPr>
        <w:keepNext/>
        <w:keepLines/>
        <w:pageBreakBefore w:val="0"/>
        <w:widowControl w:val="0"/>
        <w:kinsoku/>
        <w:wordWrap/>
        <w:overflowPunct/>
        <w:topLinePunct w:val="0"/>
        <w:autoSpaceDE w:val="0"/>
        <w:autoSpaceDN w:val="0"/>
        <w:bidi w:val="0"/>
        <w:adjustRightInd w:val="0"/>
        <w:snapToGrid/>
        <w:spacing w:before="0" w:line="240" w:lineRule="atLeast"/>
        <w:ind w:left="1079" w:leftChars="257" w:hanging="539"/>
        <w:jc w:val="center"/>
        <w:textAlignment w:val="auto"/>
        <w:outlineLvl w:val="9"/>
        <w:rPr>
          <w:rFonts w:hint="eastAsia" w:ascii="仿宋" w:hAnsi="仿宋" w:eastAsia="仿宋" w:cs="仿宋"/>
          <w:b/>
          <w:bCs/>
          <w:sz w:val="28"/>
          <w:szCs w:val="36"/>
        </w:rPr>
      </w:pPr>
      <w:bookmarkStart w:id="151" w:name="_Toc518923105"/>
      <w:bookmarkStart w:id="152" w:name="_Toc515904842"/>
      <w:bookmarkStart w:id="153" w:name="_Toc30995"/>
      <w:r>
        <w:rPr>
          <w:rFonts w:hint="eastAsia" w:ascii="仿宋" w:hAnsi="仿宋" w:eastAsia="仿宋" w:cs="仿宋"/>
          <w:b/>
          <w:bCs/>
          <w:sz w:val="28"/>
          <w:szCs w:val="36"/>
        </w:rPr>
        <w:t>（采用政府采购信用担保形式时使用）</w:t>
      </w:r>
      <w:bookmarkEnd w:id="151"/>
      <w:bookmarkEnd w:id="152"/>
      <w:bookmarkEnd w:id="153"/>
    </w:p>
    <w:p>
      <w:pPr>
        <w:spacing w:line="240" w:lineRule="atLeast"/>
        <w:ind w:left="1080"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8"/>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kern w:val="44"/>
          <w:sz w:val="32"/>
          <w:szCs w:val="20"/>
          <w:lang w:val="en-US" w:eastAsia="zh-CN" w:bidi="ar-SA"/>
        </w:rPr>
      </w:pPr>
      <w:bookmarkStart w:id="154" w:name="_Toc6923"/>
      <w:bookmarkStart w:id="155" w:name="_Toc216582812"/>
      <w:bookmarkStart w:id="156" w:name="_Toc518923106"/>
      <w:r>
        <w:rPr>
          <w:rFonts w:hint="eastAsia" w:ascii="仿宋" w:hAnsi="仿宋" w:eastAsia="仿宋" w:cs="仿宋"/>
          <w:b/>
          <w:kern w:val="44"/>
          <w:sz w:val="32"/>
          <w:szCs w:val="20"/>
          <w:lang w:val="en-US" w:eastAsia="zh-CN" w:bidi="ar-SA"/>
        </w:rPr>
        <w:t xml:space="preserve"> 投标文件格式</w:t>
      </w:r>
      <w:bookmarkEnd w:id="154"/>
      <w:bookmarkEnd w:id="155"/>
      <w:bookmarkEnd w:id="156"/>
    </w:p>
    <w:p>
      <w:pPr>
        <w:bidi w:val="0"/>
        <w:rPr>
          <w:rFonts w:hint="eastAsia"/>
          <w:lang w:val="en-US" w:eastAsia="zh-CN"/>
        </w:rPr>
      </w:pPr>
    </w:p>
    <w:p>
      <w:pPr>
        <w:pStyle w:val="4"/>
        <w:keepNext/>
        <w:keepLines/>
        <w:pageBreakBefore w:val="0"/>
        <w:widowControl w:val="0"/>
        <w:kinsoku/>
        <w:wordWrap/>
        <w:overflowPunct/>
        <w:topLinePunct w:val="0"/>
        <w:autoSpaceDE w:val="0"/>
        <w:autoSpaceDN w:val="0"/>
        <w:bidi w:val="0"/>
        <w:adjustRightInd w:val="0"/>
        <w:snapToGrid/>
        <w:spacing w:before="0" w:line="240" w:lineRule="atLeas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第一部分 各部分封面格式</w:t>
      </w:r>
    </w:p>
    <w:p>
      <w:pPr>
        <w:bidi w:val="0"/>
        <w:jc w:val="left"/>
        <w:rPr>
          <w:rFonts w:hint="eastAsia" w:ascii="仿宋" w:hAnsi="仿宋" w:eastAsia="仿宋" w:cs="仿宋"/>
          <w:b/>
          <w:bCs/>
          <w:sz w:val="32"/>
          <w:szCs w:val="32"/>
          <w:lang w:val="en-US" w:eastAsia="zh-CN"/>
        </w:rPr>
      </w:pPr>
      <w:r>
        <w:rPr>
          <w:rFonts w:hint="eastAsia" w:ascii="仿宋" w:hAnsi="仿宋" w:eastAsia="仿宋" w:cs="仿宋"/>
          <w:sz w:val="24"/>
          <w:lang w:val="zh-CN"/>
        </w:rPr>
        <w:t>（</w:t>
      </w:r>
      <w:r>
        <w:rPr>
          <w:rFonts w:hint="eastAsia" w:ascii="仿宋" w:hAnsi="仿宋" w:eastAsia="仿宋" w:cs="仿宋"/>
          <w:sz w:val="24"/>
          <w:lang w:val="en-US" w:eastAsia="zh-CN"/>
        </w:rPr>
        <w:t>投标文件各部分封面</w:t>
      </w:r>
      <w:r>
        <w:rPr>
          <w:rFonts w:hint="eastAsia" w:ascii="仿宋" w:hAnsi="仿宋" w:eastAsia="仿宋" w:cs="仿宋"/>
          <w:sz w:val="24"/>
          <w:lang w:val="zh-CN"/>
        </w:rPr>
        <w:t>示例）</w:t>
      </w: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p>
    <w:p>
      <w:pPr>
        <w:shd w:val="clear" w:color="auto" w:fill="FFFFFF"/>
        <w:spacing w:line="440" w:lineRule="exact"/>
        <w:ind w:firstLine="420"/>
        <w:jc w:val="center"/>
        <w:rPr>
          <w:rFonts w:hint="eastAsia" w:ascii="仿宋" w:hAnsi="仿宋" w:eastAsia="仿宋" w:cs="仿宋"/>
          <w:bCs/>
          <w:sz w:val="24"/>
          <w:lang w:val="zh-CN"/>
        </w:rPr>
      </w:pPr>
    </w:p>
    <w:p>
      <w:pPr>
        <w:pStyle w:val="2"/>
        <w:rPr>
          <w:rFonts w:hint="eastAsia"/>
          <w:lang w:val="zh-CN"/>
        </w:rPr>
      </w:pPr>
    </w:p>
    <w:p>
      <w:pPr>
        <w:rPr>
          <w:rFonts w:hint="eastAsia"/>
          <w:lang w:val="zh-CN"/>
        </w:rPr>
      </w:pPr>
    </w:p>
    <w:p>
      <w:pPr>
        <w:pStyle w:val="2"/>
        <w:rPr>
          <w:rFonts w:hint="eastAsia"/>
          <w:lang w:val="zh-CN"/>
        </w:rPr>
      </w:pPr>
    </w:p>
    <w:p>
      <w:pPr>
        <w:pStyle w:val="14"/>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GYZB-YLZDZFZ2023-01……05</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0"/>
        <w:rPr>
          <w:rFonts w:hint="eastAsia" w:ascii="仿宋" w:hAnsi="仿宋" w:eastAsia="仿宋" w:cs="仿宋"/>
          <w:b/>
          <w:bCs w:val="0"/>
          <w:sz w:val="36"/>
          <w:szCs w:val="36"/>
          <w:lang w:val="zh-CN"/>
        </w:rPr>
      </w:pPr>
    </w:p>
    <w:p>
      <w:pPr>
        <w:pStyle w:val="33"/>
        <w:rPr>
          <w:rFonts w:hint="eastAsia" w:ascii="仿宋" w:hAnsi="仿宋" w:eastAsia="仿宋" w:cs="仿宋"/>
          <w:b/>
          <w:bCs w:val="0"/>
          <w:sz w:val="36"/>
          <w:szCs w:val="36"/>
          <w:lang w:val="zh-CN"/>
        </w:rPr>
      </w:pP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(商务资信投标文件)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keepNext/>
        <w:keepLines/>
        <w:pageBreakBefore w:val="0"/>
        <w:widowControl w:val="0"/>
        <w:kinsoku/>
        <w:wordWrap/>
        <w:overflowPunct/>
        <w:topLinePunct w:val="0"/>
        <w:autoSpaceDE w:val="0"/>
        <w:autoSpaceDN w:val="0"/>
        <w:bidi w:val="0"/>
        <w:adjustRightInd w:val="0"/>
        <w:snapToGrid/>
        <w:spacing w:before="0" w:after="0" w:line="240" w:lineRule="atLeast"/>
        <w:jc w:val="center"/>
        <w:textAlignment w:val="auto"/>
        <w:outlineLvl w:val="9"/>
        <w:rPr>
          <w:rFonts w:hint="eastAsia" w:ascii="仿宋" w:hAnsi="仿宋" w:eastAsia="仿宋" w:cs="仿宋"/>
        </w:rPr>
      </w:pPr>
      <w:r>
        <w:rPr>
          <w:rFonts w:hint="eastAsia" w:ascii="仿宋" w:hAnsi="仿宋" w:eastAsia="仿宋" w:cs="仿宋"/>
          <w:b/>
          <w:bCs/>
          <w:sz w:val="32"/>
          <w:szCs w:val="32"/>
          <w:lang w:val="en-US" w:eastAsia="zh-CN"/>
        </w:rPr>
        <w:t>2023年2月</w:t>
      </w:r>
      <w:r>
        <w:rPr>
          <w:rFonts w:hint="eastAsia"/>
          <w:lang w:val="zh-CN"/>
        </w:rPr>
        <w:br w:type="page"/>
      </w:r>
    </w:p>
    <w:p>
      <w:pPr>
        <w:spacing w:line="240" w:lineRule="atLeast"/>
        <w:ind w:left="735" w:leftChars="350" w:firstLine="120" w:firstLineChars="50"/>
        <w:rPr>
          <w:rFonts w:hint="eastAsia" w:ascii="仿宋" w:hAnsi="仿宋" w:eastAsia="仿宋" w:cs="仿宋"/>
          <w:sz w:val="24"/>
        </w:rPr>
      </w:pPr>
    </w:p>
    <w:p>
      <w:pPr>
        <w:pStyle w:val="4"/>
        <w:numPr>
          <w:ilvl w:val="0"/>
          <w:numId w:val="5"/>
        </w:numPr>
        <w:spacing w:before="0"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eastAsia="zh-CN"/>
        </w:rPr>
        <w:t>报价单</w:t>
      </w:r>
    </w:p>
    <w:p>
      <w:pPr>
        <w:numPr>
          <w:ilvl w:val="0"/>
          <w:numId w:val="0"/>
        </w:numPr>
        <w:rPr>
          <w:rFonts w:hint="eastAsia"/>
          <w:lang w:eastAsia="zh-CN"/>
        </w:rPr>
      </w:pPr>
    </w:p>
    <w:p>
      <w:pPr>
        <w:spacing w:line="240" w:lineRule="atLeast"/>
        <w:ind w:left="708" w:hanging="708" w:hangingChars="295"/>
        <w:jc w:val="center"/>
        <w:rPr>
          <w:rFonts w:hint="eastAsia" w:ascii="仿宋" w:hAnsi="仿宋" w:eastAsia="仿宋" w:cs="仿宋"/>
          <w:sz w:val="24"/>
        </w:rPr>
      </w:pPr>
    </w:p>
    <w:p>
      <w:pPr>
        <w:pageBreakBefore w:val="0"/>
        <w:tabs>
          <w:tab w:val="left" w:pos="1800"/>
          <w:tab w:val="left" w:pos="5580"/>
        </w:tabs>
        <w:kinsoku/>
        <w:wordWrap/>
        <w:overflowPunct/>
        <w:topLinePunct w:val="0"/>
        <w:bidi w:val="0"/>
        <w:spacing w:line="240" w:lineRule="atLeast"/>
        <w:ind w:left="1080"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p>
    <w:p>
      <w:pPr>
        <w:pageBreakBefore w:val="0"/>
        <w:tabs>
          <w:tab w:val="left" w:pos="1800"/>
          <w:tab w:val="left" w:pos="5580"/>
        </w:tabs>
        <w:kinsoku/>
        <w:wordWrap/>
        <w:overflowPunct/>
        <w:topLinePunct w:val="0"/>
        <w:bidi w:val="0"/>
        <w:spacing w:line="240" w:lineRule="atLeast"/>
        <w:ind w:left="1080"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35"/>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标项</w:t>
            </w:r>
            <w:r>
              <w:rPr>
                <w:rFonts w:hint="eastAsia" w:ascii="仿宋" w:hAnsi="仿宋" w:eastAsia="仿宋" w:cs="仿宋"/>
                <w:sz w:val="24"/>
              </w:rPr>
              <w:t>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r>
    </w:tbl>
    <w:p>
      <w:pPr>
        <w:pStyle w:val="14"/>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rPr>
      </w:pPr>
    </w:p>
    <w:p>
      <w:pPr>
        <w:pStyle w:val="14"/>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4"/>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名称（单位章）：</w:t>
      </w:r>
      <w:r>
        <w:rPr>
          <w:rFonts w:hint="eastAsia" w:ascii="仿宋" w:hAnsi="仿宋" w:eastAsia="仿宋" w:cs="仿宋"/>
          <w:sz w:val="24"/>
          <w:u w:val="single"/>
        </w:rPr>
        <w:t xml:space="preserve">                       </w:t>
      </w:r>
    </w:p>
    <w:p>
      <w:pPr>
        <w:pStyle w:val="14"/>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4"/>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4"/>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8"/>
        <w:ind w:firstLine="422"/>
        <w:rPr>
          <w:rFonts w:hint="eastAsia" w:ascii="仿宋" w:hAnsi="仿宋" w:eastAsia="仿宋" w:cs="仿宋"/>
          <w:b/>
          <w:bCs/>
          <w:color w:val="000000"/>
          <w:kern w:val="2"/>
          <w:szCs w:val="24"/>
        </w:rPr>
      </w:pPr>
      <w:r>
        <w:rPr>
          <w:rFonts w:hint="eastAsia" w:ascii="仿宋" w:hAnsi="仿宋" w:eastAsia="仿宋" w:cs="仿宋"/>
          <w:bCs/>
          <w:iCs/>
          <w:sz w:val="24"/>
        </w:rPr>
        <w:br w:type="page"/>
      </w:r>
      <w:bookmarkStart w:id="157" w:name="_Toc480942349"/>
      <w:bookmarkStart w:id="158" w:name="_Ref467988698"/>
      <w:bookmarkStart w:id="159" w:name="_Toc520356217"/>
      <w:bookmarkStart w:id="160" w:name="_Toc216582813"/>
    </w:p>
    <w:p>
      <w:pPr>
        <w:pStyle w:val="4"/>
        <w:spacing w:before="0" w:line="240" w:lineRule="atLeast"/>
        <w:ind w:left="1080" w:leftChars="257" w:hanging="540"/>
        <w:rPr>
          <w:rFonts w:hint="eastAsia" w:ascii="仿宋" w:hAnsi="仿宋" w:eastAsia="仿宋" w:cs="仿宋"/>
          <w:szCs w:val="24"/>
        </w:rPr>
      </w:pPr>
      <w:bookmarkStart w:id="161" w:name="_Toc518923103"/>
      <w:bookmarkStart w:id="162" w:name="_Toc23883"/>
      <w:bookmarkStart w:id="163" w:name="_Toc16844"/>
      <w:bookmarkStart w:id="164" w:name="_Toc518923115"/>
      <w:r>
        <w:rPr>
          <w:rFonts w:hint="eastAsia" w:ascii="仿宋" w:hAnsi="仿宋" w:eastAsia="仿宋" w:cs="仿宋"/>
          <w:szCs w:val="24"/>
        </w:rPr>
        <w:t>附件1：履约保证金保函（格式）</w:t>
      </w:r>
      <w:bookmarkEnd w:id="161"/>
      <w:bookmarkEnd w:id="162"/>
    </w:p>
    <w:p>
      <w:pPr>
        <w:pStyle w:val="14"/>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4"/>
        <w:spacing w:line="240" w:lineRule="atLeast"/>
        <w:ind w:left="1080" w:leftChars="257" w:hanging="540"/>
        <w:rPr>
          <w:rFonts w:hint="eastAsia" w:ascii="仿宋" w:hAnsi="仿宋" w:eastAsia="仿宋" w:cs="仿宋"/>
          <w:b/>
          <w:sz w:val="24"/>
        </w:rPr>
      </w:pP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jc w:val="center"/>
        <w:textAlignment w:val="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jc w:val="center"/>
        <w:textAlignment w:val="auto"/>
        <w:rPr>
          <w:rFonts w:hint="eastAsia" w:ascii="仿宋" w:hAnsi="仿宋" w:eastAsia="仿宋" w:cs="仿宋"/>
          <w:sz w:val="24"/>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4"/>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4"/>
        <w:keepNext w:val="0"/>
        <w:keepLines w:val="0"/>
        <w:pageBreakBefore w:val="0"/>
        <w:widowControl w:val="0"/>
        <w:kinsoku/>
        <w:wordWrap/>
        <w:overflowPunct/>
        <w:topLinePunct w:val="0"/>
        <w:autoSpaceDE/>
        <w:autoSpaceDN/>
        <w:bidi w:val="0"/>
        <w:adjustRightInd/>
        <w:snapToGrid/>
        <w:spacing w:line="400" w:lineRule="exact"/>
        <w:ind w:left="540" w:leftChars="257"/>
        <w:textAlignment w:val="auto"/>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4"/>
        <w:keepNext w:val="0"/>
        <w:keepLines w:val="0"/>
        <w:pageBreakBefore w:val="0"/>
        <w:widowControl w:val="0"/>
        <w:kinsoku/>
        <w:wordWrap/>
        <w:overflowPunct/>
        <w:topLinePunct w:val="0"/>
        <w:autoSpaceDE/>
        <w:autoSpaceDN/>
        <w:bidi w:val="0"/>
        <w:adjustRightInd/>
        <w:snapToGrid/>
        <w:spacing w:line="400" w:lineRule="exact"/>
        <w:ind w:left="540"/>
        <w:textAlignment w:val="auto"/>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4"/>
        <w:keepNext w:val="0"/>
        <w:keepLines w:val="0"/>
        <w:pageBreakBefore w:val="0"/>
        <w:widowControl w:val="0"/>
        <w:kinsoku/>
        <w:wordWrap/>
        <w:overflowPunct/>
        <w:topLinePunct w:val="0"/>
        <w:autoSpaceDE/>
        <w:autoSpaceDN/>
        <w:bidi w:val="0"/>
        <w:adjustRightInd/>
        <w:snapToGrid/>
        <w:spacing w:line="400" w:lineRule="exact"/>
        <w:ind w:left="540"/>
        <w:textAlignment w:val="auto"/>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rPr>
      </w:pP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rPr>
      </w:pPr>
      <w:r>
        <w:rPr>
          <w:rFonts w:hint="eastAsia" w:ascii="仿宋" w:hAnsi="仿宋" w:eastAsia="仿宋" w:cs="仿宋"/>
          <w:sz w:val="24"/>
        </w:rPr>
        <w:t>谨启</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4"/>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left="1080" w:leftChars="257" w:hanging="540"/>
        <w:textAlignment w:val="auto"/>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19"/>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r>
        <w:rPr>
          <w:rFonts w:hint="eastAsia" w:ascii="仿宋" w:hAnsi="仿宋" w:eastAsia="仿宋" w:cs="仿宋"/>
        </w:rPr>
        <w:br w:type="page"/>
      </w:r>
      <w:r>
        <w:rPr>
          <w:rFonts w:hint="eastAsia" w:ascii="仿宋" w:hAnsi="仿宋" w:eastAsia="仿宋" w:cs="仿宋"/>
          <w:b/>
          <w:kern w:val="0"/>
          <w:sz w:val="24"/>
          <w:szCs w:val="20"/>
          <w:lang w:val="en-US" w:eastAsia="zh-CN" w:bidi="ar-SA"/>
        </w:rPr>
        <w:t xml:space="preserve">第三部分  </w:t>
      </w:r>
      <w:bookmarkEnd w:id="163"/>
      <w:bookmarkEnd w:id="164"/>
      <w:r>
        <w:rPr>
          <w:rFonts w:hint="eastAsia" w:ascii="仿宋" w:hAnsi="仿宋" w:eastAsia="仿宋" w:cs="仿宋"/>
          <w:b/>
          <w:kern w:val="0"/>
          <w:sz w:val="24"/>
          <w:szCs w:val="20"/>
          <w:lang w:val="en-US" w:eastAsia="zh-CN" w:bidi="ar-SA"/>
        </w:rPr>
        <w:t>商务资信投标文件</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供应商应根据采购文件的要求提供详细的</w:t>
      </w:r>
      <w:r>
        <w:rPr>
          <w:rFonts w:hint="eastAsia" w:ascii="仿宋" w:hAnsi="仿宋" w:eastAsia="仿宋" w:cs="仿宋"/>
          <w:sz w:val="24"/>
          <w:lang w:val="en-US" w:eastAsia="zh-CN"/>
        </w:rPr>
        <w:t>商务投标方案</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en-US" w:eastAsia="zh-CN"/>
        </w:rPr>
        <w:t>标项一至四：</w:t>
      </w:r>
      <w:r>
        <w:rPr>
          <w:rFonts w:hint="eastAsia" w:ascii="仿宋" w:hAnsi="仿宋" w:eastAsia="仿宋" w:cs="仿宋"/>
          <w:sz w:val="24"/>
          <w:lang w:val="zh-CN" w:eastAsia="zh-CN"/>
        </w:rPr>
        <w:t>商务资信投标文件将从送审材料完整性、适用表式、编制方法、预算标准、预算内容、计算和勾稽关系、与技术方案工作量平衡、预算编制说明和报价的合理性、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default" w:ascii="仿宋" w:hAnsi="仿宋" w:eastAsia="仿宋" w:cs="仿宋"/>
          <w:sz w:val="24"/>
          <w:lang w:val="en-US" w:eastAsia="zh-CN"/>
        </w:rPr>
      </w:pPr>
      <w:r>
        <w:rPr>
          <w:rFonts w:hint="eastAsia" w:ascii="仿宋" w:hAnsi="仿宋" w:eastAsia="仿宋" w:cs="仿宋"/>
          <w:sz w:val="24"/>
          <w:lang w:val="en-US" w:eastAsia="zh-CN"/>
        </w:rPr>
        <w:t>标项五：</w:t>
      </w:r>
      <w:r>
        <w:rPr>
          <w:rFonts w:hint="eastAsia" w:ascii="仿宋" w:hAnsi="仿宋" w:eastAsia="仿宋" w:cs="仿宋"/>
          <w:sz w:val="24"/>
          <w:lang w:val="zh-CN" w:eastAsia="zh-CN"/>
        </w:rPr>
        <w:t>商务资信投标文件</w:t>
      </w:r>
      <w:r>
        <w:rPr>
          <w:rFonts w:hint="eastAsia" w:ascii="仿宋" w:hAnsi="仿宋" w:eastAsia="仿宋" w:cs="仿宋"/>
          <w:sz w:val="24"/>
          <w:lang w:val="en-US" w:eastAsia="zh-CN"/>
        </w:rPr>
        <w:t>将从对采购文件及合同条款的确认，投入项目人员数量满足要求，工种齐全，人员专业结构配备合理，仪器、设备配置，近三年资产状况，组织管理、质量、进度、安全的保障体系及主要措施，组织管理机构应健全，拟派出的总监、总监代表人的职称，应建立领导小组，主要业绩，相关承诺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供应商需</w:t>
      </w:r>
      <w:r>
        <w:rPr>
          <w:rFonts w:hint="eastAsia" w:ascii="仿宋" w:hAnsi="仿宋" w:eastAsia="仿宋" w:cs="仿宋"/>
          <w:sz w:val="24"/>
          <w:lang w:val="zh-CN"/>
        </w:rPr>
        <w:t>保证所提供的资料的真实性。未提供格式的，供应商可自行编制，为了便于查找，请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4"/>
        <w:ind w:left="1080"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4.符合《政府采购促进中小企业发展暂行办法》、《关于政府采购支持监狱企业发展有关问题的通知》和《三部门联合发布关于促进残疾人就业政府采购政策的通知》价格扣减条件的供应商须提交）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5-1《供应商企业类型声明函》（投标文件格式七）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5-2《残疾人福利性单位声明函》（投标文件格式八）</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6.供应商关联单位的说明（格式自拟）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7.投标文件还应包括供应商须知第10条的所有技术文件</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br w:type="page"/>
      </w:r>
    </w:p>
    <w:p>
      <w:pPr>
        <w:pStyle w:val="4"/>
        <w:spacing w:before="0" w:line="240" w:lineRule="atLeast"/>
        <w:ind w:left="1080" w:leftChars="257" w:hanging="540"/>
        <w:rPr>
          <w:rFonts w:hint="eastAsia" w:ascii="仿宋" w:hAnsi="仿宋" w:eastAsia="仿宋" w:cs="仿宋"/>
          <w:sz w:val="24"/>
        </w:rPr>
      </w:pPr>
      <w:bookmarkStart w:id="165" w:name="_Toc518923116"/>
      <w:bookmarkStart w:id="166" w:name="_Toc26126"/>
      <w:r>
        <w:rPr>
          <w:rFonts w:hint="eastAsia" w:ascii="仿宋" w:hAnsi="仿宋" w:eastAsia="仿宋" w:cs="仿宋"/>
          <w:sz w:val="24"/>
        </w:rPr>
        <w:t xml:space="preserve">1   </w:t>
      </w:r>
      <w:bookmarkStart w:id="167" w:name="_Hlt520355504"/>
      <w:bookmarkEnd w:id="167"/>
      <w:r>
        <w:rPr>
          <w:rFonts w:hint="eastAsia" w:ascii="仿宋" w:hAnsi="仿宋" w:eastAsia="仿宋" w:cs="仿宋"/>
          <w:sz w:val="24"/>
        </w:rPr>
        <w:t>投标</w:t>
      </w:r>
      <w:bookmarkEnd w:id="157"/>
      <w:bookmarkEnd w:id="158"/>
      <w:r>
        <w:rPr>
          <w:rFonts w:hint="eastAsia" w:ascii="仿宋" w:hAnsi="仿宋" w:eastAsia="仿宋" w:cs="仿宋"/>
          <w:sz w:val="24"/>
        </w:rPr>
        <w:t>书</w:t>
      </w:r>
      <w:bookmarkEnd w:id="159"/>
      <w:r>
        <w:rPr>
          <w:rFonts w:hint="eastAsia" w:ascii="仿宋" w:hAnsi="仿宋" w:eastAsia="仿宋" w:cs="仿宋"/>
          <w:sz w:val="24"/>
        </w:rPr>
        <w:t>（投标文件格式三）</w:t>
      </w:r>
      <w:bookmarkEnd w:id="160"/>
      <w:bookmarkEnd w:id="165"/>
      <w:bookmarkEnd w:id="166"/>
    </w:p>
    <w:p>
      <w:pPr>
        <w:tabs>
          <w:tab w:val="left" w:pos="5580"/>
        </w:tabs>
        <w:spacing w:line="240" w:lineRule="atLeast"/>
        <w:ind w:left="1080"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4"/>
        <w:tabs>
          <w:tab w:val="left" w:pos="5580"/>
        </w:tabs>
        <w:spacing w:line="240" w:lineRule="atLeast"/>
        <w:ind w:left="1080" w:leftChars="257" w:hanging="540"/>
        <w:rPr>
          <w:rFonts w:hint="eastAsia" w:ascii="仿宋" w:hAnsi="仿宋" w:eastAsia="仿宋" w:cs="仿宋"/>
          <w:sz w:val="24"/>
        </w:rPr>
      </w:pPr>
    </w:p>
    <w:p>
      <w:pPr>
        <w:pStyle w:val="14"/>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w:t>
      </w:r>
      <w:r>
        <w:rPr>
          <w:rFonts w:hint="eastAsia" w:ascii="仿宋" w:hAnsi="仿宋" w:eastAsia="仿宋" w:cs="仿宋"/>
          <w:sz w:val="24"/>
          <w:lang w:eastAsia="zh-CN"/>
        </w:rPr>
        <w:t>供应商</w:t>
      </w:r>
      <w:r>
        <w:rPr>
          <w:rFonts w:hint="eastAsia" w:ascii="仿宋" w:hAnsi="仿宋" w:eastAsia="仿宋" w:cs="仿宋"/>
          <w:sz w:val="24"/>
        </w:rPr>
        <w:t>（</w:t>
      </w:r>
      <w:r>
        <w:rPr>
          <w:rFonts w:hint="eastAsia" w:ascii="仿宋" w:hAnsi="仿宋" w:eastAsia="仿宋" w:cs="仿宋"/>
          <w:i/>
          <w:sz w:val="24"/>
          <w:u w:val="single"/>
        </w:rPr>
        <w:t>名称、地址</w:t>
      </w:r>
      <w:r>
        <w:rPr>
          <w:rFonts w:hint="eastAsia" w:ascii="仿宋" w:hAnsi="仿宋" w:eastAsia="仿宋" w:cs="仿宋"/>
          <w:sz w:val="24"/>
        </w:rPr>
        <w:t>）</w:t>
      </w:r>
      <w:r>
        <w:rPr>
          <w:rFonts w:hint="eastAsia" w:ascii="仿宋" w:hAnsi="仿宋" w:eastAsia="仿宋" w:cs="仿宋"/>
          <w:sz w:val="24"/>
          <w:highlight w:val="none"/>
        </w:rPr>
        <w:t>提交</w:t>
      </w:r>
      <w:r>
        <w:rPr>
          <w:rFonts w:hint="eastAsia" w:ascii="仿宋" w:hAnsi="仿宋" w:eastAsia="仿宋" w:cs="仿宋"/>
          <w:sz w:val="24"/>
          <w:highlight w:val="none"/>
          <w:lang w:val="en-US" w:eastAsia="zh-CN"/>
        </w:rPr>
        <w:t>投标书</w:t>
      </w:r>
      <w:r>
        <w:rPr>
          <w:rFonts w:hint="eastAsia" w:ascii="仿宋" w:hAnsi="仿宋" w:eastAsia="仿宋" w:cs="仿宋"/>
          <w:sz w:val="24"/>
        </w:rPr>
        <w:t>，并以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4"/>
        <w:tabs>
          <w:tab w:val="left" w:pos="720"/>
          <w:tab w:val="left" w:pos="900"/>
        </w:tabs>
        <w:spacing w:line="240" w:lineRule="atLeast"/>
        <w:ind w:left="769"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（4）已详细审查全部</w:t>
      </w:r>
      <w:r>
        <w:rPr>
          <w:rFonts w:hint="eastAsia" w:ascii="仿宋" w:hAnsi="仿宋" w:eastAsia="仿宋" w:cs="仿宋"/>
          <w:sz w:val="24"/>
          <w:lang w:eastAsia="zh-CN"/>
        </w:rPr>
        <w:t>采购文件</w:t>
      </w:r>
      <w:r>
        <w:rPr>
          <w:rFonts w:hint="eastAsia" w:ascii="仿宋" w:hAnsi="仿宋" w:eastAsia="仿宋" w:cs="仿宋"/>
          <w:sz w:val="24"/>
        </w:rPr>
        <w:t>，包括所有补充通知（如果有的话），完全理解并同意放弃对这方面有不明、误解和质疑的权力。</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（5）在规定的开标时间后，遵守</w:t>
      </w:r>
      <w:r>
        <w:rPr>
          <w:rFonts w:hint="eastAsia" w:ascii="仿宋" w:hAnsi="仿宋" w:eastAsia="仿宋" w:cs="仿宋"/>
          <w:sz w:val="24"/>
          <w:lang w:eastAsia="zh-CN"/>
        </w:rPr>
        <w:t>采购文件</w:t>
      </w:r>
      <w:r>
        <w:rPr>
          <w:rFonts w:hint="eastAsia" w:ascii="仿宋" w:hAnsi="仿宋" w:eastAsia="仿宋" w:cs="仿宋"/>
          <w:sz w:val="24"/>
        </w:rPr>
        <w:t>中有关保证金的规定。</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（6）根据</w:t>
      </w:r>
      <w:r>
        <w:rPr>
          <w:rFonts w:hint="eastAsia" w:ascii="仿宋" w:hAnsi="仿宋" w:eastAsia="仿宋" w:cs="仿宋"/>
          <w:sz w:val="24"/>
          <w:lang w:eastAsia="zh-CN"/>
        </w:rPr>
        <w:t>供应商</w:t>
      </w:r>
      <w:r>
        <w:rPr>
          <w:rFonts w:hint="eastAsia" w:ascii="仿宋" w:hAnsi="仿宋" w:eastAsia="仿宋" w:cs="仿宋"/>
          <w:sz w:val="24"/>
        </w:rPr>
        <w:t>须知第1条规定，我方不是为本项目提供整体设计、规范编制或者项目管理、监理、检测等服务的供应商，我方不是采购代理机构的附属机构。</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（7）在领取中标通知书的同时按</w:t>
      </w:r>
      <w:r>
        <w:rPr>
          <w:rFonts w:hint="eastAsia" w:ascii="仿宋" w:hAnsi="仿宋" w:eastAsia="仿宋" w:cs="仿宋"/>
          <w:sz w:val="24"/>
          <w:lang w:eastAsia="zh-CN"/>
        </w:rPr>
        <w:t>采购文件</w:t>
      </w:r>
      <w:r>
        <w:rPr>
          <w:rFonts w:hint="eastAsia" w:ascii="仿宋" w:hAnsi="仿宋" w:eastAsia="仿宋" w:cs="仿宋"/>
          <w:sz w:val="24"/>
        </w:rPr>
        <w:t>规定的形式，向贵方一次性支付中标服务费。</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（9）按照</w:t>
      </w:r>
      <w:r>
        <w:rPr>
          <w:rFonts w:hint="eastAsia" w:ascii="仿宋" w:hAnsi="仿宋" w:eastAsia="仿宋" w:cs="仿宋"/>
          <w:sz w:val="24"/>
          <w:lang w:eastAsia="zh-CN"/>
        </w:rPr>
        <w:t>采购文件</w:t>
      </w:r>
      <w:r>
        <w:rPr>
          <w:rFonts w:hint="eastAsia" w:ascii="仿宋" w:hAnsi="仿宋" w:eastAsia="仿宋" w:cs="仿宋"/>
          <w:sz w:val="24"/>
        </w:rPr>
        <w:t>的规定履行合同责任和义务。</w:t>
      </w:r>
    </w:p>
    <w:p>
      <w:pPr>
        <w:pStyle w:val="14"/>
        <w:tabs>
          <w:tab w:val="left" w:pos="5580"/>
        </w:tabs>
        <w:spacing w:line="240" w:lineRule="atLeast"/>
        <w:ind w:left="359"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4"/>
        <w:tabs>
          <w:tab w:val="left" w:pos="5580"/>
        </w:tabs>
        <w:spacing w:line="240" w:lineRule="atLeast"/>
        <w:ind w:left="359"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4"/>
        <w:tabs>
          <w:tab w:val="left" w:pos="5580"/>
        </w:tabs>
        <w:spacing w:line="240" w:lineRule="atLeast"/>
        <w:ind w:left="1080"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4"/>
        <w:tabs>
          <w:tab w:val="left" w:pos="5580"/>
        </w:tabs>
        <w:spacing w:line="240" w:lineRule="atLeast"/>
        <w:ind w:left="1080" w:leftChars="257" w:hanging="540"/>
        <w:rPr>
          <w:rFonts w:hint="eastAsia" w:ascii="仿宋" w:hAnsi="仿宋" w:eastAsia="仿宋" w:cs="仿宋"/>
          <w:sz w:val="24"/>
        </w:rPr>
      </w:pP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名称（全称）：-----------------</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开户银行（全称）：</w:t>
      </w:r>
      <w:r>
        <w:rPr>
          <w:rFonts w:hint="eastAsia" w:ascii="仿宋" w:hAnsi="仿宋" w:eastAsia="仿宋" w:cs="仿宋"/>
          <w:sz w:val="24"/>
          <w:u w:val="single"/>
        </w:rPr>
        <w:t xml:space="preserve">　　　　　　 </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银行帐号：</w:t>
      </w:r>
      <w:r>
        <w:rPr>
          <w:rFonts w:hint="eastAsia" w:ascii="仿宋" w:hAnsi="仿宋" w:eastAsia="仿宋" w:cs="仿宋"/>
          <w:sz w:val="24"/>
          <w:u w:val="single"/>
        </w:rPr>
        <w:t>　　　　　　　　 　　</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单位章：-------------------------</w:t>
      </w:r>
    </w:p>
    <w:p>
      <w:pPr>
        <w:pStyle w:val="14"/>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日期-：------------------------------</w:t>
      </w:r>
    </w:p>
    <w:p>
      <w:pPr>
        <w:pStyle w:val="4"/>
        <w:spacing w:before="0" w:line="240" w:lineRule="atLeast"/>
        <w:ind w:left="1080" w:leftChars="257" w:hanging="540"/>
        <w:rPr>
          <w:rFonts w:hint="eastAsia" w:ascii="仿宋" w:hAnsi="仿宋" w:eastAsia="仿宋" w:cs="仿宋"/>
          <w:sz w:val="24"/>
        </w:rPr>
      </w:pPr>
      <w:bookmarkStart w:id="168" w:name="_Hlt520355938"/>
      <w:bookmarkEnd w:id="168"/>
      <w:bookmarkStart w:id="169" w:name="_Hlt520356243"/>
      <w:bookmarkEnd w:id="169"/>
      <w:bookmarkStart w:id="170" w:name="_Toc216582815"/>
      <w:r>
        <w:rPr>
          <w:rFonts w:hint="eastAsia" w:ascii="仿宋" w:hAnsi="仿宋" w:eastAsia="仿宋" w:cs="仿宋"/>
          <w:sz w:val="24"/>
        </w:rPr>
        <w:br w:type="page"/>
      </w:r>
      <w:bookmarkStart w:id="171" w:name="_Toc24886"/>
      <w:bookmarkStart w:id="172" w:name="_Toc518923117"/>
      <w:r>
        <w:rPr>
          <w:rFonts w:hint="eastAsia" w:ascii="仿宋" w:hAnsi="仿宋" w:eastAsia="仿宋" w:cs="仿宋"/>
          <w:sz w:val="24"/>
        </w:rPr>
        <w:t>2   投标保证金缴纳凭证复印件或投标担保函</w:t>
      </w:r>
      <w:bookmarkEnd w:id="171"/>
      <w:bookmarkEnd w:id="172"/>
    </w:p>
    <w:p>
      <w:pPr>
        <w:ind w:firstLine="420" w:firstLineChars="200"/>
        <w:rPr>
          <w:rFonts w:hint="eastAsia" w:ascii="仿宋" w:hAnsi="仿宋" w:eastAsia="仿宋" w:cs="仿宋"/>
          <w:sz w:val="24"/>
        </w:rPr>
      </w:pPr>
      <w:bookmarkStart w:id="173" w:name="_Toc494296665"/>
      <w:bookmarkStart w:id="174" w:name="_Toc494296991"/>
      <w:r>
        <w:rPr>
          <w:rFonts w:hint="eastAsia" w:ascii="仿宋" w:hAnsi="仿宋" w:eastAsia="仿宋" w:cs="仿宋"/>
          <w:lang w:eastAsia="zh-CN"/>
        </w:rPr>
        <w:t>供应商</w:t>
      </w:r>
      <w:r>
        <w:rPr>
          <w:rFonts w:hint="eastAsia" w:ascii="仿宋" w:hAnsi="仿宋" w:eastAsia="仿宋" w:cs="仿宋"/>
        </w:rPr>
        <w:t>可将本项目投标保证金支付的汇款凭证、支票、汇票或保证金收据（如有）的复印件作为缴纳凭证</w:t>
      </w:r>
      <w:r>
        <w:rPr>
          <w:rFonts w:hint="eastAsia" w:ascii="仿宋" w:hAnsi="仿宋" w:eastAsia="仿宋" w:cs="仿宋"/>
          <w:lang w:eastAsia="zh-CN"/>
        </w:rPr>
        <w:t>放</w:t>
      </w:r>
      <w:r>
        <w:rPr>
          <w:rFonts w:hint="eastAsia" w:ascii="仿宋" w:hAnsi="仿宋" w:eastAsia="仿宋" w:cs="仿宋"/>
        </w:rPr>
        <w:t>在本部分，复印件上应加盖本单位章；使用银行保函等其他投标担保函的，应将担保函正本，</w:t>
      </w:r>
      <w:r>
        <w:rPr>
          <w:rFonts w:hint="eastAsia" w:ascii="仿宋" w:hAnsi="仿宋" w:eastAsia="仿宋" w:cs="仿宋"/>
          <w:lang w:eastAsia="zh-CN"/>
        </w:rPr>
        <w:t>放</w:t>
      </w:r>
      <w:r>
        <w:rPr>
          <w:rFonts w:hint="eastAsia" w:ascii="仿宋" w:hAnsi="仿宋" w:eastAsia="仿宋" w:cs="仿宋"/>
        </w:rPr>
        <w:t>在本部分中；如采用政府采购信用担保形式的，应使用（投标文件格式</w:t>
      </w:r>
      <w:r>
        <w:rPr>
          <w:rFonts w:hint="eastAsia" w:ascii="仿宋" w:hAnsi="仿宋" w:eastAsia="仿宋" w:cs="仿宋"/>
          <w:lang w:val="en-US" w:eastAsia="zh-CN"/>
        </w:rPr>
        <w:t>四</w:t>
      </w:r>
      <w:r>
        <w:rPr>
          <w:rFonts w:hint="eastAsia" w:ascii="仿宋" w:hAnsi="仿宋" w:eastAsia="仿宋" w:cs="仿宋"/>
        </w:rPr>
        <w:t>）,将原件装订在本部分中。</w:t>
      </w:r>
      <w:bookmarkEnd w:id="173"/>
      <w:bookmarkEnd w:id="174"/>
    </w:p>
    <w:p>
      <w:pPr>
        <w:jc w:val="center"/>
        <w:rPr>
          <w:rFonts w:hint="eastAsia" w:ascii="仿宋" w:hAnsi="仿宋" w:eastAsia="仿宋" w:cs="仿宋"/>
          <w:b/>
          <w:bCs/>
          <w:sz w:val="24"/>
          <w:szCs w:val="24"/>
        </w:rPr>
      </w:pPr>
      <w:r>
        <w:rPr>
          <w:rFonts w:hint="eastAsia" w:ascii="仿宋" w:hAnsi="仿宋" w:eastAsia="仿宋" w:cs="仿宋"/>
          <w:b/>
          <w:bCs/>
          <w:sz w:val="24"/>
          <w:szCs w:val="24"/>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w:t>
      </w:r>
      <w:r>
        <w:rPr>
          <w:rFonts w:hint="eastAsia" w:ascii="仿宋" w:hAnsi="仿宋" w:eastAsia="仿宋" w:cs="仿宋"/>
          <w:lang w:eastAsia="zh-CN"/>
        </w:rPr>
        <w:t>供应商</w:t>
      </w:r>
      <w:r>
        <w:rPr>
          <w:rFonts w:hint="eastAsia" w:ascii="仿宋" w:hAnsi="仿宋" w:eastAsia="仿宋" w:cs="仿宋"/>
        </w:rPr>
        <w:t>”）拟参加编号为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w:t>
      </w:r>
      <w:r>
        <w:rPr>
          <w:rFonts w:hint="eastAsia" w:ascii="仿宋" w:hAnsi="仿宋" w:eastAsia="仿宋" w:cs="仿宋"/>
          <w:lang w:eastAsia="zh-CN"/>
        </w:rPr>
        <w:t>采购文件</w:t>
      </w:r>
      <w:r>
        <w:rPr>
          <w:rFonts w:hint="eastAsia" w:ascii="仿宋" w:hAnsi="仿宋" w:eastAsia="仿宋" w:cs="仿宋"/>
        </w:rPr>
        <w:t>，供应商参加投标时应向你方交纳投标保证金，且可以投标担保函的形式交纳投标保证金。应供应商的申请，我方以保证的方式向你方提供如下投标保证金担保：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w:t>
      </w:r>
      <w:r>
        <w:rPr>
          <w:rFonts w:hint="eastAsia" w:ascii="仿宋" w:hAnsi="仿宋" w:eastAsia="仿宋" w:cs="仿宋"/>
          <w:lang w:eastAsia="zh-CN"/>
        </w:rPr>
        <w:t>供应商</w:t>
      </w:r>
      <w:r>
        <w:rPr>
          <w:rFonts w:hint="eastAsia" w:ascii="仿宋" w:hAnsi="仿宋" w:eastAsia="仿宋" w:cs="仿宋"/>
        </w:rPr>
        <w:t>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w:t>
      </w:r>
      <w:r>
        <w:rPr>
          <w:rFonts w:hint="eastAsia" w:ascii="仿宋" w:hAnsi="仿宋" w:eastAsia="仿宋" w:cs="仿宋"/>
          <w:lang w:eastAsia="zh-CN"/>
        </w:rPr>
        <w:t>供应商</w:t>
      </w:r>
      <w:r>
        <w:rPr>
          <w:rFonts w:hint="eastAsia" w:ascii="仿宋" w:hAnsi="仿宋" w:eastAsia="仿宋" w:cs="仿宋"/>
        </w:rPr>
        <w:t>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采购文件</w:t>
      </w:r>
      <w:r>
        <w:rPr>
          <w:rFonts w:hint="eastAsia" w:ascii="仿宋" w:hAnsi="仿宋" w:eastAsia="仿宋" w:cs="仿宋"/>
        </w:rPr>
        <w:t>规定的</w:t>
      </w:r>
      <w:r>
        <w:rPr>
          <w:rFonts w:hint="eastAsia" w:ascii="仿宋" w:hAnsi="仿宋" w:eastAsia="仿宋" w:cs="仿宋"/>
          <w:lang w:eastAsia="zh-CN"/>
        </w:rPr>
        <w:t>供应商</w:t>
      </w:r>
      <w:r>
        <w:rPr>
          <w:rFonts w:hint="eastAsia" w:ascii="仿宋" w:hAnsi="仿宋" w:eastAsia="仿宋" w:cs="仿宋"/>
        </w:rPr>
        <w:t>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w:t>
      </w:r>
      <w:r>
        <w:rPr>
          <w:rFonts w:hint="eastAsia" w:ascii="仿宋" w:hAnsi="仿宋" w:eastAsia="仿宋" w:cs="仿宋"/>
          <w:lang w:eastAsia="zh-CN"/>
        </w:rPr>
        <w:t>供应商</w:t>
      </w:r>
      <w:r>
        <w:rPr>
          <w:rFonts w:hint="eastAsia" w:ascii="仿宋" w:hAnsi="仿宋" w:eastAsia="仿宋" w:cs="仿宋"/>
        </w:rPr>
        <w:t>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w:t>
      </w:r>
      <w:r>
        <w:rPr>
          <w:rFonts w:hint="eastAsia" w:ascii="仿宋" w:hAnsi="仿宋" w:eastAsia="仿宋" w:cs="仿宋"/>
          <w:lang w:eastAsia="zh-CN"/>
        </w:rPr>
        <w:t>供应商</w:t>
      </w:r>
      <w:r>
        <w:rPr>
          <w:rFonts w:hint="eastAsia" w:ascii="仿宋" w:hAnsi="仿宋" w:eastAsia="仿宋" w:cs="仿宋"/>
        </w:rPr>
        <w:t>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w:t>
      </w:r>
      <w:r>
        <w:rPr>
          <w:rFonts w:hint="eastAsia" w:ascii="仿宋" w:hAnsi="仿宋" w:eastAsia="仿宋" w:cs="仿宋"/>
          <w:lang w:eastAsia="zh-CN"/>
        </w:rPr>
        <w:t>供应商</w:t>
      </w:r>
      <w:r>
        <w:rPr>
          <w:rFonts w:hint="eastAsia" w:ascii="仿宋" w:hAnsi="仿宋" w:eastAsia="仿宋" w:cs="仿宋"/>
        </w:rPr>
        <w:t>的另行约定，全部或者部分免除</w:t>
      </w:r>
      <w:r>
        <w:rPr>
          <w:rFonts w:hint="eastAsia" w:ascii="仿宋" w:hAnsi="仿宋" w:eastAsia="仿宋" w:cs="仿宋"/>
          <w:lang w:eastAsia="zh-CN"/>
        </w:rPr>
        <w:t>供应商</w:t>
      </w:r>
      <w:r>
        <w:rPr>
          <w:rFonts w:hint="eastAsia" w:ascii="仿宋" w:hAnsi="仿宋" w:eastAsia="仿宋" w:cs="仿宋"/>
        </w:rPr>
        <w:t>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w:t>
      </w:r>
      <w:r>
        <w:rPr>
          <w:rFonts w:hint="eastAsia" w:ascii="仿宋" w:hAnsi="仿宋" w:eastAsia="仿宋" w:cs="仿宋"/>
          <w:lang w:eastAsia="zh-CN"/>
        </w:rPr>
        <w:t>供应商</w:t>
      </w:r>
      <w:r>
        <w:rPr>
          <w:rFonts w:hint="eastAsia" w:ascii="仿宋" w:hAnsi="仿宋" w:eastAsia="仿宋" w:cs="仿宋"/>
        </w:rPr>
        <w:t>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w:t>
      </w:r>
      <w:r>
        <w:rPr>
          <w:rFonts w:hint="eastAsia" w:ascii="仿宋" w:hAnsi="仿宋" w:eastAsia="仿宋" w:cs="仿宋"/>
          <w:lang w:eastAsia="zh-CN"/>
        </w:rPr>
        <w:t>供应商</w:t>
      </w:r>
      <w:r>
        <w:rPr>
          <w:rFonts w:hint="eastAsia" w:ascii="仿宋" w:hAnsi="仿宋" w:eastAsia="仿宋" w:cs="仿宋"/>
        </w:rPr>
        <w:t>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w:t>
      </w:r>
      <w:r>
        <w:rPr>
          <w:rFonts w:hint="eastAsia" w:ascii="仿宋" w:hAnsi="仿宋" w:eastAsia="仿宋" w:cs="仿宋"/>
          <w:lang w:eastAsia="zh-CN"/>
        </w:rPr>
        <w:t>采购文件</w:t>
      </w:r>
      <w:r>
        <w:rPr>
          <w:rFonts w:hint="eastAsia" w:ascii="仿宋" w:hAnsi="仿宋" w:eastAsia="仿宋" w:cs="仿宋"/>
        </w:rPr>
        <w:t>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rPr>
          <w:rFonts w:hint="eastAsia" w:ascii="仿宋" w:hAnsi="仿宋" w:eastAsia="仿宋" w:cs="仿宋"/>
        </w:rPr>
      </w:pPr>
      <w:r>
        <w:rPr>
          <w:rFonts w:hint="eastAsia" w:ascii="仿宋" w:hAnsi="仿宋" w:eastAsia="仿宋" w:cs="仿宋"/>
        </w:rPr>
        <w:br w:type="page"/>
      </w:r>
    </w:p>
    <w:bookmarkEnd w:id="170"/>
    <w:p>
      <w:pPr>
        <w:pStyle w:val="14"/>
        <w:tabs>
          <w:tab w:val="left" w:pos="5370"/>
        </w:tabs>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4"/>
        <w:spacing w:line="240" w:lineRule="atLeast"/>
        <w:ind w:left="1080" w:leftChars="257" w:hanging="540"/>
        <w:rPr>
          <w:rFonts w:hint="eastAsia" w:ascii="仿宋" w:hAnsi="仿宋" w:eastAsia="仿宋" w:cs="仿宋"/>
          <w:sz w:val="24"/>
        </w:rPr>
      </w:pPr>
    </w:p>
    <w:p>
      <w:pPr>
        <w:pStyle w:val="14"/>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4"/>
        <w:spacing w:line="240" w:lineRule="atLeast"/>
        <w:ind w:left="1080" w:leftChars="257" w:hanging="540"/>
        <w:rPr>
          <w:rFonts w:hint="eastAsia" w:ascii="仿宋" w:hAnsi="仿宋" w:eastAsia="仿宋" w:cs="仿宋"/>
          <w:sz w:val="24"/>
        </w:rPr>
      </w:pPr>
    </w:p>
    <w:tbl>
      <w:tblPr>
        <w:tblStyle w:val="3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4"/>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采购文件条款号</w:t>
            </w:r>
          </w:p>
        </w:tc>
        <w:tc>
          <w:tcPr>
            <w:tcW w:w="1260"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4"/>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4"/>
              <w:spacing w:line="240" w:lineRule="atLeast"/>
              <w:ind w:left="1080" w:leftChars="257" w:hanging="540"/>
              <w:rPr>
                <w:rFonts w:hint="eastAsia" w:ascii="仿宋" w:hAnsi="仿宋" w:eastAsia="仿宋" w:cs="仿宋"/>
                <w:sz w:val="24"/>
                <w:lang w:val="en-US" w:eastAsia="zh-CN"/>
              </w:rPr>
            </w:pPr>
          </w:p>
        </w:tc>
      </w:tr>
    </w:tbl>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4"/>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(盖单位章):</w:t>
      </w:r>
      <w:r>
        <w:rPr>
          <w:rFonts w:hint="eastAsia" w:ascii="仿宋" w:hAnsi="仿宋" w:eastAsia="仿宋" w:cs="仿宋"/>
          <w:sz w:val="24"/>
          <w:u w:val="single"/>
        </w:rPr>
        <w:tab/>
      </w:r>
    </w:p>
    <w:p>
      <w:pPr>
        <w:pStyle w:val="14"/>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hint="eastAsia" w:ascii="仿宋" w:hAnsi="仿宋" w:eastAsia="仿宋" w:cs="仿宋"/>
          <w:sz w:val="24"/>
        </w:rPr>
      </w:pPr>
      <w:bookmarkStart w:id="175" w:name="_Toc216582818"/>
      <w:bookmarkStart w:id="176" w:name="_Toc8079"/>
      <w:bookmarkStart w:id="177" w:name="_Toc51892311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175"/>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176"/>
      <w:bookmarkEnd w:id="177"/>
    </w:p>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4"/>
        <w:spacing w:line="240" w:lineRule="atLeast"/>
        <w:ind w:left="1080" w:leftChars="257" w:hanging="540"/>
        <w:rPr>
          <w:rFonts w:hint="eastAsia" w:ascii="仿宋" w:hAnsi="仿宋" w:eastAsia="仿宋" w:cs="仿宋"/>
          <w:sz w:val="24"/>
        </w:rPr>
      </w:pPr>
    </w:p>
    <w:tbl>
      <w:tblPr>
        <w:tblStyle w:val="3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4"/>
              <w:spacing w:line="240" w:lineRule="atLeast"/>
              <w:jc w:val="center"/>
              <w:rPr>
                <w:rFonts w:hint="eastAsia" w:ascii="仿宋" w:hAnsi="仿宋" w:eastAsia="仿宋" w:cs="仿宋"/>
                <w:sz w:val="24"/>
              </w:rPr>
            </w:pPr>
            <w:r>
              <w:rPr>
                <w:rFonts w:hint="eastAsia" w:ascii="仿宋" w:hAnsi="仿宋" w:eastAsia="仿宋" w:cs="仿宋"/>
                <w:sz w:val="24"/>
                <w:lang w:eastAsia="zh-CN"/>
              </w:rPr>
              <w:t>采购文件</w:t>
            </w:r>
            <w:r>
              <w:rPr>
                <w:rFonts w:hint="eastAsia" w:ascii="仿宋" w:hAnsi="仿宋" w:eastAsia="仿宋" w:cs="仿宋"/>
                <w:sz w:val="24"/>
              </w:rPr>
              <w:t>条款号</w:t>
            </w:r>
          </w:p>
        </w:tc>
        <w:tc>
          <w:tcPr>
            <w:tcW w:w="2520" w:type="dxa"/>
            <w:noWrap w:val="0"/>
            <w:vAlign w:val="top"/>
          </w:tcPr>
          <w:p>
            <w:pPr>
              <w:pStyle w:val="14"/>
              <w:spacing w:line="240" w:lineRule="atLeast"/>
              <w:jc w:val="center"/>
              <w:rPr>
                <w:rFonts w:hint="eastAsia" w:ascii="仿宋" w:hAnsi="仿宋" w:eastAsia="仿宋" w:cs="仿宋"/>
                <w:sz w:val="24"/>
              </w:rPr>
            </w:pPr>
            <w:r>
              <w:rPr>
                <w:rFonts w:hint="eastAsia" w:ascii="仿宋" w:hAnsi="仿宋" w:eastAsia="仿宋" w:cs="仿宋"/>
                <w:sz w:val="24"/>
                <w:lang w:eastAsia="zh-CN"/>
              </w:rPr>
              <w:t>采购文件</w:t>
            </w:r>
            <w:r>
              <w:rPr>
                <w:rFonts w:hint="eastAsia" w:ascii="仿宋" w:hAnsi="仿宋" w:eastAsia="仿宋" w:cs="仿宋"/>
                <w:sz w:val="24"/>
              </w:rPr>
              <w:t>的商务条款</w:t>
            </w:r>
          </w:p>
        </w:tc>
        <w:tc>
          <w:tcPr>
            <w:tcW w:w="2520" w:type="dxa"/>
            <w:noWrap w:val="0"/>
            <w:vAlign w:val="top"/>
          </w:tcPr>
          <w:p>
            <w:pPr>
              <w:pStyle w:val="14"/>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4"/>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4"/>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4"/>
              <w:spacing w:line="240" w:lineRule="atLeast"/>
              <w:ind w:left="1080" w:leftChars="257" w:hanging="540"/>
              <w:rPr>
                <w:rFonts w:hint="eastAsia" w:ascii="仿宋" w:hAnsi="仿宋" w:eastAsia="仿宋" w:cs="仿宋"/>
                <w:sz w:val="24"/>
              </w:rPr>
            </w:pPr>
          </w:p>
        </w:tc>
        <w:tc>
          <w:tcPr>
            <w:tcW w:w="204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2520" w:type="dxa"/>
            <w:noWrap w:val="0"/>
            <w:vAlign w:val="top"/>
          </w:tcPr>
          <w:p>
            <w:pPr>
              <w:pStyle w:val="14"/>
              <w:spacing w:line="240" w:lineRule="atLeast"/>
              <w:ind w:left="1080" w:leftChars="257" w:hanging="540"/>
              <w:rPr>
                <w:rFonts w:hint="eastAsia" w:ascii="仿宋" w:hAnsi="仿宋" w:eastAsia="仿宋" w:cs="仿宋"/>
                <w:sz w:val="24"/>
              </w:rPr>
            </w:pPr>
          </w:p>
        </w:tc>
        <w:tc>
          <w:tcPr>
            <w:tcW w:w="900" w:type="dxa"/>
            <w:noWrap w:val="0"/>
            <w:vAlign w:val="top"/>
          </w:tcPr>
          <w:p>
            <w:pPr>
              <w:pStyle w:val="14"/>
              <w:spacing w:line="240" w:lineRule="atLeast"/>
              <w:ind w:left="1080" w:leftChars="257" w:hanging="540"/>
              <w:rPr>
                <w:rFonts w:hint="eastAsia" w:ascii="仿宋" w:hAnsi="仿宋" w:eastAsia="仿宋" w:cs="仿宋"/>
                <w:sz w:val="24"/>
              </w:rPr>
            </w:pPr>
          </w:p>
        </w:tc>
      </w:tr>
    </w:tbl>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p>
    <w:p>
      <w:pPr>
        <w:pStyle w:val="14"/>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4"/>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(盖单位章):</w:t>
      </w:r>
      <w:r>
        <w:rPr>
          <w:rFonts w:hint="eastAsia" w:ascii="仿宋" w:hAnsi="仿宋" w:eastAsia="仿宋" w:cs="仿宋"/>
          <w:sz w:val="24"/>
          <w:u w:val="single"/>
        </w:rPr>
        <w:tab/>
      </w:r>
    </w:p>
    <w:p>
      <w:pPr>
        <w:pStyle w:val="14"/>
        <w:spacing w:line="240" w:lineRule="atLeast"/>
        <w:rPr>
          <w:rFonts w:hint="eastAsia" w:ascii="仿宋" w:hAnsi="仿宋" w:eastAsia="仿宋" w:cs="仿宋"/>
          <w:sz w:val="24"/>
        </w:rPr>
      </w:pPr>
    </w:p>
    <w:p>
      <w:pPr>
        <w:pStyle w:val="14"/>
        <w:spacing w:line="240" w:lineRule="atLeast"/>
        <w:rPr>
          <w:rFonts w:hint="eastAsia" w:ascii="仿宋" w:hAnsi="仿宋" w:eastAsia="仿宋" w:cs="仿宋"/>
          <w:sz w:val="24"/>
        </w:rPr>
      </w:pPr>
    </w:p>
    <w:p>
      <w:pPr>
        <w:pStyle w:val="14"/>
        <w:spacing w:line="240" w:lineRule="atLeast"/>
        <w:rPr>
          <w:rFonts w:hint="eastAsia" w:ascii="仿宋" w:hAnsi="仿宋" w:eastAsia="仿宋" w:cs="仿宋"/>
          <w:sz w:val="24"/>
        </w:rPr>
      </w:pPr>
    </w:p>
    <w:p>
      <w:pPr>
        <w:pStyle w:val="14"/>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178" w:name="_Hlt520274393"/>
      <w:bookmarkEnd w:id="178"/>
      <w:bookmarkStart w:id="179" w:name="_Hlt520343392"/>
      <w:bookmarkEnd w:id="179"/>
      <w:bookmarkStart w:id="180" w:name="_Hlt520271212"/>
      <w:bookmarkEnd w:id="180"/>
      <w:bookmarkStart w:id="181" w:name="_Hlt520274065"/>
      <w:bookmarkEnd w:id="181"/>
      <w:bookmarkStart w:id="182" w:name="_Hlt520350918"/>
      <w:bookmarkEnd w:id="182"/>
      <w:bookmarkStart w:id="183" w:name="_Hlt520273973"/>
      <w:bookmarkEnd w:id="183"/>
      <w:bookmarkStart w:id="184" w:name="_Hlt520274407"/>
      <w:bookmarkEnd w:id="184"/>
      <w:bookmarkStart w:id="185" w:name="_Hlt520274911"/>
      <w:bookmarkEnd w:id="185"/>
      <w:bookmarkStart w:id="186" w:name="_Hlt520273711"/>
      <w:bookmarkEnd w:id="186"/>
      <w:bookmarkStart w:id="187" w:name="_Hlt520343000"/>
      <w:bookmarkEnd w:id="187"/>
      <w:bookmarkStart w:id="188" w:name="_Hlt520350957"/>
      <w:bookmarkEnd w:id="188"/>
      <w:r>
        <w:rPr>
          <w:rFonts w:hint="eastAsia" w:ascii="仿宋" w:hAnsi="仿宋" w:eastAsia="仿宋" w:cs="仿宋"/>
          <w:sz w:val="24"/>
        </w:rPr>
        <w:t xml:space="preserve">  </w:t>
      </w:r>
    </w:p>
    <w:p>
      <w:pPr>
        <w:bidi w:val="0"/>
        <w:rPr>
          <w:rFonts w:hint="eastAsia"/>
          <w:lang w:val="en-US" w:eastAsia="zh-CN"/>
        </w:rPr>
      </w:pPr>
      <w:bookmarkStart w:id="189" w:name="_Toc480"/>
      <w:bookmarkStart w:id="190" w:name="_Toc518923120"/>
    </w:p>
    <w:p>
      <w:pPr>
        <w:pStyle w:val="4"/>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lang w:eastAsia="zh-CN"/>
        </w:rPr>
        <w:t>供应商</w:t>
      </w:r>
      <w:r>
        <w:rPr>
          <w:rFonts w:hint="eastAsia" w:ascii="仿宋" w:hAnsi="仿宋" w:eastAsia="仿宋" w:cs="仿宋"/>
          <w:sz w:val="24"/>
        </w:rPr>
        <w:t>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189"/>
      <w:bookmarkEnd w:id="190"/>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w:t>
      </w:r>
      <w:r>
        <w:rPr>
          <w:rFonts w:hint="eastAsia" w:ascii="仿宋" w:hAnsi="仿宋" w:eastAsia="仿宋" w:cs="仿宋"/>
          <w:kern w:val="0"/>
          <w:sz w:val="24"/>
          <w:lang w:eastAsia="zh-CN"/>
        </w:rPr>
        <w:t>供应商</w:t>
      </w:r>
      <w:r>
        <w:rPr>
          <w:rFonts w:hint="eastAsia" w:ascii="仿宋" w:hAnsi="仿宋" w:eastAsia="仿宋" w:cs="仿宋"/>
          <w:kern w:val="0"/>
          <w:sz w:val="24"/>
        </w:rPr>
        <w:t>，提供本企业（单位）服务。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34"/>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34"/>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34"/>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34"/>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lang w:eastAsia="zh-CN"/>
        </w:rPr>
        <w:t>供应商</w:t>
      </w:r>
      <w:r>
        <w:rPr>
          <w:rFonts w:hint="eastAsia" w:ascii="仿宋" w:hAnsi="仿宋" w:eastAsia="仿宋" w:cs="仿宋"/>
          <w:kern w:val="0"/>
          <w:sz w:val="24"/>
        </w:rPr>
        <w:t>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14"/>
        <w:ind w:left="311" w:leftChars="148" w:firstLine="228"/>
        <w:rPr>
          <w:rFonts w:hint="eastAsia" w:ascii="仿宋" w:hAnsi="仿宋" w:eastAsia="仿宋" w:cs="仿宋"/>
          <w:b/>
          <w:bCs/>
          <w:kern w:val="0"/>
          <w:sz w:val="24"/>
          <w:szCs w:val="20"/>
          <w:lang w:val="en-US" w:eastAsia="zh-CN" w:bidi="ar-SA"/>
        </w:rPr>
      </w:pPr>
      <w:bookmarkStart w:id="191" w:name="_Toc27742"/>
      <w:bookmarkStart w:id="192" w:name="_Toc19284"/>
      <w:bookmarkStart w:id="193" w:name="_Toc515647825"/>
      <w:bookmarkStart w:id="194" w:name="_Toc23068"/>
      <w:bookmarkStart w:id="195" w:name="OLE_LINK13"/>
      <w:bookmarkStart w:id="196" w:name="OLE_LINK14"/>
      <w:bookmarkStart w:id="197" w:name="_Toc518923122"/>
      <w:bookmarkStart w:id="198" w:name="_Toc6238"/>
    </w:p>
    <w:p>
      <w:pPr>
        <w:pStyle w:val="4"/>
        <w:spacing w:before="0" w:line="240" w:lineRule="atLeast"/>
        <w:ind w:firstLine="723" w:firstLineChars="300"/>
        <w:jc w:val="both"/>
        <w:rPr>
          <w:rFonts w:hint="eastAsia" w:ascii="仿宋" w:hAnsi="仿宋" w:eastAsia="仿宋" w:cs="仿宋"/>
          <w:sz w:val="24"/>
          <w:lang w:val="en-US" w:eastAsia="zh-CN"/>
        </w:rPr>
      </w:pPr>
      <w:r>
        <w:rPr>
          <w:rFonts w:hint="eastAsia" w:ascii="仿宋" w:hAnsi="仿宋" w:eastAsia="仿宋" w:cs="仿宋"/>
          <w:sz w:val="24"/>
          <w:lang w:val="en-US" w:eastAsia="zh-CN"/>
        </w:rPr>
        <w:t>5-2  残疾人福利性单位声明函</w:t>
      </w:r>
      <w:bookmarkEnd w:id="191"/>
      <w:bookmarkEnd w:id="192"/>
      <w:bookmarkEnd w:id="193"/>
      <w:bookmarkEnd w:id="194"/>
      <w:r>
        <w:rPr>
          <w:rFonts w:hint="eastAsia" w:ascii="仿宋" w:hAnsi="仿宋" w:eastAsia="仿宋" w:cs="仿宋"/>
          <w:sz w:val="24"/>
          <w:lang w:val="en-US" w:eastAsia="zh-CN"/>
        </w:rPr>
        <w:t>（投标文件格式八）</w:t>
      </w:r>
    </w:p>
    <w:p>
      <w:pPr>
        <w:bidi w:val="0"/>
      </w:pPr>
    </w:p>
    <w:bookmarkEnd w:id="195"/>
    <w:bookmarkEnd w:id="19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non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non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w:t>
      </w:r>
    </w:p>
    <w:p>
      <w:pPr>
        <w:pStyle w:val="8"/>
        <w:ind w:firstLine="964" w:firstLineChars="400"/>
        <w:rPr>
          <w:rFonts w:hint="eastAsia" w:ascii="仿宋" w:hAnsi="仿宋" w:eastAsia="仿宋" w:cs="仿宋"/>
          <w:b/>
          <w:bCs/>
          <w:lang w:val="en-US" w:eastAsia="zh-CN"/>
        </w:rPr>
      </w:pPr>
    </w:p>
    <w:p>
      <w:pPr>
        <w:pStyle w:val="8"/>
        <w:ind w:firstLine="964" w:firstLineChars="400"/>
        <w:rPr>
          <w:rFonts w:hint="eastAsia" w:ascii="仿宋" w:hAnsi="仿宋" w:eastAsia="仿宋" w:cs="仿宋"/>
          <w:b/>
          <w:bCs/>
          <w:lang w:val="en-US" w:eastAsia="zh-CN"/>
        </w:rPr>
      </w:pPr>
    </w:p>
    <w:p>
      <w:pPr>
        <w:pStyle w:val="8"/>
        <w:ind w:firstLine="723" w:firstLineChars="300"/>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 xml:space="preserve">   </w:t>
      </w:r>
      <w:r>
        <w:rPr>
          <w:rFonts w:hint="eastAsia" w:ascii="仿宋" w:hAnsi="仿宋" w:eastAsia="仿宋" w:cs="仿宋"/>
          <w:b/>
          <w:bCs/>
          <w:lang w:eastAsia="zh-CN"/>
        </w:rPr>
        <w:t>供应商</w:t>
      </w:r>
      <w:r>
        <w:rPr>
          <w:rFonts w:hint="eastAsia" w:ascii="仿宋" w:hAnsi="仿宋" w:eastAsia="仿宋" w:cs="仿宋"/>
          <w:b/>
          <w:bCs/>
        </w:rPr>
        <w:t>关联单位的说明</w:t>
      </w:r>
      <w:bookmarkEnd w:id="197"/>
      <w:bookmarkEnd w:id="198"/>
    </w:p>
    <w:p>
      <w:pPr>
        <w:pStyle w:val="8"/>
        <w:ind w:firstLine="480" w:firstLineChars="200"/>
        <w:rPr>
          <w:rFonts w:hint="eastAsia" w:ascii="仿宋" w:hAnsi="仿宋" w:eastAsia="仿宋" w:cs="仿宋"/>
        </w:rPr>
      </w:pPr>
    </w:p>
    <w:p>
      <w:pPr>
        <w:pStyle w:val="8"/>
        <w:ind w:firstLine="480" w:firstLineChars="200"/>
        <w:rPr>
          <w:rFonts w:hint="eastAsia" w:ascii="仿宋" w:hAnsi="仿宋" w:eastAsia="仿宋" w:cs="仿宋"/>
        </w:rPr>
      </w:pPr>
    </w:p>
    <w:p>
      <w:pPr>
        <w:pStyle w:val="8"/>
        <w:ind w:firstLine="480" w:firstLineChars="200"/>
        <w:rPr>
          <w:rFonts w:hint="eastAsia" w:ascii="仿宋" w:hAnsi="仿宋" w:eastAsia="仿宋" w:cs="仿宋"/>
        </w:rPr>
      </w:pPr>
      <w:r>
        <w:rPr>
          <w:rFonts w:hint="eastAsia" w:ascii="仿宋" w:hAnsi="仿宋" w:eastAsia="仿宋" w:cs="仿宋"/>
        </w:rPr>
        <w:t>说明：</w:t>
      </w:r>
      <w:r>
        <w:rPr>
          <w:rFonts w:hint="eastAsia" w:ascii="仿宋" w:hAnsi="仿宋" w:eastAsia="仿宋" w:cs="仿宋"/>
          <w:lang w:eastAsia="zh-CN"/>
        </w:rPr>
        <w:t>供应商</w:t>
      </w:r>
      <w:r>
        <w:rPr>
          <w:rFonts w:hint="eastAsia" w:ascii="仿宋" w:hAnsi="仿宋" w:eastAsia="仿宋" w:cs="仿宋"/>
        </w:rPr>
        <w:t>应当如实披露与本单位存在下列关联关系的单位名称：</w:t>
      </w:r>
    </w:p>
    <w:p>
      <w:pPr>
        <w:pStyle w:val="8"/>
        <w:ind w:firstLine="480" w:firstLineChars="200"/>
        <w:rPr>
          <w:rFonts w:hint="eastAsia" w:ascii="仿宋" w:hAnsi="仿宋" w:eastAsia="仿宋" w:cs="仿宋"/>
          <w:lang w:eastAsia="zh-CN"/>
        </w:rPr>
      </w:pPr>
      <w:r>
        <w:rPr>
          <w:rFonts w:hint="eastAsia" w:ascii="仿宋" w:hAnsi="仿宋" w:eastAsia="仿宋" w:cs="仿宋"/>
        </w:rPr>
        <w:t>（1）与</w:t>
      </w:r>
      <w:r>
        <w:rPr>
          <w:rFonts w:hint="eastAsia" w:ascii="仿宋" w:hAnsi="仿宋" w:eastAsia="仿宋" w:cs="仿宋"/>
          <w:lang w:eastAsia="zh-CN"/>
        </w:rPr>
        <w:t>供应商</w:t>
      </w:r>
      <w:r>
        <w:rPr>
          <w:rFonts w:hint="eastAsia" w:ascii="仿宋" w:hAnsi="仿宋" w:eastAsia="仿宋" w:cs="仿宋"/>
        </w:rPr>
        <w:t>单位负责人为同一人的其他单位；</w:t>
      </w:r>
    </w:p>
    <w:p>
      <w:pPr>
        <w:pStyle w:val="8"/>
        <w:ind w:firstLine="480" w:firstLineChars="200"/>
        <w:rPr>
          <w:rFonts w:hint="eastAsia" w:ascii="仿宋" w:hAnsi="仿宋" w:eastAsia="仿宋" w:cs="仿宋"/>
        </w:rPr>
      </w:pPr>
      <w:r>
        <w:rPr>
          <w:rFonts w:hint="eastAsia" w:ascii="仿宋" w:hAnsi="仿宋" w:eastAsia="仿宋" w:cs="仿宋"/>
        </w:rPr>
        <w:t>（2）与</w:t>
      </w:r>
      <w:r>
        <w:rPr>
          <w:rFonts w:hint="eastAsia" w:ascii="仿宋" w:hAnsi="仿宋" w:eastAsia="仿宋" w:cs="仿宋"/>
          <w:lang w:eastAsia="zh-CN"/>
        </w:rPr>
        <w:t>供应商</w:t>
      </w:r>
      <w:r>
        <w:rPr>
          <w:rFonts w:hint="eastAsia" w:ascii="仿宋" w:hAnsi="仿宋" w:eastAsia="仿宋" w:cs="仿宋"/>
        </w:rPr>
        <w:t>存在直接控股、管理关系的其他单位。</w:t>
      </w:r>
    </w:p>
    <w:p>
      <w:pPr>
        <w:pStyle w:val="8"/>
        <w:jc w:val="center"/>
        <w:rPr>
          <w:rFonts w:hint="eastAsia" w:ascii="仿宋" w:hAnsi="仿宋" w:eastAsia="仿宋" w:cs="仿宋"/>
        </w:rPr>
      </w:pPr>
    </w:p>
    <w:p>
      <w:pPr>
        <w:pStyle w:val="19"/>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第四部分  技术投标方案</w:t>
      </w:r>
    </w:p>
    <w:p>
      <w:pPr>
        <w:pStyle w:val="19"/>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199" w:name="_Toc375218897"/>
      <w:r>
        <w:rPr>
          <w:rFonts w:hint="eastAsia" w:ascii="仿宋" w:hAnsi="仿宋" w:eastAsia="仿宋" w:cs="仿宋"/>
          <w:color w:val="auto"/>
          <w:sz w:val="24"/>
          <w:highlight w:val="none"/>
          <w:lang w:val="zh-CN"/>
        </w:rPr>
        <w:t>供应商应根据采购文件的要求，参照项目的具体情况及评分标准</w:t>
      </w:r>
      <w:bookmarkStart w:id="200"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编制技术投标方案</w:t>
      </w:r>
      <w:r>
        <w:rPr>
          <w:rFonts w:hint="eastAsia" w:ascii="仿宋" w:hAnsi="仿宋" w:eastAsia="仿宋" w:cs="仿宋"/>
          <w:color w:val="auto"/>
          <w:sz w:val="24"/>
          <w:highlight w:val="none"/>
          <w:lang w:val="zh-CN"/>
        </w:rPr>
        <w:t>。</w:t>
      </w:r>
      <w:bookmarkEnd w:id="199"/>
      <w:bookmarkEnd w:id="200"/>
    </w:p>
    <w:p>
      <w:pPr>
        <w:pStyle w:val="19"/>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标项一至四：技术投标文件将从与采购文件的响应性，</w:t>
      </w:r>
      <w:r>
        <w:rPr>
          <w:rFonts w:hint="eastAsia" w:ascii="仿宋" w:hAnsi="仿宋" w:eastAsia="仿宋" w:cs="仿宋"/>
          <w:color w:val="auto"/>
          <w:sz w:val="24"/>
          <w:highlight w:val="none"/>
          <w:lang w:val="zh-CN" w:eastAsia="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投入本项目的主要设备和仪器等方面评审。</w:t>
      </w:r>
    </w:p>
    <w:p>
      <w:pPr>
        <w:pStyle w:val="19"/>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sz w:val="24"/>
          <w:lang w:val="en-US" w:eastAsia="zh-CN"/>
        </w:rPr>
        <w:t>标项五：</w:t>
      </w:r>
      <w:r>
        <w:rPr>
          <w:rFonts w:hint="eastAsia" w:ascii="仿宋" w:hAnsi="仿宋" w:eastAsia="仿宋" w:cs="仿宋"/>
          <w:color w:val="auto"/>
          <w:sz w:val="24"/>
          <w:highlight w:val="none"/>
          <w:lang w:val="zh-CN"/>
        </w:rPr>
        <w:t>技术标将从标书与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val="zh-CN"/>
        </w:rPr>
        <w:t>文件的响应性或完整性、监理工作范围、内容、目标及依据、监理机构和组织形式健全、监理工作程序的合理性，技术要求的可行性、技术要求及措施的合理性、预期成果应包括、监理工作总结、质量评估报告、人员配置等方面进行评价。</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bidi w:val="0"/>
        <w:rPr>
          <w:rFonts w:hint="default"/>
          <w:lang w:val="en-US" w:eastAsia="zh-CN"/>
        </w:rPr>
      </w:pPr>
    </w:p>
    <w:p>
      <w:pPr>
        <w:pStyle w:val="8"/>
        <w:ind w:firstLine="723" w:firstLineChars="300"/>
        <w:rPr>
          <w:rFonts w:hint="eastAsia" w:ascii="仿宋" w:hAnsi="仿宋" w:eastAsia="仿宋" w:cs="仿宋"/>
          <w:b/>
          <w:bCs/>
          <w:lang w:eastAsia="zh-CN"/>
        </w:rPr>
      </w:pPr>
    </w:p>
    <w:p>
      <w:pPr>
        <w:bidi w:val="0"/>
        <w:rPr>
          <w:rFonts w:hint="eastAsia"/>
        </w:rPr>
      </w:pPr>
      <w:r>
        <w:rPr>
          <w:rFonts w:hint="eastAsia"/>
        </w:rPr>
        <w:br w:type="page"/>
      </w: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伊犁州2023年中央自然灾害防治体系</w:t>
      </w:r>
    </w:p>
    <w:p>
      <w:pPr>
        <w:pStyle w:val="2"/>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建设项目</w:t>
      </w:r>
    </w:p>
    <w:p>
      <w:pPr>
        <w:pStyle w:val="2"/>
        <w:rPr>
          <w:rFonts w:hint="eastAsia" w:ascii="仿宋" w:hAnsi="仿宋" w:eastAsia="仿宋" w:cs="仿宋"/>
          <w:b/>
          <w:sz w:val="48"/>
          <w:szCs w:val="48"/>
          <w:lang w:val="en-US" w:eastAsia="zh-CN"/>
        </w:rPr>
      </w:pPr>
    </w:p>
    <w:p>
      <w:pPr>
        <w:widowControl/>
        <w:jc w:val="left"/>
        <w:rPr>
          <w:rFonts w:hint="eastAsia" w:ascii="仿宋" w:hAnsi="仿宋" w:eastAsia="仿宋" w:cs="仿宋"/>
        </w:rPr>
      </w:pPr>
    </w:p>
    <w:p>
      <w:pPr>
        <w:pStyle w:val="34"/>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（项目编号：GYZB-YLZDZFZ2023）</w:t>
      </w:r>
    </w:p>
    <w:p>
      <w:pPr>
        <w:pStyle w:val="8"/>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33"/>
        <w:rPr>
          <w:rFonts w:hint="eastAsia" w:ascii="仿宋" w:hAnsi="仿宋" w:eastAsia="仿宋" w:cs="仿宋"/>
          <w:b/>
          <w:sz w:val="52"/>
        </w:rPr>
      </w:pPr>
    </w:p>
    <w:p>
      <w:pPr>
        <w:pStyle w:val="34"/>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lang w:eastAsia="zh-CN"/>
        </w:rPr>
        <w:t>采购代理机构</w:t>
      </w:r>
      <w:r>
        <w:rPr>
          <w:rFonts w:hint="eastAsia" w:ascii="仿宋" w:hAnsi="仿宋" w:eastAsia="仿宋" w:cs="仿宋"/>
          <w:sz w:val="28"/>
          <w:szCs w:val="28"/>
        </w:rPr>
        <w:t>：</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2023年2月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01" w:name="_Toc518923124"/>
      <w:bookmarkStart w:id="202" w:name="_Toc218935350"/>
      <w:bookmarkStart w:id="203" w:name="_Toc507399902"/>
      <w:bookmarkStart w:id="204" w:name="_Toc216582822"/>
      <w:bookmarkStart w:id="205" w:name="_Toc219175634"/>
      <w:bookmarkStart w:id="206" w:name="_Toc9913"/>
      <w:r>
        <w:rPr>
          <w:rFonts w:hint="eastAsia" w:ascii="仿宋" w:hAnsi="仿宋" w:eastAsia="仿宋" w:cs="仿宋"/>
          <w:b/>
          <w:kern w:val="44"/>
          <w:sz w:val="32"/>
          <w:szCs w:val="20"/>
          <w:lang w:val="en-US" w:eastAsia="zh-CN" w:bidi="ar-SA"/>
        </w:rPr>
        <w:t xml:space="preserve">第3章  </w:t>
      </w:r>
      <w:bookmarkEnd w:id="201"/>
      <w:bookmarkEnd w:id="202"/>
      <w:bookmarkEnd w:id="203"/>
      <w:bookmarkEnd w:id="204"/>
      <w:bookmarkEnd w:id="205"/>
      <w:bookmarkEnd w:id="206"/>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8"/>
        <w:ind w:firstLine="480" w:firstLineChars="200"/>
        <w:rPr>
          <w:rFonts w:hint="eastAsia" w:ascii="仿宋" w:hAnsi="仿宋" w:eastAsia="仿宋" w:cs="仿宋"/>
          <w:lang w:val="en-US" w:eastAsia="zh-CN"/>
        </w:rPr>
      </w:pPr>
      <w:bookmarkStart w:id="207" w:name="_Toc512937850"/>
      <w:r>
        <w:rPr>
          <w:rFonts w:hint="eastAsia" w:ascii="仿宋" w:hAnsi="仿宋" w:eastAsia="仿宋" w:cs="仿宋"/>
          <w:lang w:val="en-US" w:eastAsia="zh-CN"/>
        </w:rPr>
        <w:t>项目概况</w:t>
      </w:r>
    </w:p>
    <w:tbl>
      <w:tblPr>
        <w:tblStyle w:val="36"/>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80" w:type="dxa"/>
            <w:noWrap w:val="0"/>
            <w:vAlign w:val="top"/>
          </w:tcPr>
          <w:p>
            <w:pPr>
              <w:pStyle w:val="8"/>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伊犁州2023年中央自然灾害防治体系建设项目招标项目的潜在供应商应在新疆政府</w:t>
            </w:r>
            <w:r>
              <w:rPr>
                <w:rFonts w:hint="eastAsia" w:ascii="仿宋" w:hAnsi="仿宋" w:eastAsia="仿宋" w:cs="Times New Roman"/>
                <w:color w:val="auto"/>
                <w:kern w:val="2"/>
                <w:sz w:val="24"/>
                <w:szCs w:val="24"/>
                <w:lang w:val="en-US" w:eastAsia="zh-CN" w:bidi="ar-SA"/>
              </w:rPr>
              <w:t>采购网自行下载获取采购文件，并于2023年3月3日</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项目编号：GYZB-YLZDZFZ2023</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项目名称：伊犁州2023年中央自然灾害防治体系建设项目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预算金额（元）：25300000.00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最高限价（元）：25300000.00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采购需求：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标项一：GYZB-YLZDZFZ2023-01；</w:t>
      </w:r>
      <w:bookmarkStart w:id="208" w:name="_Hlk124727830"/>
      <w:bookmarkStart w:id="209" w:name="_Hlk124728515"/>
      <w:r>
        <w:rPr>
          <w:rFonts w:hint="eastAsia" w:ascii="仿宋" w:hAnsi="仿宋" w:eastAsia="仿宋" w:cs="Times New Roman"/>
          <w:kern w:val="2"/>
          <w:sz w:val="24"/>
          <w:szCs w:val="24"/>
          <w:lang w:val="en-US" w:eastAsia="zh-CN" w:bidi="ar-SA"/>
        </w:rPr>
        <w:t>新疆新源县吐尔根乡阿克克尔喀村苏拉萨依沟泥石流防治工程</w:t>
      </w:r>
      <w:bookmarkEnd w:id="208"/>
      <w:bookmarkEnd w:id="209"/>
      <w:r>
        <w:rPr>
          <w:rFonts w:hint="eastAsia" w:ascii="仿宋" w:hAnsi="仿宋" w:eastAsia="仿宋" w:cs="Times New Roman"/>
          <w:kern w:val="2"/>
          <w:sz w:val="24"/>
          <w:szCs w:val="24"/>
          <w:lang w:val="en-US" w:eastAsia="zh-CN" w:bidi="ar-SA"/>
        </w:rPr>
        <w:t>；预算金额：892.076万元；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标项二：GYZB-YLZDZFZ2023-02；新疆伊宁县喀拉亚尕奇乡喀拉亚尕奇村滑坡防治工程；预算金额：950.444万元；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标项三：GYZB-YLZDZFZ2023-03；新疆特克斯县喀拉托海镇达根别勒村2号泥石流防治工程；预算金额：289.5万元；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标项四：GYZB-YLZDZFZ2023-04；新疆特克斯县喀拉托海镇达根别勒村1号泥石流防治工程；预算金额：318.6万元；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标项五：GYZB-YLZDZFZ2023-05；伊犁州2023年中央自然灾害防治体系建设项目监理；预算金额：79.38万元；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合同履行期限：详见采购文件。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1.有效的营业执照正本或副本；</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2.供应商投标标项一和二提供地质灾害治理工程设计和施工甲级资质；标项三和四提供地质灾害治理工程设计和施工乙级（含乙级）以上资质；标项五提供地质灾害防治工程监理甲级资质。</w:t>
      </w:r>
    </w:p>
    <w:p>
      <w:pPr>
        <w:autoSpaceDE/>
        <w:autoSpaceDN/>
        <w:spacing w:line="360" w:lineRule="auto"/>
        <w:ind w:firstLine="480" w:firstLineChars="200"/>
        <w:jc w:val="both"/>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3.联合体协议书（如有）。</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三、获取采购文件</w:t>
      </w:r>
    </w:p>
    <w:p>
      <w:pPr>
        <w:autoSpaceDE/>
        <w:autoSpaceDN/>
        <w:spacing w:line="360" w:lineRule="auto"/>
        <w:ind w:firstLine="480" w:firstLineChars="200"/>
        <w:jc w:val="both"/>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时间：2023年2月13日至2023年2月17日，每天上午10:30至13:30，下午15:30至19:00（北京时间，法定节假日除外）.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地点：新疆政府采购网自行下载</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提交投标文件截止时间：2023年3月3日 </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w:t>
      </w:r>
    </w:p>
    <w:p>
      <w:pPr>
        <w:autoSpaceDE/>
        <w:autoSpaceDN/>
        <w:spacing w:line="360" w:lineRule="auto"/>
        <w:ind w:firstLine="480" w:firstLineChars="200"/>
        <w:jc w:val="both"/>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lang w:val="en-US" w:eastAsia="zh-CN" w:bidi="ar-SA"/>
        </w:rPr>
        <w:t>投标地点：</w:t>
      </w:r>
      <w:r>
        <w:rPr>
          <w:rFonts w:hint="eastAsia" w:ascii="仿宋" w:hAnsi="仿宋" w:eastAsia="仿宋" w:cs="仿宋"/>
          <w:color w:val="auto"/>
          <w:kern w:val="0"/>
          <w:sz w:val="24"/>
          <w:highlight w:val="none"/>
        </w:rPr>
        <w:t>政采云投标客户端投标</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开标时间：2023年3月3日 </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开标地点：乌鲁木齐市新市区阜新街1号2号楼3楼开标大厅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自本公告发布之日起5个工作日。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名称：伊犁哈萨克自治州自然资源局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地址：伊犁哈萨克自治州伊宁市阿合买提江街5巷105号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联系人：</w:t>
      </w:r>
      <w:bookmarkStart w:id="210" w:name="_Toc28359009"/>
      <w:bookmarkStart w:id="211" w:name="_Toc28359086"/>
      <w:r>
        <w:rPr>
          <w:rFonts w:hint="eastAsia" w:ascii="仿宋" w:hAnsi="仿宋" w:eastAsia="仿宋" w:cs="Times New Roman"/>
          <w:kern w:val="2"/>
          <w:sz w:val="24"/>
          <w:szCs w:val="24"/>
          <w:lang w:val="en-US" w:eastAsia="zh-CN" w:bidi="ar-SA"/>
        </w:rPr>
        <w:t xml:space="preserve">李玉坤      联系电话：15026165332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12" w:name="_Toc472"/>
      <w:r>
        <w:rPr>
          <w:rFonts w:hint="eastAsia" w:ascii="仿宋" w:hAnsi="仿宋" w:eastAsia="仿宋" w:cs="Times New Roman"/>
          <w:kern w:val="2"/>
          <w:sz w:val="24"/>
          <w:szCs w:val="24"/>
          <w:lang w:val="en-US" w:eastAsia="zh-CN" w:bidi="ar-SA"/>
        </w:rPr>
        <w:t>2.采购代理机构信息</w:t>
      </w:r>
      <w:bookmarkEnd w:id="210"/>
      <w:bookmarkEnd w:id="211"/>
      <w:bookmarkEnd w:id="212"/>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联系方式：</w:t>
      </w:r>
      <w:bookmarkStart w:id="213" w:name="_Toc28359010"/>
      <w:bookmarkStart w:id="214" w:name="_Toc28359087"/>
      <w:r>
        <w:rPr>
          <w:rFonts w:hint="eastAsia" w:ascii="仿宋" w:hAnsi="仿宋" w:eastAsia="仿宋" w:cs="Times New Roman"/>
          <w:kern w:val="2"/>
          <w:sz w:val="24"/>
          <w:szCs w:val="24"/>
          <w:lang w:val="en-US" w:eastAsia="zh-CN" w:bidi="ar-SA"/>
        </w:rPr>
        <w:t>柳苗苗  兰晓丽0991-4846293  18299392519 13779560376</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bookmarkStart w:id="215" w:name="_Toc15500"/>
      <w:r>
        <w:rPr>
          <w:rFonts w:hint="eastAsia" w:ascii="仿宋" w:hAnsi="仿宋" w:eastAsia="仿宋" w:cs="Times New Roman"/>
          <w:kern w:val="2"/>
          <w:sz w:val="24"/>
          <w:szCs w:val="24"/>
          <w:lang w:val="en-US" w:eastAsia="zh-CN" w:bidi="ar-SA"/>
        </w:rPr>
        <w:t>3.</w:t>
      </w:r>
      <w:bookmarkEnd w:id="213"/>
      <w:bookmarkEnd w:id="214"/>
      <w:bookmarkEnd w:id="215"/>
      <w:r>
        <w:rPr>
          <w:rFonts w:hint="eastAsia" w:ascii="仿宋" w:hAnsi="仿宋" w:eastAsia="仿宋" w:cs="Times New Roman"/>
          <w:kern w:val="2"/>
          <w:sz w:val="24"/>
          <w:szCs w:val="24"/>
          <w:lang w:val="en-US" w:eastAsia="zh-CN" w:bidi="ar-SA"/>
        </w:rPr>
        <w:t>监管单位信息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名称：伊犁州财政局采购办</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电话：0999-8075070</w:t>
      </w:r>
    </w:p>
    <w:p>
      <w:pPr>
        <w:spacing w:line="240" w:lineRule="auto"/>
        <w:rPr>
          <w:rFonts w:hint="eastAsia" w:ascii="仿宋" w:hAnsi="仿宋" w:eastAsia="仿宋" w:cs="仿宋"/>
        </w:rPr>
      </w:pPr>
    </w:p>
    <w:p>
      <w:pPr>
        <w:pStyle w:val="3"/>
        <w:tabs>
          <w:tab w:val="left" w:pos="0"/>
        </w:tabs>
        <w:spacing w:before="0" w:after="0" w:line="240" w:lineRule="atLeast"/>
        <w:jc w:val="center"/>
        <w:rPr>
          <w:rFonts w:hint="eastAsia" w:ascii="仿宋" w:hAnsi="仿宋" w:eastAsia="仿宋" w:cs="仿宋"/>
          <w:b w:val="0"/>
          <w:szCs w:val="32"/>
        </w:rPr>
      </w:pPr>
      <w:r>
        <w:rPr>
          <w:rFonts w:hint="eastAsia" w:ascii="仿宋" w:hAnsi="仿宋" w:eastAsia="仿宋" w:cs="仿宋"/>
          <w:sz w:val="24"/>
        </w:rPr>
        <w:br w:type="page"/>
      </w:r>
      <w:bookmarkStart w:id="216" w:name="_Toc518923125"/>
      <w:bookmarkStart w:id="217" w:name="_Toc28647"/>
      <w:bookmarkStart w:id="218" w:name="_Toc507399903"/>
      <w:bookmarkStart w:id="219" w:name="_Toc216582823"/>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lang w:eastAsia="zh-CN"/>
        </w:rPr>
        <w:t>供应商</w:t>
      </w:r>
      <w:r>
        <w:rPr>
          <w:rFonts w:hint="eastAsia" w:ascii="仿宋" w:hAnsi="仿宋" w:eastAsia="仿宋" w:cs="仿宋"/>
        </w:rPr>
        <w:t>须知资料表</w:t>
      </w:r>
      <w:bookmarkEnd w:id="216"/>
      <w:bookmarkEnd w:id="217"/>
      <w:bookmarkEnd w:id="218"/>
      <w:bookmarkEnd w:id="219"/>
    </w:p>
    <w:bookmarkEnd w:id="207"/>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w:t>
      </w:r>
      <w:r>
        <w:rPr>
          <w:rFonts w:hint="eastAsia" w:ascii="仿宋" w:hAnsi="仿宋" w:eastAsia="仿宋" w:cs="仿宋"/>
          <w:sz w:val="24"/>
          <w:lang w:eastAsia="zh-CN"/>
        </w:rPr>
        <w:t>供应商</w:t>
      </w:r>
      <w:r>
        <w:rPr>
          <w:rFonts w:hint="eastAsia" w:ascii="仿宋" w:hAnsi="仿宋" w:eastAsia="仿宋" w:cs="仿宋"/>
          <w:sz w:val="24"/>
        </w:rPr>
        <w:t>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3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2"/>
                <w:szCs w:val="22"/>
                <w:lang w:eastAsia="zh-CN"/>
              </w:rPr>
            </w:pPr>
            <w:r>
              <w:rPr>
                <w:rFonts w:hint="eastAsia" w:ascii="仿宋" w:hAnsi="仿宋" w:eastAsia="仿宋" w:cs="仿宋"/>
                <w:sz w:val="22"/>
                <w:szCs w:val="22"/>
              </w:rPr>
              <w:t>采购人：</w:t>
            </w:r>
            <w:r>
              <w:rPr>
                <w:rFonts w:hint="eastAsia" w:ascii="仿宋" w:hAnsi="仿宋" w:eastAsia="仿宋" w:cs="仿宋"/>
                <w:sz w:val="22"/>
                <w:szCs w:val="22"/>
                <w:u w:val="single"/>
                <w:lang w:eastAsia="zh-CN"/>
              </w:rPr>
              <w:t>伊犁哈萨克自治州自然资源局</w:t>
            </w:r>
          </w:p>
          <w:p>
            <w:pPr>
              <w:spacing w:line="24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联系人：</w:t>
            </w:r>
            <w:r>
              <w:rPr>
                <w:rFonts w:hint="eastAsia" w:ascii="仿宋" w:hAnsi="仿宋" w:eastAsia="仿宋" w:cs="Times New Roman"/>
                <w:kern w:val="2"/>
                <w:sz w:val="22"/>
                <w:szCs w:val="22"/>
                <w:u w:val="single"/>
                <w:lang w:val="en-US" w:eastAsia="zh-CN" w:bidi="ar-SA"/>
              </w:rPr>
              <w:t>李玉坤</w:t>
            </w:r>
            <w:r>
              <w:rPr>
                <w:rFonts w:hint="eastAsia" w:ascii="仿宋" w:hAnsi="仿宋" w:eastAsia="仿宋" w:cs="Times New Roman"/>
                <w:kern w:val="2"/>
                <w:sz w:val="22"/>
                <w:szCs w:val="22"/>
                <w:u w:val="none"/>
                <w:lang w:val="en-US" w:eastAsia="zh-CN" w:bidi="ar-SA"/>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 xml:space="preserve">  </w:t>
            </w:r>
          </w:p>
          <w:p>
            <w:pPr>
              <w:spacing w:line="240" w:lineRule="atLeast"/>
              <w:rPr>
                <w:rFonts w:hint="eastAsia" w:ascii="仿宋" w:hAnsi="仿宋" w:eastAsia="仿宋" w:cs="仿宋"/>
                <w:sz w:val="22"/>
                <w:szCs w:val="22"/>
              </w:rPr>
            </w:pPr>
            <w:r>
              <w:rPr>
                <w:rFonts w:hint="eastAsia" w:ascii="仿宋" w:hAnsi="仿宋" w:eastAsia="仿宋" w:cs="仿宋"/>
                <w:sz w:val="22"/>
                <w:szCs w:val="22"/>
                <w:lang w:val="en-US" w:eastAsia="zh-CN"/>
              </w:rPr>
              <w:t>联系电话：</w:t>
            </w:r>
            <w:r>
              <w:rPr>
                <w:rFonts w:hint="eastAsia" w:ascii="仿宋" w:hAnsi="仿宋" w:eastAsia="仿宋" w:cs="Times New Roman"/>
                <w:kern w:val="2"/>
                <w:sz w:val="22"/>
                <w:szCs w:val="22"/>
                <w:u w:val="single"/>
                <w:lang w:val="en-US" w:eastAsia="zh-CN" w:bidi="ar-SA"/>
              </w:rPr>
              <w:t xml:space="preserve">15026165332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2"/>
                <w:szCs w:val="22"/>
                <w:u w:val="single"/>
                <w:lang w:eastAsia="zh-CN"/>
              </w:rPr>
            </w:pPr>
            <w:r>
              <w:rPr>
                <w:rFonts w:hint="eastAsia" w:ascii="仿宋" w:hAnsi="仿宋" w:eastAsia="仿宋" w:cs="仿宋"/>
                <w:sz w:val="22"/>
                <w:szCs w:val="22"/>
              </w:rPr>
              <w:t>采购代理机构：</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eastAsia="zh-CN"/>
              </w:rPr>
              <w:t>新疆国源土地矿产资源交易中心（有限公司）</w:t>
            </w:r>
          </w:p>
          <w:p>
            <w:pPr>
              <w:spacing w:line="240" w:lineRule="atLeast"/>
              <w:rPr>
                <w:rFonts w:hint="eastAsia" w:ascii="仿宋" w:hAnsi="仿宋" w:eastAsia="仿宋" w:cs="仿宋"/>
                <w:sz w:val="22"/>
                <w:szCs w:val="22"/>
                <w:u w:val="single"/>
                <w:lang w:eastAsia="zh-CN"/>
              </w:rPr>
            </w:pPr>
            <w:r>
              <w:rPr>
                <w:rFonts w:hint="eastAsia" w:ascii="仿宋" w:hAnsi="仿宋" w:eastAsia="仿宋" w:cs="仿宋"/>
                <w:sz w:val="22"/>
                <w:szCs w:val="22"/>
              </w:rPr>
              <w:t>地址：</w:t>
            </w:r>
            <w:r>
              <w:rPr>
                <w:rFonts w:hint="eastAsia" w:ascii="仿宋" w:hAnsi="仿宋" w:eastAsia="仿宋" w:cs="仿宋"/>
                <w:sz w:val="22"/>
                <w:szCs w:val="22"/>
                <w:u w:val="single"/>
                <w:lang w:eastAsia="zh-CN"/>
              </w:rPr>
              <w:t>乌鲁木齐市新市区阜新街1号2号楼3楼</w:t>
            </w:r>
          </w:p>
          <w:p>
            <w:pPr>
              <w:spacing w:line="240" w:lineRule="atLeast"/>
              <w:jc w:val="left"/>
              <w:rPr>
                <w:rFonts w:hint="eastAsia" w:ascii="仿宋" w:hAnsi="仿宋" w:eastAsia="仿宋" w:cs="仿宋"/>
                <w:sz w:val="22"/>
                <w:szCs w:val="22"/>
              </w:rPr>
            </w:pPr>
            <w:r>
              <w:rPr>
                <w:rFonts w:hint="eastAsia" w:ascii="仿宋" w:hAnsi="仿宋" w:eastAsia="仿宋" w:cs="仿宋"/>
                <w:sz w:val="22"/>
                <w:szCs w:val="22"/>
              </w:rPr>
              <w:t>业务联系人</w:t>
            </w:r>
            <w:r>
              <w:rPr>
                <w:rFonts w:hint="eastAsia" w:ascii="仿宋" w:hAnsi="仿宋" w:eastAsia="仿宋" w:cs="仿宋"/>
                <w:sz w:val="22"/>
                <w:szCs w:val="22"/>
                <w:lang w:eastAsia="zh-CN"/>
              </w:rPr>
              <w:t>：</w:t>
            </w:r>
            <w:r>
              <w:rPr>
                <w:rFonts w:hint="eastAsia" w:ascii="仿宋" w:hAnsi="仿宋" w:eastAsia="仿宋" w:cs="仿宋"/>
                <w:sz w:val="22"/>
                <w:szCs w:val="22"/>
                <w:u w:val="single"/>
                <w:lang w:val="en-US" w:eastAsia="zh-CN"/>
              </w:rPr>
              <w:t xml:space="preserve">柳苗苗、兰晓丽0991-4846293、18299392519、13779560376 </w:t>
            </w:r>
            <w:r>
              <w:rPr>
                <w:rFonts w:hint="eastAsia" w:ascii="仿宋" w:hAnsi="仿宋" w:eastAsia="仿宋" w:cs="仿宋"/>
                <w:sz w:val="22"/>
                <w:szCs w:val="22"/>
                <w:u w:val="no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合格供应商的其他资格要求：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3.供应商投标标项一和二提供地质灾害治理工程设计和施工甲级资质；标项三和四提供地质灾害治理工程设计和施工乙级（含乙级）以上资质；标项五提供地质灾害防治工程监理甲级以上资质。</w:t>
            </w:r>
          </w:p>
          <w:p>
            <w:pPr>
              <w:spacing w:line="240" w:lineRule="atLeast"/>
              <w:rPr>
                <w:rFonts w:hint="default"/>
                <w:lang w:val="en-US"/>
              </w:rPr>
            </w:pPr>
            <w:r>
              <w:rPr>
                <w:rFonts w:hint="eastAsia" w:ascii="仿宋" w:hAnsi="仿宋" w:eastAsia="仿宋" w:cs="仿宋"/>
                <w:lang w:val="en-US" w:eastAsia="zh-CN"/>
              </w:rPr>
              <w:t>4.投标保证金缴纳凭证。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lang w:val="en-US" w:eastAsia="zh-CN"/>
              </w:rPr>
              <w:t>是否为专门面向中小企业采购：</w:t>
            </w:r>
            <w:r>
              <w:rPr>
                <w:rFonts w:hint="eastAsia" w:ascii="仿宋" w:hAnsi="仿宋" w:eastAsia="仿宋" w:cs="仿宋"/>
                <w:u w:val="single"/>
                <w:lang w:val="en-US" w:eastAsia="zh-CN"/>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是否允许联合体投标：</w:t>
            </w:r>
          </w:p>
          <w:p>
            <w:pPr>
              <w:spacing w:line="240" w:lineRule="atLeast"/>
              <w:rPr>
                <w:rFonts w:hint="default" w:eastAsia="仿宋"/>
                <w:u w:val="none"/>
                <w:lang w:val="en-US" w:eastAsia="zh-CN"/>
              </w:rPr>
            </w:pPr>
            <w:r>
              <w:rPr>
                <w:rFonts w:hint="eastAsia" w:ascii="仿宋" w:hAnsi="仿宋" w:eastAsia="仿宋" w:cs="仿宋"/>
                <w:lang w:val="en-US" w:eastAsia="zh-CN"/>
              </w:rPr>
              <w:t>标项一、二、三、四</w:t>
            </w:r>
            <w:r>
              <w:rPr>
                <w:rFonts w:hint="eastAsia" w:ascii="仿宋" w:hAnsi="仿宋" w:eastAsia="仿宋" w:cs="仿宋"/>
                <w:u w:val="single"/>
                <w:lang w:val="en-US" w:eastAsia="zh-CN"/>
              </w:rPr>
              <w:t>是</w:t>
            </w:r>
            <w:r>
              <w:rPr>
                <w:rFonts w:hint="eastAsia" w:ascii="仿宋" w:hAnsi="仿宋" w:eastAsia="仿宋" w:cs="仿宋"/>
                <w:lang w:val="en-US" w:eastAsia="zh-CN"/>
              </w:rPr>
              <w:t>联合体投标，标项五</w:t>
            </w:r>
            <w:r>
              <w:rPr>
                <w:rFonts w:hint="eastAsia" w:ascii="仿宋" w:hAnsi="仿宋" w:eastAsia="仿宋" w:cs="仿宋"/>
                <w:u w:val="single"/>
                <w:lang w:val="en-US" w:eastAsia="zh-CN"/>
              </w:rPr>
              <w:t>否</w:t>
            </w:r>
            <w:r>
              <w:rPr>
                <w:rFonts w:hint="eastAsia" w:ascii="仿宋" w:hAnsi="仿宋" w:eastAsia="仿宋" w:cs="仿宋"/>
                <w:lang w:val="en-US" w:eastAsia="zh-CN"/>
              </w:rPr>
              <w:t>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1.联合体投标的，应签订联合体投标协议书，确定联合牵头人并确定各方的权利和义务；项目牵头供应商为专业地质类单位；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项目总预算金额人民币：2530万元；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标项一：预算金额人民币：892.076万元；最高限价人民币：892.076万元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标项二：预算金额人民币：950.444万元；最高限价人民币：950.444万元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标项三：预算金额人民币：289.5万元；最高限价人民币：289.5万元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标项四：预算金额人民币：318.6万元；最高限价人民币：318.6万元</w:t>
            </w:r>
          </w:p>
          <w:p>
            <w:pPr>
              <w:spacing w:line="240" w:lineRule="atLeast"/>
              <w:rPr>
                <w:rFonts w:hint="default"/>
                <w:lang w:val="en-US"/>
              </w:rPr>
            </w:pPr>
            <w:r>
              <w:rPr>
                <w:rFonts w:hint="eastAsia" w:ascii="仿宋" w:hAnsi="仿宋" w:eastAsia="仿宋" w:cs="仿宋"/>
                <w:lang w:val="en-US" w:eastAsia="zh-CN"/>
              </w:rPr>
              <w:t>标项五：预算金额人民币：79.38万元；最高限价人民币：79.38万元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8"/>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sz w:val="24"/>
                <w:highlight w:val="none"/>
                <w:u w:val="none"/>
                <w:lang w:eastAsia="zh-CN"/>
              </w:rPr>
              <w:t>☑对公转账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保函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电汇</w:t>
            </w:r>
          </w:p>
          <w:p>
            <w:pPr>
              <w:rPr>
                <w:rFonts w:hint="eastAsia" w:ascii="仿宋" w:hAnsi="仿宋" w:eastAsia="仿宋" w:cs="仿宋"/>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w:t>
            </w:r>
            <w:r>
              <w:rPr>
                <w:rFonts w:hint="eastAsia" w:ascii="仿宋" w:hAnsi="仿宋" w:eastAsia="仿宋" w:cs="仿宋"/>
                <w:sz w:val="24"/>
                <w:szCs w:val="24"/>
                <w:lang w:val="en-US" w:eastAsia="zh-CN"/>
              </w:rPr>
              <w:t>人民币：15.0万元；标项二人民币：15.0万元；标项三人民币：5.0万元；标项四人民币：5.0万元；标项五人民币：1.5万元</w:t>
            </w:r>
            <w:r>
              <w:rPr>
                <w:rFonts w:hint="eastAsia" w:ascii="仿宋" w:hAnsi="仿宋" w:eastAsia="仿宋" w:cs="仿宋"/>
                <w:sz w:val="24"/>
                <w:lang w:val="en-US" w:eastAsia="zh-CN"/>
              </w:rPr>
              <w:t>。</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中标人退还保证金需提交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lang w:eastAsia="zh-CN"/>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报价单</w:t>
            </w:r>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w:t>
            </w:r>
            <w:r>
              <w:rPr>
                <w:rFonts w:hint="eastAsia" w:ascii="仿宋" w:hAnsi="仿宋" w:eastAsia="仿宋" w:cs="仿宋"/>
                <w:b/>
                <w:bCs/>
                <w:sz w:val="24"/>
                <w:lang w:eastAsia="zh-CN"/>
              </w:rPr>
              <w:t>商务资信投标文件</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“技术投标方案”</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eastAsia="zh-CN"/>
              </w:rPr>
              <w:t>。</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供应商</w:t>
            </w:r>
            <w:r>
              <w:rPr>
                <w:rFonts w:hint="eastAsia" w:ascii="仿宋" w:hAnsi="仿宋" w:eastAsia="仿宋" w:cs="仿宋"/>
                <w:b/>
                <w:bCs/>
                <w:sz w:val="24"/>
              </w:rPr>
              <w:t>应按</w:t>
            </w:r>
            <w:r>
              <w:rPr>
                <w:rFonts w:hint="eastAsia" w:ascii="仿宋" w:hAnsi="仿宋" w:eastAsia="仿宋" w:cs="仿宋"/>
                <w:b/>
                <w:bCs/>
                <w:sz w:val="24"/>
                <w:lang w:eastAsia="zh-CN"/>
              </w:rPr>
              <w:t>供应商</w:t>
            </w:r>
            <w:r>
              <w:rPr>
                <w:rFonts w:hint="eastAsia" w:ascii="仿宋" w:hAnsi="仿宋" w:eastAsia="仿宋" w:cs="仿宋"/>
                <w:b/>
                <w:bCs/>
                <w:sz w:val="24"/>
              </w:rPr>
              <w:t>须知资料表中的规定，准备和</w:t>
            </w:r>
            <w:r>
              <w:rPr>
                <w:rFonts w:hint="eastAsia" w:ascii="仿宋" w:hAnsi="仿宋" w:eastAsia="仿宋" w:cs="仿宋"/>
                <w:b/>
                <w:bCs/>
                <w:sz w:val="24"/>
                <w:lang w:val="en-US" w:eastAsia="zh-CN"/>
              </w:rPr>
              <w:t>上传</w:t>
            </w:r>
            <w:r>
              <w:rPr>
                <w:rFonts w:hint="eastAsia" w:ascii="仿宋" w:hAnsi="仿宋" w:eastAsia="仿宋" w:cs="仿宋"/>
                <w:b/>
                <w:bCs/>
                <w:sz w:val="24"/>
              </w:rPr>
              <w:t>投标文件。</w:t>
            </w:r>
          </w:p>
          <w:p>
            <w:pPr>
              <w:spacing w:line="240" w:lineRule="atLeast"/>
              <w:rPr>
                <w:rFonts w:hint="eastAsia" w:ascii="仿宋" w:hAnsi="仿宋" w:eastAsia="仿宋" w:cs="仿宋"/>
                <w:sz w:val="24"/>
                <w:u w:val="single"/>
              </w:rPr>
            </w:pPr>
            <w:r>
              <w:rPr>
                <w:rFonts w:hint="eastAsia" w:ascii="仿宋" w:hAnsi="仿宋" w:eastAsia="仿宋" w:cs="仿宋"/>
                <w:b/>
                <w:bCs/>
                <w:sz w:val="24"/>
              </w:rPr>
              <w:t>投标文件由</w:t>
            </w:r>
            <w:r>
              <w:rPr>
                <w:rFonts w:hint="eastAsia" w:ascii="仿宋" w:hAnsi="仿宋" w:eastAsia="仿宋" w:cs="仿宋"/>
                <w:b/>
                <w:bCs/>
                <w:sz w:val="24"/>
                <w:lang w:eastAsia="zh-CN"/>
              </w:rPr>
              <w:t>供应商</w:t>
            </w:r>
            <w:r>
              <w:rPr>
                <w:rFonts w:hint="eastAsia" w:ascii="仿宋" w:hAnsi="仿宋" w:eastAsia="仿宋" w:cs="仿宋"/>
                <w:b/>
                <w:bCs/>
                <w:sz w:val="24"/>
              </w:rPr>
              <w:t>的法定代表人或委托代理人按</w:t>
            </w:r>
            <w:r>
              <w:rPr>
                <w:rFonts w:hint="eastAsia" w:ascii="仿宋" w:hAnsi="仿宋" w:eastAsia="仿宋" w:cs="仿宋"/>
                <w:b/>
                <w:bCs/>
                <w:sz w:val="24"/>
                <w:lang w:eastAsia="zh-CN"/>
              </w:rPr>
              <w:t>采购文件</w:t>
            </w:r>
            <w:r>
              <w:rPr>
                <w:rFonts w:hint="eastAsia" w:ascii="仿宋" w:hAnsi="仿宋" w:eastAsia="仿宋" w:cs="仿宋"/>
                <w:b/>
                <w:bCs/>
                <w:sz w:val="24"/>
              </w:rPr>
              <w:t>规定在投标文件上签字并加盖单位印章。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2023年3月3日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2023年3月3日 11:00（北京时间）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olor w:val="auto"/>
                <w:sz w:val="24"/>
                <w:lang w:eastAsia="zh-CN"/>
              </w:rPr>
              <w:t>乌鲁木齐市新市区阜新街1号2号楼3楼开标大厅</w:t>
            </w:r>
            <w:r>
              <w:rPr>
                <w:rFonts w:hint="eastAsia" w:ascii="仿宋" w:hAnsi="仿宋" w:eastAsia="仿宋"/>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w:t>
            </w:r>
            <w:bookmarkStart w:id="220" w:name="_Hlk22725541"/>
            <w:r>
              <w:rPr>
                <w:rFonts w:hint="eastAsia" w:ascii="仿宋" w:hAnsi="仿宋" w:eastAsia="仿宋" w:cs="仿宋"/>
                <w:sz w:val="24"/>
                <w:highlight w:val="none"/>
              </w:rPr>
              <w:t>电汇或企业账户网银汇款</w:t>
            </w:r>
            <w:bookmarkEnd w:id="220"/>
            <w:r>
              <w:rPr>
                <w:rFonts w:hint="eastAsia" w:ascii="仿宋" w:hAnsi="仿宋" w:eastAsia="仿宋" w:cs="仿宋"/>
                <w:sz w:val="24"/>
                <w:highlight w:val="none"/>
              </w:rPr>
              <w:t xml:space="preserve">。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伊犁哈萨克自治州自然资源局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w:t>
            </w:r>
            <w:r>
              <w:rPr>
                <w:rFonts w:hint="eastAsia" w:ascii="仿宋" w:hAnsi="仿宋" w:eastAsia="仿宋" w:cs="仿宋"/>
                <w:b/>
                <w:bCs/>
                <w:sz w:val="24"/>
                <w:lang w:val="en-US" w:eastAsia="zh-CN"/>
              </w:rPr>
              <w:t>招标代理费</w:t>
            </w:r>
            <w:r>
              <w:rPr>
                <w:rFonts w:hint="eastAsia" w:ascii="仿宋" w:hAnsi="仿宋" w:eastAsia="仿宋" w:cs="仿宋"/>
                <w:b/>
                <w:bCs/>
                <w:sz w:val="24"/>
                <w:lang w:eastAsia="zh-CN"/>
              </w:rPr>
              <w:t>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lang w:val="en-US" w:eastAsia="zh-CN"/>
              </w:rPr>
            </w:pPr>
            <w:r>
              <w:rPr>
                <w:rFonts w:hint="eastAsia" w:ascii="仿宋" w:hAnsi="仿宋" w:eastAsia="仿宋" w:cs="仿宋"/>
                <w:sz w:val="24"/>
              </w:rPr>
              <w:t>反腐倡廉监督电话/邮箱：</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sz w:val="24"/>
                <w:u w:val="single"/>
              </w:rPr>
              <w:t>0998-2597000</w:t>
            </w:r>
            <w:r>
              <w:rPr>
                <w:rFonts w:hint="eastAsia" w:ascii="仿宋" w:hAnsi="仿宋" w:eastAsia="仿宋" w:cs="仿宋"/>
                <w:sz w:val="24"/>
                <w:u w:val="single"/>
                <w:lang w:val="en-US" w:eastAsia="zh-CN"/>
              </w:rPr>
              <w:t xml:space="preserve"> </w:t>
            </w:r>
          </w:p>
        </w:tc>
      </w:tr>
    </w:tbl>
    <w:p>
      <w:pPr>
        <w:spacing w:line="240" w:lineRule="atLeast"/>
        <w:ind w:left="1080" w:leftChars="257" w:hanging="540"/>
        <w:rPr>
          <w:rFonts w:hint="eastAsia" w:ascii="仿宋" w:hAnsi="仿宋" w:eastAsia="仿宋" w:cs="仿宋"/>
          <w:sz w:val="24"/>
        </w:rPr>
        <w:sectPr>
          <w:headerReference r:id="rId5" w:type="default"/>
          <w:footerReference r:id="rId7" w:type="default"/>
          <w:headerReference r:id="rId6" w:type="even"/>
          <w:footerReference r:id="rId8"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3"/>
        <w:numPr>
          <w:ilvl w:val="0"/>
          <w:numId w:val="0"/>
        </w:numPr>
        <w:tabs>
          <w:tab w:val="left" w:pos="0"/>
        </w:tabs>
        <w:spacing w:before="0" w:after="0" w:line="240" w:lineRule="atLeast"/>
        <w:jc w:val="center"/>
        <w:rPr>
          <w:rFonts w:hint="eastAsia" w:ascii="仿宋" w:hAnsi="仿宋" w:eastAsia="仿宋" w:cs="仿宋"/>
          <w:b/>
          <w:lang w:eastAsia="zh-CN"/>
        </w:rPr>
      </w:pPr>
      <w:bookmarkStart w:id="221" w:name="_Toc7112"/>
      <w:bookmarkStart w:id="222" w:name="_Toc216582825"/>
      <w:bookmarkStart w:id="223" w:name="_Toc219175638"/>
      <w:bookmarkStart w:id="224" w:name="_Toc507399906"/>
      <w:bookmarkStart w:id="225" w:name="_Toc518923126"/>
      <w:bookmarkStart w:id="226" w:name="_Toc218935354"/>
      <w:bookmarkStart w:id="227" w:name="_Toc218935351"/>
      <w:bookmarkStart w:id="228" w:name="_Toc219175635"/>
      <w:bookmarkStart w:id="229" w:name="_Toc216513787"/>
      <w:bookmarkStart w:id="230" w:name="_Toc216582811"/>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21"/>
      <w:bookmarkEnd w:id="222"/>
      <w:bookmarkEnd w:id="223"/>
      <w:bookmarkEnd w:id="224"/>
      <w:bookmarkEnd w:id="225"/>
      <w:bookmarkEnd w:id="226"/>
      <w:r>
        <w:rPr>
          <w:rFonts w:hint="eastAsia" w:ascii="仿宋" w:hAnsi="仿宋" w:eastAsia="仿宋" w:cs="仿宋"/>
          <w:b/>
          <w:lang w:eastAsia="zh-CN"/>
        </w:rPr>
        <w:t>采购需求</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363"/>
        <w:jc w:val="center"/>
        <w:textAlignment w:val="auto"/>
        <w:outlineLvl w:val="1"/>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标项一：新疆新源县吐尔根乡阿克克尔喀村苏拉萨依沟泥石流防治工程</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项目名称：新疆新源县吐尔根乡阿克克尔喀村苏拉萨依沟泥石流防治工程</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val="en-US" w:eastAsia="zh-CN"/>
        </w:rPr>
        <w:t>GYZB-YLZDZFZ2023-01</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项目费用</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892.076</w:t>
      </w:r>
      <w:r>
        <w:rPr>
          <w:rFonts w:hint="eastAsia" w:ascii="仿宋" w:hAnsi="仿宋" w:eastAsia="仿宋" w:cs="仿宋"/>
          <w:color w:val="000000"/>
          <w:sz w:val="24"/>
          <w:szCs w:val="24"/>
        </w:rPr>
        <w:t>万元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捌佰玖拾贰万零柒佰陆拾元整</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FF0000"/>
          <w:sz w:val="24"/>
          <w:szCs w:val="24"/>
        </w:rPr>
      </w:pPr>
      <w:r>
        <w:rPr>
          <w:rFonts w:hint="eastAsia" w:ascii="仿宋" w:hAnsi="仿宋" w:eastAsia="仿宋" w:cs="仿宋"/>
          <w:sz w:val="24"/>
          <w:szCs w:val="24"/>
        </w:rPr>
        <w:t>防治区范围位于新源县吐尔根乡阿克克尔喀村北部苏拉萨依沟。</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防治区位于新疆新源县吐尔根乡东部5.3千米处阿克克尔喀村，距离新源县城35千米，有G218国道及乡村道路相通，交通较为便利。泥石流沟口地理坐标：北纬83°31′19.09″，东经43°31′14.54″。</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（二）社会经济概况</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吐尔根乡隶属于新源县，位于巩乃斯草原腹地，距县城东北18公里处。全乡总面积200平方公里，有耕地3.54万亩，草场39.1万亩，现辖1个农场，7个行政村，总人口1.2万人。阿克克尔喀村总面积89.5平方公里，总户数1381户，总人口4828人，主要由哈萨克族、汉族、维吾尔族等3个民族组成， 2019年村集体收入443万元，主要收入来源于高速公路征迁及机动地承包，农牧民人均收入16218元。防治区行政区划隶属于吐尔根乡阿克克尔喀村管辖。</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防治区按照地貌成因和形态特征可划分为构造侵蚀中低山区和山前冲洪积平原区。</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1.构造侵蚀中低山区</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主要分布于泥石流沟沟口以上位置，山体近南北向延伸，山顶多为长梁状或浑圆状，地势西北高、东南低，海拔高度在1900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1600米之间，相对高差为50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150米。沟谷两侧山体坡度在30°-65°之间。山体大部表层覆盖数米—十余米厚的含粉土，局部基岩出露，坡面及谷底植被覆盖率较高，大于90%，是当地牧民的天然牧草场，植被类型在沟谷中下游多为草本植物，在上游地带灌木生长较为茂盛，在沟头地带多见云杉等乔木。</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2.山前冲洪积平原区</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泥石流沟出山口地貌为山前冲洪积倾斜平原地貌，冲洪积扇不明显，位置属于巩乃斯河二级阶地，地形平坦开阔，向南倾斜，</w:t>
      </w:r>
      <w:r>
        <w:rPr>
          <w:rFonts w:hint="eastAsia" w:ascii="仿宋" w:hAnsi="仿宋" w:eastAsia="仿宋" w:cs="仿宋"/>
          <w:color w:val="000000"/>
          <w:sz w:val="24"/>
          <w:szCs w:val="24"/>
          <w:lang w:eastAsia="zh-CN"/>
        </w:rPr>
        <w:t>海拔</w:t>
      </w:r>
      <w:r>
        <w:rPr>
          <w:rFonts w:hint="eastAsia" w:ascii="仿宋" w:hAnsi="仿宋" w:eastAsia="仿宋" w:cs="仿宋"/>
          <w:color w:val="000000"/>
          <w:sz w:val="24"/>
          <w:szCs w:val="24"/>
        </w:rPr>
        <w:t>1600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900米。平原区第四系厚度巨大。堆积区内为阿克克尔喀村牧业队安居点及牧草地，居民区分布密集，道路、输电线路纵横交错。</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（二）地层岩性</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防治区出露地层主要为泥盆系和第四系，现将各地层的分布及其野外特征由老到新叙述如下：</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1.泥盆系（D）</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主要分布于防治区北部，泥石流形成流通区中上游山体坡面、分水岭坡顶、沟道两侧均有出露，出露面积较小，为中</w:t>
      </w:r>
      <w:r>
        <w:rPr>
          <w:rFonts w:hint="eastAsia" w:ascii="仿宋" w:hAnsi="仿宋" w:eastAsia="仿宋" w:cs="仿宋"/>
          <w:sz w:val="24"/>
          <w:szCs w:val="24"/>
          <w:lang w:eastAsia="zh-CN"/>
        </w:rPr>
        <w:t>－</w:t>
      </w:r>
      <w:r>
        <w:rPr>
          <w:rFonts w:hint="eastAsia" w:ascii="仿宋" w:hAnsi="仿宋" w:eastAsia="仿宋" w:cs="仿宋"/>
          <w:sz w:val="24"/>
          <w:szCs w:val="24"/>
        </w:rPr>
        <w:t>上泥盆统坎苏组（D</w:t>
      </w:r>
      <w:r>
        <w:rPr>
          <w:rFonts w:hint="eastAsia" w:ascii="仿宋" w:hAnsi="仿宋" w:eastAsia="仿宋" w:cs="仿宋"/>
          <w:sz w:val="24"/>
          <w:szCs w:val="24"/>
          <w:vertAlign w:val="subscript"/>
        </w:rPr>
        <w:t>2-3</w:t>
      </w:r>
      <w:r>
        <w:rPr>
          <w:rFonts w:hint="eastAsia" w:ascii="仿宋" w:hAnsi="仿宋" w:eastAsia="仿宋" w:cs="仿宋"/>
          <w:sz w:val="24"/>
          <w:szCs w:val="24"/>
        </w:rPr>
        <w:t>k）。岩性为灰绿色凝灰岩及少量安山玢岩、钙质粉砂岩、火山灰凝灰岩夹火山角砾岩。</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2.第四系（Q）</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区内新生界第四纪地层相当发育，包括不同时期成因各异的堆积物，主要分布在流通区及堆积区，其成因类型包括：</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（1）上更新统风积层（Q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）∶此层广泛分布于流形成</w:t>
      </w:r>
      <w:r>
        <w:rPr>
          <w:rFonts w:hint="eastAsia" w:ascii="仿宋" w:hAnsi="仿宋" w:eastAsia="仿宋" w:cs="仿宋"/>
          <w:sz w:val="24"/>
          <w:szCs w:val="24"/>
          <w:lang w:eastAsia="zh-CN"/>
        </w:rPr>
        <w:t>－</w:t>
      </w:r>
      <w:r>
        <w:rPr>
          <w:rFonts w:hint="eastAsia" w:ascii="仿宋" w:hAnsi="仿宋" w:eastAsia="仿宋" w:cs="仿宋"/>
          <w:sz w:val="24"/>
          <w:szCs w:val="24"/>
        </w:rPr>
        <w:t>流通区，在沟道坡岸两侧、沟谷、山体两侧坡面和坡顶均有分布，为本区域内的主要地层组成岩性。该层在表层0-1.5m不等时呈灰黑色，松散</w:t>
      </w:r>
      <w:r>
        <w:rPr>
          <w:rFonts w:hint="eastAsia" w:ascii="仿宋" w:hAnsi="仿宋" w:eastAsia="仿宋" w:cs="仿宋"/>
          <w:sz w:val="24"/>
          <w:szCs w:val="24"/>
          <w:lang w:eastAsia="zh-CN"/>
        </w:rPr>
        <w:t>－</w:t>
      </w:r>
      <w:r>
        <w:rPr>
          <w:rFonts w:hint="eastAsia" w:ascii="仿宋" w:hAnsi="仿宋" w:eastAsia="仿宋" w:cs="仿宋"/>
          <w:sz w:val="24"/>
          <w:szCs w:val="24"/>
        </w:rPr>
        <w:t>稍密，稍湿，含少量植物根系和腐殖质，地表植被较发育。下部粉土（粉质粘土）呈土黄色，稍密—中密，稍湿，孔隙较发育，切面粗糙，无光泽反应，手搓有泥感，干强度、韧性低，摇振反应中等，土质不纯，局部夹有砾石，一般粒径约2</w:t>
      </w:r>
      <w:r>
        <w:rPr>
          <w:rFonts w:hint="eastAsia" w:ascii="仿宋" w:hAnsi="仿宋" w:eastAsia="仿宋" w:cs="仿宋"/>
          <w:sz w:val="24"/>
          <w:szCs w:val="24"/>
          <w:lang w:eastAsia="zh-CN"/>
        </w:rPr>
        <w:t>—</w:t>
      </w:r>
      <w:r>
        <w:rPr>
          <w:rFonts w:hint="eastAsia" w:ascii="仿宋" w:hAnsi="仿宋" w:eastAsia="仿宋" w:cs="仿宋"/>
          <w:sz w:val="24"/>
          <w:szCs w:val="24"/>
        </w:rPr>
        <w:t>5mm，局部轻微胶结，含有少量钙质、铁锰质结核和钙质条纹、偶见蜗牛壳屑。探井在此层揭露最大深度20.10m，最小深度0.5m，揭露最大厚度20.10m，最小厚度0.5m。大部分探井未揭穿该层。据物探资料，测量控制深度在32～64m，坡面第四系覆盖层厚度0-40m，个别地段大于40m。</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（2）上更新统坡积层（Q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dl</w:t>
      </w:r>
      <w:r>
        <w:rPr>
          <w:rFonts w:hint="eastAsia" w:ascii="仿宋" w:hAnsi="仿宋" w:eastAsia="仿宋" w:cs="仿宋"/>
          <w:sz w:val="24"/>
          <w:szCs w:val="24"/>
        </w:rPr>
        <w:t>）∶主要分布在沟谷上游两侧斜坡上，岩性为碎石土，黄褐色，中密，稍湿，母岩以花岗岩为主，骨架颗粒约占</w:t>
      </w:r>
      <w:r>
        <w:rPr>
          <w:rFonts w:hint="eastAsia" w:ascii="仿宋" w:hAnsi="仿宋" w:eastAsia="仿宋" w:cs="仿宋"/>
          <w:sz w:val="24"/>
          <w:szCs w:val="24"/>
          <w:lang w:eastAsia="zh-CN"/>
        </w:rPr>
        <w:t>60%—70%</w:t>
      </w:r>
      <w:r>
        <w:rPr>
          <w:rFonts w:hint="eastAsia" w:ascii="仿宋" w:hAnsi="仿宋" w:eastAsia="仿宋" w:cs="仿宋"/>
          <w:sz w:val="24"/>
          <w:szCs w:val="24"/>
        </w:rPr>
        <w:t>，呈次棱角状，一般粒径2</w:t>
      </w:r>
      <w:r>
        <w:rPr>
          <w:rFonts w:hint="eastAsia" w:ascii="仿宋" w:hAnsi="仿宋" w:eastAsia="仿宋" w:cs="仿宋"/>
          <w:sz w:val="24"/>
          <w:szCs w:val="24"/>
          <w:lang w:eastAsia="zh-CN"/>
        </w:rPr>
        <w:t>—</w:t>
      </w:r>
      <w:r>
        <w:rPr>
          <w:rFonts w:hint="eastAsia" w:ascii="仿宋" w:hAnsi="仿宋" w:eastAsia="仿宋" w:cs="仿宋"/>
          <w:sz w:val="24"/>
          <w:szCs w:val="24"/>
        </w:rPr>
        <w:t>5cm，最大粒径约20cm，分选性级配较差，粉土、砾砂充填。探井在此层揭露最大深度3.5m，揭露最大厚度0.8m。</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al+pl</w:t>
      </w:r>
      <w:r>
        <w:rPr>
          <w:rFonts w:hint="eastAsia" w:ascii="仿宋" w:hAnsi="仿宋" w:eastAsia="仿宋" w:cs="仿宋"/>
          <w:sz w:val="24"/>
          <w:szCs w:val="24"/>
        </w:rPr>
        <w:t>）: 沟道两侧岸坡、坡坎面和沟底均有分布，土质呈黄褐色、灰褐色，稍密</w:t>
      </w:r>
      <w:r>
        <w:rPr>
          <w:rFonts w:hint="eastAsia" w:ascii="仿宋" w:hAnsi="仿宋" w:eastAsia="仿宋" w:cs="仿宋"/>
          <w:sz w:val="24"/>
          <w:szCs w:val="24"/>
          <w:lang w:eastAsia="zh-CN"/>
        </w:rPr>
        <w:t>－</w:t>
      </w:r>
      <w:r>
        <w:rPr>
          <w:rFonts w:hint="eastAsia" w:ascii="仿宋" w:hAnsi="仿宋" w:eastAsia="仿宋" w:cs="仿宋"/>
          <w:sz w:val="24"/>
          <w:szCs w:val="24"/>
        </w:rPr>
        <w:t>密实，稍湿，骨架颗粒约占</w:t>
      </w:r>
      <w:r>
        <w:rPr>
          <w:rFonts w:hint="eastAsia" w:ascii="仿宋" w:hAnsi="仿宋" w:eastAsia="仿宋" w:cs="仿宋"/>
          <w:sz w:val="24"/>
          <w:szCs w:val="24"/>
          <w:lang w:eastAsia="zh-CN"/>
        </w:rPr>
        <w:t>40%—75%</w:t>
      </w:r>
      <w:r>
        <w:rPr>
          <w:rFonts w:hint="eastAsia" w:ascii="仿宋" w:hAnsi="仿宋" w:eastAsia="仿宋" w:cs="仿宋"/>
          <w:sz w:val="24"/>
          <w:szCs w:val="24"/>
        </w:rPr>
        <w:t>，呈次棱角状，一般粒径2</w:t>
      </w:r>
      <w:r>
        <w:rPr>
          <w:rFonts w:hint="eastAsia" w:ascii="仿宋" w:hAnsi="仿宋" w:eastAsia="仿宋" w:cs="仿宋"/>
          <w:sz w:val="24"/>
          <w:szCs w:val="24"/>
          <w:lang w:eastAsia="zh-CN"/>
        </w:rPr>
        <w:t>—</w:t>
      </w:r>
      <w:r>
        <w:rPr>
          <w:rFonts w:hint="eastAsia" w:ascii="仿宋" w:hAnsi="仿宋" w:eastAsia="仿宋" w:cs="仿宋"/>
          <w:sz w:val="24"/>
          <w:szCs w:val="24"/>
        </w:rPr>
        <w:t>8cm，最大粒径约30cm，分选性级配较差，母岩以凝灰岩、花岗岩为主，粉土、砾砂充填。探井在此层揭露最大深度5.2m，最小深度1.3m，揭露最大厚度1.8m，最小厚度0.2m。据物探资料，测量控制深度在32～64m，主沟道第四系沉积厚度最薄处为32m，大多数地段大于53m，局部大于64m以上。</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rPr>
        <w:t>三</w:t>
      </w:r>
      <w:r>
        <w:rPr>
          <w:rFonts w:hint="eastAsia" w:ascii="仿宋" w:hAnsi="仿宋" w:eastAsia="仿宋" w:cs="仿宋"/>
          <w:b/>
          <w:sz w:val="24"/>
          <w:szCs w:val="24"/>
          <w:lang w:eastAsia="zh-CN"/>
        </w:rPr>
        <w:t>）</w:t>
      </w: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防治区地下水类型主要为块状基岩裂隙水和第四系松散层孔隙潜水。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1.第四系松散层孔隙潜水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分布于沟底及出山口南侧平原区，赋存于第四系松散地层中，含水层岩性为粉土、砂砾石，岩性结构松散、孔隙大、透水性强，潜水埋深一般大于10m，单井涌水量小于1000m</w:t>
      </w:r>
      <w:r>
        <w:rPr>
          <w:rFonts w:hint="eastAsia" w:ascii="仿宋" w:hAnsi="仿宋" w:eastAsia="仿宋" w:cs="仿宋"/>
          <w:sz w:val="24"/>
          <w:szCs w:val="24"/>
          <w:vertAlign w:val="superscript"/>
        </w:rPr>
        <w:t>3</w:t>
      </w:r>
      <w:r>
        <w:rPr>
          <w:rFonts w:hint="eastAsia" w:ascii="仿宋" w:hAnsi="仿宋" w:eastAsia="仿宋" w:cs="仿宋"/>
          <w:sz w:val="24"/>
          <w:szCs w:val="24"/>
        </w:rPr>
        <w:t>/d；该区地下水主要接受大气降水渗入补给，地下水径流条件较好，地下水排泄主要以向北部巩乃斯河侧向径流方式排泄。防治区内地下水被沟谷切割处以泉的形式溢出，单泉流量一般小于1.0L/s，地下水矿化度小于1.0g/l，取样分析为0.228</w:t>
      </w:r>
      <w:r>
        <w:rPr>
          <w:rFonts w:hint="eastAsia" w:ascii="仿宋" w:hAnsi="仿宋" w:eastAsia="仿宋" w:cs="仿宋"/>
          <w:sz w:val="24"/>
          <w:szCs w:val="24"/>
          <w:lang w:eastAsia="zh-CN"/>
        </w:rPr>
        <w:t>—</w:t>
      </w:r>
      <w:r>
        <w:rPr>
          <w:rFonts w:hint="eastAsia" w:ascii="仿宋" w:hAnsi="仿宋" w:eastAsia="仿宋" w:cs="仿宋"/>
          <w:sz w:val="24"/>
          <w:szCs w:val="24"/>
        </w:rPr>
        <w:t>0.284g/l，水化学类型为HCO</w:t>
      </w:r>
      <w:r>
        <w:rPr>
          <w:rFonts w:hint="eastAsia" w:ascii="仿宋" w:hAnsi="仿宋" w:eastAsia="仿宋" w:cs="仿宋"/>
          <w:sz w:val="24"/>
          <w:szCs w:val="24"/>
          <w:vertAlign w:val="subscript"/>
        </w:rPr>
        <w:t>3</w:t>
      </w:r>
      <w:r>
        <w:rPr>
          <w:rFonts w:hint="eastAsia" w:ascii="仿宋" w:hAnsi="仿宋" w:eastAsia="仿宋" w:cs="仿宋"/>
          <w:sz w:val="24"/>
          <w:szCs w:val="24"/>
        </w:rPr>
        <w:t>-Ca型水，水质条件较好。</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2.块状岩类基岩裂隙水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于沟口以北的山区，地下水赋存于泥盆系地层中，含水层岩性为灰绿色安山玢岩、钠长玢岩、凝灰岩、火山角砾岩，地下水沿基岩裂隙富存、运移，无稳定水位，水量贫乏，单泉流量一般小于1.0L/s；地下水矿化度小于1.0g/l，水化学类型为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-Mg·Ca型。该区地下水主要接受大气降水渗入和冰雪融水渗入补给，地下水在沟底以潜流的形式向平原区排泄。</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（四）工程地质条件</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内地层以第四系松散土体为主，也有少量基岩出露，根据岩土体工程地质特征的不同，岩体按岩体完整程度、岩石坚硬程度、岩石物理力学性质将防治区内岩组划分为坚硬块状岩岩组、较硬块状岩岩组；土体按结构类型划分为松散类单层结构土体、松散类互层结构土体。</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1.坚硬块状岩岩组</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主要分布于泥石流形成流通区下游沟谷右岸西侧坡面，有基岩出露处的地段和西侧分水岭坡面露头处，分布区域不大，零星分布。岩体呈灰白色，表面强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中风化，块状构造，中粗粒花岗结构，节理裂隙较发育，岩体较完整。抗压强度约为45Mpa，工程地质条件良好。</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2.较硬块状岩岩组</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bookmarkStart w:id="231" w:name="_Toc205289810"/>
      <w:r>
        <w:rPr>
          <w:rFonts w:hint="eastAsia" w:ascii="仿宋" w:hAnsi="仿宋" w:eastAsia="仿宋" w:cs="仿宋"/>
          <w:color w:val="000000"/>
          <w:sz w:val="24"/>
          <w:szCs w:val="24"/>
        </w:rPr>
        <w:t>分布于防治区泥石流分水岭、上游沟谷两侧山体坡面处及沟道两侧的陡立峭壁段，出露面积较小，多被第四系地层覆盖。</w:t>
      </w:r>
      <w:bookmarkEnd w:id="231"/>
      <w:r>
        <w:rPr>
          <w:rFonts w:hint="eastAsia" w:ascii="仿宋" w:hAnsi="仿宋" w:eastAsia="仿宋" w:cs="仿宋"/>
          <w:color w:val="000000"/>
          <w:sz w:val="24"/>
          <w:szCs w:val="24"/>
        </w:rPr>
        <w:t>岩性主要为灰绿色凝灰岩，呈凝灰结构，块状、层状结构，晶屑含量约</w:t>
      </w:r>
      <w:r>
        <w:rPr>
          <w:rFonts w:hint="eastAsia" w:ascii="仿宋" w:hAnsi="仿宋" w:eastAsia="仿宋" w:cs="仿宋"/>
          <w:color w:val="000000"/>
          <w:sz w:val="24"/>
          <w:szCs w:val="24"/>
          <w:lang w:eastAsia="zh-CN"/>
        </w:rPr>
        <w:t>10%—30%</w:t>
      </w:r>
      <w:r>
        <w:rPr>
          <w:rFonts w:hint="eastAsia" w:ascii="仿宋" w:hAnsi="仿宋" w:eastAsia="仿宋" w:cs="仿宋"/>
          <w:color w:val="000000"/>
          <w:sz w:val="24"/>
          <w:szCs w:val="24"/>
        </w:rPr>
        <w:t>，晶屑以石英、长石为主，节理裂隙较发育，岩体结构完整性较好，抗压强度约为30Mpa，工程地质条件良好，承载力特征值大于500Kpa。</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3.松散类单层结构土体</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第四纪上更新风积层（Q</w:t>
      </w:r>
      <w:r>
        <w:rPr>
          <w:rFonts w:hint="eastAsia" w:ascii="仿宋" w:hAnsi="仿宋" w:eastAsia="仿宋" w:cs="仿宋"/>
          <w:color w:val="000000"/>
          <w:sz w:val="24"/>
          <w:szCs w:val="24"/>
          <w:vertAlign w:val="subscript"/>
        </w:rPr>
        <w:t>3</w:t>
      </w:r>
      <w:r>
        <w:rPr>
          <w:rFonts w:hint="eastAsia" w:ascii="仿宋" w:hAnsi="仿宋" w:eastAsia="仿宋" w:cs="仿宋"/>
          <w:color w:val="000000"/>
          <w:sz w:val="24"/>
          <w:szCs w:val="24"/>
          <w:vertAlign w:val="superscript"/>
        </w:rPr>
        <w:t>eol</w:t>
      </w:r>
      <w:r>
        <w:rPr>
          <w:rFonts w:hint="eastAsia" w:ascii="仿宋" w:hAnsi="仿宋" w:eastAsia="仿宋" w:cs="仿宋"/>
          <w:color w:val="000000"/>
          <w:sz w:val="24"/>
          <w:szCs w:val="24"/>
        </w:rPr>
        <w:t>）主要分布于泥石流分水岭、丘陵坡面、泥石流沟谷坡岸和两侧山体坡面处，岩性主要以粉土、粉质黏土为主，地表植被较发育。探井最大揭露厚度20.10m，土体结构较松散，垂直节理较发育，易软化崩解、湿陷，工程地质条件较差，承载力Fak=100-200Kpa。</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第四纪上更新</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全新统洪积层（Q</w:t>
      </w:r>
      <w:r>
        <w:rPr>
          <w:rFonts w:hint="eastAsia" w:ascii="仿宋" w:hAnsi="仿宋" w:eastAsia="仿宋" w:cs="仿宋"/>
          <w:color w:val="000000"/>
          <w:sz w:val="24"/>
          <w:szCs w:val="24"/>
          <w:vertAlign w:val="subscript"/>
        </w:rPr>
        <w:t>3-4</w:t>
      </w:r>
      <w:r>
        <w:rPr>
          <w:rFonts w:hint="eastAsia" w:ascii="仿宋" w:hAnsi="仿宋" w:eastAsia="仿宋" w:cs="仿宋"/>
          <w:color w:val="000000"/>
          <w:sz w:val="24"/>
          <w:szCs w:val="24"/>
          <w:vertAlign w:val="superscript"/>
        </w:rPr>
        <w:t>al</w:t>
      </w:r>
      <w:r>
        <w:rPr>
          <w:rFonts w:hint="eastAsia" w:ascii="仿宋" w:hAnsi="仿宋" w:eastAsia="仿宋" w:cs="仿宋"/>
          <w:color w:val="000000"/>
          <w:sz w:val="24"/>
          <w:szCs w:val="24"/>
        </w:rPr>
        <w:t>）主要分布于泥石流沟谷、呈天窗状分布沟谷两侧岸坡，岩性以块石、碎石为主，青灰色、褐黄色，中密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密实，骨架颗粒约占65%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75%，呈次棱角状，分选性差，母岩以凝灰岩为主，一般粒径2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10cm，最大粒径约50cm，偶见巨石粒径大于1m，粉土、砾砂填充，局部粉土夹层、互层。工程地质条件较差，承载力Fak=200-350Kpa。</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本次防治的主要灾害为泥石流。</w:t>
      </w:r>
      <w:r>
        <w:rPr>
          <w:rFonts w:hint="eastAsia" w:ascii="仿宋" w:hAnsi="仿宋" w:eastAsia="仿宋" w:cs="仿宋"/>
          <w:sz w:val="24"/>
          <w:szCs w:val="24"/>
        </w:rPr>
        <w:t>主要威胁泥石流沟口阿克克尔喀村牧业安置点居民、农田、公路218线、流动人口、车辆、输电线路等，威胁出山口当地共280户，约1350人，威胁国道218线及南部下游村落。威胁财产为2000万元。</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泥石流沟地处阿吾拉勒山南部低中山区的苏拉萨依沟，流向自北东西向南西，全长5.75km，流域面积5.17km</w:t>
      </w:r>
      <w:r>
        <w:rPr>
          <w:rFonts w:hint="eastAsia" w:ascii="仿宋" w:hAnsi="仿宋" w:eastAsia="仿宋" w:cs="仿宋"/>
          <w:color w:val="000000"/>
          <w:sz w:val="24"/>
          <w:szCs w:val="24"/>
          <w:vertAlign w:val="superscript"/>
        </w:rPr>
        <w:t>2</w:t>
      </w:r>
      <w:r>
        <w:rPr>
          <w:rFonts w:hint="eastAsia" w:ascii="仿宋" w:hAnsi="仿宋" w:eastAsia="仿宋" w:cs="仿宋"/>
          <w:color w:val="000000"/>
          <w:sz w:val="24"/>
          <w:szCs w:val="24"/>
        </w:rPr>
        <w:t>，上游分水岭至下游堆积区处相对高差966m，比降168‰，苏拉萨依沟由近南北向主沟和西侧的支沟组成。泥石流沟流域呈舌状，沟道呈树枝状分布。流域周界由山谷分水岭构成，三面环山，水源及物源补给区广泛，堆积区位于巩乃斯河流域二级阶地上，沟谷内第四系冲洪积物巨厚，岩土颗粒细小，勘查期间堆积区内无明显堆积物。</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新疆新源县吐尔根乡阿克克尔喀村苏拉萨依沟泥石流防治工程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泥石流隐患对沟口居民、房屋、农田及公共设施等威胁</w:t>
      </w:r>
      <w:r>
        <w:rPr>
          <w:rFonts w:hint="eastAsia" w:ascii="仿宋" w:hAnsi="仿宋" w:eastAsia="仿宋" w:cs="仿宋"/>
          <w:sz w:val="24"/>
          <w:szCs w:val="24"/>
        </w:rPr>
        <w:t>，保障人民生命和财产安全。</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根据专项勘查报告和现场踏勘成果，编制地质灾害防治工程设计和施工组织设计；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按照审批通过的防治工程设计和施工组织设计，组织地质灾害防治工程施工；</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防治工程完成后，制作永久性的防治工程说明碑。</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.《泥石流防治工程设计规范》（试行）T-CAGHP 021-2018；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泥石流防治工程施工技术规范（试行）</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T/CAGHP 061—201</w:t>
      </w:r>
      <w:r>
        <w:rPr>
          <w:rFonts w:hint="eastAsia" w:ascii="仿宋" w:hAnsi="仿宋" w:eastAsia="仿宋" w:cs="仿宋"/>
          <w:kern w:val="0"/>
          <w:sz w:val="24"/>
          <w:szCs w:val="24"/>
          <w:lang w:val="en-US" w:eastAsia="zh-CN"/>
        </w:rPr>
        <w:t>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.《崩塌·滑坡·泥石流监测规范》（DZ/T0221-2006）；</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.《建筑抗震设计规范》（GB50011-2010）；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.《工业建筑防腐蚀设计规范》（GB50046-2008）；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.《砌体结构设计规范》（GB50003-2011）；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.《混凝土结构设计规范》（GB50010-2010）；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.《建筑地基基础设计规范》（GB50007-2011）；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.《建筑边坡工程技术规范》（GB50330-2013）；</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10.《工程测量规范》（GB50026-2007）；</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11.《全球定位系统（GPS）测量规范》（GB/T18314-2009）；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12.《建设工程质量管理条例》；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13.《建设工程安全生产管理条例》；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14.《建设项目环境保护管理条例》；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15.其他有关规范、规程和技术要求。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根据本项目的目标和任务，结合防治区泥石流特征和环境现状，以基本消除或减轻地质灾害对当地居民和财产的威胁为目的，本次泥石流灾害防治主要采取</w:t>
      </w:r>
      <w:r>
        <w:rPr>
          <w:rFonts w:hint="eastAsia" w:ascii="仿宋" w:hAnsi="仿宋" w:eastAsia="仿宋" w:cs="仿宋"/>
          <w:kern w:val="0"/>
          <w:sz w:val="24"/>
          <w:szCs w:val="24"/>
          <w:lang w:val="en-US" w:eastAsia="zh-CN"/>
        </w:rPr>
        <w:t>拦、挡、排</w:t>
      </w:r>
      <w:r>
        <w:rPr>
          <w:rFonts w:hint="eastAsia" w:ascii="仿宋" w:hAnsi="仿宋" w:eastAsia="仿宋" w:cs="仿宋"/>
          <w:kern w:val="0"/>
          <w:sz w:val="24"/>
          <w:szCs w:val="24"/>
        </w:rPr>
        <w:t>等</w:t>
      </w:r>
      <w:r>
        <w:rPr>
          <w:rFonts w:hint="eastAsia" w:ascii="仿宋" w:hAnsi="仿宋" w:eastAsia="仿宋" w:cs="仿宋"/>
          <w:kern w:val="0"/>
          <w:sz w:val="24"/>
          <w:szCs w:val="24"/>
          <w:lang w:val="en-US" w:eastAsia="zh-CN"/>
        </w:rPr>
        <w:t>防治</w:t>
      </w:r>
      <w:r>
        <w:rPr>
          <w:rFonts w:hint="eastAsia" w:ascii="仿宋" w:hAnsi="仿宋" w:eastAsia="仿宋" w:cs="仿宋"/>
          <w:kern w:val="0"/>
          <w:sz w:val="24"/>
          <w:szCs w:val="24"/>
        </w:rPr>
        <w:t>措施。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（一）防治工程设计成果</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 xml:space="preserve"> </w:t>
      </w:r>
      <w:r>
        <w:rPr>
          <w:rFonts w:hint="eastAsia" w:ascii="仿宋" w:hAnsi="仿宋" w:eastAsia="仿宋" w:cs="仿宋"/>
          <w:kern w:val="0"/>
          <w:sz w:val="24"/>
          <w:szCs w:val="24"/>
        </w:rPr>
        <w:t>新疆新源县吐尔根乡阿克克尔喀村苏拉萨依沟泥石流防治工程设计书（施工设计和施工组织设计）；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 xml:space="preserve"> </w:t>
      </w:r>
      <w:r>
        <w:rPr>
          <w:rFonts w:hint="eastAsia" w:ascii="仿宋" w:hAnsi="仿宋" w:eastAsia="仿宋" w:cs="仿宋"/>
          <w:kern w:val="0"/>
          <w:sz w:val="24"/>
          <w:szCs w:val="24"/>
        </w:rPr>
        <w:t>新疆新源县吐尔根乡阿克克尔喀村苏拉萨依沟泥石流防治工程平面部署图及各单项防治工程设计图；</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（二）防治工程施工成果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防治工程施工成果和资料汇交应按《新疆维吾尔自治区地质灾害防治项目管理办法（试行）》及</w:t>
      </w:r>
      <w:r>
        <w:rPr>
          <w:rFonts w:hint="eastAsia" w:ascii="仿宋" w:hAnsi="仿宋" w:eastAsia="仿宋" w:cs="仿宋"/>
          <w:color w:val="0D0D0D"/>
          <w:sz w:val="24"/>
          <w:szCs w:val="24"/>
          <w:lang w:val="en-US" w:eastAsia="zh-CN"/>
        </w:rPr>
        <w:t>附件</w:t>
      </w:r>
      <w:r>
        <w:rPr>
          <w:rFonts w:hint="eastAsia" w:ascii="仿宋" w:hAnsi="仿宋" w:eastAsia="仿宋" w:cs="仿宋"/>
          <w:color w:val="0D0D0D"/>
          <w:sz w:val="24"/>
          <w:szCs w:val="24"/>
        </w:rPr>
        <w:t>《新疆维吾尔自治区地质灾害防治项目验收细则》要求执行。</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560" w:lineRule="exact"/>
        <w:ind w:firstLine="480" w:firstLineChars="200"/>
        <w:textAlignment w:val="auto"/>
        <w:outlineLvl w:val="9"/>
        <w:rPr>
          <w:rStyle w:val="71"/>
          <w:rFonts w:hint="eastAsia" w:ascii="仿宋" w:hAnsi="仿宋" w:eastAsia="仿宋" w:cs="仿宋"/>
          <w:color w:val="auto"/>
          <w:sz w:val="24"/>
          <w:szCs w:val="24"/>
          <w:lang w:eastAsia="zh-CN"/>
        </w:rPr>
      </w:pPr>
      <w:r>
        <w:rPr>
          <w:rFonts w:hint="eastAsia" w:ascii="仿宋" w:hAnsi="仿宋" w:eastAsia="仿宋" w:cs="仿宋"/>
          <w:sz w:val="24"/>
          <w:szCs w:val="24"/>
        </w:rPr>
        <w:t>2023年3月-2024年10月，2023年10月31日前完成野外竣工验收，2023年11月30日前提交全套竣工资料，2024年10月31日前完成工程复验。</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仿宋"/>
          <w:kern w:val="0"/>
          <w:sz w:val="24"/>
          <w:szCs w:val="24"/>
        </w:rPr>
      </w:pPr>
      <w:r>
        <w:rPr>
          <w:rStyle w:val="71"/>
          <w:rFonts w:hint="eastAsia" w:ascii="仿宋" w:hAnsi="仿宋" w:eastAsia="仿宋" w:cs="仿宋"/>
          <w:color w:val="auto"/>
          <w:sz w:val="24"/>
          <w:szCs w:val="24"/>
        </w:rPr>
        <w:br w:type="page"/>
      </w:r>
      <w:r>
        <w:rPr>
          <w:rFonts w:hint="eastAsia" w:ascii="仿宋" w:hAnsi="仿宋" w:eastAsia="仿宋" w:cs="Times New Roman"/>
          <w:b/>
          <w:bCs/>
          <w:kern w:val="2"/>
          <w:sz w:val="28"/>
          <w:szCs w:val="28"/>
          <w:lang w:val="en-US" w:eastAsia="zh-CN" w:bidi="ar-SA"/>
        </w:rPr>
        <w:t>标项二：新疆伊宁县喀拉亚尕奇乡喀拉亚尕奇村滑坡防治工程</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Times New Roman"/>
          <w:b/>
          <w:bCs/>
          <w:kern w:val="2"/>
          <w:sz w:val="32"/>
          <w:szCs w:val="32"/>
          <w:lang w:val="en-US" w:eastAsia="zh-CN" w:bidi="ar-SA"/>
        </w:rPr>
      </w:pP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项目名称：新疆伊宁县喀拉亚尕奇乡喀拉亚尕奇村滑坡防治工程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kern w:val="0"/>
          <w:sz w:val="24"/>
          <w:szCs w:val="24"/>
          <w:lang w:val="en-US" w:eastAsia="zh-CN"/>
        </w:rPr>
        <w:t>GYZB-YLZDZFZ2023-02</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color w:val="000000"/>
          <w:sz w:val="24"/>
          <w:szCs w:val="24"/>
          <w:lang w:val="en-US" w:eastAsia="zh-CN"/>
        </w:rPr>
        <w:t>人民币</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950.444</w:t>
      </w:r>
      <w:r>
        <w:rPr>
          <w:rFonts w:hint="eastAsia" w:ascii="仿宋" w:hAnsi="仿宋" w:eastAsia="仿宋" w:cs="仿宋"/>
          <w:kern w:val="0"/>
          <w:sz w:val="24"/>
          <w:szCs w:val="24"/>
        </w:rPr>
        <w:t>万元</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玖佰伍拾万零肆仟肆佰肆拾元整</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FF0000"/>
          <w:sz w:val="24"/>
          <w:szCs w:val="24"/>
        </w:rPr>
      </w:pPr>
      <w:r>
        <w:rPr>
          <w:rFonts w:hint="eastAsia" w:ascii="仿宋" w:hAnsi="仿宋" w:eastAsia="仿宋" w:cs="仿宋"/>
          <w:sz w:val="24"/>
          <w:szCs w:val="24"/>
        </w:rPr>
        <w:t>防治区位于伊宁县喀拉亚尕奇乡喀拉亚尕奇村，皮里青河以东。中心地理坐标为东经81°30′26.37″，北纬44°05′36.72″。</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防治区位于新疆伊宁县，西南距伊宁市25千米，西南45度方向距伊宁县约13千米，项目区南侧5千米为皮里青煤矿。自伊宁县沿乡道X700向北13千米即可到达项目区，交通条件较为便利。</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（二）社会经济概况</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喀拉亚尕奇乡隶属新疆维吾尔自治区伊犁哈萨克自治州伊宁县，地处伊宁县东部，东邻阿乌利亚乡，南与温亚尔乡和武功乡、吐鲁番于孜乡，潘津乡、达达木图乡相接，西连伊宁市，北接博尔塔拉蒙古自治州博乐市，行政区域总面积1145.4平方千米。喀拉亚尕奇乡下辖5个行政村，总人口15323人，民族构成以哈萨克族为主，达9930人，占87%；还有维吾尔、汉、回、蒙古等民族，共1484人，占13%。2021年，喀拉亚尕奇乡农业总产值814.2万元。粮食作物以小麦、玉米为主。畜牧业以饲养牛、羊、马、骆驼、家禽为主。</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防治区按照地貌成因和形态特征可划分为地貌类型可分为剥蚀低山丘陵地貌和河流侵蚀堆积地貌。其中项目区东部及中部为剥蚀低山丘陵地貌，西部为河流侵蚀堆积地貌。</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防治区主要位于低山丘陵区，地表覆盖有黄土，地表牧草茂盛，植被覆盖率</w:t>
      </w:r>
      <w:r>
        <w:rPr>
          <w:rFonts w:hint="eastAsia" w:ascii="仿宋" w:hAnsi="仿宋" w:eastAsia="仿宋" w:cs="仿宋"/>
          <w:color w:val="000000"/>
          <w:sz w:val="24"/>
          <w:szCs w:val="24"/>
          <w:lang w:eastAsia="zh-CN"/>
        </w:rPr>
        <w:t>60%—70%</w:t>
      </w:r>
      <w:r>
        <w:rPr>
          <w:rFonts w:hint="eastAsia" w:ascii="仿宋" w:hAnsi="仿宋" w:eastAsia="仿宋" w:cs="仿宋"/>
          <w:color w:val="000000"/>
          <w:sz w:val="24"/>
          <w:szCs w:val="24"/>
        </w:rPr>
        <w:t>，山坡的坡面形态基本呈凸形，多为缓坡，坡度10-35°，坡向在270-335°之间，坡高40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150米不等，坡长约250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650米。丘陵区内的沟谷也较发育，在各坡体之间、顺坡向发育有部分冲沟，主要为山坡降水排泄通道。</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（二）地层岩性</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防治区出露地层主要为侏罗系和第四系地层，现将各地层的分布及其野外特征由老到新叙述如下：</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1.侏罗系中统西山窑组</w:t>
      </w:r>
      <w:r>
        <w:rPr>
          <w:rFonts w:hint="eastAsia" w:ascii="仿宋" w:hAnsi="仿宋" w:eastAsia="仿宋" w:cs="仿宋"/>
          <w:sz w:val="24"/>
          <w:szCs w:val="24"/>
          <w:lang w:eastAsia="zh-CN"/>
        </w:rPr>
        <w:t>(</w:t>
      </w:r>
      <w:r>
        <w:rPr>
          <w:rFonts w:hint="eastAsia" w:ascii="仿宋" w:hAnsi="仿宋" w:eastAsia="仿宋" w:cs="仿宋"/>
          <w:sz w:val="24"/>
          <w:szCs w:val="24"/>
        </w:rPr>
        <w:t>J</w:t>
      </w:r>
      <w:r>
        <w:rPr>
          <w:rFonts w:hint="eastAsia" w:ascii="仿宋" w:hAnsi="仿宋" w:eastAsia="仿宋" w:cs="仿宋"/>
          <w:sz w:val="24"/>
          <w:szCs w:val="24"/>
          <w:vertAlign w:val="subscript"/>
        </w:rPr>
        <w:t>2</w:t>
      </w:r>
      <w:r>
        <w:rPr>
          <w:rFonts w:hint="eastAsia" w:ascii="仿宋" w:hAnsi="仿宋" w:eastAsia="仿宋" w:cs="仿宋"/>
          <w:sz w:val="24"/>
          <w:szCs w:val="24"/>
        </w:rPr>
        <w:t>x)</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分布于项目区东部丘陵区，以砖红色、灰、灰褐色泥岩、细砂岩为主，夹有灰黑色粉砂岩、炭质泥岩及煤层，局部有层状粗砂岩沉积，地层厚度50</w:t>
      </w:r>
      <w:r>
        <w:rPr>
          <w:rFonts w:hint="eastAsia" w:ascii="仿宋" w:hAnsi="仿宋" w:eastAsia="仿宋" w:cs="仿宋"/>
          <w:sz w:val="24"/>
          <w:szCs w:val="24"/>
          <w:lang w:eastAsia="zh-CN"/>
        </w:rPr>
        <w:t>—</w:t>
      </w:r>
      <w:r>
        <w:rPr>
          <w:rFonts w:hint="eastAsia" w:ascii="仿宋" w:hAnsi="仿宋" w:eastAsia="仿宋" w:cs="仿宋"/>
          <w:sz w:val="24"/>
          <w:szCs w:val="24"/>
        </w:rPr>
        <w:t>263米，平均厚度154米。另外，在项目区西南部丘陵区分布有烧变岩，由侏罗系中统西山窑组上、中段岩层经煤层自燃的高温烘烤形成，颜色以砖红色为主，夹有浅黄色、灰黑色条带，产状220°∠15°，厚度80</w:t>
      </w:r>
      <w:r>
        <w:rPr>
          <w:rFonts w:hint="eastAsia" w:ascii="仿宋" w:hAnsi="仿宋" w:eastAsia="仿宋" w:cs="仿宋"/>
          <w:sz w:val="24"/>
          <w:szCs w:val="24"/>
          <w:lang w:eastAsia="zh-CN"/>
        </w:rPr>
        <w:t>—</w:t>
      </w:r>
      <w:r>
        <w:rPr>
          <w:rFonts w:hint="eastAsia" w:ascii="仿宋" w:hAnsi="仿宋" w:eastAsia="仿宋" w:cs="仿宋"/>
          <w:sz w:val="24"/>
          <w:szCs w:val="24"/>
        </w:rPr>
        <w:t>110米。</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2.第四系上更新统风积层（Q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覆盖在侏罗系碎屑岩的上部，厚度随地形地貌变化较大，岩性为黄土，具有湿陷性。黄土的最大风积厚度可达15</w:t>
      </w:r>
      <w:r>
        <w:rPr>
          <w:rFonts w:hint="eastAsia" w:ascii="仿宋" w:hAnsi="仿宋" w:eastAsia="仿宋" w:cs="仿宋"/>
          <w:sz w:val="24"/>
          <w:szCs w:val="24"/>
          <w:lang w:eastAsia="zh-CN"/>
        </w:rPr>
        <w:t>—</w:t>
      </w:r>
      <w:r>
        <w:rPr>
          <w:rFonts w:hint="eastAsia" w:ascii="仿宋" w:hAnsi="仿宋" w:eastAsia="仿宋" w:cs="仿宋"/>
          <w:sz w:val="24"/>
          <w:szCs w:val="24"/>
        </w:rPr>
        <w:t>25米，较薄处的风积厚度只有1</w:t>
      </w:r>
      <w:r>
        <w:rPr>
          <w:rFonts w:hint="eastAsia" w:ascii="仿宋" w:hAnsi="仿宋" w:eastAsia="仿宋" w:cs="仿宋"/>
          <w:sz w:val="24"/>
          <w:szCs w:val="24"/>
          <w:lang w:eastAsia="zh-CN"/>
        </w:rPr>
        <w:t>—</w:t>
      </w:r>
      <w:r>
        <w:rPr>
          <w:rFonts w:hint="eastAsia" w:ascii="仿宋" w:hAnsi="仿宋" w:eastAsia="仿宋" w:cs="仿宋"/>
          <w:sz w:val="24"/>
          <w:szCs w:val="24"/>
        </w:rPr>
        <w:t>2米。</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3.第四系上更新统冲洪积层（Q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apl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分布在防治区西部的二级阶地地带，地形较平坦，呈双层结构，上部为黄土，厚2</w:t>
      </w:r>
      <w:r>
        <w:rPr>
          <w:rFonts w:hint="eastAsia" w:ascii="仿宋" w:hAnsi="仿宋" w:eastAsia="仿宋" w:cs="仿宋"/>
          <w:sz w:val="24"/>
          <w:szCs w:val="24"/>
          <w:lang w:eastAsia="zh-CN"/>
        </w:rPr>
        <w:t>—</w:t>
      </w:r>
      <w:r>
        <w:rPr>
          <w:rFonts w:hint="eastAsia" w:ascii="仿宋" w:hAnsi="仿宋" w:eastAsia="仿宋" w:cs="仿宋"/>
          <w:sz w:val="24"/>
          <w:szCs w:val="24"/>
        </w:rPr>
        <w:t>3米；下部为青灰色卵石、圆砾，厚度大于5米。</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rPr>
        <w:t>三</w:t>
      </w:r>
      <w:r>
        <w:rPr>
          <w:rFonts w:hint="eastAsia" w:ascii="仿宋" w:hAnsi="仿宋" w:eastAsia="仿宋" w:cs="仿宋"/>
          <w:b/>
          <w:sz w:val="24"/>
          <w:szCs w:val="24"/>
          <w:lang w:eastAsia="zh-CN"/>
        </w:rPr>
        <w:t>）</w:t>
      </w: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w:t>
      </w:r>
      <w:r>
        <w:rPr>
          <w:rFonts w:hint="eastAsia" w:ascii="仿宋" w:hAnsi="仿宋" w:eastAsia="仿宋" w:cs="仿宋"/>
          <w:sz w:val="24"/>
          <w:szCs w:val="24"/>
          <w:lang w:eastAsia="zh-CN"/>
        </w:rPr>
        <w:t>区</w:t>
      </w:r>
      <w:r>
        <w:rPr>
          <w:rFonts w:hint="eastAsia" w:ascii="仿宋" w:hAnsi="仿宋" w:eastAsia="仿宋" w:cs="仿宋"/>
          <w:sz w:val="24"/>
          <w:szCs w:val="24"/>
        </w:rPr>
        <w:t>地下水类型主要包括第四系松散岩类孔隙水及碎屑岩类裂隙孔隙水两大类，根据防治区地层的岩性组合、结构及其透水性、含水性等特征，可将其划分为第四系松散岩类透水不含水层、第四系松散岩类孔隙含水层、碎屑岩类裂隙孔隙含水层等三类。根据现场勘查情况，滑坡群所在山体斜坡在35米深度范围内未见地下水。</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（四）工程地质条件</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项目区内根据项目区天然露头的地层岩性，将岩土体划分为岩体和土体两大类。</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1.互层状软弱</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较软泥岩与砂岩岩组[J]</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大面积分布在项目区东部丘陵地带的黄土下部，仅在冲沟沟岸地带零星出露，岩性以侏罗系西山窑组砖红色泥岩与灰褐色细砂岩为主，粉砂泥质结构，互层状构造。根据收集资料，强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中等风化层厚度10-12米左右，遇水易软化，天然抗压强度0.74-3.21MPa，是构成区内滑坡滑床的主要岩组，地层承载力Fak=490kPa。</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2.黄土单层土体[Q]：大面积分布于项目区丘陵地带，由第四系上更新统风积黄土组成，覆盖在区内侏罗系西山窑组泥岩、砂岩层上，厚度多在5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25米，局部较薄，仅有1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土黄色，干燥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稍湿，稍密，硬塑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因成因属风成沉积，具有大孔隙结构。</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3.</w:t>
      </w:r>
      <w:r>
        <w:rPr>
          <w:rFonts w:hint="eastAsia" w:ascii="仿宋" w:hAnsi="仿宋" w:eastAsia="仿宋" w:cs="仿宋"/>
          <w:sz w:val="24"/>
          <w:szCs w:val="24"/>
        </w:rPr>
        <w:t xml:space="preserve"> </w:t>
      </w:r>
      <w:r>
        <w:rPr>
          <w:rFonts w:hint="eastAsia" w:ascii="仿宋" w:hAnsi="仿宋" w:eastAsia="仿宋" w:cs="仿宋"/>
          <w:color w:val="000000"/>
          <w:sz w:val="24"/>
          <w:szCs w:val="24"/>
        </w:rPr>
        <w:t>粉土、碎石土双层土体[Q]:</w:t>
      </w:r>
      <w:r>
        <w:rPr>
          <w:rFonts w:hint="eastAsia" w:ascii="仿宋" w:hAnsi="仿宋" w:eastAsia="仿宋" w:cs="仿宋"/>
          <w:sz w:val="24"/>
          <w:szCs w:val="24"/>
        </w:rPr>
        <w:t xml:space="preserve"> </w:t>
      </w:r>
      <w:r>
        <w:rPr>
          <w:rFonts w:hint="eastAsia" w:ascii="仿宋" w:hAnsi="仿宋" w:eastAsia="仿宋" w:cs="仿宋"/>
          <w:color w:val="000000"/>
          <w:sz w:val="24"/>
          <w:szCs w:val="24"/>
        </w:rPr>
        <w:t>分布于项目区西部的二级阶地地带，由第四系上更新统冲洪积层组成，上部为粉土层，厚2.0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3.0米，土黄色，稍湿—干燥，硬塑，松散—稍密，含少量2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5毫米砾石，地层承载力小。下部为灰褐色、青灰色卵石、圆砾，层厚大于5米，稍湿，稍密—中密，砾石为花岗岩质、硅质、砂岩碎块，质地坚硬，基本无风化，呈次圆状，分选性差；粒径以2—15毫米为主，约占60%左右，砾砂、泥土充填；工程力学性质良好，为良好基础持力层，Fak=200kPa。</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本次防治的主要灾害为滑坡。</w:t>
      </w:r>
      <w:r>
        <w:rPr>
          <w:rFonts w:hint="eastAsia" w:ascii="仿宋" w:hAnsi="仿宋" w:eastAsia="仿宋" w:cs="仿宋"/>
          <w:sz w:val="24"/>
          <w:szCs w:val="24"/>
        </w:rPr>
        <w:t>主要威胁坡脚下喀拉亚尕奇村的居民、卫生院、树林、水渠、乡村道路、输电线路等，威胁固定人口45户184人、120余间砖混结构民房；卫生院2栋平房，一栋二层楼房，合计70间房；威胁林地44.76亩（果树），威胁乡村道路748米（混凝土路面），潜在经济损失约1200万元。</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w:t>
      </w: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发育的地质灾害类型为滑坡地质灾害，共发育4处滑坡中型，分布在项目区</w:t>
      </w:r>
      <w:r>
        <w:rPr>
          <w:rFonts w:hint="eastAsia" w:ascii="仿宋" w:hAnsi="仿宋" w:eastAsia="仿宋" w:cs="仿宋"/>
          <w:color w:val="000000"/>
          <w:sz w:val="24"/>
          <w:szCs w:val="24"/>
          <w:lang w:eastAsia="zh-CN"/>
        </w:rPr>
        <w:t>东侧</w:t>
      </w:r>
      <w:r>
        <w:rPr>
          <w:rFonts w:hint="eastAsia" w:ascii="仿宋" w:hAnsi="仿宋" w:eastAsia="仿宋" w:cs="仿宋"/>
          <w:color w:val="000000"/>
          <w:sz w:val="24"/>
          <w:szCs w:val="24"/>
        </w:rPr>
        <w:t>（坡向235°）坡面上，坡脚处为喀拉亚尕奇村，滑坡自北向南编号依次为HP1、HP2、HP3、HP4。地质灾害主要特征如下：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（一）HP1滑坡基本特征</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HP1滑坡位于项目区北部，相对高差64米，滑坡体坡向270°，坡度12-25°，坡体中部凹，呈凹面坡。滑体岩性为黄土，滑床为侏罗系泥岩，滑体南北长317米，东西宽415米，体积约为344191立方米，为一处中型推移式滑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（二） HP2滑坡基本特征</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HP2滑坡位于项目区斜坡中部，东西向发育，为1处老滑坡。相对高差139米，滑坡体坡向297°，坡度10-33°。滑坡整体形态呈勺形，滑坡中部老滑体已被搬运至河谷二级阶地，坡面形成沟谷。目前老滑坡残余滑体自前缘临空面至后缘分水岭，体积约为196170立方米，为中型牵引式滑坡，在残余滑体前缘临空面处发生局部垮塌现象，发育环形崩滑带。</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（三）HP3滑坡基本特征</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HP3滑坡位于项目区斜坡中部，东西向发育，为1处老滑坡。相对高差156米，滑坡体坡向314°，坡度10-33°。滑坡整体形态呈扫帚状，滑坡中部老滑体已被搬运至河谷二级阶地，坡面形成沟谷。</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目前老滑坡残余滑体自前缘临空面至后缘分水岭，体积约为257836立方米，为中型牵引式滑坡，在残余滑体前缘临空面处发生局部垮塌现象，在残余滑体前缘发育环形崩滑带。</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（四）HP4滑坡基本特征</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HP4滑坡位于项目区斜坡南部，东西向发育。相对高差151米，滑坡体坡向320°，坡度在13-19°之间，滑坡整体形态呈扇形。滑体岩性为黄土，滑床为侏罗系泥岩，滑坡东西长620米，南北宽230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650米，体积约为857283立方米，为中型牵推移式滑坡。</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新疆伊宁县喀拉亚尕奇乡喀拉亚尕奇村滑坡防治工程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滑坡隐患对坡脚下喀拉亚尕奇村居民、民房、卫生院、林地、乡村道路的威胁</w:t>
      </w:r>
      <w:r>
        <w:rPr>
          <w:rFonts w:hint="eastAsia" w:ascii="仿宋" w:hAnsi="仿宋" w:eastAsia="仿宋" w:cs="仿宋"/>
          <w:sz w:val="24"/>
          <w:szCs w:val="24"/>
        </w:rPr>
        <w:t>，保障人民生命和财产安全。</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根据实地踏勘成果、勘查报告以及相关标准规范编制地质灾害防治工程设计和施工组织设计。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（2）按照审批通过的防治工程设计，组织地质灾害防治工程施工。</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（3）减轻或消除当地居民、房屋等遭受地质灾害的威胁。</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（4）防治工程完成后，制作永久性工程说明碑。</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1.《滑坡防治设计规范》 （GB/T 38509-2020）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《滑坡防治工程施工技术规范（试行）》T/CAGHP 038—2018</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.《崩塌·滑坡·泥石流监测规范》（DZ/T0221-2006）；</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《建筑抗震设计规范》（GB50011-2010）；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.《工业建筑防腐蚀设计规范》（GB50046-2008）；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.《砌体结构设计规范》（GB50003-2011）；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.《混凝土结构设计规范》（GB50010-2010）；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.《建筑地基基础设计规范》（GB50007-2011）；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.《建筑边坡工程技术规范》（GB50330-2013）；</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《工程测量规范》（GB50026-2007）；</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.《全球定位系统（GPS）测量规范》（GB/T18314-2009）；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.《建设工程质量管理条例》；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.《建设工程安全生产管理条例》；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.《建设项目环境保护管理条例》；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.其他有关规范、规程和技术要求。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根据本项目的目标和任务，结合防治区滑坡特征和环境现状，以基本消除或减轻地质灾害对当地居民和财产的威胁为目的，本次滑坡灾害</w:t>
      </w:r>
      <w:r>
        <w:rPr>
          <w:rFonts w:hint="eastAsia" w:ascii="仿宋" w:hAnsi="仿宋" w:eastAsia="仿宋" w:cs="仿宋"/>
          <w:kern w:val="0"/>
          <w:sz w:val="24"/>
          <w:szCs w:val="24"/>
          <w:lang w:eastAsia="zh-CN"/>
        </w:rPr>
        <w:t>防治</w:t>
      </w:r>
      <w:r>
        <w:rPr>
          <w:rFonts w:hint="eastAsia" w:ascii="仿宋" w:hAnsi="仿宋" w:eastAsia="仿宋" w:cs="仿宋"/>
          <w:kern w:val="0"/>
          <w:sz w:val="24"/>
          <w:szCs w:val="24"/>
        </w:rPr>
        <w:t>主要采取坡面</w:t>
      </w:r>
      <w:r>
        <w:rPr>
          <w:rFonts w:hint="eastAsia" w:ascii="仿宋" w:hAnsi="仿宋" w:eastAsia="仿宋" w:cs="仿宋"/>
          <w:kern w:val="0"/>
          <w:sz w:val="24"/>
          <w:szCs w:val="24"/>
          <w:lang w:val="en-US" w:eastAsia="zh-CN"/>
        </w:rPr>
        <w:t>整饰、桩、墙</w:t>
      </w:r>
      <w:r>
        <w:rPr>
          <w:rFonts w:hint="eastAsia" w:ascii="仿宋" w:hAnsi="仿宋" w:eastAsia="仿宋" w:cs="仿宋"/>
          <w:kern w:val="0"/>
          <w:sz w:val="24"/>
          <w:szCs w:val="24"/>
        </w:rPr>
        <w:t>等</w:t>
      </w:r>
      <w:r>
        <w:rPr>
          <w:rFonts w:hint="eastAsia" w:ascii="仿宋" w:hAnsi="仿宋" w:eastAsia="仿宋" w:cs="仿宋"/>
          <w:kern w:val="0"/>
          <w:sz w:val="24"/>
          <w:szCs w:val="24"/>
          <w:lang w:val="en-US" w:eastAsia="zh-CN"/>
        </w:rPr>
        <w:t>防治</w:t>
      </w:r>
      <w:r>
        <w:rPr>
          <w:rFonts w:hint="eastAsia" w:ascii="仿宋" w:hAnsi="仿宋" w:eastAsia="仿宋" w:cs="仿宋"/>
          <w:kern w:val="0"/>
          <w:sz w:val="24"/>
          <w:szCs w:val="24"/>
        </w:rPr>
        <w:t>措施。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（一）防治工程设计成果</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 xml:space="preserve"> </w:t>
      </w:r>
      <w:r>
        <w:rPr>
          <w:rFonts w:hint="eastAsia" w:ascii="仿宋" w:hAnsi="仿宋" w:eastAsia="仿宋" w:cs="仿宋"/>
          <w:kern w:val="0"/>
          <w:sz w:val="24"/>
          <w:szCs w:val="24"/>
        </w:rPr>
        <w:t>新疆伊宁县喀拉亚尕奇乡喀拉亚尕奇村滑坡防治工程设计书（施工设计和施工组织设计）；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 xml:space="preserve"> </w:t>
      </w:r>
      <w:r>
        <w:rPr>
          <w:rFonts w:hint="eastAsia" w:ascii="仿宋" w:hAnsi="仿宋" w:eastAsia="仿宋" w:cs="仿宋"/>
          <w:kern w:val="0"/>
          <w:sz w:val="24"/>
          <w:szCs w:val="24"/>
        </w:rPr>
        <w:t>新疆伊宁县喀拉亚尕奇乡喀拉亚尕奇村滑坡防治工程平面部署图及各单项防治工程设计图；</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 xml:space="preserve"> </w:t>
      </w:r>
      <w:r>
        <w:rPr>
          <w:rFonts w:hint="eastAsia" w:ascii="仿宋" w:hAnsi="仿宋" w:eastAsia="仿宋" w:cs="仿宋"/>
          <w:kern w:val="0"/>
          <w:sz w:val="24"/>
          <w:szCs w:val="24"/>
        </w:rPr>
        <w:t>新疆伊宁县喀拉亚尕奇乡喀拉亚尕奇村滑坡防治工程施工平面布置图。</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（二）防治工程施工成果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防治工程施工成果和资料汇交应按《新疆维吾尔自治区地质灾害防治项目管理办法（试行）》及</w:t>
      </w:r>
      <w:r>
        <w:rPr>
          <w:rFonts w:hint="eastAsia" w:ascii="仿宋" w:hAnsi="仿宋" w:eastAsia="仿宋" w:cs="仿宋"/>
          <w:color w:val="0D0D0D"/>
          <w:sz w:val="24"/>
          <w:szCs w:val="24"/>
          <w:lang w:val="en-US" w:eastAsia="zh-CN"/>
        </w:rPr>
        <w:t>附件</w:t>
      </w:r>
      <w:r>
        <w:rPr>
          <w:rFonts w:hint="eastAsia" w:ascii="仿宋" w:hAnsi="仿宋" w:eastAsia="仿宋" w:cs="仿宋"/>
          <w:color w:val="0D0D0D"/>
          <w:sz w:val="24"/>
          <w:szCs w:val="24"/>
        </w:rPr>
        <w:t>《新疆维吾尔自治区地质灾害防治项目验收细则》要求执行。</w:t>
      </w:r>
    </w:p>
    <w:p>
      <w:pPr>
        <w:keepNext w:val="0"/>
        <w:keepLines w:val="0"/>
        <w:pageBreakBefore w:val="0"/>
        <w:widowControl w:val="0"/>
        <w:numPr>
          <w:ilvl w:val="0"/>
          <w:numId w:val="6"/>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工作周期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2023年3月-2024年10月，2023年10月31日前完成野外竣工验收，2023年11月30日前提交全套竣工资料，2024年10月31日前完成工程复验。</w:t>
      </w:r>
    </w:p>
    <w:p>
      <w:pPr>
        <w:rPr>
          <w:rFonts w:hint="eastAsia" w:ascii="仿宋" w:hAnsi="仿宋" w:eastAsia="仿宋" w:cs="仿宋"/>
          <w:color w:val="0D0D0D"/>
          <w:sz w:val="24"/>
          <w:szCs w:val="24"/>
        </w:rPr>
      </w:pPr>
      <w:r>
        <w:rPr>
          <w:rFonts w:hint="eastAsia" w:ascii="仿宋" w:hAnsi="仿宋" w:eastAsia="仿宋" w:cs="仿宋"/>
          <w:color w:val="0D0D0D"/>
          <w:sz w:val="24"/>
          <w:szCs w:val="24"/>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标项三：新疆特克斯县喀拉托海镇达根别勒村2号泥石流防治工程</w:t>
      </w:r>
    </w:p>
    <w:p>
      <w:pPr>
        <w:pStyle w:val="24"/>
        <w:keepNext w:val="0"/>
        <w:keepLines w:val="0"/>
        <w:pageBreakBefore w:val="0"/>
        <w:widowControl w:val="0"/>
        <w:kinsoku/>
        <w:wordWrap/>
        <w:overflowPunct/>
        <w:topLinePunct w:val="0"/>
        <w:autoSpaceDE/>
        <w:autoSpaceDN/>
        <w:bidi w:val="0"/>
        <w:spacing w:line="440" w:lineRule="exact"/>
        <w:outlineLvl w:val="9"/>
      </w:pP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项目名称：新疆特克斯县喀拉托海镇达根别勒村2号泥石流防治工程</w:t>
      </w:r>
    </w:p>
    <w:p>
      <w:pPr>
        <w:keepNext w:val="0"/>
        <w:keepLines w:val="0"/>
        <w:pageBreakBefore w:val="0"/>
        <w:widowControl w:val="0"/>
        <w:kinsoku/>
        <w:wordWrap/>
        <w:topLinePunct w:val="0"/>
        <w:bidi w:val="0"/>
        <w:spacing w:line="56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项目编号：GYZB-YLZDZFZ2023-03</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项目费用</w:t>
      </w:r>
      <w:r>
        <w:rPr>
          <w:rFonts w:hint="eastAsia" w:ascii="仿宋" w:hAnsi="仿宋" w:eastAsia="仿宋" w:cs="仿宋"/>
          <w:color w:val="000000"/>
          <w:sz w:val="24"/>
          <w:szCs w:val="24"/>
          <w:lang w:val="en-US" w:eastAsia="zh-CN"/>
        </w:rPr>
        <w:t>人民币</w:t>
      </w:r>
      <w:r>
        <w:rPr>
          <w:rFonts w:hint="eastAsia" w:ascii="仿宋" w:hAnsi="仿宋" w:eastAsia="仿宋" w:cs="仿宋"/>
          <w:kern w:val="0"/>
          <w:sz w:val="24"/>
          <w:szCs w:val="24"/>
          <w:lang w:val="en-US" w:eastAsia="zh-CN"/>
        </w:rPr>
        <w:t>：289.5万元（贰佰捌拾玖万伍仟元整）</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auto"/>
          <w:sz w:val="24"/>
          <w:szCs w:val="24"/>
        </w:rPr>
        <w:t>防治区位于特克斯县东北部的喀拉托海镇达根别勒村，距离县城约38公里，行政区划隶属于特克斯县喀拉托海镇管辖。中心地理坐标：东经82°20′10.6″；北纬43°13′6.1″。</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治区位于特克斯县东北部的喀拉托海镇达根别勒村，距离县城约38公里，行政区划隶属于特克斯县喀拉托海镇管辖。中心地理坐标：东经82°20′5.17″；北纬43°12′32.54″。防治区有县道X765与县城相连，沟口以上地段通行条件较差</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ab/>
      </w:r>
    </w:p>
    <w:p>
      <w:pPr>
        <w:keepNext w:val="0"/>
        <w:keepLines w:val="0"/>
        <w:pageBreakBefore w:val="0"/>
        <w:widowControl w:val="0"/>
        <w:kinsoku/>
        <w:wordWrap/>
        <w:topLinePunct w:val="0"/>
        <w:bidi w:val="0"/>
        <w:adjustRightInd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rPr>
        <w:t>社会经济概况</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特克斯县喀拉托海镇达根别勒村，喀拉托海镇东北与巩留县相接，西与喀拉达拉乡为邻，总面积573.4平方公里，农业耕地面积1.5万亩，草场面积80万亩。全镇总人口13917人，主要以哈萨克族为主，其次为维吾尔族、汉族、回族等。防治区泥石流主要威胁铁热克提村及达根别勒村，总人口约1580人，人类活动以农业及牧业为主，防治区北部平原区为农业区，主要种植小麦、油菜、亚麻，南部山区为牧业区，为特克斯县优良的夏牧场。沟谷内有少数牧民居住。</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topLinePunct w:val="0"/>
        <w:bidi w:val="0"/>
        <w:spacing w:line="500" w:lineRule="exact"/>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防治区总的地势南高北低，河谷平原由东向西倾斜，北部的特克斯河两岸平原地带地势平坦开阔，南部由于河流及其各支流的长期侵蚀，形成了河谷发育的地形。南部山峰最高海拔达2305m，平原最低海拔970m左右，高差达1335m。根据地貌形态成因，防治区地貌类型主要有侵蚀中山、剥蚀堆积丘陵及河谷堆积平原三种地貌类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侵蚀中山主要分布在防治区南部，地势南高北低，没有发育明显独立的山峰，山脊多呈窄条状，最高海拔2305m，气候湿润多雨，是优良的放牧区。该区地形侵蚀作用强烈，沟谷地形呈“V”字型发育，狭窄深切，宽度一般在5-30m，坡度多大于25°，相对高差150-300m，沟道纵坡降一般大于200‰，地形地貌条件有利于水流汇集。该区南部长有茂密的云杉，牧草植被覆盖大于60%。剥蚀堆积丘陵主要分布于防治区中部，表层多被黄土覆盖，地层松软易被水流侵蚀，发育有多条沟谷。该区沟谷平面呈树枝状分布，沟谷宽度一般在30-150m，山体坡度20-40°，沟道较为顺直，卡口较少，水流下蚀和侧蚀现象强烈，尤其在中下游表现的更为明显，水流侵蚀沟道两侧岩土体，为泥石流的形成创造了条件。河谷堆积平原主要分布在防治区北部，由特克斯河河漫滩及阶地组成，阶面平整开阔，上部为砂质黄土覆盖，下部为砾石及砂砾石层，坡降一般不超过10%，是防治区主要居住区和农作物区。</w:t>
      </w:r>
    </w:p>
    <w:p>
      <w:pPr>
        <w:keepNext w:val="0"/>
        <w:keepLines w:val="0"/>
        <w:pageBreakBefore w:val="0"/>
        <w:widowControl w:val="0"/>
        <w:numPr>
          <w:ilvl w:val="0"/>
          <w:numId w:val="7"/>
        </w:numPr>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地层岩性</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防治区地层主要由下更新统-中更新统冰碛泥砾、漂砾、西域砾岩（Q</w:t>
      </w:r>
      <w:r>
        <w:rPr>
          <w:rFonts w:hint="eastAsia" w:ascii="仿宋" w:hAnsi="仿宋" w:eastAsia="仿宋" w:cs="仿宋"/>
          <w:sz w:val="24"/>
          <w:szCs w:val="24"/>
          <w:vertAlign w:val="subscript"/>
        </w:rPr>
        <w:t>1-2</w:t>
      </w:r>
      <w:r>
        <w:rPr>
          <w:rFonts w:hint="eastAsia" w:ascii="仿宋" w:hAnsi="仿宋" w:eastAsia="仿宋" w:cs="仿宋"/>
          <w:sz w:val="24"/>
          <w:szCs w:val="24"/>
        </w:rPr>
        <w:t>），上更新统冲积粉土、砂卵砾石(Q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apl</w:t>
      </w:r>
      <w:r>
        <w:rPr>
          <w:rFonts w:hint="eastAsia" w:ascii="仿宋" w:hAnsi="仿宋" w:eastAsia="仿宋" w:cs="仿宋"/>
          <w:sz w:val="24"/>
          <w:szCs w:val="24"/>
        </w:rPr>
        <w:t>)以及风积黄土（Q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）组成，分述如下：</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第四系下更新统-中更新统冰碛泥砾、漂砾、西域砾岩</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中部及南部，地表被大面积黄土所覆盖，仅沟谷下游沟道两侧出露，厚度大于5m，岩性呈半胶结冰碛泥砾、漂砾和冰水半胶结泥砾及胶结砾岩，岩土体多密实，砾岩锤击易碎，人工开挖困难。沟道两侧地层易被水流侧向侵蚀，是防治区泥石流固体物质主要来源区。</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第四系上更新统冲洪积物（Q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大面积分布在防治区中部及南部丘陵区及中山区，土体呈土黄色，植物根孔、虫孔发育，厚度一般大于3m，土体具中等-强湿陷性。表层长有茂盛的牧草植被和云杉。</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第四系上更新统-全新统冲洪积物（Q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apl</w:t>
      </w:r>
      <w:r>
        <w:rPr>
          <w:rFonts w:hint="eastAsia" w:ascii="仿宋" w:hAnsi="仿宋" w:eastAsia="仿宋" w:cs="仿宋"/>
          <w:sz w:val="24"/>
          <w:szCs w:val="24"/>
        </w:rPr>
        <w:t>）</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中下游沟道及北部平原区，岩性由粉土、卵砾石等组成，沟道内厚度一般大于20m，沿沟道走向厚度逐渐增大，垂直沟道方向上，在沟谷轴线处厚度最大，向两侧逐渐变薄。沟口以下土体厚度一般大于50m，多呈上部粉土，下部卵砾石双层结构。砾石以椭圆状及次棱角状为主，分选、磨圆一般。母岩成分主要为花岗岩。沟道内地层易被水流下切侵蚀，是防治区泥石流固体物质主要来源区。</w:t>
      </w:r>
    </w:p>
    <w:p>
      <w:pPr>
        <w:keepNext w:val="0"/>
        <w:keepLines w:val="0"/>
        <w:pageBreakBefore w:val="0"/>
        <w:widowControl w:val="0"/>
        <w:numPr>
          <w:ilvl w:val="0"/>
          <w:numId w:val="7"/>
        </w:numPr>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根据地下水赋存条件，防治区地下水类型主要有基岩裂隙水及第四系松散岩类孔隙水两类。</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（一）基岩裂隙水</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在防治区南部山区，赋存在花岗岩裂隙中，单泉流量大于1L/s，富水性较好。地下水主要接受大气降水渗入和冰雪融水渗入补给，沿裂隙由高处向低处运移，运移的总体方向为由南至北，主要以侧向径流形式排泄。</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（二）第四系松散岩类孔隙水</w:t>
      </w:r>
    </w:p>
    <w:p>
      <w:pPr>
        <w:keepNext w:val="0"/>
        <w:keepLines w:val="0"/>
        <w:pageBreakBefore w:val="0"/>
        <w:widowControl w:val="0"/>
        <w:kinsoku/>
        <w:wordWrap/>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北部河谷平原区，南部山区沟谷第四系一般不含水。在防治区北部平原区赋存有单一结构孔隙潜水，含水层岩性主要由砂卵砾石组成，厚度普遍大于30m，水位埋深一般大于5m，单井涌水量介于100-1000m</w:t>
      </w:r>
      <w:r>
        <w:rPr>
          <w:rFonts w:hint="eastAsia" w:ascii="仿宋" w:hAnsi="仿宋" w:eastAsia="仿宋" w:cs="仿宋"/>
          <w:sz w:val="24"/>
          <w:szCs w:val="24"/>
          <w:vertAlign w:val="superscript"/>
        </w:rPr>
        <w:t>3</w:t>
      </w:r>
      <w:r>
        <w:rPr>
          <w:rFonts w:hint="eastAsia" w:ascii="仿宋" w:hAnsi="仿宋" w:eastAsia="仿宋" w:cs="仿宋"/>
          <w:sz w:val="24"/>
          <w:szCs w:val="24"/>
        </w:rPr>
        <w:t>/d，水量中等。地下水矿化度一般小于1.0g/L，水化学类型主要为HCO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-Ca型。地下水主要接受上游地下水的侧向径流、山前暴雨洪流入渗等补给，径流条件较好，以向下游的侧向径流为主要排泄方式。</w:t>
      </w:r>
    </w:p>
    <w:p>
      <w:pPr>
        <w:keepNext w:val="0"/>
        <w:keepLines w:val="0"/>
        <w:pageBreakBefore w:val="0"/>
        <w:widowControl w:val="0"/>
        <w:numPr>
          <w:ilvl w:val="0"/>
          <w:numId w:val="7"/>
        </w:numPr>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勘查成果，按照岩土体的组成岩性、结构类型、岩土强度等，可将防治区划分为块状坚硬侵入岩及粉土-卵石土双层土体两类。</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块状坚硬侵入岩</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分布在防治区南部山区，呈东西向延伸，由华力西中晚期侵入岩组成，岩性以花岗岩、细晶花岗岩类为主，岩性均一，完整性好，坚硬、致密块状，工程地质性能良好。</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粉土及卵石土双层土体</w:t>
      </w:r>
    </w:p>
    <w:p>
      <w:pPr>
        <w:keepNext w:val="0"/>
        <w:keepLines w:val="0"/>
        <w:pageBreakBefore w:val="0"/>
        <w:widowControl w:val="0"/>
        <w:kinsoku/>
        <w:wordWrap/>
        <w:topLinePunct w:val="0"/>
        <w:bidi w:val="0"/>
        <w:adjustRightInd w:val="0"/>
        <w:spacing w:line="560" w:lineRule="exact"/>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在防治区沟道及北部平原区分布较广，表层多为粉土，土体呈稍密状，干燥-稍湿，具中等-强湿陷性。地基土承载力特征值100KPa，工程地质条件较差；下部卵石土呈中密-密实状，地基土承载力特征值300Kpa，工程地质条件较好。</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numPr>
          <w:ilvl w:val="0"/>
          <w:numId w:val="0"/>
        </w:numPr>
        <w:kinsoku/>
        <w:wordWrap/>
        <w:overflowPunct w:val="0"/>
        <w:topLinePunct w:val="0"/>
        <w:autoSpaceDE/>
        <w:autoSpaceDN/>
        <w:bidi w:val="0"/>
        <w:adjustRightInd/>
        <w:snapToGrid w:val="0"/>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本次防治的主要地质灾害为</w:t>
      </w:r>
      <w:r>
        <w:rPr>
          <w:rFonts w:hint="eastAsia" w:ascii="仿宋" w:hAnsi="仿宋" w:eastAsia="仿宋" w:cs="仿宋"/>
          <w:sz w:val="24"/>
          <w:szCs w:val="24"/>
          <w:lang w:val="en-US" w:eastAsia="zh-CN"/>
        </w:rPr>
        <w:t>泥石流</w:t>
      </w:r>
      <w:r>
        <w:rPr>
          <w:rFonts w:hint="eastAsia" w:ascii="仿宋" w:hAnsi="仿宋" w:eastAsia="仿宋" w:cs="仿宋"/>
          <w:sz w:val="24"/>
          <w:szCs w:val="24"/>
          <w:lang w:eastAsia="zh-CN"/>
        </w:rPr>
        <w:t>，</w:t>
      </w:r>
      <w:r>
        <w:rPr>
          <w:rFonts w:hint="eastAsia" w:ascii="仿宋" w:hAnsi="仿宋" w:eastAsia="仿宋" w:cs="仿宋"/>
          <w:sz w:val="24"/>
          <w:szCs w:val="24"/>
        </w:rPr>
        <w:t>防治区地处山区，降水相对较为丰富，</w:t>
      </w:r>
      <w:r>
        <w:rPr>
          <w:rFonts w:hint="eastAsia" w:ascii="仿宋" w:hAnsi="仿宋" w:eastAsia="仿宋" w:cs="仿宋"/>
          <w:sz w:val="24"/>
          <w:szCs w:val="24"/>
          <w:lang w:eastAsia="zh-CN"/>
        </w:rPr>
        <w:t>泥石流沟固体物源较为丰富，沟谷比降较大，地形地貌条件有利于强降雨的形成，再次发生泥石流的可能性较大。主要威胁对象为铁列克提村及达根别勒村居民、房屋、农田、草场、道路安全。主要威胁对象为沟口达根别勒村34户130人，威胁财产包括：房屋102间，羊圈51个，农田约200亩，道路200m，潜在经济损失约570万元。</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新疆特克斯县喀拉托海镇达根别勒村2号泥石流防治工程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lang w:val="en-US" w:eastAsia="zh-CN"/>
        </w:rPr>
        <w:t>泥石流</w:t>
      </w:r>
      <w:r>
        <w:rPr>
          <w:rFonts w:hint="eastAsia" w:ascii="仿宋" w:hAnsi="仿宋" w:eastAsia="仿宋" w:cs="仿宋"/>
          <w:kern w:val="0"/>
          <w:sz w:val="24"/>
          <w:szCs w:val="24"/>
        </w:rPr>
        <w:t>隐患对</w:t>
      </w:r>
      <w:r>
        <w:rPr>
          <w:rFonts w:hint="eastAsia" w:ascii="仿宋" w:hAnsi="仿宋" w:eastAsia="仿宋" w:cs="仿宋"/>
          <w:kern w:val="0"/>
          <w:sz w:val="24"/>
          <w:szCs w:val="24"/>
          <w:lang w:val="en-US" w:eastAsia="zh-CN"/>
        </w:rPr>
        <w:t>沟口</w:t>
      </w:r>
      <w:r>
        <w:rPr>
          <w:rFonts w:hint="eastAsia" w:ascii="仿宋" w:hAnsi="仿宋" w:eastAsia="仿宋" w:cs="仿宋"/>
          <w:kern w:val="0"/>
          <w:sz w:val="24"/>
          <w:szCs w:val="24"/>
        </w:rPr>
        <w:t>农牧民、道路、牲畜等威胁</w:t>
      </w:r>
      <w:r>
        <w:rPr>
          <w:rFonts w:hint="eastAsia" w:ascii="仿宋" w:hAnsi="仿宋" w:eastAsia="仿宋" w:cs="仿宋"/>
          <w:sz w:val="24"/>
          <w:szCs w:val="24"/>
        </w:rPr>
        <w:t>，保障人民生命和财产安全。</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lang w:eastAsia="zh-CN"/>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lang w:eastAsia="zh-CN"/>
        </w:rPr>
      </w:pPr>
      <w:r>
        <w:rPr>
          <w:rFonts w:hint="eastAsia" w:ascii="仿宋" w:hAnsi="仿宋" w:eastAsia="仿宋" w:cs="仿宋"/>
          <w:color w:val="0D0D0D"/>
          <w:kern w:val="0"/>
          <w:sz w:val="24"/>
          <w:szCs w:val="24"/>
        </w:rPr>
        <w:t>2.按照审批通过的防治工程设计，组织地质灾害防治工程施工</w:t>
      </w:r>
      <w:r>
        <w:rPr>
          <w:rFonts w:hint="eastAsia" w:ascii="仿宋" w:hAnsi="仿宋" w:eastAsia="仿宋" w:cs="仿宋"/>
          <w:color w:val="0D0D0D"/>
          <w:kern w:val="0"/>
          <w:sz w:val="24"/>
          <w:szCs w:val="24"/>
          <w:lang w:eastAsia="zh-CN"/>
        </w:rPr>
        <w:t>；</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1.《泥石流防治工程设计规范》（T/CAGHP 021—2018）；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2.《泥石流防治工程施工技术规范（试行）》（T∕CAGHP 061-2019）；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.《砌体结构设计规范》（GB50003-2011）；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.《混凝土结构设计规范》（GB50010-2010）；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.《建筑地基基础设计规范》（GB50007-2011）；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.《建筑边坡工程技术规范》（GB50330-2013）；</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.《工程测量标准》（GB50026-2020）；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.《全球定位系统（GPS）测量规范》（GB/T18314-2009）；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《岩土工程勘察规范（2009年版）》（GB50021-2001）；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《建筑抗震设计规范（2016年版）》（GB50011-2010）；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其</w:t>
      </w:r>
      <w:r>
        <w:rPr>
          <w:rFonts w:hint="eastAsia" w:ascii="仿宋" w:hAnsi="仿宋" w:eastAsia="仿宋" w:cs="仿宋"/>
          <w:sz w:val="24"/>
          <w:szCs w:val="24"/>
          <w:lang w:val="en-US" w:eastAsia="zh-CN"/>
        </w:rPr>
        <w:t>它</w:t>
      </w:r>
      <w:r>
        <w:rPr>
          <w:rFonts w:hint="eastAsia" w:ascii="仿宋" w:hAnsi="仿宋" w:eastAsia="仿宋" w:cs="仿宋"/>
          <w:sz w:val="24"/>
          <w:szCs w:val="24"/>
        </w:rPr>
        <w:t>有关规范、规程和技术要求。</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kern w:val="0"/>
          <w:sz w:val="24"/>
          <w:szCs w:val="24"/>
        </w:rPr>
        <w:t>根据本项目的目标和任务，结合防治区</w:t>
      </w:r>
      <w:r>
        <w:rPr>
          <w:rFonts w:hint="eastAsia" w:ascii="仿宋" w:hAnsi="仿宋" w:eastAsia="仿宋" w:cs="仿宋"/>
          <w:kern w:val="0"/>
          <w:sz w:val="24"/>
          <w:szCs w:val="24"/>
          <w:lang w:val="en-US" w:eastAsia="zh-CN"/>
        </w:rPr>
        <w:t>泥石流</w:t>
      </w:r>
      <w:r>
        <w:rPr>
          <w:rFonts w:hint="eastAsia" w:ascii="仿宋" w:hAnsi="仿宋" w:eastAsia="仿宋" w:cs="仿宋"/>
          <w:kern w:val="0"/>
          <w:sz w:val="24"/>
          <w:szCs w:val="24"/>
        </w:rPr>
        <w:t>灾害特征和环境现状，以基本消除或减轻地质灾害对当地居民的威胁为目的，本次</w:t>
      </w:r>
      <w:r>
        <w:rPr>
          <w:rFonts w:hint="eastAsia" w:ascii="仿宋" w:hAnsi="仿宋" w:eastAsia="仿宋" w:cs="仿宋"/>
          <w:kern w:val="0"/>
          <w:sz w:val="24"/>
          <w:szCs w:val="24"/>
          <w:lang w:val="en-US" w:eastAsia="zh-CN"/>
        </w:rPr>
        <w:t>泥石流</w:t>
      </w:r>
      <w:r>
        <w:rPr>
          <w:rFonts w:hint="eastAsia" w:ascii="仿宋" w:hAnsi="仿宋" w:eastAsia="仿宋" w:cs="仿宋"/>
          <w:kern w:val="0"/>
          <w:sz w:val="24"/>
          <w:szCs w:val="24"/>
        </w:rPr>
        <w:t>灾害防治工程</w:t>
      </w:r>
      <w:r>
        <w:rPr>
          <w:rFonts w:hint="eastAsia" w:ascii="仿宋" w:hAnsi="仿宋" w:eastAsia="仿宋" w:cs="仿宋"/>
          <w:kern w:val="0"/>
          <w:sz w:val="24"/>
          <w:szCs w:val="24"/>
          <w:lang w:val="en-US" w:eastAsia="zh-CN"/>
        </w:rPr>
        <w:t>可以采用拦、档、排</w:t>
      </w:r>
      <w:r>
        <w:rPr>
          <w:rFonts w:hint="eastAsia" w:ascii="仿宋" w:hAnsi="仿宋" w:eastAsia="仿宋" w:cs="仿宋"/>
          <w:kern w:val="0"/>
          <w:sz w:val="24"/>
          <w:szCs w:val="24"/>
        </w:rPr>
        <w:t>等</w:t>
      </w:r>
      <w:r>
        <w:rPr>
          <w:rFonts w:hint="eastAsia" w:ascii="仿宋" w:hAnsi="仿宋" w:eastAsia="仿宋" w:cs="仿宋"/>
          <w:kern w:val="0"/>
          <w:sz w:val="24"/>
          <w:szCs w:val="24"/>
          <w:lang w:val="en-US" w:eastAsia="zh-CN"/>
        </w:rPr>
        <w:t>防治</w:t>
      </w:r>
      <w:r>
        <w:rPr>
          <w:rFonts w:hint="eastAsia" w:ascii="仿宋" w:hAnsi="仿宋" w:eastAsia="仿宋" w:cs="仿宋"/>
          <w:kern w:val="0"/>
          <w:sz w:val="24"/>
          <w:szCs w:val="24"/>
        </w:rPr>
        <w:t>措施。</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（一）防治工程设计成果</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1.新疆特克斯县喀拉托海镇达根别勒村2号泥石流防治工程设计书（施工设计和施工组织设计）；</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2.新疆特克斯县喀拉托海镇达根别勒村2号泥石流防治工程平面</w:t>
      </w:r>
      <w:r>
        <w:rPr>
          <w:rFonts w:hint="eastAsia" w:ascii="仿宋" w:hAnsi="仿宋" w:eastAsia="仿宋" w:cs="仿宋"/>
          <w:kern w:val="0"/>
          <w:sz w:val="24"/>
          <w:szCs w:val="24"/>
          <w:lang w:val="en-US" w:eastAsia="zh-CN"/>
        </w:rPr>
        <w:t>布置</w:t>
      </w:r>
      <w:r>
        <w:rPr>
          <w:rFonts w:hint="eastAsia" w:ascii="仿宋" w:hAnsi="仿宋" w:eastAsia="仿宋" w:cs="仿宋"/>
          <w:kern w:val="0"/>
          <w:sz w:val="24"/>
          <w:szCs w:val="24"/>
        </w:rPr>
        <w:t>图及各单项防治工程设计图</w:t>
      </w:r>
      <w:r>
        <w:rPr>
          <w:rFonts w:hint="eastAsia" w:ascii="仿宋" w:hAnsi="仿宋" w:eastAsia="仿宋" w:cs="仿宋"/>
          <w:kern w:val="0"/>
          <w:sz w:val="24"/>
          <w:szCs w:val="24"/>
          <w:lang w:eastAsia="zh-CN"/>
        </w:rPr>
        <w:t>。</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（二）防治工程施工成果</w:t>
      </w:r>
    </w:p>
    <w:p>
      <w:pPr>
        <w:keepNext w:val="0"/>
        <w:keepLines w:val="0"/>
        <w:pageBreakBefore w:val="0"/>
        <w:widowControl w:val="0"/>
        <w:kinsoku/>
        <w:wordWrap/>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lang w:val="en-US" w:eastAsia="zh-CN"/>
        </w:rPr>
        <w:t>防治工程施工</w:t>
      </w:r>
      <w:r>
        <w:rPr>
          <w:rFonts w:hint="eastAsia" w:ascii="仿宋" w:hAnsi="仿宋" w:eastAsia="仿宋" w:cs="仿宋"/>
          <w:color w:val="0D0D0D"/>
          <w:sz w:val="24"/>
          <w:szCs w:val="24"/>
        </w:rPr>
        <w:t>成果</w:t>
      </w:r>
      <w:r>
        <w:rPr>
          <w:rFonts w:hint="eastAsia" w:ascii="仿宋" w:hAnsi="仿宋" w:eastAsia="仿宋" w:cs="仿宋"/>
          <w:color w:val="0D0D0D"/>
          <w:sz w:val="24"/>
          <w:szCs w:val="24"/>
          <w:lang w:val="en-US" w:eastAsia="zh-CN"/>
        </w:rPr>
        <w:t>和</w:t>
      </w:r>
      <w:r>
        <w:rPr>
          <w:rFonts w:hint="eastAsia" w:ascii="仿宋" w:hAnsi="仿宋" w:eastAsia="仿宋" w:cs="仿宋"/>
          <w:color w:val="0D0D0D"/>
          <w:sz w:val="24"/>
          <w:szCs w:val="24"/>
        </w:rPr>
        <w:t>资料汇交应按《新疆维吾尔自治区地质灾害防治项目管理办法（试行）》</w:t>
      </w:r>
      <w:r>
        <w:rPr>
          <w:rFonts w:hint="eastAsia" w:ascii="仿宋" w:hAnsi="仿宋" w:eastAsia="仿宋" w:cs="仿宋"/>
          <w:color w:val="0D0D0D"/>
          <w:sz w:val="24"/>
          <w:szCs w:val="24"/>
          <w:lang w:val="en-US" w:eastAsia="zh-CN"/>
        </w:rPr>
        <w:t>及《新疆维吾尔自治区地质灾害防治项目验收细则》</w:t>
      </w:r>
      <w:r>
        <w:rPr>
          <w:rFonts w:hint="eastAsia" w:ascii="仿宋" w:hAnsi="仿宋" w:eastAsia="仿宋" w:cs="仿宋"/>
          <w:color w:val="0D0D0D"/>
          <w:sz w:val="24"/>
          <w:szCs w:val="24"/>
        </w:rPr>
        <w:t>要求执行。</w:t>
      </w:r>
    </w:p>
    <w:p>
      <w:pPr>
        <w:keepNext w:val="0"/>
        <w:keepLines w:val="0"/>
        <w:pageBreakBefore w:val="0"/>
        <w:widowControl w:val="0"/>
        <w:kinsoku/>
        <w:wordWrap/>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 xml:space="preserve">   2023年3月-2024年10月，2023年10月31日前完成野外竣工验收，2023年11月30日前提交全套竣工资料，2024年10月31日前完成工程复验。</w:t>
      </w:r>
    </w:p>
    <w:p>
      <w:pPr>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br w:type="page"/>
      </w:r>
    </w:p>
    <w:bookmarkEnd w:id="227"/>
    <w:bookmarkEnd w:id="228"/>
    <w:bookmarkEnd w:id="229"/>
    <w:bookmarkEnd w:id="23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Times New Roman"/>
          <w:b/>
          <w:bCs/>
          <w:kern w:val="2"/>
          <w:sz w:val="24"/>
          <w:szCs w:val="24"/>
          <w:lang w:val="en-US" w:eastAsia="zh-CN" w:bidi="ar-SA"/>
        </w:rPr>
      </w:pPr>
      <w:bookmarkStart w:id="232" w:name="_Toc216582826"/>
      <w:bookmarkStart w:id="233" w:name="_Toc219175639"/>
      <w:bookmarkStart w:id="234" w:name="_Toc218935355"/>
      <w:r>
        <w:rPr>
          <w:rFonts w:hint="eastAsia" w:ascii="仿宋" w:hAnsi="仿宋" w:eastAsia="仿宋" w:cs="Times New Roman"/>
          <w:b/>
          <w:bCs/>
          <w:kern w:val="2"/>
          <w:sz w:val="24"/>
          <w:szCs w:val="24"/>
          <w:lang w:val="en-US" w:eastAsia="zh-CN" w:bidi="ar-SA"/>
        </w:rPr>
        <w:t>标项四：新疆特克斯县喀拉托海镇达根别勒村1号泥石流防治工程</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项目名称：</w:t>
      </w:r>
      <w:r>
        <w:rPr>
          <w:rFonts w:hint="eastAsia" w:ascii="仿宋" w:hAnsi="仿宋" w:eastAsia="仿宋" w:cs="仿宋"/>
          <w:kern w:val="0"/>
          <w:sz w:val="24"/>
          <w:szCs w:val="24"/>
          <w:lang w:eastAsia="zh-CN"/>
        </w:rPr>
        <w:t>新疆特克斯县喀拉托海镇达根别勒村1号泥石流防治工程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项目编号：</w:t>
      </w:r>
      <w:r>
        <w:rPr>
          <w:rFonts w:hint="eastAsia" w:ascii="仿宋" w:hAnsi="仿宋" w:eastAsia="仿宋" w:cs="仿宋"/>
          <w:kern w:val="0"/>
          <w:sz w:val="24"/>
          <w:szCs w:val="24"/>
          <w:lang w:val="en-US" w:eastAsia="zh-CN"/>
        </w:rPr>
        <w:t>GYZB-YLZDZFZ2023-04</w:t>
      </w:r>
      <w:r>
        <w:rPr>
          <w:rFonts w:hint="eastAsia" w:ascii="仿宋" w:hAnsi="仿宋" w:eastAsia="仿宋" w:cs="仿宋"/>
          <w:b/>
          <w:color w:val="FF0000"/>
          <w:kern w:val="0"/>
          <w:sz w:val="24"/>
          <w:szCs w:val="24"/>
          <w:lang w:eastAsia="zh-CN"/>
        </w:rPr>
        <w:t xml:space="preserve"> </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项目费用</w:t>
      </w:r>
      <w:r>
        <w:rPr>
          <w:rFonts w:hint="eastAsia" w:ascii="仿宋" w:hAnsi="仿宋" w:eastAsia="仿宋" w:cs="仿宋"/>
          <w:color w:val="000000"/>
          <w:sz w:val="24"/>
          <w:szCs w:val="24"/>
          <w:lang w:val="en-US" w:eastAsia="zh-CN"/>
        </w:rPr>
        <w:t>人民币</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val="en-US" w:eastAsia="zh-CN"/>
        </w:rPr>
        <w:t>318.6</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叁佰壹拾捌万陆仟元整</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auto"/>
          <w:sz w:val="24"/>
          <w:szCs w:val="24"/>
        </w:rPr>
        <w:t>防治区位于特克斯县东北部的喀拉托海镇达根别勒村，行政区划隶属于特克斯县喀拉托海镇管辖。</w:t>
      </w:r>
      <w:r>
        <w:rPr>
          <w:rFonts w:hint="eastAsia" w:ascii="仿宋" w:hAnsi="仿宋" w:eastAsia="仿宋" w:cs="仿宋"/>
          <w:color w:val="auto"/>
          <w:sz w:val="24"/>
          <w:szCs w:val="24"/>
          <w:lang w:val="en-US" w:eastAsia="zh-CN"/>
        </w:rPr>
        <w:t>主沟沟口</w:t>
      </w:r>
      <w:r>
        <w:rPr>
          <w:rFonts w:hint="eastAsia" w:ascii="仿宋" w:hAnsi="仿宋" w:eastAsia="仿宋" w:cs="仿宋"/>
          <w:color w:val="auto"/>
          <w:sz w:val="24"/>
          <w:szCs w:val="24"/>
        </w:rPr>
        <w:t>坐标：东经82°20′5</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″；北纬43°1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支沟沟口坐标：</w:t>
      </w:r>
      <w:r>
        <w:rPr>
          <w:rFonts w:hint="eastAsia" w:ascii="仿宋" w:hAnsi="仿宋" w:eastAsia="仿宋" w:cs="仿宋"/>
          <w:color w:val="auto"/>
          <w:sz w:val="24"/>
          <w:szCs w:val="24"/>
        </w:rPr>
        <w:t>东经82°20′44.38″；北纬43°13′8.63″</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防治区</w:t>
      </w:r>
      <w:r>
        <w:rPr>
          <w:rFonts w:hint="eastAsia" w:ascii="仿宋" w:hAnsi="仿宋" w:eastAsia="仿宋" w:cs="仿宋"/>
          <w:sz w:val="24"/>
          <w:szCs w:val="24"/>
        </w:rPr>
        <w:t>距离</w:t>
      </w:r>
      <w:r>
        <w:rPr>
          <w:rFonts w:hint="eastAsia" w:ascii="仿宋" w:hAnsi="仿宋" w:eastAsia="仿宋" w:cs="仿宋"/>
          <w:sz w:val="24"/>
          <w:szCs w:val="24"/>
          <w:lang w:val="en-US" w:eastAsia="zh-CN"/>
        </w:rPr>
        <w:t>特克斯</w:t>
      </w:r>
      <w:r>
        <w:rPr>
          <w:rFonts w:hint="eastAsia" w:ascii="仿宋" w:hAnsi="仿宋" w:eastAsia="仿宋" w:cs="仿宋"/>
          <w:sz w:val="24"/>
          <w:szCs w:val="24"/>
        </w:rPr>
        <w:t>县城约38公里。防治区有县道X765与县城相连</w:t>
      </w:r>
      <w:r>
        <w:rPr>
          <w:rFonts w:hint="eastAsia" w:ascii="仿宋" w:hAnsi="仿宋" w:eastAsia="仿宋" w:cs="仿宋"/>
          <w:sz w:val="24"/>
          <w:szCs w:val="24"/>
          <w:lang w:eastAsia="zh-CN"/>
        </w:rPr>
        <w:t>，</w:t>
      </w:r>
      <w:r>
        <w:rPr>
          <w:rFonts w:hint="eastAsia" w:ascii="仿宋" w:hAnsi="仿宋" w:eastAsia="仿宋" w:cs="仿宋"/>
          <w:sz w:val="24"/>
          <w:szCs w:val="24"/>
        </w:rPr>
        <w:t>交通条件较好</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位于特克斯县喀拉托海镇达根别勒村，喀拉托海镇东北与巩留县相接，西与喀拉达拉乡为邻，总面积573.4平方公里，农业耕地面积1.5万亩，草场面积80万亩。全镇总人口13917人，主要以哈萨克族为主，其次为维吾尔族、汉族、回族等。人类活动以农业及牧业为主，防治区北部平原区为农业区，主要种植小麦、油菜、亚麻，南部山区为牧业区，为特克斯县优良的夏牧场。沟谷内有少数牧民居住。</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防治区总的地势南高北低，河谷平原由东向西倾斜，北部的特克斯河两岸平原地带地势平坦开阔，南部由于河流及其各支流的长期侵蚀，形成了河谷发育的地形。南部山峰最高海拔达2305m，平原最低海拔970m左右，高差达1335m。防治区地貌类型主要有侵蚀中山、剥蚀堆积丘陵及河谷堆积平原三种地貌类型</w:t>
      </w:r>
      <w:r>
        <w:rPr>
          <w:rFonts w:hint="eastAsia" w:ascii="仿宋" w:hAnsi="仿宋" w:eastAsia="仿宋" w:cs="仿宋"/>
          <w:sz w:val="24"/>
          <w:szCs w:val="24"/>
          <w:lang w:eastAsia="zh-CN"/>
        </w:rPr>
        <w:t>。</w:t>
      </w:r>
    </w:p>
    <w:p>
      <w:pPr>
        <w:keepNext w:val="0"/>
        <w:keepLines w:val="0"/>
        <w:pageBreakBefore w:val="0"/>
        <w:widowControl w:val="0"/>
        <w:numPr>
          <w:ilvl w:val="0"/>
          <w:numId w:val="7"/>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地层岩性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防治区地层主要由下更新统-中更新统冰碛泥砾、漂砾、西域砾岩（Q</w:t>
      </w:r>
      <w:r>
        <w:rPr>
          <w:rFonts w:hint="eastAsia" w:ascii="仿宋" w:hAnsi="仿宋" w:eastAsia="仿宋" w:cs="仿宋"/>
          <w:sz w:val="24"/>
          <w:szCs w:val="24"/>
          <w:vertAlign w:val="subscript"/>
        </w:rPr>
        <w:t>1-2</w:t>
      </w:r>
      <w:r>
        <w:rPr>
          <w:rFonts w:hint="eastAsia" w:ascii="仿宋" w:hAnsi="仿宋" w:eastAsia="仿宋" w:cs="仿宋"/>
          <w:sz w:val="24"/>
          <w:szCs w:val="24"/>
        </w:rPr>
        <w:t>），上更新统冲积粉土、砂卵砾石(Q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apl</w:t>
      </w:r>
      <w:r>
        <w:rPr>
          <w:rFonts w:hint="eastAsia" w:ascii="仿宋" w:hAnsi="仿宋" w:eastAsia="仿宋" w:cs="仿宋"/>
          <w:sz w:val="24"/>
          <w:szCs w:val="24"/>
        </w:rPr>
        <w:t>)以及风积黄土（Q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）组成，分述如下：</w:t>
      </w:r>
    </w:p>
    <w:p>
      <w:pPr>
        <w:keepNext w:val="0"/>
        <w:keepLines w:val="0"/>
        <w:pageBreakBefore w:val="0"/>
        <w:widowControl w:val="0"/>
        <w:kinsoku/>
        <w:wordWrap/>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第四系下更新统-中更新统冰碛泥砾、漂砾、西域砾岩</w:t>
      </w:r>
    </w:p>
    <w:p>
      <w:pPr>
        <w:keepNext w:val="0"/>
        <w:keepLines w:val="0"/>
        <w:pageBreakBefore w:val="0"/>
        <w:widowControl w:val="0"/>
        <w:kinsoku/>
        <w:wordWrap/>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主要分布在防治区中部及南部，地表被大面积黄土所覆盖，仅沟谷下游沟道两侧出露，厚度大于5</w:t>
      </w:r>
      <w:r>
        <w:rPr>
          <w:rFonts w:hint="eastAsia" w:ascii="仿宋" w:hAnsi="仿宋" w:eastAsia="仿宋" w:cs="仿宋"/>
          <w:sz w:val="24"/>
          <w:szCs w:val="24"/>
          <w:lang w:val="en-US" w:eastAsia="zh-CN"/>
        </w:rPr>
        <w:t>米</w:t>
      </w:r>
      <w:r>
        <w:rPr>
          <w:rFonts w:hint="eastAsia" w:ascii="仿宋" w:hAnsi="仿宋" w:eastAsia="仿宋" w:cs="仿宋"/>
          <w:sz w:val="24"/>
          <w:szCs w:val="24"/>
        </w:rPr>
        <w:t>，岩性呈半胶结冰碛泥砾、漂砾和冰水半胶结泥砾及胶结砾岩，岩土体多密实，砾岩锤击易碎，人工开挖困难。沟道两侧地层易被水流侧向侵蚀，是防治区泥石流固体物质主要来源区。</w:t>
      </w:r>
    </w:p>
    <w:p>
      <w:pPr>
        <w:keepNext w:val="0"/>
        <w:keepLines w:val="0"/>
        <w:pageBreakBefore w:val="0"/>
        <w:widowControl w:val="0"/>
        <w:kinsoku/>
        <w:wordWrap/>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第四系上更新统冲洪积物（Q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大面积分布在防治区中部及南部丘陵区及中山区，土体呈土黄色，植物根孔、虫孔发育，厚度一般大于3</w:t>
      </w:r>
      <w:r>
        <w:rPr>
          <w:rFonts w:hint="eastAsia" w:ascii="仿宋" w:hAnsi="仿宋" w:eastAsia="仿宋" w:cs="仿宋"/>
          <w:sz w:val="24"/>
          <w:szCs w:val="24"/>
          <w:lang w:val="en-US" w:eastAsia="zh-CN"/>
        </w:rPr>
        <w:t>米</w:t>
      </w:r>
      <w:r>
        <w:rPr>
          <w:rFonts w:hint="eastAsia" w:ascii="仿宋" w:hAnsi="仿宋" w:eastAsia="仿宋" w:cs="仿宋"/>
          <w:sz w:val="24"/>
          <w:szCs w:val="24"/>
        </w:rPr>
        <w:t>，土体具中等-强湿陷性。表层长有茂盛的牧草植被和云杉。</w:t>
      </w:r>
    </w:p>
    <w:p>
      <w:pPr>
        <w:keepNext w:val="0"/>
        <w:keepLines w:val="0"/>
        <w:pageBreakBefore w:val="0"/>
        <w:widowControl w:val="0"/>
        <w:numPr>
          <w:ilvl w:val="0"/>
          <w:numId w:val="0"/>
        </w:numPr>
        <w:kinsoku/>
        <w:wordWrap/>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第四系上更新统-全新统冲洪积物（Q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apl</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主要分布在防治区中下游沟道及北部平原区，岩性由粉土、卵砾石等组成，沟道内厚度一般大于20</w:t>
      </w:r>
      <w:r>
        <w:rPr>
          <w:rFonts w:hint="eastAsia" w:ascii="仿宋" w:hAnsi="仿宋" w:eastAsia="仿宋" w:cs="仿宋"/>
          <w:sz w:val="24"/>
          <w:szCs w:val="24"/>
          <w:lang w:val="en-US" w:eastAsia="zh-CN"/>
        </w:rPr>
        <w:t>米</w:t>
      </w:r>
      <w:r>
        <w:rPr>
          <w:rFonts w:hint="eastAsia" w:ascii="仿宋" w:hAnsi="仿宋" w:eastAsia="仿宋" w:cs="仿宋"/>
          <w:sz w:val="24"/>
          <w:szCs w:val="24"/>
        </w:rPr>
        <w:t>，沿沟道走向厚度逐渐增大，垂直沟道方向上，在沟谷轴线处厚度最大，向两侧逐渐变薄。沟口以下土体厚度一般大于50m，多呈上部粉土，下部卵砾石双层结构。砾石以椭圆状及次棱角状为主，分选、磨圆一般。母岩成分主要为花岗岩。沟道内地层易被水流下切侵蚀，是防治区泥石流固体物质主要来源区。</w:t>
      </w:r>
    </w:p>
    <w:p>
      <w:pPr>
        <w:keepNext w:val="0"/>
        <w:keepLines w:val="0"/>
        <w:pageBreakBefore w:val="0"/>
        <w:widowControl w:val="0"/>
        <w:numPr>
          <w:ilvl w:val="0"/>
          <w:numId w:val="7"/>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lang w:eastAsia="zh-CN"/>
        </w:rPr>
      </w:pPr>
      <w:bookmarkStart w:id="235" w:name="_Toc172353180"/>
      <w:bookmarkStart w:id="236" w:name="_Toc172355312"/>
      <w:bookmarkStart w:id="237" w:name="_Toc172356668"/>
      <w:r>
        <w:rPr>
          <w:rFonts w:hint="eastAsia" w:ascii="仿宋" w:hAnsi="仿宋" w:eastAsia="仿宋" w:cs="仿宋"/>
          <w:sz w:val="24"/>
          <w:szCs w:val="24"/>
          <w:lang w:eastAsia="zh-CN"/>
        </w:rPr>
        <w:t>防治区地下水类型主要为基岩裂隙水及第四系松散岩类孔隙水两类。</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1.基岩裂隙水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分布在防治区南部山区，赋存在花岗岩裂隙中，富水性较好。地下水主要接受大气降水渗入和冰雪融水渗入补给，沿裂隙由高处向低处运移，运移的总体方向为由南至北，主要以侧向径流形式排泄。</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2.第四系松散岩类孔隙水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主要分布在防治区北部河谷平原区，南部山区沟谷第四系一般不含水。在防治区北部平原区赋存有单一结构孔隙潜水，含水层岩性主要由砂卵砾石组成，水量中等。地下水主要接受上游地下水的侧向径流、山前暴雨洪流入渗等补给，径流条件较好，以向下游的侧向径流为主要排泄方式。</w:t>
      </w:r>
    </w:p>
    <w:p>
      <w:pPr>
        <w:keepNext w:val="0"/>
        <w:keepLines w:val="0"/>
        <w:pageBreakBefore w:val="0"/>
        <w:widowControl w:val="0"/>
        <w:numPr>
          <w:ilvl w:val="0"/>
          <w:numId w:val="7"/>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bookmarkEnd w:id="235"/>
    <w:bookmarkEnd w:id="236"/>
    <w:bookmarkEnd w:id="237"/>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根据防治区内地层的分布特征，防治区划分为块状坚硬侵入岩及粉土-卵石土双层土体两类。</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块状坚硬侵入岩</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分布在防治区南部山区，呈东西向延伸，由华力西中晚期侵入岩组成，岩性以花岗岩、细晶花岗岩类为主，岩性均一，完整性好，坚硬、致密块状，工程地质性能良好。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粉土及卵石土双层土体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在防治区沟道及北部平原区分布较广，表层多为粉土，土体呈稍密状，干燥-稍湿，具中等-强湿陷性。地基土承载力特征值100KPa，工程地质条件较差；下部卵石土呈中密-密实状，地基土承载力特征值300Kpa，工程地质条件较好。</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防治区</w:t>
      </w:r>
      <w:r>
        <w:rPr>
          <w:rFonts w:hint="eastAsia" w:ascii="仿宋" w:hAnsi="仿宋" w:eastAsia="仿宋" w:cs="仿宋"/>
          <w:sz w:val="24"/>
          <w:szCs w:val="24"/>
        </w:rPr>
        <w:t>主要发育地质灾害</w:t>
      </w:r>
      <w:r>
        <w:rPr>
          <w:rFonts w:hint="eastAsia" w:ascii="仿宋" w:hAnsi="仿宋" w:eastAsia="仿宋" w:cs="仿宋"/>
          <w:sz w:val="24"/>
          <w:szCs w:val="24"/>
          <w:lang w:val="en-US" w:eastAsia="zh-CN"/>
        </w:rPr>
        <w:t>为</w:t>
      </w:r>
      <w:r>
        <w:rPr>
          <w:rFonts w:hint="eastAsia" w:ascii="仿宋" w:hAnsi="仿宋" w:eastAsia="仿宋" w:cs="仿宋"/>
          <w:sz w:val="24"/>
          <w:szCs w:val="24"/>
        </w:rPr>
        <w:t>泥石流灾害</w:t>
      </w:r>
      <w:r>
        <w:rPr>
          <w:rFonts w:hint="eastAsia" w:ascii="仿宋" w:hAnsi="仿宋" w:eastAsia="仿宋" w:cs="仿宋"/>
          <w:sz w:val="24"/>
          <w:szCs w:val="24"/>
          <w:lang w:eastAsia="zh-CN"/>
        </w:rPr>
        <w:t>，</w:t>
      </w:r>
      <w:r>
        <w:rPr>
          <w:rFonts w:hint="eastAsia" w:ascii="仿宋" w:hAnsi="仿宋" w:eastAsia="仿宋" w:cs="仿宋"/>
          <w:sz w:val="24"/>
          <w:szCs w:val="24"/>
        </w:rPr>
        <w:t>发育泥石流灾害1处</w:t>
      </w:r>
      <w:r>
        <w:rPr>
          <w:rFonts w:hint="eastAsia" w:ascii="仿宋" w:hAnsi="仿宋" w:eastAsia="仿宋" w:cs="仿宋"/>
          <w:sz w:val="24"/>
          <w:szCs w:val="24"/>
          <w:lang w:eastAsia="zh-CN"/>
        </w:rPr>
        <w:t>，泥石流发育1条主沟，</w:t>
      </w:r>
      <w:r>
        <w:rPr>
          <w:rFonts w:hint="eastAsia" w:ascii="仿宋" w:hAnsi="仿宋" w:eastAsia="仿宋" w:cs="仿宋"/>
          <w:sz w:val="24"/>
          <w:szCs w:val="24"/>
          <w:lang w:val="en-US" w:eastAsia="zh-CN"/>
        </w:rPr>
        <w:t>1处支沟</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napToGrid w:val="0"/>
          <w:kern w:val="0"/>
          <w:sz w:val="24"/>
          <w:szCs w:val="24"/>
          <w:lang w:val="en-US" w:eastAsia="zh-CN"/>
        </w:rPr>
        <w:t>防治区泥石流沟具有较为有利于贮集、运动和停淤的地形地貌条件，沟谷内赋存有较为丰富的松散固体物质来源，在暴雨作用下可形成中等规模的泥石流。按水源成因分类，属于暴雨型泥石流；按地貌部位分类，为山区泥石流；按流域形态属沟谷型泥石流；按物质组成属泥石流型；按固体物质提供方式分类，为沟床-坡面侵蚀泥石流；按流体性质分类为稀性泥石流；按发育阶段为旺盛期；按爆发频率为中低频泥石流</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防治区地质灾害主要威胁对象为沟口处28户80人，房屋78间，羊圈26个，农田约100亩，道路200m，潜在经济损失约330万元。</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通过对新疆特克斯县喀拉托海镇达根别勒村1号泥石流防治工程的实施，消除地质灾害对沟口下游居民、房屋、过往车辆、行人、牲畜的威胁，保障人民生命和财产安全。</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lang w:eastAsia="zh-CN"/>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lang w:eastAsia="zh-CN"/>
        </w:rPr>
      </w:pPr>
      <w:r>
        <w:rPr>
          <w:rFonts w:hint="eastAsia" w:ascii="仿宋" w:hAnsi="仿宋" w:eastAsia="仿宋" w:cs="仿宋"/>
          <w:color w:val="0D0D0D"/>
          <w:kern w:val="0"/>
          <w:sz w:val="24"/>
          <w:szCs w:val="24"/>
        </w:rPr>
        <w:t>2.按照审批通过的防治工程设计，组织地质灾害防治工程施工</w:t>
      </w:r>
      <w:r>
        <w:rPr>
          <w:rFonts w:hint="eastAsia" w:ascii="仿宋" w:hAnsi="仿宋" w:eastAsia="仿宋" w:cs="仿宋"/>
          <w:color w:val="0D0D0D"/>
          <w:kern w:val="0"/>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lang w:eastAsia="zh-CN"/>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1.《泥石流防治工程设计规范》（T/CAGHP 021—2018）；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2.《泥石流防治工程施工技术规范（试行）》（T∕CAGHP 061-2019）；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.《砌体结构设计规范》（GB50003-2011）；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.《混凝土结构设计规范》（GB50010-2010）；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.《建筑地基基础设计规范》（GB50007-2011）；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.《建筑边坡工程技术规范》（GB50330-2013）；</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.《工程测量标准》（GB50026-2020）；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.《全球定位系统（GPS）测量规范》（GB/T18314-2009）；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《岩土工程勘察规范（2009年版）》（GB50021-2001）；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《建筑抗震设计规范（2016年版）》（GB50011-2010）；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其</w:t>
      </w:r>
      <w:r>
        <w:rPr>
          <w:rFonts w:hint="eastAsia" w:ascii="仿宋" w:hAnsi="仿宋" w:eastAsia="仿宋" w:cs="仿宋"/>
          <w:sz w:val="24"/>
          <w:szCs w:val="24"/>
          <w:lang w:val="en-US" w:eastAsia="zh-CN"/>
        </w:rPr>
        <w:t>它</w:t>
      </w:r>
      <w:r>
        <w:rPr>
          <w:rFonts w:hint="eastAsia" w:ascii="仿宋" w:hAnsi="仿宋" w:eastAsia="仿宋" w:cs="仿宋"/>
          <w:sz w:val="24"/>
          <w:szCs w:val="24"/>
        </w:rPr>
        <w:t>有关规范、规程和技术要求。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kern w:val="0"/>
          <w:sz w:val="24"/>
          <w:szCs w:val="24"/>
        </w:rPr>
        <w:t>根据本项目的目标和任务，结合防治区</w:t>
      </w:r>
      <w:r>
        <w:rPr>
          <w:rFonts w:hint="eastAsia" w:ascii="仿宋" w:hAnsi="仿宋" w:eastAsia="仿宋" w:cs="仿宋"/>
          <w:kern w:val="0"/>
          <w:sz w:val="24"/>
          <w:szCs w:val="24"/>
          <w:lang w:val="en-US" w:eastAsia="zh-CN"/>
        </w:rPr>
        <w:t>泥石流</w:t>
      </w:r>
      <w:r>
        <w:rPr>
          <w:rFonts w:hint="eastAsia" w:ascii="仿宋" w:hAnsi="仿宋" w:eastAsia="仿宋" w:cs="仿宋"/>
          <w:kern w:val="0"/>
          <w:sz w:val="24"/>
          <w:szCs w:val="24"/>
        </w:rPr>
        <w:t>灾害特征和环境现状，以基本消除或减轻地质灾害对当地居民的威胁为目的，本次</w:t>
      </w:r>
      <w:r>
        <w:rPr>
          <w:rFonts w:hint="eastAsia" w:ascii="仿宋" w:hAnsi="仿宋" w:eastAsia="仿宋" w:cs="仿宋"/>
          <w:kern w:val="0"/>
          <w:sz w:val="24"/>
          <w:szCs w:val="24"/>
          <w:lang w:val="en-US" w:eastAsia="zh-CN"/>
        </w:rPr>
        <w:t>泥石流地质</w:t>
      </w:r>
      <w:r>
        <w:rPr>
          <w:rFonts w:hint="eastAsia" w:ascii="仿宋" w:hAnsi="仿宋" w:eastAsia="仿宋" w:cs="仿宋"/>
          <w:kern w:val="0"/>
          <w:sz w:val="24"/>
          <w:szCs w:val="24"/>
        </w:rPr>
        <w:t>灾害防治工程</w:t>
      </w:r>
      <w:r>
        <w:rPr>
          <w:rFonts w:hint="eastAsia" w:ascii="仿宋" w:hAnsi="仿宋" w:eastAsia="仿宋" w:cs="仿宋"/>
          <w:kern w:val="0"/>
          <w:sz w:val="24"/>
          <w:szCs w:val="24"/>
          <w:lang w:val="en-US" w:eastAsia="zh-CN"/>
        </w:rPr>
        <w:t>可以采用拦、挡、排</w:t>
      </w:r>
      <w:r>
        <w:rPr>
          <w:rFonts w:hint="eastAsia" w:ascii="仿宋" w:hAnsi="仿宋" w:eastAsia="仿宋" w:cs="仿宋"/>
          <w:kern w:val="0"/>
          <w:sz w:val="24"/>
          <w:szCs w:val="24"/>
        </w:rPr>
        <w:t>等</w:t>
      </w:r>
      <w:r>
        <w:rPr>
          <w:rFonts w:hint="eastAsia" w:ascii="仿宋" w:hAnsi="仿宋" w:eastAsia="仿宋" w:cs="仿宋"/>
          <w:kern w:val="0"/>
          <w:sz w:val="24"/>
          <w:szCs w:val="24"/>
          <w:lang w:val="en-US" w:eastAsia="zh-CN"/>
        </w:rPr>
        <w:t>防治</w:t>
      </w:r>
      <w:r>
        <w:rPr>
          <w:rFonts w:hint="eastAsia" w:ascii="仿宋" w:hAnsi="仿宋" w:eastAsia="仿宋" w:cs="仿宋"/>
          <w:kern w:val="0"/>
          <w:sz w:val="24"/>
          <w:szCs w:val="24"/>
        </w:rPr>
        <w:t>措施。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（一）防治工程设计成果</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新疆特克斯县喀拉托海镇达根别勒村1号泥石流防治工程</w:t>
      </w:r>
      <w:r>
        <w:rPr>
          <w:rFonts w:hint="eastAsia" w:ascii="仿宋" w:hAnsi="仿宋" w:eastAsia="仿宋" w:cs="仿宋"/>
          <w:kern w:val="0"/>
          <w:sz w:val="24"/>
          <w:szCs w:val="24"/>
        </w:rPr>
        <w:t>设计书（施工设计和施工组织设计）；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新疆特克斯县喀拉托海镇达根别勒村1号泥石流防治工程</w:t>
      </w:r>
      <w:r>
        <w:rPr>
          <w:rFonts w:hint="eastAsia" w:ascii="仿宋" w:hAnsi="仿宋" w:eastAsia="仿宋" w:cs="仿宋"/>
          <w:kern w:val="0"/>
          <w:sz w:val="24"/>
          <w:szCs w:val="24"/>
        </w:rPr>
        <w:t>平面</w:t>
      </w:r>
      <w:r>
        <w:rPr>
          <w:rFonts w:hint="eastAsia" w:ascii="仿宋" w:hAnsi="仿宋" w:eastAsia="仿宋" w:cs="仿宋"/>
          <w:kern w:val="0"/>
          <w:sz w:val="24"/>
          <w:szCs w:val="24"/>
          <w:lang w:val="en-US" w:eastAsia="zh-CN"/>
        </w:rPr>
        <w:t>布置</w:t>
      </w:r>
      <w:r>
        <w:rPr>
          <w:rFonts w:hint="eastAsia" w:ascii="仿宋" w:hAnsi="仿宋" w:eastAsia="仿宋" w:cs="仿宋"/>
          <w:kern w:val="0"/>
          <w:sz w:val="24"/>
          <w:szCs w:val="24"/>
        </w:rPr>
        <w:t>图及各单项防治工程设计图</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（二）防治工程施工成果</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lang w:val="en-US" w:eastAsia="zh-CN"/>
        </w:rPr>
        <w:t>防治工程施工</w:t>
      </w:r>
      <w:r>
        <w:rPr>
          <w:rFonts w:hint="eastAsia" w:ascii="仿宋" w:hAnsi="仿宋" w:eastAsia="仿宋" w:cs="仿宋"/>
          <w:color w:val="0D0D0D"/>
          <w:sz w:val="24"/>
          <w:szCs w:val="24"/>
        </w:rPr>
        <w:t>成果</w:t>
      </w:r>
      <w:r>
        <w:rPr>
          <w:rFonts w:hint="eastAsia" w:ascii="仿宋" w:hAnsi="仿宋" w:eastAsia="仿宋" w:cs="仿宋"/>
          <w:color w:val="0D0D0D"/>
          <w:sz w:val="24"/>
          <w:szCs w:val="24"/>
          <w:lang w:val="en-US" w:eastAsia="zh-CN"/>
        </w:rPr>
        <w:t>和</w:t>
      </w:r>
      <w:r>
        <w:rPr>
          <w:rFonts w:hint="eastAsia" w:ascii="仿宋" w:hAnsi="仿宋" w:eastAsia="仿宋" w:cs="仿宋"/>
          <w:color w:val="0D0D0D"/>
          <w:sz w:val="24"/>
          <w:szCs w:val="24"/>
        </w:rPr>
        <w:t>资料汇交应按《新疆维吾尔自治区地质灾害防治项目管理办法（试行）》</w:t>
      </w:r>
      <w:r>
        <w:rPr>
          <w:rFonts w:hint="eastAsia" w:ascii="仿宋" w:hAnsi="仿宋" w:eastAsia="仿宋" w:cs="仿宋"/>
          <w:color w:val="0D0D0D"/>
          <w:sz w:val="24"/>
          <w:szCs w:val="24"/>
          <w:lang w:val="en-US" w:eastAsia="zh-CN"/>
        </w:rPr>
        <w:t>及《新疆维吾尔自治区地质灾害防治项目验收细则》</w:t>
      </w:r>
      <w:r>
        <w:rPr>
          <w:rFonts w:hint="eastAsia" w:ascii="仿宋" w:hAnsi="仿宋" w:eastAsia="仿宋" w:cs="仿宋"/>
          <w:color w:val="0D0D0D"/>
          <w:sz w:val="24"/>
          <w:szCs w:val="24"/>
        </w:rPr>
        <w:t>要求执行。</w:t>
      </w:r>
    </w:p>
    <w:p>
      <w:pPr>
        <w:keepNext w:val="0"/>
        <w:keepLines w:val="0"/>
        <w:pageBreakBefore w:val="0"/>
        <w:widowControl w:val="0"/>
        <w:numPr>
          <w:ilvl w:val="0"/>
          <w:numId w:val="6"/>
        </w:numPr>
        <w:kinsoku/>
        <w:wordWrap/>
        <w:overflowPunct/>
        <w:topLinePunct w:val="0"/>
        <w:bidi w:val="0"/>
        <w:spacing w:line="560" w:lineRule="exact"/>
        <w:ind w:left="0" w:leftChars="0"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工作周期</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2023年3月-2024年10月，2023年10月31日前完成野外竣工验收，2023年11月30日前提交全套竣工资料，2024年10月31日前完成工程复验。</w:t>
      </w: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rPr>
          <w:rFonts w:hint="eastAsia" w:ascii="仿宋" w:hAnsi="仿宋" w:eastAsia="仿宋" w:cs="仿宋"/>
          <w:color w:val="0D0D0D"/>
          <w:sz w:val="24"/>
          <w:szCs w:val="24"/>
        </w:rPr>
      </w:pPr>
      <w:r>
        <w:rPr>
          <w:rFonts w:hint="eastAsia" w:ascii="仿宋" w:hAnsi="仿宋" w:eastAsia="仿宋" w:cs="仿宋"/>
          <w:color w:val="0D0D0D"/>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标项五：伊犁州2023年中央自然灾害防治体系建设项目监理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项目名称和编号</w:t>
      </w:r>
    </w:p>
    <w:p>
      <w:pPr>
        <w:keepNext w:val="0"/>
        <w:keepLines w:val="0"/>
        <w:pageBreakBefore w:val="0"/>
        <w:widowControl w:val="0"/>
        <w:kinsoku/>
        <w:wordWrap/>
        <w:overflowPunct/>
        <w:topLinePunct w:val="0"/>
        <w:autoSpaceDE/>
        <w:autoSpaceDN/>
        <w:bidi w:val="0"/>
        <w:adjustRightInd/>
        <w:snapToGrid/>
        <w:spacing w:line="500" w:lineRule="exact"/>
        <w:ind w:left="1733" w:leftChars="254" w:hanging="1200" w:hangingChars="500"/>
        <w:textAlignment w:val="auto"/>
        <w:rPr>
          <w:rFonts w:hint="eastAsia" w:ascii="仿宋" w:hAnsi="仿宋" w:eastAsia="仿宋" w:cs="仿宋"/>
          <w:color w:val="auto"/>
          <w:kern w:val="0"/>
          <w:sz w:val="24"/>
          <w:szCs w:val="24"/>
          <w:lang w:val="en-US" w:eastAsia="en-US"/>
        </w:rPr>
      </w:pPr>
      <w:r>
        <w:rPr>
          <w:rFonts w:hint="eastAsia" w:ascii="仿宋" w:hAnsi="仿宋" w:eastAsia="仿宋" w:cs="仿宋"/>
          <w:color w:val="auto"/>
          <w:kern w:val="0"/>
          <w:sz w:val="24"/>
          <w:szCs w:val="24"/>
          <w:lang w:val="en-US" w:eastAsia="en-US"/>
        </w:rPr>
        <w:t>项目名称：</w:t>
      </w:r>
      <w:bookmarkStart w:id="238" w:name="项目编号：YLZFZJL"/>
      <w:bookmarkEnd w:id="238"/>
      <w:r>
        <w:rPr>
          <w:rFonts w:hint="eastAsia" w:ascii="仿宋" w:hAnsi="仿宋" w:eastAsia="仿宋" w:cs="Times New Roman"/>
          <w:kern w:val="2"/>
          <w:sz w:val="24"/>
          <w:szCs w:val="24"/>
          <w:lang w:val="en-US" w:eastAsia="zh-CN" w:bidi="ar-SA"/>
        </w:rPr>
        <w:t>伊犁州2023年中央自然灾害防治体系建设项目监理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71"/>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en-US"/>
        </w:rPr>
        <w:t>项目编号：</w:t>
      </w:r>
      <w:r>
        <w:rPr>
          <w:rStyle w:val="71"/>
          <w:rFonts w:hint="eastAsia" w:ascii="仿宋" w:hAnsi="仿宋" w:eastAsia="仿宋" w:cs="仿宋"/>
          <w:color w:val="auto"/>
          <w:sz w:val="24"/>
          <w:szCs w:val="24"/>
          <w:lang w:eastAsia="zh-CN"/>
        </w:rPr>
        <w:t>GYZB-</w:t>
      </w:r>
      <w:r>
        <w:rPr>
          <w:rStyle w:val="71"/>
          <w:rFonts w:hint="eastAsia" w:ascii="仿宋" w:hAnsi="仿宋" w:eastAsia="仿宋" w:cs="仿宋"/>
          <w:color w:val="auto"/>
          <w:sz w:val="24"/>
          <w:szCs w:val="24"/>
          <w:lang w:val="en-US" w:eastAsia="zh-CN"/>
        </w:rPr>
        <w:t>YLZ</w:t>
      </w:r>
      <w:r>
        <w:rPr>
          <w:rStyle w:val="71"/>
          <w:rFonts w:hint="eastAsia" w:ascii="仿宋" w:hAnsi="仿宋" w:eastAsia="仿宋" w:cs="仿宋"/>
          <w:color w:val="auto"/>
          <w:sz w:val="24"/>
          <w:szCs w:val="24"/>
          <w:lang w:eastAsia="zh-CN"/>
        </w:rPr>
        <w:t>DZFZ2023</w:t>
      </w:r>
      <w:r>
        <w:rPr>
          <w:rStyle w:val="71"/>
          <w:rFonts w:hint="eastAsia" w:ascii="仿宋" w:hAnsi="仿宋" w:eastAsia="仿宋" w:cs="仿宋"/>
          <w:color w:val="auto"/>
          <w:sz w:val="24"/>
          <w:szCs w:val="24"/>
          <w:lang w:val="en-US" w:eastAsia="zh-CN"/>
        </w:rPr>
        <w:t>-05</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rPr>
        <w:t>项目费用</w:t>
      </w:r>
      <w:r>
        <w:rPr>
          <w:rFonts w:hint="eastAsia" w:ascii="仿宋" w:hAnsi="仿宋" w:eastAsia="仿宋" w:cs="仿宋"/>
          <w:color w:val="000000"/>
          <w:sz w:val="24"/>
          <w:szCs w:val="24"/>
          <w:lang w:val="en-US" w:eastAsia="zh-CN"/>
        </w:rPr>
        <w:t>人民币</w:t>
      </w:r>
      <w:r>
        <w:rPr>
          <w:rFonts w:hint="eastAsia" w:ascii="仿宋" w:hAnsi="仿宋" w:eastAsia="仿宋" w:cs="仿宋"/>
          <w:color w:val="auto"/>
          <w:kern w:val="0"/>
          <w:sz w:val="24"/>
          <w:szCs w:val="24"/>
        </w:rPr>
        <w:t>：</w:t>
      </w:r>
      <w:r>
        <w:rPr>
          <w:rFonts w:hint="eastAsia" w:ascii="仿宋" w:hAnsi="仿宋" w:eastAsia="仿宋" w:cs="仿宋"/>
          <w:color w:val="auto"/>
          <w:sz w:val="24"/>
          <w:szCs w:val="24"/>
          <w:lang w:val="en-US" w:eastAsia="zh-CN"/>
        </w:rPr>
        <w:t>79.38万元（柒拾玖万叁仟捌佰元整）</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二、监理项目概况</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000000"/>
          <w:sz w:val="24"/>
          <w:szCs w:val="24"/>
        </w:rPr>
        <w:t>新疆新源县吐尔根乡阿克克尔喀村苏拉萨依沟泥石流防治工程</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防治区位于新疆新源县吐尔根乡东部5.3千米处阿克克尔喀村，距离新源县城35千米，有G218国道及乡村道路相通，交通较为便利。泥石流沟口地理坐标：北纬83°31′19.09″，东经43°31′14.54″。</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FF0000"/>
          <w:sz w:val="24"/>
          <w:szCs w:val="24"/>
        </w:rPr>
      </w:pPr>
      <w:r>
        <w:rPr>
          <w:rFonts w:hint="eastAsia" w:ascii="仿宋" w:hAnsi="仿宋" w:eastAsia="仿宋" w:cs="仿宋"/>
          <w:b w:val="0"/>
          <w:bCs/>
          <w:color w:val="auto"/>
          <w:sz w:val="24"/>
          <w:szCs w:val="24"/>
          <w:u w:val="none"/>
          <w:lang w:val="en-US" w:eastAsia="zh-CN"/>
        </w:rPr>
        <w:t>2.</w:t>
      </w:r>
      <w:r>
        <w:rPr>
          <w:rFonts w:hint="eastAsia" w:ascii="仿宋" w:hAnsi="仿宋" w:eastAsia="仿宋" w:cs="仿宋"/>
          <w:kern w:val="0"/>
          <w:sz w:val="24"/>
          <w:szCs w:val="24"/>
        </w:rPr>
        <w:t>新疆伊宁县喀拉亚尕奇乡喀拉亚尕奇村滑坡防治工程</w:t>
      </w:r>
      <w:r>
        <w:rPr>
          <w:rFonts w:hint="eastAsia" w:ascii="仿宋" w:hAnsi="仿宋" w:eastAsia="仿宋" w:cs="仿宋"/>
          <w:kern w:val="0"/>
          <w:sz w:val="24"/>
          <w:szCs w:val="24"/>
          <w:lang w:val="en-US" w:eastAsia="zh-CN"/>
        </w:rPr>
        <w:t>项目，</w:t>
      </w:r>
      <w:r>
        <w:rPr>
          <w:rFonts w:hint="eastAsia" w:ascii="仿宋" w:hAnsi="仿宋" w:eastAsia="仿宋" w:cs="仿宋"/>
          <w:sz w:val="24"/>
          <w:szCs w:val="24"/>
        </w:rPr>
        <w:t>防治区位于伊宁县喀拉亚尕奇乡喀拉亚尕奇村，皮里青河以东。中心地理坐标为东经81°30′26.37″，北纬44°05′36.72″。</w:t>
      </w:r>
    </w:p>
    <w:p>
      <w:pPr>
        <w:keepNext w:val="0"/>
        <w:keepLines w:val="0"/>
        <w:pageBreakBefore w:val="0"/>
        <w:widowControl w:val="0"/>
        <w:kinsoku/>
        <w:wordWrap/>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b w:val="0"/>
          <w:bCs/>
          <w:color w:val="auto"/>
          <w:sz w:val="24"/>
          <w:szCs w:val="24"/>
          <w:u w:val="none"/>
          <w:lang w:val="en-US" w:eastAsia="zh-CN"/>
        </w:rPr>
        <w:t>3.</w:t>
      </w:r>
      <w:r>
        <w:rPr>
          <w:rFonts w:hint="eastAsia" w:ascii="仿宋" w:hAnsi="仿宋" w:eastAsia="仿宋" w:cs="仿宋"/>
          <w:kern w:val="0"/>
          <w:sz w:val="24"/>
          <w:szCs w:val="24"/>
          <w:lang w:val="en-US" w:eastAsia="zh-CN"/>
        </w:rPr>
        <w:t>新疆特克斯县喀拉托海镇达根别勒村2号泥石流防治工程项目，</w:t>
      </w:r>
      <w:r>
        <w:rPr>
          <w:rFonts w:hint="eastAsia" w:ascii="仿宋" w:hAnsi="仿宋" w:eastAsia="仿宋" w:cs="仿宋"/>
          <w:color w:val="auto"/>
          <w:sz w:val="24"/>
          <w:szCs w:val="24"/>
        </w:rPr>
        <w:t>防治区位于特克斯县东北部的喀拉托海镇达根别勒村，距离县城约38公里，行政区划隶属于特克斯县喀拉托海镇管辖。中心地理坐标：东经82°20′10.6″；北纬43°13′6.1″。</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b w:val="0"/>
          <w:bCs/>
          <w:color w:val="auto"/>
          <w:sz w:val="24"/>
          <w:szCs w:val="24"/>
          <w:u w:val="none"/>
          <w:lang w:val="en-US" w:eastAsia="zh-CN"/>
        </w:rPr>
        <w:t>4.</w:t>
      </w:r>
      <w:r>
        <w:rPr>
          <w:rFonts w:hint="eastAsia" w:ascii="仿宋" w:hAnsi="仿宋" w:eastAsia="仿宋" w:cs="仿宋"/>
          <w:kern w:val="0"/>
          <w:sz w:val="24"/>
          <w:szCs w:val="24"/>
          <w:lang w:val="en-US" w:eastAsia="zh-CN"/>
        </w:rPr>
        <w:t>新疆特克斯县喀拉托海镇达根别勒村1号泥石流防治工程项目，</w:t>
      </w:r>
      <w:r>
        <w:rPr>
          <w:rFonts w:hint="eastAsia" w:ascii="仿宋" w:hAnsi="仿宋" w:eastAsia="仿宋" w:cs="仿宋"/>
          <w:color w:val="auto"/>
          <w:sz w:val="24"/>
          <w:szCs w:val="24"/>
        </w:rPr>
        <w:t>防治区位于特克斯县东北部的喀拉托海镇达根别勒村，行政区划隶属于特克斯县喀拉托海镇管辖。</w:t>
      </w:r>
      <w:r>
        <w:rPr>
          <w:rFonts w:hint="eastAsia" w:ascii="仿宋" w:hAnsi="仿宋" w:eastAsia="仿宋" w:cs="仿宋"/>
          <w:color w:val="auto"/>
          <w:sz w:val="24"/>
          <w:szCs w:val="24"/>
          <w:lang w:val="en-US" w:eastAsia="zh-CN"/>
        </w:rPr>
        <w:t>主沟沟口</w:t>
      </w:r>
      <w:r>
        <w:rPr>
          <w:rFonts w:hint="eastAsia" w:ascii="仿宋" w:hAnsi="仿宋" w:eastAsia="仿宋" w:cs="仿宋"/>
          <w:color w:val="auto"/>
          <w:sz w:val="24"/>
          <w:szCs w:val="24"/>
        </w:rPr>
        <w:t>坐标：东经82°20′5</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″；北纬43°1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支沟沟口坐标：</w:t>
      </w:r>
      <w:r>
        <w:rPr>
          <w:rFonts w:hint="eastAsia" w:ascii="仿宋" w:hAnsi="仿宋" w:eastAsia="仿宋" w:cs="仿宋"/>
          <w:color w:val="auto"/>
          <w:sz w:val="24"/>
          <w:szCs w:val="24"/>
        </w:rPr>
        <w:t>东经82°20′44.38″；北纬43°13′8.63″</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spacing w:line="48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lang w:eastAsia="zh-CN"/>
        </w:rPr>
        <w:t>监理项目</w:t>
      </w:r>
      <w:r>
        <w:rPr>
          <w:rFonts w:hint="eastAsia" w:ascii="仿宋" w:hAnsi="仿宋" w:eastAsia="仿宋" w:cs="仿宋"/>
          <w:b/>
          <w:color w:val="auto"/>
          <w:sz w:val="24"/>
          <w:szCs w:val="24"/>
          <w:u w:val="single"/>
        </w:rPr>
        <w:t>以批准的监理规划</w:t>
      </w:r>
      <w:r>
        <w:rPr>
          <w:rFonts w:hint="eastAsia" w:ascii="仿宋" w:hAnsi="仿宋" w:eastAsia="仿宋" w:cs="仿宋"/>
          <w:b/>
          <w:color w:val="auto"/>
          <w:sz w:val="24"/>
          <w:szCs w:val="24"/>
          <w:u w:val="single"/>
          <w:lang w:eastAsia="zh-CN"/>
        </w:rPr>
        <w:t>、监理实施细则</w:t>
      </w:r>
      <w:r>
        <w:rPr>
          <w:rFonts w:hint="eastAsia" w:ascii="仿宋" w:hAnsi="仿宋" w:eastAsia="仿宋" w:cs="仿宋"/>
          <w:b/>
          <w:color w:val="auto"/>
          <w:sz w:val="24"/>
          <w:szCs w:val="24"/>
          <w:u w:val="single"/>
        </w:rPr>
        <w:t>确定的为准。</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三、监理主要内容</w:t>
      </w:r>
    </w:p>
    <w:p>
      <w:pPr>
        <w:spacing w:line="360" w:lineRule="auto"/>
        <w:ind w:firstLine="480" w:firstLineChars="200"/>
        <w:rPr>
          <w:rFonts w:hint="eastAsia" w:ascii="仿宋" w:hAnsi="仿宋" w:eastAsia="仿宋" w:cs="仿宋"/>
          <w:b w:val="0"/>
          <w:bCs w:val="0"/>
          <w:color w:val="auto"/>
          <w:sz w:val="24"/>
          <w:szCs w:val="24"/>
        </w:rPr>
      </w:pPr>
      <w:bookmarkStart w:id="239" w:name="（一）目标"/>
      <w:bookmarkEnd w:id="239"/>
      <w:r>
        <w:rPr>
          <w:rFonts w:hint="eastAsia" w:ascii="仿宋" w:hAnsi="仿宋" w:eastAsia="仿宋" w:cs="仿宋"/>
          <w:b w:val="0"/>
          <w:bCs w:val="0"/>
          <w:color w:val="auto"/>
          <w:sz w:val="24"/>
          <w:szCs w:val="24"/>
        </w:rPr>
        <w:t xml:space="preserve">（一）目标 </w:t>
      </w:r>
      <w:bookmarkStart w:id="240" w:name="通过项目监理工作的实施，达到项目的工期目标、质量目标及安全目标。"/>
      <w:bookmarkEnd w:id="240"/>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通过监理工作的实施，达到项目工期目标、质量目标及安全目标。</w:t>
      </w:r>
    </w:p>
    <w:p>
      <w:pPr>
        <w:spacing w:line="360" w:lineRule="auto"/>
        <w:ind w:firstLine="480" w:firstLineChars="200"/>
        <w:rPr>
          <w:rFonts w:hint="eastAsia" w:ascii="仿宋" w:hAnsi="仿宋" w:eastAsia="仿宋" w:cs="仿宋"/>
          <w:b w:val="0"/>
          <w:bCs w:val="0"/>
          <w:color w:val="auto"/>
          <w:sz w:val="24"/>
          <w:szCs w:val="24"/>
        </w:rPr>
      </w:pPr>
      <w:bookmarkStart w:id="241" w:name="（二）任务"/>
      <w:bookmarkEnd w:id="241"/>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）任务</w:t>
      </w:r>
    </w:p>
    <w:p>
      <w:pPr>
        <w:spacing w:line="360" w:lineRule="auto"/>
        <w:ind w:firstLine="480" w:firstLineChars="200"/>
        <w:jc w:val="both"/>
        <w:rPr>
          <w:rFonts w:hint="eastAsia" w:ascii="仿宋" w:hAnsi="仿宋" w:eastAsia="仿宋" w:cs="仿宋"/>
          <w:color w:val="auto"/>
          <w:sz w:val="24"/>
          <w:szCs w:val="24"/>
        </w:rPr>
      </w:pPr>
      <w:bookmarkStart w:id="242" w:name="（三）工作方法和主要技术要求"/>
      <w:bookmarkEnd w:id="242"/>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,防治工程监理主要内容包括对防治项目基础工程、主体工程、警示工程、隐蔽工程、材料抽检试验</w:t>
      </w:r>
      <w:r>
        <w:rPr>
          <w:rFonts w:hint="eastAsia" w:ascii="仿宋" w:hAnsi="仿宋" w:eastAsia="仿宋" w:cs="仿宋"/>
          <w:color w:val="auto"/>
          <w:sz w:val="24"/>
          <w:szCs w:val="24"/>
          <w:lang w:eastAsia="zh-CN"/>
        </w:rPr>
        <w:t>、初验、终验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w:t>
      </w:r>
      <w:r>
        <w:rPr>
          <w:rFonts w:hint="eastAsia" w:ascii="仿宋" w:hAnsi="仿宋" w:eastAsia="仿宋" w:cs="仿宋"/>
          <w:color w:val="auto"/>
          <w:sz w:val="24"/>
          <w:szCs w:val="24"/>
          <w:lang w:val="en-US" w:eastAsia="zh-CN"/>
        </w:rPr>
        <w:t>监督检查</w:t>
      </w:r>
      <w:r>
        <w:rPr>
          <w:rFonts w:hint="eastAsia" w:ascii="仿宋" w:hAnsi="仿宋" w:eastAsia="仿宋" w:cs="仿宋"/>
          <w:color w:val="auto"/>
          <w:sz w:val="24"/>
          <w:szCs w:val="24"/>
          <w:lang w:eastAsia="zh-CN"/>
        </w:rPr>
        <w:t>，做好项目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2.协助地区自然资源局与县自然资源局按时完成项目进度汇总上报工作。</w:t>
      </w:r>
    </w:p>
    <w:p>
      <w:pPr>
        <w:spacing w:line="360" w:lineRule="auto"/>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3.协助县自然资源局完成项目初验工作。</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）工作方法和主要技术要求</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243" w:name="1.工作方法"/>
      <w:bookmarkEnd w:id="243"/>
      <w:r>
        <w:rPr>
          <w:rFonts w:hint="eastAsia" w:ascii="仿宋" w:hAnsi="仿宋" w:eastAsia="仿宋" w:cs="仿宋"/>
          <w:color w:val="auto"/>
          <w:sz w:val="24"/>
          <w:szCs w:val="24"/>
        </w:rPr>
        <w:t>1.工作方法</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采用监理巡查、旁站、测量和计量、指令性文件、抽查、现场记录、工序控制、协调及验收签证等工作方法，对建设项目质量、进度、安全及工作量进行控制。</w:t>
      </w:r>
      <w:r>
        <w:rPr>
          <w:rFonts w:hint="eastAsia" w:ascii="仿宋" w:hAnsi="仿宋" w:eastAsia="仿宋" w:cs="仿宋"/>
          <w:color w:val="auto"/>
          <w:sz w:val="24"/>
          <w:szCs w:val="24"/>
          <w:lang w:eastAsia="zh-CN"/>
        </w:rPr>
        <w:t>监测预警点建设项目应根据项目承担单位工作组情况派驻现场监理人员，每个工作组不少于</w:t>
      </w:r>
      <w:r>
        <w:rPr>
          <w:rFonts w:hint="eastAsia" w:ascii="仿宋" w:hAnsi="仿宋" w:eastAsia="仿宋" w:cs="仿宋"/>
          <w:color w:val="auto"/>
          <w:sz w:val="24"/>
          <w:szCs w:val="24"/>
          <w:lang w:val="en-US" w:eastAsia="zh-CN"/>
        </w:rPr>
        <w:t>1人，</w:t>
      </w:r>
      <w:r>
        <w:rPr>
          <w:rFonts w:hint="eastAsia" w:ascii="仿宋" w:hAnsi="仿宋" w:eastAsia="仿宋" w:cs="仿宋"/>
          <w:color w:val="auto"/>
          <w:sz w:val="24"/>
          <w:szCs w:val="24"/>
          <w:lang w:eastAsia="zh-CN"/>
        </w:rPr>
        <w:t>防治工程</w:t>
      </w:r>
      <w:r>
        <w:rPr>
          <w:rFonts w:hint="eastAsia" w:ascii="仿宋" w:hAnsi="仿宋" w:eastAsia="仿宋" w:cs="仿宋"/>
          <w:color w:val="auto"/>
          <w:sz w:val="24"/>
          <w:szCs w:val="24"/>
        </w:rPr>
        <w:t>项目派驻现场监理人数</w:t>
      </w:r>
      <w:r>
        <w:rPr>
          <w:rFonts w:hint="eastAsia" w:ascii="仿宋" w:hAnsi="仿宋" w:eastAsia="仿宋" w:cs="仿宋"/>
          <w:color w:val="auto"/>
          <w:sz w:val="24"/>
          <w:szCs w:val="24"/>
          <w:lang w:eastAsia="zh-CN"/>
        </w:rPr>
        <w:t>，应保证每个项目</w:t>
      </w:r>
      <w:r>
        <w:rPr>
          <w:rFonts w:hint="eastAsia" w:ascii="仿宋" w:hAnsi="仿宋" w:eastAsia="仿宋" w:cs="仿宋"/>
          <w:color w:val="auto"/>
          <w:sz w:val="24"/>
          <w:szCs w:val="24"/>
        </w:rPr>
        <w:t>不少于 1 人。</w:t>
      </w:r>
    </w:p>
    <w:p>
      <w:pPr>
        <w:spacing w:line="360" w:lineRule="auto"/>
        <w:ind w:firstLine="480" w:firstLineChars="200"/>
        <w:jc w:val="both"/>
        <w:rPr>
          <w:rFonts w:hint="eastAsia" w:ascii="仿宋" w:hAnsi="仿宋" w:eastAsia="仿宋" w:cs="仿宋"/>
          <w:color w:val="auto"/>
          <w:sz w:val="24"/>
          <w:szCs w:val="24"/>
        </w:rPr>
      </w:pPr>
      <w:bookmarkStart w:id="244" w:name="2.主要技术要求"/>
      <w:bookmarkEnd w:id="244"/>
      <w:r>
        <w:rPr>
          <w:rFonts w:hint="eastAsia" w:ascii="仿宋" w:hAnsi="仿宋" w:eastAsia="仿宋" w:cs="仿宋"/>
          <w:color w:val="auto"/>
          <w:sz w:val="24"/>
          <w:szCs w:val="24"/>
        </w:rPr>
        <w:t>2.主要技术要求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（1）《地质灾害防治工程监理规范》（DZ/T 0222-2006）；</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（2）《建设工程监理规范》（GB/T 50319-2013）；</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（4）《泥石流灾害防治工程勘查规范》（DZ/T 0220-2006）；</w:t>
      </w:r>
    </w:p>
    <w:p>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泥石流防治工程施工技术规范（ 试 行 ）》（ T/CAGHP 061-2019）；</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（6）《建筑机械使用安全技术规程》（JGJ 33-2012）；</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（7）《建设工程施工现场供用电安全规范》（GB50194-2014）；</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（8）《地质灾害防治工程监理预算标准》（T/CAGHP 015-2018）；</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（9）其他有关规范、规程和技术要求。</w:t>
      </w:r>
      <w:bookmarkStart w:id="245" w:name="四、地质灾害专项勘查预期提交的监理文件"/>
      <w:bookmarkEnd w:id="245"/>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、预期提交的监理文件</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（一）监理设计成果文件 </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1.《监理规划》；</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2.《监理实施细则》。</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（二）监理成果总结性文件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1.《监理工作总结》；</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2.《监理质量评估报告》；</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3.《监理工作照片集》。</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（三）实施过程中形成的文件 </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项目监理日志、监理月报、工地例会纪要、监理工程师通知单及回复单、工程报审表、工程验收文件等。</w:t>
      </w:r>
    </w:p>
    <w:p>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五、监理汇交资料目录</w:t>
      </w:r>
    </w:p>
    <w:p>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监理资料整理应按照相关规范进行。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（一）监理规划、项目监理实施细则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（二）监理工作总结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（三）监理工作照片集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（四）工程质量评估报告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（五）项目监理日志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（六）监理月报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（七）第一次工地例会、工地例会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（八）监理工程师通知单、监理工程师回复单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（九）工程报审表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1.工程开工报审（开工报告报审表、开工报告、施工单位资质、人员资质证书、特种作业人员管理制度、特种作业人员花名册、 特种作业人员证件、施工现场管理检查记录）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2.工程进度计划报审（总进度报审表、总进度计划、月进度 报审表 月进度计划、旬进度计划报审表、旬进度计划）</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（十）工程验收文件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1.工程竣工验收报验表 （竣工报验申请表、单位工程质量验收文件目录、单位工程质量控制资料记录、单位工程观感质量检查记录、单位质量竣工验收记录）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2.工程竣工报审（自检报告、工程竣工报告）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3.监理单位初验意见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4.局竣工验收意见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监理资料整理归档严格按照《地质资料汇交规范》DZ/T0273及相关管理办法规定执行。最终成果资料应按地质资料汇交要求向伊犁哈萨克自治州自然资源局汇交纸介质和电子版。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六、工作周期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Style w:val="71"/>
          <w:rFonts w:hint="default" w:ascii="仿宋" w:hAnsi="仿宋" w:eastAsia="仿宋" w:cs="仿宋"/>
          <w:color w:val="auto"/>
          <w:sz w:val="24"/>
          <w:szCs w:val="24"/>
          <w:highlight w:val="none"/>
          <w:lang w:val="en-US"/>
        </w:rPr>
      </w:pPr>
      <w:r>
        <w:rPr>
          <w:rStyle w:val="71"/>
          <w:rFonts w:hint="eastAsia" w:ascii="仿宋" w:hAnsi="仿宋" w:eastAsia="仿宋" w:cs="仿宋"/>
          <w:color w:val="auto"/>
          <w:sz w:val="24"/>
          <w:szCs w:val="24"/>
          <w:lang w:eastAsia="zh-CN"/>
        </w:rPr>
        <w:t>同项目施工期一致，</w:t>
      </w:r>
      <w:r>
        <w:rPr>
          <w:rFonts w:hint="eastAsia" w:ascii="仿宋" w:hAnsi="仿宋" w:eastAsia="仿宋" w:cs="仿宋"/>
          <w:color w:val="0D0D0D"/>
          <w:sz w:val="24"/>
          <w:szCs w:val="24"/>
          <w:lang w:val="en-US" w:eastAsia="zh-CN"/>
        </w:rPr>
        <w:t>2023年3月-2024年10月，2023年10月31日前完成野外竣工验收，2023年11月30日前提交全套竣工资料，2024年10月31日前完成工程复验。</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rPr>
      </w:pPr>
    </w:p>
    <w:p>
      <w:pPr>
        <w:pStyle w:val="2"/>
        <w:rPr>
          <w:rFonts w:hint="eastAsia"/>
        </w:rPr>
      </w:pPr>
    </w:p>
    <w:p>
      <w:pPr>
        <w:pStyle w:val="2"/>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246" w:name="_Toc518923127"/>
      <w:bookmarkStart w:id="247" w:name="_Toc10220"/>
      <w:bookmarkStart w:id="248" w:name="_Toc507399907"/>
      <w:r>
        <w:rPr>
          <w:rFonts w:hint="eastAsia" w:ascii="仿宋" w:hAnsi="仿宋" w:eastAsia="仿宋" w:cs="仿宋"/>
          <w:b/>
          <w:bCs/>
          <w:sz w:val="28"/>
          <w:szCs w:val="28"/>
        </w:rPr>
        <w:t>评标方法和标准</w:t>
      </w:r>
      <w:bookmarkEnd w:id="232"/>
      <w:bookmarkEnd w:id="233"/>
      <w:bookmarkEnd w:id="234"/>
      <w:bookmarkEnd w:id="246"/>
      <w:bookmarkEnd w:id="247"/>
      <w:bookmarkEnd w:id="248"/>
    </w:p>
    <w:p>
      <w:pPr>
        <w:pStyle w:val="10"/>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w:t>
      </w:r>
      <w:r>
        <w:rPr>
          <w:rFonts w:hint="eastAsia" w:ascii="仿宋" w:hAnsi="仿宋" w:eastAsia="仿宋" w:cs="仿宋"/>
          <w:b/>
          <w:bCs/>
          <w:sz w:val="28"/>
          <w:szCs w:val="36"/>
          <w:lang w:eastAsia="zh-CN"/>
        </w:rPr>
        <w:t>采购文件</w:t>
      </w:r>
      <w:r>
        <w:rPr>
          <w:rFonts w:hint="eastAsia" w:ascii="仿宋" w:hAnsi="仿宋" w:eastAsia="仿宋" w:cs="仿宋"/>
          <w:b/>
          <w:bCs/>
          <w:sz w:val="28"/>
          <w:szCs w:val="36"/>
        </w:rPr>
        <w:t>第一章</w:t>
      </w:r>
      <w:r>
        <w:rPr>
          <w:rFonts w:hint="eastAsia" w:ascii="仿宋" w:hAnsi="仿宋" w:eastAsia="仿宋" w:cs="仿宋"/>
          <w:b/>
          <w:bCs/>
          <w:sz w:val="28"/>
          <w:szCs w:val="36"/>
          <w:lang w:eastAsia="zh-CN"/>
        </w:rPr>
        <w:t>供应商</w:t>
      </w:r>
      <w:r>
        <w:rPr>
          <w:rFonts w:hint="eastAsia" w:ascii="仿宋" w:hAnsi="仿宋" w:eastAsia="仿宋" w:cs="仿宋"/>
          <w:b/>
          <w:bCs/>
          <w:sz w:val="28"/>
          <w:szCs w:val="36"/>
        </w:rPr>
        <w:t>须知中“五 开标及评标”、“六 确定中标”及本章的规定评标。</w:t>
      </w:r>
    </w:p>
    <w:p>
      <w:pPr>
        <w:pStyle w:val="10"/>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7人组成，从自然资源厅专家库中随机抽取后在政府采购网按3：1比例自行组建并随机抽取）</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评标工作应遵循公平、公正、科学及择优的原则，并以相同的评标程序和标准对待所有的供应商。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评标委员会按照采购文件规定的评标方法和标准进行评标，并独立履行下列职责：</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（一）对供应商的资格性、符合性进行审查；</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（二）审查、评价投标文件是否符合采购文件的商务、技术等实质性要求；</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（三）要求供应商对投标文件有关事项作出澄清或者说明；</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（四）对投标文件进行比较和评价；</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（五）确定中标候选人名单，以及根据采购人委托直接确定中标人；</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（六）向采购人、采购代理机构或者有关部门报告评标中发现的违法行为。</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（七）法律、法规和规章规定的其他职责。</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评标过程独立、保密。供应商非法干预评标过程的行为将导致其投标文件作为无效处理。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1.6评标委员会评价投标文件的响应性，对于供应商而言，除评标委员会要求其澄清、说明或者更正而提供的资料外，仅依据投标文件本身的内容，不寻求其他外部证据。</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（三）公布供应商名单，告知评审专家应当回避的情形；</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（六）根据评标委员会的要求介绍政府采购相关政策法规、采购文件；</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（七）维护评标秩序，监督评标委员会依照采购文件规定的评标程序、方法和标准进行独立评审，及时制止和纠正采购人代表、评审专家的倾向性言论或者违法违规行为；</w:t>
      </w:r>
    </w:p>
    <w:p>
      <w:pPr>
        <w:pStyle w:val="10"/>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10"/>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采购人可以在评标前说明项目背景和采购需求，说明内容不得含有歧视性、倾向性意见，不得超出采购文件所述范围。说明应当提交书面材料，并随采购文件一并存档。</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4"/>
        <w:ind w:firstLine="482" w:firstLineChars="200"/>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 </w:t>
      </w:r>
    </w:p>
    <w:p>
      <w:pPr>
        <w:pStyle w:val="10"/>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3.评标程序</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3.1熟悉和理解采购文件和停止评标。</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3.1.1评标委员会正式评标前，应当对采购文件进行熟悉和理解，内容主要包括采购文件中采购项目技术、规格型号和商务要求、评标方法和标准以及可能涉及签订政府采购合同的内容等。</w:t>
      </w:r>
    </w:p>
    <w:p>
      <w:pPr>
        <w:pStyle w:val="10"/>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3.3.1评标委员会依据本采购文件的实质性要求，对符合资格的投标文件进行审查，以确定其是否满足本采购文件的实质性要求。</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采购文件的明确规定。投标文件是否满足采购文件的实质性要求，必须以本采购文件的明确规定作为依据，否则，不能对投标文件作为无效处理，评标委员会不得臆测符合性审查事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3.3.3投标文件以骑缝章的形式代替投标文件内容逐页盖章的（但是骑缝章模糊不清，印章名称无法辨认的除外）本项目不作为实质性要求进行规定，即不作为符合性审查事项，不得作为无效投标处理：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3.4比较与评价。按采购文件中规定的评标方法和标准，对未作无效投标处理的投标文件进行技术、型号、商务等方面评估，综合比较与评价。</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采购文件要求对投标文件中的供应商资格、供应商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评审完毕，评标委员会根据汇总各供应商的综合得分，按照得分高低进行排序，取前三名作为中标候选人推荐给招标委员会。如果两供应商的得分相同，投标价格低者排在前。</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本项目参数要求、评审内容如有指向性，仅作为招标参考，投标服务不应低于招标要求，如有不符合要求，视为不响应采购文件规定。</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（四）开标记录和评标情况及说明，包括无效供应商名单及原因；</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（六）其他需要说明的情况，包括评标过程中供应商根据评标委员会要求进行的澄清、说明或者补正，评标委员会成员的更换等。</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采购文件规定。有不同意见的评标委员会成员认为认定过程和结果不符合法律法规或者采购文件规定的，应当及时向招标采购单位书面反映。招标采购单位收到书面反映后，应当书面报告采购项目同级财政部门依法处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供应商的澄清、说明或者补正不得超出投标文件的范围或者改变投标文件的实质性内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3.9.3评标委员会要求供应商澄清、说明或者更正，不得超出采购文件的范围，不得以此让供应商实质改变投标文件的内容，不得影响供应商公平竞争。本项目下列内容不得澄清：</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供应商的报价明显低于其他通过符合性审查供应商的报价，有可能影响产品质量或者不能诚信履约的，评标委员会组长在评标现场发起“在线询标”，必要时提交相关证明材料；供应商不能证明其报价合理性的，评标委员会应当将其作为无效投标处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4.废标</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废标后，采购代理机构应在网上公告。供应商需要知晓导致废标情形的具体原因和理由的，可以通过书面形式询问招标采购单位。</w:t>
      </w:r>
    </w:p>
    <w:p>
      <w:pPr>
        <w:pStyle w:val="10"/>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b w:val="0"/>
          <w:bCs w:val="0"/>
          <w:kern w:val="0"/>
          <w:sz w:val="24"/>
          <w:szCs w:val="24"/>
          <w:lang w:val="en-US" w:eastAsia="zh-CN" w:bidi="ar"/>
        </w:rPr>
        <w:t>对于评标过程中废标的采购项目，评标委员会应当对采购文件是否存在倾向性和歧视性、是否存在不合理条款进行论证，并出具书面论证意见。</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①未按采购文件规定的形式和金额提交投标保证金的；</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②未按照采购文件规定要求签署、盖章的；</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③未满足采购文件中技术条款的实质性要求；</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④与其他供应商串通投标，或者与招标人串通投标；</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⑤属于采购文件规定的其他投标无效情形；</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⑥评标委员会认为供应商的报价明显低于其他通过符合性检查供应商的报价，有可能影响履约的，且供应商未按照规定证明其报价合理性的；</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⑦投标文件含有采购人不能接受的附加条件的；</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⑧不符合法规和采购文件中规定的其他实质性要求的。</w:t>
      </w:r>
    </w:p>
    <w:p>
      <w:pPr>
        <w:pStyle w:val="10"/>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5.定标</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 定标原则：由采购人根据评标委员会的推荐意见确定中标供应商。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 定标程序</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5.2.1 评标委员会将评标情况写出书面报告，推荐中标候选供应商。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5.2.2 采购代理机构在评标结束后2个工作日内将采购结果确认单和评标报告发至采购人处。</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5.2.3 采购人在收到后5个工作日内，按照评标报告中推荐的中标候选供应商顺序确定中标供应商。采用综合评分法的，评标结果按投标报价由低到高顺序排列；投标报价相同的并列，投标文件满足采购文件全部实质性要求且投标报价最低的供应商为中标候选供应商；报价相同且满足采购文件全部实质性要求的并列，由采购人自主采取公平、择优的方式选择中标供应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 根据采购人确定的中标供应商，采购代理机构在新疆政府采购网上发布中标公告，并自采购人确定中标之日起3个工作日内向中标供应商发出中标通知书。</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5.2.5 招标采购单位不退回供应商投标文件和其他投标资料。</w:t>
      </w:r>
    </w:p>
    <w:p>
      <w:pPr>
        <w:pStyle w:val="10"/>
        <w:tabs>
          <w:tab w:val="clear" w:pos="567"/>
        </w:tabs>
        <w:spacing w:before="0" w:line="360" w:lineRule="auto"/>
        <w:ind w:left="-181" w:leftChars="-86" w:firstLine="663" w:firstLineChars="275"/>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6.详细的评标标准：（具体内容详见综合评分表）</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各供应商的价格得分的计算公式：采用低价优先法计算，即满足采购文件要求且投标价格最低的投标报价为评标基准价，其价格分为满分。其他供应商的价格分统一按照下列公式计算：</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计算分数时四舍五入取小数点后两位,分数最高不超过10分。由监标人员负责核准每个合格供应商的价格得分。</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注：若为中小企业，其投标报价扣除10%后参与评审，提供相关证明资料，否则无效。</w:t>
      </w:r>
    </w:p>
    <w:p>
      <w:pPr>
        <w:pStyle w:val="10"/>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标项一至四技术占70%，商务20%；标项五技术占80%，商务占10%。</w:t>
      </w:r>
    </w:p>
    <w:p>
      <w:pPr>
        <w:pStyle w:val="34"/>
        <w:ind w:left="0" w:leftChars="0" w:firstLine="0" w:firstLineChars="0"/>
        <w:rPr>
          <w:rFonts w:hint="eastAsia" w:ascii="仿宋" w:hAnsi="仿宋" w:eastAsia="仿宋" w:cs="仿宋"/>
          <w:b/>
          <w:bCs/>
          <w:kern w:val="0"/>
          <w:sz w:val="32"/>
          <w:szCs w:val="32"/>
        </w:rPr>
      </w:pPr>
      <w:bookmarkStart w:id="249" w:name="_Toc507399904"/>
      <w:r>
        <w:rPr>
          <w:rFonts w:hint="eastAsia" w:ascii="仿宋" w:hAnsi="仿宋" w:eastAsia="仿宋" w:cs="仿宋"/>
          <w:b/>
          <w:bCs/>
          <w:kern w:val="0"/>
          <w:sz w:val="32"/>
          <w:szCs w:val="32"/>
        </w:rPr>
        <w:br w:type="page"/>
      </w:r>
    </w:p>
    <w:p>
      <w:pPr>
        <w:bidi w:val="0"/>
        <w:jc w:val="center"/>
        <w:outlineLvl w:val="2"/>
        <w:rPr>
          <w:rFonts w:hint="eastAsia"/>
        </w:rPr>
      </w:pPr>
      <w:bookmarkStart w:id="371" w:name="_GoBack"/>
      <w:bookmarkEnd w:id="371"/>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widowControl/>
        <w:jc w:val="center"/>
        <w:outlineLvl w:val="2"/>
        <w:rPr>
          <w:rFonts w:hint="eastAsia" w:ascii="仿宋" w:hAnsi="仿宋" w:eastAsia="仿宋" w:cs="仿宋"/>
          <w:b/>
          <w:kern w:val="0"/>
          <w:sz w:val="28"/>
          <w:szCs w:val="28"/>
        </w:rPr>
      </w:pPr>
      <w:r>
        <w:rPr>
          <w:rFonts w:hint="eastAsia" w:ascii="仿宋" w:hAnsi="仿宋" w:eastAsia="仿宋" w:cs="仿宋"/>
          <w:b/>
          <w:bCs/>
          <w:kern w:val="0"/>
          <w:sz w:val="28"/>
          <w:szCs w:val="28"/>
        </w:rPr>
        <w:t>资格审查表</w:t>
      </w:r>
    </w:p>
    <w:tbl>
      <w:tblPr>
        <w:tblStyle w:val="35"/>
        <w:tblW w:w="8716" w:type="dxa"/>
        <w:tblInd w:w="113" w:type="dxa"/>
        <w:tblLayout w:type="fixed"/>
        <w:tblCellMar>
          <w:top w:w="0" w:type="dxa"/>
          <w:left w:w="108" w:type="dxa"/>
          <w:bottom w:w="0" w:type="dxa"/>
          <w:right w:w="108" w:type="dxa"/>
        </w:tblCellMar>
      </w:tblPr>
      <w:tblGrid>
        <w:gridCol w:w="740"/>
        <w:gridCol w:w="6114"/>
        <w:gridCol w:w="925"/>
        <w:gridCol w:w="937"/>
      </w:tblGrid>
      <w:tr>
        <w:tblPrEx>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供应商</w:t>
            </w:r>
          </w:p>
        </w:tc>
      </w:tr>
      <w:tr>
        <w:tblPrEx>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供应商投标标项一、二、三、四提供地质灾害治理工程设计和施工乙级（含乙级）以上资质证书；标项五提供地质灾害防治工程监理甲级资质；</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有效的投标保证金缴纳凭证；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36"/>
        <w:gridCol w:w="458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58" w:type="pc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3780" w:type="pct"/>
            <w:gridSpan w:val="2"/>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偏差标记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供应商</w:t>
            </w:r>
            <w:r>
              <w:rPr>
                <w:rFonts w:hint="eastAsia" w:ascii="仿宋" w:hAnsi="仿宋" w:eastAsia="仿宋" w:cs="仿宋"/>
                <w:kern w:val="0"/>
                <w:sz w:val="22"/>
                <w:szCs w:val="22"/>
              </w:rPr>
              <w:t>名称</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2</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格式完整提供</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4</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6</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7</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lang w:val="en-US" w:eastAsia="zh-CN"/>
              </w:rPr>
              <w:t>8</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规定的其他无效情形</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9</w:t>
            </w:r>
          </w:p>
        </w:tc>
        <w:tc>
          <w:tcPr>
            <w:tcW w:w="10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2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实质性条款作出响应</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3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检查结果</w:t>
            </w:r>
          </w:p>
        </w:tc>
        <w:tc>
          <w:tcPr>
            <w:tcW w:w="7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详细评审表</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一、二、三、四</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50" w:name="_Toc1728"/>
      <w:bookmarkStart w:id="251" w:name="_Toc17358"/>
      <w:bookmarkStart w:id="252" w:name="_Toc26151"/>
      <w:r>
        <w:rPr>
          <w:rFonts w:hint="eastAsia" w:ascii="仿宋" w:hAnsi="仿宋" w:eastAsia="仿宋" w:cs="仿宋"/>
          <w:b/>
          <w:kern w:val="2"/>
          <w:sz w:val="24"/>
          <w:szCs w:val="20"/>
          <w:lang w:val="en-US" w:eastAsia="zh-CN" w:bidi="ar-SA"/>
        </w:rPr>
        <w:t>商务评分表</w:t>
      </w:r>
      <w:bookmarkEnd w:id="250"/>
      <w:bookmarkEnd w:id="251"/>
      <w:bookmarkEnd w:id="252"/>
    </w:p>
    <w:p>
      <w:pPr>
        <w:pStyle w:val="24"/>
        <w:numPr>
          <w:ilvl w:val="0"/>
          <w:numId w:val="0"/>
        </w:numPr>
        <w:rPr>
          <w:rFonts w:hint="eastAsia"/>
          <w:color w:val="auto"/>
        </w:rPr>
      </w:pPr>
    </w:p>
    <w:tbl>
      <w:tblPr>
        <w:tblStyle w:val="35"/>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color w:val="auto"/>
                <w:kern w:val="0"/>
                <w:sz w:val="20"/>
                <w:szCs w:val="20"/>
                <w:u w:val="none"/>
                <w:lang w:val="en-US" w:eastAsia="zh-CN" w:bidi="ar"/>
              </w:rPr>
              <w:t>项目投标报价及承诺、项目概况、项目设计预算编制依据、工程方案内容及工作量情况、采用的费用标准和计算方法、工程技术指标分析及需要说明的问题等方面完整4分。</w:t>
            </w:r>
            <w:r>
              <w:rPr>
                <w:rFonts w:hint="eastAsia" w:ascii="仿宋" w:hAnsi="仿宋" w:eastAsia="仿宋" w:cs="仿宋"/>
                <w:i w:val="0"/>
                <w:iCs w:val="0"/>
                <w:color w:val="auto"/>
                <w:kern w:val="0"/>
                <w:sz w:val="20"/>
                <w:szCs w:val="20"/>
                <w:u w:val="none"/>
                <w:lang w:val="en-US" w:eastAsia="zh-CN" w:bidi="ar"/>
              </w:rPr>
              <w:t>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20</w:t>
            </w:r>
          </w:p>
        </w:tc>
      </w:tr>
    </w:tbl>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53" w:name="_Toc17451"/>
      <w:bookmarkStart w:id="254" w:name="_Toc8799"/>
      <w:bookmarkStart w:id="255" w:name="_Toc19788"/>
      <w:r>
        <w:rPr>
          <w:rFonts w:hint="eastAsia" w:ascii="仿宋" w:hAnsi="仿宋" w:eastAsia="仿宋" w:cs="仿宋"/>
          <w:b/>
          <w:kern w:val="2"/>
          <w:sz w:val="24"/>
          <w:szCs w:val="20"/>
          <w:lang w:val="en-US" w:eastAsia="zh-CN" w:bidi="ar-SA"/>
        </w:rPr>
        <w:t>技术评分表</w:t>
      </w:r>
      <w:bookmarkEnd w:id="253"/>
      <w:bookmarkEnd w:id="254"/>
      <w:bookmarkEnd w:id="255"/>
    </w:p>
    <w:tbl>
      <w:tblPr>
        <w:tblStyle w:val="35"/>
        <w:tblW w:w="9237" w:type="dxa"/>
        <w:tblInd w:w="0" w:type="dxa"/>
        <w:tblLayout w:type="fixed"/>
        <w:tblCellMar>
          <w:top w:w="0" w:type="dxa"/>
          <w:left w:w="0" w:type="dxa"/>
          <w:bottom w:w="0" w:type="dxa"/>
          <w:right w:w="0" w:type="dxa"/>
        </w:tblCellMar>
      </w:tblPr>
      <w:tblGrid>
        <w:gridCol w:w="576"/>
        <w:gridCol w:w="3766"/>
        <w:gridCol w:w="3760"/>
        <w:gridCol w:w="1135"/>
      </w:tblGrid>
      <w:tr>
        <w:tblPrEx>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70分</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标书的完整性及与采购文件的响应性。</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完全响应和完整3.5分；部分未响应或不完整1.5-3分；未响应部分份额较大且不完整≤1分。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施工设计目标任务、工作内容、工程布置、施工方案、工程量、进度安排的明确清晰程度及合理性；工作方法的可行性、技术要求的明确程度。</w:t>
            </w:r>
          </w:p>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明确合理0—7分；施工图设计齐全0－3.5分；设计指标明确，技术要求全面、明确0—3.5分；设计工作量与采购文件响应0－3.5分；设计图规范、图面美观，设计参数标注齐全完整0－3.5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21</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施工组织设计内容齐全完整0－3.5分；</w:t>
            </w:r>
          </w:p>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工作方法可行、技术要求明确，工作方法与施工图设计衔接0－7分；技术要求符合项目治理方案和实际，满足相关标准、规范，施工组织严密，并附施工平面图0－7分，安全施工0-1.5分，环保施工0-2分。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21</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预期成果的全面程度。</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预期成果包括治理效果和提交的成果资料全面3.5分；基本全面2-3分；不全面≤1分。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 xml:space="preserve"> 3.5</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保障体系齐全、措施有效7分；保障体系基本齐全、措施基本有效3-6分；保障体系不健全≤2分。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人员数量情况0—3分；工种搭配情况0—2分；专业结构情况0—2分。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仪器、设备配置</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设备齐全且符合要求3.5分；设备较齐全2-3分；其他情况≤1分。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3.5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健全明确3.5分，基本健全明确1-3分，无内容0分。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3.5</w:t>
            </w:r>
          </w:p>
        </w:tc>
      </w:tr>
      <w:tr>
        <w:tblPrEx>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总得分V</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70</w:t>
            </w:r>
          </w:p>
        </w:tc>
      </w:tr>
    </w:tbl>
    <w:p>
      <w:pPr>
        <w:pStyle w:val="2"/>
        <w:rPr>
          <w:rFonts w:hint="default" w:ascii="仿宋" w:hAnsi="仿宋" w:eastAsia="仿宋" w:cs="仿宋"/>
          <w:color w:val="auto"/>
          <w:sz w:val="24"/>
          <w:lang w:val="en-US" w:eastAsia="zh-CN"/>
        </w:rPr>
      </w:pPr>
    </w:p>
    <w:p>
      <w:pPr>
        <w:bidi w:val="0"/>
        <w:rPr>
          <w:rFonts w:hint="default"/>
          <w:color w:val="auto"/>
          <w:lang w:val="en-US" w:eastAsia="zh-CN"/>
        </w:rPr>
      </w:pPr>
    </w:p>
    <w:p>
      <w:pPr>
        <w:bidi w:val="0"/>
        <w:rPr>
          <w:rFonts w:hint="default"/>
          <w:color w:val="auto"/>
          <w:lang w:val="en-US" w:eastAsia="zh-CN"/>
        </w:rPr>
      </w:pPr>
    </w:p>
    <w:p>
      <w:pPr>
        <w:tabs>
          <w:tab w:val="right" w:pos="9213"/>
        </w:tabs>
        <w:bidi w:val="0"/>
        <w:jc w:val="center"/>
        <w:rPr>
          <w:rFonts w:hint="eastAsia"/>
          <w:color w:val="auto"/>
          <w:lang w:val="en-US" w:eastAsia="zh-CN"/>
        </w:rPr>
      </w:pPr>
      <w:r>
        <w:rPr>
          <w:rFonts w:hint="eastAsia"/>
          <w:color w:val="auto"/>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56" w:name="_Toc20213"/>
      <w:r>
        <w:rPr>
          <w:rFonts w:hint="eastAsia" w:ascii="仿宋" w:hAnsi="仿宋" w:eastAsia="仿宋" w:cs="仿宋"/>
          <w:b/>
          <w:kern w:val="2"/>
          <w:sz w:val="24"/>
          <w:szCs w:val="20"/>
          <w:lang w:val="en-US" w:eastAsia="zh-CN" w:bidi="ar-SA"/>
        </w:rPr>
        <w:t>报价评分表</w:t>
      </w:r>
      <w:bookmarkEnd w:id="256"/>
    </w:p>
    <w:p>
      <w:pPr>
        <w:pStyle w:val="2"/>
        <w:rPr>
          <w:rFonts w:hint="eastAsia"/>
          <w:color w:val="auto"/>
          <w:lang w:val="en-US" w:eastAsia="zh-CN"/>
        </w:rPr>
      </w:pPr>
    </w:p>
    <w:tbl>
      <w:tblPr>
        <w:tblStyle w:val="3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val="en-US" w:eastAsia="zh-CN"/>
        </w:rPr>
      </w:pPr>
      <w:r>
        <w:rPr>
          <w:rFonts w:hint="eastAsia" w:ascii="楷体" w:hAnsi="楷体" w:eastAsia="楷体" w:cs="楷体"/>
          <w:b/>
          <w:color w:val="000000"/>
          <w:sz w:val="24"/>
          <w:lang w:val="en-US" w:eastAsia="zh-CN"/>
        </w:rPr>
        <w:t>标项五评分标准</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1"/>
        <w:rPr>
          <w:rFonts w:hint="default"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商务评分表</w:t>
      </w:r>
    </w:p>
    <w:tbl>
      <w:tblPr>
        <w:tblStyle w:val="35"/>
        <w:tblpPr w:leftFromText="180" w:rightFromText="180" w:vertAnchor="text" w:horzAnchor="page" w:tblpXSpec="center" w:tblpY="191"/>
        <w:tblOverlap w:val="never"/>
        <w:tblW w:w="8498" w:type="dxa"/>
        <w:jc w:val="center"/>
        <w:tblLayout w:type="fixed"/>
        <w:tblCellMar>
          <w:top w:w="0" w:type="dxa"/>
          <w:left w:w="0" w:type="dxa"/>
          <w:bottom w:w="0" w:type="dxa"/>
          <w:right w:w="0" w:type="dxa"/>
        </w:tblCellMar>
      </w:tblPr>
      <w:tblGrid>
        <w:gridCol w:w="639"/>
        <w:gridCol w:w="3876"/>
        <w:gridCol w:w="3202"/>
        <w:gridCol w:w="781"/>
      </w:tblGrid>
      <w:tr>
        <w:tblPrEx>
          <w:tblCellMar>
            <w:top w:w="0" w:type="dxa"/>
            <w:left w:w="0" w:type="dxa"/>
            <w:bottom w:w="0" w:type="dxa"/>
            <w:right w:w="0" w:type="dxa"/>
          </w:tblCellMar>
        </w:tblPrEx>
        <w:trPr>
          <w:trHeight w:val="36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8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20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CellMar>
            <w:top w:w="0" w:type="dxa"/>
            <w:left w:w="0" w:type="dxa"/>
            <w:bottom w:w="0" w:type="dxa"/>
            <w:right w:w="0" w:type="dxa"/>
          </w:tblCellMar>
        </w:tblPrEx>
        <w:trPr>
          <w:trHeight w:val="3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8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20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10分</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left" w:pos="1381"/>
              </w:tabs>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对招标文件及合同条款的确认。</w:t>
            </w:r>
          </w:p>
        </w:tc>
        <w:tc>
          <w:tcPr>
            <w:tcW w:w="32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具有明确的确认说明1分，无说明不得分。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投入项目人员数量满足要求，工种齐全，人员专业结构配备合理。</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人员数量情况1-1.5分；工种搭配情况0.5-0.9分；专业结构情况</w:t>
            </w:r>
            <w:r>
              <w:rPr>
                <w:rFonts w:hint="eastAsia" w:ascii="仿宋" w:hAnsi="仿宋" w:eastAsia="仿宋" w:cs="仿宋"/>
                <w:i w:val="0"/>
                <w:color w:val="auto"/>
                <w:kern w:val="0"/>
                <w:sz w:val="20"/>
                <w:szCs w:val="20"/>
                <w:u w:val="none"/>
                <w:lang w:val="en-US" w:eastAsia="zh-CN" w:bidi="ar"/>
              </w:rPr>
              <w:t>≤0.4</w:t>
            </w:r>
            <w:r>
              <w:rPr>
                <w:rFonts w:hint="eastAsia" w:ascii="仿宋" w:hAnsi="仿宋" w:eastAsia="仿宋" w:cs="仿宋"/>
                <w:i w:val="0"/>
                <w:color w:val="000000"/>
                <w:kern w:val="0"/>
                <w:sz w:val="20"/>
                <w:szCs w:val="20"/>
                <w:u w:val="none"/>
                <w:lang w:val="en-US" w:eastAsia="zh-CN" w:bidi="ar"/>
              </w:rPr>
              <w:t>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CellMar>
            <w:top w:w="0" w:type="dxa"/>
            <w:left w:w="0" w:type="dxa"/>
            <w:bottom w:w="0" w:type="dxa"/>
            <w:right w:w="0" w:type="dxa"/>
          </w:tblCellMar>
        </w:tblPrEx>
        <w:trPr>
          <w:trHeight w:val="1146"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仪器、设备配置。</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设备齐全且满足需求1分；设备较齐全0.5分；其他情况≤0.4分。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w:t>
            </w:r>
          </w:p>
        </w:tc>
      </w:tr>
      <w:tr>
        <w:tblPrEx>
          <w:tblCellMar>
            <w:top w:w="0" w:type="dxa"/>
            <w:left w:w="0" w:type="dxa"/>
            <w:bottom w:w="0" w:type="dxa"/>
            <w:right w:w="0" w:type="dxa"/>
          </w:tblCellMar>
        </w:tblPrEx>
        <w:trPr>
          <w:trHeight w:val="645"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rPr>
              <w:t>近三年资产状况</w:t>
            </w:r>
            <w:r>
              <w:rPr>
                <w:rFonts w:hint="eastAsia" w:ascii="仿宋" w:hAnsi="仿宋" w:eastAsia="仿宋" w:cs="仿宋"/>
                <w:i w:val="0"/>
                <w:color w:val="000000"/>
                <w:sz w:val="22"/>
                <w:szCs w:val="22"/>
                <w:u w:val="none"/>
                <w:lang w:eastAsia="zh-CN"/>
              </w:rPr>
              <w:t>。</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资产状况良级及以上1分，良级以下不得分。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w:t>
            </w:r>
          </w:p>
        </w:tc>
      </w:tr>
      <w:tr>
        <w:tblPrEx>
          <w:tblCellMar>
            <w:top w:w="0" w:type="dxa"/>
            <w:left w:w="0" w:type="dxa"/>
            <w:bottom w:w="0" w:type="dxa"/>
            <w:right w:w="0" w:type="dxa"/>
          </w:tblCellMar>
        </w:tblPrEx>
        <w:trPr>
          <w:trHeight w:val="1426"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kern w:val="0"/>
                <w:sz w:val="20"/>
                <w:szCs w:val="20"/>
                <w:u w:val="none"/>
                <w:lang w:val="en-US" w:eastAsia="zh-CN" w:bidi="ar"/>
              </w:rPr>
              <w:t>组织管理、质量、进度、安全的保障体系及主要措施。</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保障体系齐全、措施有效1.5分；保障体系基本齐全、措施基本有效0.5-0.9分；保障体系不健全≤0.4分。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组织管理机构应健全，应建立领导小组。</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健全明确1分，基本健全明确0.5-0.9分，无内容≤0.4分。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7</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拟派出的总监、总监代表人的职称。</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0"/>
                <w:szCs w:val="20"/>
                <w:u w:val="none"/>
                <w:lang w:val="en-US" w:eastAsia="zh-CN" w:bidi="ar"/>
              </w:rPr>
              <w:t>总监、总监代表人具有全国地质灾害治理工程培训证书1分，没有不得分。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86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8</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主要业绩。</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每提供近三年一项类似业绩并提供证明材料得0.5分，未提供证明材料不得分，本项最高得1.5分。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1.5</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w:t>
            </w:r>
          </w:p>
        </w:tc>
        <w:tc>
          <w:tcPr>
            <w:tcW w:w="3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相关承诺。</w:t>
            </w:r>
          </w:p>
        </w:tc>
        <w:tc>
          <w:tcPr>
            <w:tcW w:w="3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承诺全面0.5分，基本全面0.3分，无承诺不得分。</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0.5</w:t>
            </w:r>
          </w:p>
        </w:tc>
      </w:tr>
      <w:tr>
        <w:tblPrEx>
          <w:tblCellMar>
            <w:top w:w="0" w:type="dxa"/>
            <w:left w:w="0" w:type="dxa"/>
            <w:bottom w:w="0" w:type="dxa"/>
            <w:right w:w="0" w:type="dxa"/>
          </w:tblCellMar>
        </w:tblPrEx>
        <w:trPr>
          <w:trHeight w:val="466" w:hRule="atLeast"/>
          <w:jc w:val="center"/>
        </w:trPr>
        <w:tc>
          <w:tcPr>
            <w:tcW w:w="771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7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r>
    </w:tbl>
    <w:p>
      <w:pPr>
        <w:pStyle w:val="24"/>
        <w:numPr>
          <w:ilvl w:val="0"/>
          <w:numId w:val="0"/>
        </w:numPr>
        <w:rPr>
          <w:rFonts w:hint="eastAsi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技术评分表</w:t>
      </w:r>
    </w:p>
    <w:tbl>
      <w:tblPr>
        <w:tblStyle w:val="35"/>
        <w:tblW w:w="8278" w:type="dxa"/>
        <w:tblInd w:w="0" w:type="dxa"/>
        <w:tblLayout w:type="fixed"/>
        <w:tblCellMar>
          <w:top w:w="0" w:type="dxa"/>
          <w:left w:w="0" w:type="dxa"/>
          <w:bottom w:w="0" w:type="dxa"/>
          <w:right w:w="0" w:type="dxa"/>
        </w:tblCellMar>
      </w:tblPr>
      <w:tblGrid>
        <w:gridCol w:w="622"/>
        <w:gridCol w:w="3776"/>
        <w:gridCol w:w="3119"/>
        <w:gridCol w:w="761"/>
      </w:tblGrid>
      <w:tr>
        <w:tblPrEx>
          <w:tblCellMar>
            <w:top w:w="0" w:type="dxa"/>
            <w:left w:w="0" w:type="dxa"/>
            <w:bottom w:w="0" w:type="dxa"/>
            <w:right w:w="0" w:type="dxa"/>
          </w:tblCellMar>
        </w:tblPrEx>
        <w:trPr>
          <w:trHeight w:val="408"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7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1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CellMar>
            <w:top w:w="0" w:type="dxa"/>
            <w:left w:w="0" w:type="dxa"/>
            <w:bottom w:w="0" w:type="dxa"/>
            <w:right w:w="0" w:type="dxa"/>
          </w:tblCellMar>
        </w:tblPrEx>
        <w:trPr>
          <w:trHeight w:val="408"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7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1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80分</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标书与招标文件的响应性或完整性。</w:t>
            </w:r>
          </w:p>
        </w:tc>
        <w:tc>
          <w:tcPr>
            <w:tcW w:w="31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完全响应和完整8分；部分响应或部分完整4-7分；未响应部分分额较大且不完整≤3分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监理工作范围、内容、目标及依据，监理机构和组织形式健全。</w:t>
            </w:r>
          </w:p>
        </w:tc>
        <w:tc>
          <w:tcPr>
            <w:tcW w:w="31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合理20-24分；较合理14-19分；其他情况≤13分（一项不合理扣2分）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24</w:t>
            </w:r>
          </w:p>
        </w:tc>
      </w:tr>
      <w:tr>
        <w:tblPrEx>
          <w:tblCellMar>
            <w:top w:w="0" w:type="dxa"/>
            <w:left w:w="0" w:type="dxa"/>
            <w:bottom w:w="0" w:type="dxa"/>
            <w:right w:w="0" w:type="dxa"/>
          </w:tblCellMar>
        </w:tblPrEx>
        <w:trPr>
          <w:trHeight w:val="1299"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监理工作程序的合理性，技术要求的可行性。技术要求应符合相关地质灾害工程监理规范</w:t>
            </w:r>
          </w:p>
        </w:tc>
        <w:tc>
          <w:tcPr>
            <w:tcW w:w="31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合理16-20分；较合理10-15分；其他情况≤9分（一项不合理扣2分）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731"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监理工作方法、措施和制度，工程质量控制方法及措施全面合理。</w:t>
            </w:r>
          </w:p>
        </w:tc>
        <w:tc>
          <w:tcPr>
            <w:tcW w:w="31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全面16分；较全面8-15分；其他情况≤7分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1617"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预期成果应包括：监理规划、项目监理实施细则；监理工作总结、质量评估报告；监理工作照片集、监理日志、月报、通知单及相关记录，其他原始资料等</w:t>
            </w:r>
          </w:p>
        </w:tc>
        <w:tc>
          <w:tcPr>
            <w:tcW w:w="31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齐全有效8分；基本齐全有效4-7分；其他情况≤3分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883" w:hRule="atLeast"/>
        </w:trPr>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3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项目负责人及主要技术人员的配备应全面，人员结构应合理。</w:t>
            </w:r>
          </w:p>
        </w:tc>
        <w:tc>
          <w:tcPr>
            <w:tcW w:w="31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人员配置合理4分，较合理≤3分</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528" w:hRule="atLeast"/>
        </w:trPr>
        <w:tc>
          <w:tcPr>
            <w:tcW w:w="751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80</w:t>
            </w:r>
          </w:p>
        </w:tc>
      </w:tr>
    </w:tbl>
    <w:p>
      <w:pPr>
        <w:pStyle w:val="2"/>
        <w:rPr>
          <w:rFonts w:hint="default" w:ascii="仿宋" w:hAnsi="仿宋" w:eastAsia="仿宋" w:cs="仿宋"/>
          <w:sz w:val="24"/>
          <w:lang w:val="en-US" w:eastAsia="zh-CN"/>
        </w:rPr>
      </w:pPr>
    </w:p>
    <w:p>
      <w:pPr>
        <w:bidi w:val="0"/>
        <w:rPr>
          <w:rFonts w:hint="default"/>
          <w:lang w:val="en-US" w:eastAsia="zh-CN"/>
        </w:rPr>
      </w:pPr>
    </w:p>
    <w:p>
      <w:pPr>
        <w:bidi w:val="0"/>
        <w:rPr>
          <w:rFonts w:hint="default"/>
          <w:lang w:val="en-US" w:eastAsia="zh-CN"/>
        </w:rPr>
      </w:pPr>
    </w:p>
    <w:p>
      <w:pPr>
        <w:tabs>
          <w:tab w:val="right" w:pos="9213"/>
        </w:tabs>
        <w:bidi w:val="0"/>
        <w:jc w:val="center"/>
        <w:rPr>
          <w:rFonts w:hint="eastAsia"/>
          <w:lang w:val="en-US" w:eastAsia="zh-CN"/>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lang w:val="en-US" w:eastAsia="zh-CN"/>
        </w:rPr>
      </w:pPr>
      <w:bookmarkStart w:id="257" w:name="_Toc24923"/>
      <w:r>
        <w:rPr>
          <w:rFonts w:hint="eastAsia" w:ascii="仿宋" w:hAnsi="仿宋" w:eastAsia="仿宋" w:cs="仿宋"/>
          <w:b/>
          <w:kern w:val="2"/>
          <w:sz w:val="24"/>
          <w:szCs w:val="20"/>
          <w:lang w:val="en-US" w:eastAsia="zh-CN" w:bidi="ar-SA"/>
        </w:rPr>
        <w:t>报价评分表</w:t>
      </w:r>
      <w:bookmarkEnd w:id="257"/>
    </w:p>
    <w:p>
      <w:pPr>
        <w:pStyle w:val="2"/>
        <w:rPr>
          <w:rFonts w:hint="eastAsia"/>
          <w:lang w:val="en-US" w:eastAsia="zh-CN"/>
        </w:rPr>
      </w:pPr>
    </w:p>
    <w:tbl>
      <w:tblPr>
        <w:tblStyle w:val="3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rPr>
          <w:rFonts w:hint="eastAsia" w:ascii="楷体" w:hAnsi="楷体" w:eastAsia="楷体" w:cs="楷体"/>
          <w:b/>
          <w:color w:val="000000"/>
          <w:sz w:val="24"/>
          <w:lang w:eastAsia="zh-CN"/>
        </w:rPr>
      </w:pPr>
    </w:p>
    <w:p>
      <w:pPr>
        <w:rPr>
          <w:rFonts w:hint="eastAsia"/>
          <w:lang w:eastAsia="zh-CN"/>
        </w:rPr>
      </w:pPr>
      <w:r>
        <w:rPr>
          <w:rFonts w:hint="eastAsia"/>
          <w:lang w:eastAsia="zh-CN"/>
        </w:rPr>
        <w:br w:type="page"/>
      </w:r>
    </w:p>
    <w:p>
      <w:pPr>
        <w:pStyle w:val="33"/>
        <w:rPr>
          <w:rFonts w:hint="eastAsia"/>
          <w:lang w:eastAsia="zh-CN"/>
        </w:rPr>
      </w:pPr>
    </w:p>
    <w:p>
      <w:pPr>
        <w:pStyle w:val="34"/>
        <w:rPr>
          <w:rFonts w:hint="eastAsia"/>
          <w:lang w:eastAsia="zh-CN"/>
        </w:rPr>
      </w:pP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伊犁州2023年中央自然灾害防治体系</w:t>
      </w:r>
    </w:p>
    <w:p>
      <w:pPr>
        <w:pStyle w:val="2"/>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建设项目</w:t>
      </w:r>
    </w:p>
    <w:p>
      <w:pPr>
        <w:pStyle w:val="2"/>
        <w:rPr>
          <w:rFonts w:hint="eastAsia" w:ascii="仿宋" w:hAnsi="仿宋" w:eastAsia="仿宋" w:cs="仿宋"/>
          <w:b/>
          <w:sz w:val="48"/>
          <w:szCs w:val="48"/>
          <w:lang w:val="en-US" w:eastAsia="zh-CN"/>
        </w:rPr>
      </w:pPr>
    </w:p>
    <w:p>
      <w:pPr>
        <w:widowControl/>
        <w:jc w:val="left"/>
        <w:rPr>
          <w:rFonts w:hint="eastAsia" w:ascii="仿宋" w:hAnsi="仿宋" w:eastAsia="仿宋" w:cs="仿宋"/>
        </w:rPr>
      </w:pPr>
    </w:p>
    <w:p>
      <w:pPr>
        <w:pStyle w:val="34"/>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（项目编号：GYZB-YLZDZFZ2023）</w:t>
      </w:r>
    </w:p>
    <w:p>
      <w:pPr>
        <w:pStyle w:val="8"/>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33"/>
        <w:rPr>
          <w:rFonts w:hint="eastAsia" w:ascii="仿宋" w:hAnsi="仿宋" w:eastAsia="仿宋" w:cs="仿宋"/>
          <w:b/>
          <w:sz w:val="52"/>
        </w:rPr>
      </w:pPr>
    </w:p>
    <w:p>
      <w:pPr>
        <w:pStyle w:val="34"/>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lang w:eastAsia="zh-CN"/>
        </w:rPr>
        <w:t>采购代理机构</w:t>
      </w:r>
      <w:r>
        <w:rPr>
          <w:rFonts w:hint="eastAsia" w:ascii="仿宋" w:hAnsi="仿宋" w:eastAsia="仿宋" w:cs="仿宋"/>
          <w:sz w:val="28"/>
          <w:szCs w:val="28"/>
        </w:rPr>
        <w:t>：</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2023年2月</w:t>
      </w:r>
    </w:p>
    <w:p>
      <w:pPr>
        <w:pStyle w:val="34"/>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3"/>
        <w:tabs>
          <w:tab w:val="left" w:pos="0"/>
        </w:tabs>
        <w:spacing w:before="0" w:after="0" w:line="240" w:lineRule="atLeast"/>
        <w:ind w:firstLine="2249" w:firstLineChars="700"/>
        <w:jc w:val="both"/>
        <w:rPr>
          <w:rFonts w:hint="eastAsia" w:ascii="仿宋" w:hAnsi="仿宋" w:eastAsia="仿宋" w:cs="仿宋"/>
        </w:rPr>
      </w:pPr>
      <w:bookmarkStart w:id="258" w:name="_Toc518923128"/>
      <w:bookmarkStart w:id="259" w:name="_Toc23018"/>
      <w:r>
        <w:rPr>
          <w:rFonts w:hint="eastAsia" w:ascii="仿宋" w:hAnsi="仿宋" w:eastAsia="仿宋" w:cs="仿宋"/>
        </w:rPr>
        <w:t>第</w:t>
      </w:r>
      <w:r>
        <w:rPr>
          <w:rFonts w:hint="eastAsia" w:ascii="仿宋" w:hAnsi="仿宋" w:eastAsia="仿宋" w:cs="仿宋"/>
          <w:lang w:val="en-US" w:eastAsia="zh-CN"/>
        </w:rPr>
        <w:t>7</w:t>
      </w:r>
      <w:r>
        <w:rPr>
          <w:rFonts w:hint="eastAsia" w:ascii="仿宋" w:hAnsi="仿宋" w:eastAsia="仿宋" w:cs="仿宋"/>
        </w:rPr>
        <w:t>章  政府采购合同</w:t>
      </w:r>
      <w:bookmarkEnd w:id="249"/>
      <w:bookmarkEnd w:id="258"/>
      <w:bookmarkEnd w:id="259"/>
      <w:bookmarkStart w:id="260" w:name="_Hlt487972895"/>
      <w:bookmarkEnd w:id="260"/>
      <w:bookmarkStart w:id="261" w:name="_Toc216513788"/>
      <w:bookmarkStart w:id="262" w:name="_Toc487900382"/>
    </w:p>
    <w:bookmarkEnd w:id="261"/>
    <w:bookmarkEnd w:id="262"/>
    <w:p>
      <w:pPr>
        <w:pStyle w:val="8"/>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伊犁州</w:t>
      </w:r>
      <w:r>
        <w:rPr>
          <w:rFonts w:hint="eastAsia" w:ascii="仿宋" w:hAnsi="仿宋" w:eastAsia="仿宋" w:cs="仿宋"/>
          <w:b/>
          <w:bCs/>
          <w:sz w:val="28"/>
          <w:szCs w:val="28"/>
        </w:rPr>
        <w:t>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9"/>
        <w:spacing w:before="120" w:line="22" w:lineRule="atLeast"/>
        <w:rPr>
          <w:rFonts w:hint="eastAsia" w:ascii="仿宋" w:hAnsi="仿宋" w:eastAsia="仿宋" w:cs="仿宋"/>
          <w:sz w:val="24"/>
          <w:szCs w:val="24"/>
        </w:rPr>
      </w:pPr>
    </w:p>
    <w:p>
      <w:pPr>
        <w:pStyle w:val="49"/>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伊犁哈萨克自治州自然资源局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263" w:name="_Toc19273"/>
      <w:bookmarkStart w:id="264" w:name="_Toc20421"/>
      <w:bookmarkStart w:id="265" w:name="_Toc22967"/>
      <w:bookmarkStart w:id="266" w:name="_Toc28855"/>
      <w:bookmarkStart w:id="267" w:name="_Toc15367"/>
      <w:r>
        <w:rPr>
          <w:rFonts w:hint="eastAsia" w:ascii="仿宋" w:hAnsi="仿宋" w:eastAsia="仿宋" w:cs="仿宋"/>
          <w:b/>
          <w:bCs/>
          <w:sz w:val="24"/>
          <w:szCs w:val="24"/>
        </w:rPr>
        <w:t>1.1 合同组成部分</w:t>
      </w:r>
      <w:bookmarkEnd w:id="263"/>
      <w:bookmarkEnd w:id="264"/>
      <w:bookmarkEnd w:id="265"/>
      <w:bookmarkEnd w:id="266"/>
      <w:bookmarkEnd w:id="26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1.1.4 </w:t>
      </w:r>
      <w:r>
        <w:rPr>
          <w:rFonts w:hint="eastAsia" w:ascii="仿宋" w:hAnsi="仿宋" w:eastAsia="仿宋" w:cs="仿宋"/>
          <w:sz w:val="24"/>
          <w:szCs w:val="24"/>
          <w:lang w:eastAsia="zh-CN"/>
        </w:rPr>
        <w:t>采购文件</w:t>
      </w:r>
      <w:r>
        <w:rPr>
          <w:rFonts w:hint="eastAsia" w:ascii="仿宋" w:hAnsi="仿宋" w:eastAsia="仿宋" w:cs="仿宋"/>
          <w:sz w:val="24"/>
          <w:szCs w:val="24"/>
        </w:rPr>
        <w:t>（含澄清或者修改文件）；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268" w:name="_Toc2918"/>
      <w:bookmarkStart w:id="269" w:name="_Toc22185"/>
      <w:bookmarkStart w:id="270" w:name="_Toc18585"/>
      <w:bookmarkStart w:id="271" w:name="_Toc6773"/>
      <w:bookmarkStart w:id="272" w:name="_Toc6311"/>
      <w:r>
        <w:rPr>
          <w:rFonts w:hint="eastAsia" w:ascii="仿宋" w:hAnsi="仿宋" w:eastAsia="仿宋" w:cs="仿宋"/>
          <w:b/>
          <w:bCs/>
          <w:sz w:val="24"/>
          <w:szCs w:val="24"/>
        </w:rPr>
        <w:t>1.2 标的</w:t>
      </w:r>
      <w:bookmarkEnd w:id="268"/>
      <w:bookmarkEnd w:id="269"/>
      <w:bookmarkEnd w:id="270"/>
      <w:bookmarkEnd w:id="271"/>
      <w:bookmarkEnd w:id="272"/>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273" w:name="_Toc1386"/>
      <w:bookmarkStart w:id="274" w:name="_Toc4929"/>
      <w:bookmarkStart w:id="275" w:name="_Toc13918"/>
      <w:bookmarkStart w:id="276" w:name="_Toc5635"/>
      <w:bookmarkStart w:id="277" w:name="_Toc21124"/>
      <w:r>
        <w:rPr>
          <w:rFonts w:hint="eastAsia" w:ascii="仿宋" w:hAnsi="仿宋" w:eastAsia="仿宋" w:cs="仿宋"/>
          <w:b/>
          <w:bCs/>
          <w:sz w:val="24"/>
          <w:szCs w:val="24"/>
        </w:rPr>
        <w:t>1.3 价款</w:t>
      </w:r>
      <w:bookmarkEnd w:id="273"/>
      <w:bookmarkEnd w:id="274"/>
      <w:bookmarkEnd w:id="275"/>
      <w:bookmarkEnd w:id="276"/>
      <w:bookmarkEnd w:id="27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3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0"/>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50"/>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50"/>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50"/>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278" w:name="_Toc30158"/>
      <w:bookmarkStart w:id="279" w:name="_Toc14993"/>
      <w:bookmarkStart w:id="280" w:name="_Toc3654"/>
      <w:bookmarkStart w:id="281" w:name="_Toc26916"/>
      <w:bookmarkStart w:id="282" w:name="_Toc30506"/>
      <w:r>
        <w:rPr>
          <w:rFonts w:hint="eastAsia" w:ascii="仿宋" w:hAnsi="仿宋" w:eastAsia="仿宋" w:cs="仿宋"/>
          <w:b/>
          <w:bCs/>
          <w:sz w:val="24"/>
          <w:szCs w:val="24"/>
        </w:rPr>
        <w:t>1.4 付款方式和发票开具方式</w:t>
      </w:r>
      <w:bookmarkEnd w:id="278"/>
      <w:bookmarkEnd w:id="279"/>
      <w:bookmarkEnd w:id="280"/>
      <w:bookmarkEnd w:id="281"/>
      <w:bookmarkEnd w:id="282"/>
    </w:p>
    <w:p>
      <w:pPr>
        <w:pStyle w:val="14"/>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详见采购文件要求。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283" w:name="_Toc8772"/>
      <w:bookmarkStart w:id="284" w:name="_Toc3625"/>
      <w:bookmarkStart w:id="285" w:name="_Toc4760"/>
      <w:bookmarkStart w:id="286" w:name="_Toc11108"/>
      <w:bookmarkStart w:id="287" w:name="_Toc31421"/>
      <w:r>
        <w:rPr>
          <w:rFonts w:hint="eastAsia" w:ascii="仿宋" w:hAnsi="仿宋" w:eastAsia="仿宋" w:cs="仿宋"/>
          <w:b/>
          <w:bCs/>
          <w:sz w:val="24"/>
          <w:szCs w:val="24"/>
        </w:rPr>
        <w:t>1.5 履行期限、地点和方式</w:t>
      </w:r>
      <w:bookmarkEnd w:id="283"/>
      <w:bookmarkEnd w:id="284"/>
      <w:bookmarkEnd w:id="285"/>
      <w:bookmarkEnd w:id="286"/>
      <w:bookmarkEnd w:id="287"/>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 xml:space="preserve">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288" w:name="_Toc3079"/>
      <w:bookmarkStart w:id="289" w:name="_Toc5698"/>
      <w:bookmarkStart w:id="290" w:name="_Toc8586"/>
      <w:bookmarkStart w:id="291" w:name="_Toc2375"/>
      <w:bookmarkStart w:id="292" w:name="_Toc24662"/>
      <w:r>
        <w:rPr>
          <w:rFonts w:hint="eastAsia" w:ascii="仿宋" w:hAnsi="仿宋" w:eastAsia="仿宋" w:cs="仿宋"/>
          <w:b/>
          <w:bCs/>
          <w:sz w:val="24"/>
          <w:szCs w:val="24"/>
        </w:rPr>
        <w:t>1.6 违约责任</w:t>
      </w:r>
      <w:bookmarkEnd w:id="288"/>
      <w:bookmarkEnd w:id="289"/>
      <w:bookmarkEnd w:id="290"/>
      <w:bookmarkEnd w:id="291"/>
      <w:bookmarkEnd w:id="292"/>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293" w:name="_Toc32454"/>
      <w:bookmarkStart w:id="294" w:name="_Toc26807"/>
      <w:bookmarkStart w:id="295" w:name="_Toc30329"/>
      <w:bookmarkStart w:id="296" w:name="_Toc9497"/>
      <w:bookmarkStart w:id="297" w:name="_Toc18683"/>
      <w:r>
        <w:rPr>
          <w:rFonts w:hint="eastAsia" w:ascii="仿宋" w:hAnsi="仿宋" w:eastAsia="仿宋" w:cs="仿宋"/>
          <w:b/>
          <w:bCs/>
          <w:sz w:val="24"/>
          <w:szCs w:val="24"/>
        </w:rPr>
        <w:t>1.7 合同争议的解决</w:t>
      </w:r>
      <w:bookmarkEnd w:id="293"/>
      <w:bookmarkEnd w:id="294"/>
      <w:bookmarkEnd w:id="295"/>
      <w:bookmarkEnd w:id="296"/>
      <w:bookmarkEnd w:id="29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lang w:val="en-US" w:eastAsia="zh-CN"/>
        </w:rPr>
        <w:t>伊宁</w:t>
      </w:r>
      <w:r>
        <w:rPr>
          <w:rFonts w:hint="eastAsia" w:ascii="仿宋" w:hAnsi="仿宋" w:eastAsia="仿宋" w:cs="仿宋"/>
          <w:sz w:val="24"/>
          <w:szCs w:val="24"/>
          <w:u w:val="single"/>
        </w:rPr>
        <w:t>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298" w:name="_Toc26227"/>
      <w:bookmarkStart w:id="299" w:name="_Toc23784"/>
      <w:bookmarkStart w:id="300" w:name="_Toc16417"/>
      <w:bookmarkStart w:id="301" w:name="_Toc12273"/>
      <w:bookmarkStart w:id="302" w:name="_Toc15827"/>
      <w:r>
        <w:rPr>
          <w:rFonts w:hint="eastAsia" w:ascii="仿宋" w:hAnsi="仿宋" w:eastAsia="仿宋" w:cs="仿宋"/>
          <w:b/>
          <w:bCs/>
          <w:sz w:val="24"/>
          <w:szCs w:val="24"/>
        </w:rPr>
        <w:t>1.8 合同生效</w:t>
      </w:r>
      <w:bookmarkEnd w:id="298"/>
      <w:bookmarkEnd w:id="299"/>
      <w:bookmarkEnd w:id="300"/>
      <w:bookmarkEnd w:id="301"/>
      <w:bookmarkEnd w:id="302"/>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303" w:name="_Toc5228"/>
      <w:bookmarkStart w:id="304" w:name="_Toc14021"/>
      <w:bookmarkStart w:id="305" w:name="_Toc25079"/>
      <w:bookmarkStart w:id="306" w:name="_Toc31297"/>
      <w:bookmarkStart w:id="307" w:name="_Toc19680"/>
      <w:r>
        <w:rPr>
          <w:rFonts w:hint="eastAsia" w:ascii="仿宋" w:hAnsi="仿宋" w:eastAsia="仿宋" w:cs="仿宋"/>
          <w:b/>
          <w:bCs/>
          <w:sz w:val="24"/>
          <w:szCs w:val="24"/>
        </w:rPr>
        <w:t>2.1 定义</w:t>
      </w:r>
      <w:bookmarkEnd w:id="303"/>
      <w:bookmarkEnd w:id="304"/>
      <w:bookmarkEnd w:id="305"/>
      <w:bookmarkEnd w:id="306"/>
      <w:bookmarkEnd w:id="30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308" w:name="_Toc19539"/>
      <w:bookmarkStart w:id="309" w:name="_Toc23289"/>
      <w:bookmarkStart w:id="310" w:name="_Toc3769"/>
      <w:bookmarkStart w:id="311" w:name="_Toc16752"/>
      <w:bookmarkStart w:id="312" w:name="_Toc31402"/>
      <w:r>
        <w:rPr>
          <w:rFonts w:hint="eastAsia" w:ascii="仿宋" w:hAnsi="仿宋" w:eastAsia="仿宋" w:cs="仿宋"/>
          <w:b/>
          <w:bCs/>
          <w:sz w:val="24"/>
          <w:szCs w:val="24"/>
        </w:rPr>
        <w:t>2.2 技术规范</w:t>
      </w:r>
      <w:bookmarkEnd w:id="308"/>
      <w:bookmarkEnd w:id="309"/>
      <w:bookmarkEnd w:id="310"/>
      <w:bookmarkEnd w:id="311"/>
      <w:bookmarkEnd w:id="312"/>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313" w:name="_Toc12412"/>
      <w:bookmarkStart w:id="314" w:name="_Toc4133"/>
      <w:bookmarkStart w:id="315" w:name="_Toc13673"/>
      <w:bookmarkStart w:id="316" w:name="_Toc9161"/>
      <w:bookmarkStart w:id="317" w:name="_Toc27945"/>
      <w:r>
        <w:rPr>
          <w:rFonts w:hint="eastAsia" w:ascii="仿宋" w:hAnsi="仿宋" w:eastAsia="仿宋" w:cs="仿宋"/>
          <w:b/>
          <w:bCs/>
          <w:sz w:val="24"/>
          <w:szCs w:val="24"/>
        </w:rPr>
        <w:t>2.3 知识产权</w:t>
      </w:r>
      <w:bookmarkEnd w:id="313"/>
      <w:bookmarkEnd w:id="314"/>
      <w:bookmarkEnd w:id="315"/>
      <w:bookmarkEnd w:id="316"/>
      <w:bookmarkEnd w:id="31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w:t>
      </w:r>
      <w:r>
        <w:rPr>
          <w:rFonts w:hint="eastAsia" w:ascii="仿宋" w:hAnsi="仿宋" w:eastAsia="仿宋" w:cs="仿宋"/>
          <w:sz w:val="24"/>
          <w:szCs w:val="24"/>
          <w:lang w:eastAsia="zh-CN"/>
        </w:rPr>
        <w:t>采购需求</w:t>
      </w:r>
      <w:r>
        <w:rPr>
          <w:rFonts w:hint="eastAsia" w:ascii="仿宋" w:hAnsi="仿宋" w:eastAsia="仿宋" w:cs="仿宋"/>
          <w:sz w:val="24"/>
          <w:szCs w:val="24"/>
        </w:rPr>
        <w:t>，但不得因履约检查妨碍乙方的正常工作，乙方应予积极配合；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318" w:name="_Toc30507"/>
      <w:bookmarkStart w:id="319" w:name="_Toc18990"/>
      <w:bookmarkStart w:id="320" w:name="_Toc16163"/>
      <w:bookmarkStart w:id="321" w:name="_Toc13154"/>
      <w:bookmarkStart w:id="322" w:name="_Toc13467"/>
      <w:r>
        <w:rPr>
          <w:rFonts w:hint="eastAsia" w:ascii="仿宋" w:hAnsi="仿宋" w:eastAsia="仿宋" w:cs="仿宋"/>
          <w:b/>
          <w:bCs/>
          <w:sz w:val="24"/>
          <w:szCs w:val="24"/>
        </w:rPr>
        <w:t>2.5 技术资料和保密义务</w:t>
      </w:r>
      <w:bookmarkEnd w:id="318"/>
      <w:bookmarkEnd w:id="319"/>
      <w:bookmarkEnd w:id="320"/>
      <w:bookmarkEnd w:id="321"/>
      <w:bookmarkEnd w:id="322"/>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323" w:name="_Toc19069"/>
      <w:r>
        <w:rPr>
          <w:rFonts w:hint="eastAsia" w:ascii="仿宋" w:hAnsi="仿宋" w:eastAsia="仿宋" w:cs="仿宋"/>
          <w:b/>
          <w:bCs/>
          <w:sz w:val="24"/>
          <w:szCs w:val="24"/>
        </w:rPr>
        <w:t>2.6 质量保证</w:t>
      </w:r>
      <w:bookmarkEnd w:id="32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324" w:name="_Toc22267"/>
      <w:r>
        <w:rPr>
          <w:rFonts w:hint="eastAsia" w:ascii="仿宋" w:hAnsi="仿宋" w:eastAsia="仿宋" w:cs="仿宋"/>
          <w:b/>
          <w:bCs/>
          <w:sz w:val="24"/>
          <w:szCs w:val="24"/>
        </w:rPr>
        <w:t>2.7 延迟履行</w:t>
      </w:r>
      <w:bookmarkEnd w:id="32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325" w:name="_Toc10611"/>
      <w:r>
        <w:rPr>
          <w:rFonts w:hint="eastAsia" w:ascii="仿宋" w:hAnsi="仿宋" w:eastAsia="仿宋" w:cs="仿宋"/>
          <w:b/>
          <w:bCs/>
          <w:sz w:val="24"/>
          <w:szCs w:val="24"/>
        </w:rPr>
        <w:t>2.8 合同变更</w:t>
      </w:r>
      <w:bookmarkEnd w:id="32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26" w:name="_Toc23368"/>
      <w:bookmarkStart w:id="327" w:name="_Toc21830"/>
      <w:bookmarkStart w:id="328" w:name="_Toc42"/>
      <w:bookmarkStart w:id="329" w:name="_Toc26689"/>
      <w:bookmarkStart w:id="330" w:name="_Toc10663"/>
      <w:r>
        <w:rPr>
          <w:rFonts w:hint="eastAsia" w:ascii="仿宋" w:hAnsi="仿宋" w:eastAsia="仿宋" w:cs="仿宋"/>
          <w:b/>
          <w:bCs/>
          <w:sz w:val="24"/>
          <w:szCs w:val="24"/>
        </w:rPr>
        <w:t>2.9 合同转让和分包</w:t>
      </w:r>
      <w:bookmarkEnd w:id="326"/>
      <w:bookmarkEnd w:id="327"/>
      <w:bookmarkEnd w:id="328"/>
      <w:bookmarkEnd w:id="329"/>
      <w:bookmarkEnd w:id="33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331" w:name="_Toc4720"/>
      <w:bookmarkStart w:id="332" w:name="_Toc14371"/>
      <w:bookmarkStart w:id="333" w:name="_Toc25571"/>
      <w:bookmarkStart w:id="334" w:name="_Toc26633"/>
      <w:bookmarkStart w:id="335" w:name="_Toc32494"/>
      <w:r>
        <w:rPr>
          <w:rFonts w:hint="eastAsia" w:ascii="仿宋" w:hAnsi="仿宋" w:eastAsia="仿宋" w:cs="仿宋"/>
          <w:b/>
          <w:bCs/>
          <w:sz w:val="24"/>
          <w:szCs w:val="24"/>
        </w:rPr>
        <w:t>2.10 不可抗力</w:t>
      </w:r>
      <w:bookmarkEnd w:id="331"/>
      <w:bookmarkEnd w:id="332"/>
      <w:bookmarkEnd w:id="333"/>
      <w:bookmarkEnd w:id="334"/>
      <w:bookmarkEnd w:id="33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336" w:name="_Toc25783"/>
      <w:bookmarkStart w:id="337" w:name="_Toc14115"/>
      <w:bookmarkStart w:id="338" w:name="_Toc3638"/>
      <w:bookmarkStart w:id="339" w:name="_Toc24465"/>
      <w:bookmarkStart w:id="340" w:name="_Toc23854"/>
      <w:r>
        <w:rPr>
          <w:rFonts w:hint="eastAsia" w:ascii="仿宋" w:hAnsi="仿宋" w:eastAsia="仿宋" w:cs="仿宋"/>
          <w:b/>
          <w:bCs/>
          <w:sz w:val="24"/>
          <w:szCs w:val="24"/>
        </w:rPr>
        <w:t>2.11 税费</w:t>
      </w:r>
      <w:bookmarkEnd w:id="336"/>
      <w:bookmarkEnd w:id="337"/>
      <w:bookmarkEnd w:id="338"/>
      <w:bookmarkEnd w:id="339"/>
      <w:bookmarkEnd w:id="34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341" w:name="_Toc25525"/>
      <w:bookmarkStart w:id="342" w:name="_Toc7315"/>
      <w:bookmarkStart w:id="343" w:name="_Toc14814"/>
      <w:bookmarkStart w:id="344" w:name="_Toc26883"/>
      <w:bookmarkStart w:id="345" w:name="_Toc30105"/>
      <w:r>
        <w:rPr>
          <w:rFonts w:hint="eastAsia" w:ascii="仿宋" w:hAnsi="仿宋" w:eastAsia="仿宋" w:cs="仿宋"/>
          <w:b/>
          <w:bCs/>
          <w:sz w:val="24"/>
          <w:szCs w:val="24"/>
        </w:rPr>
        <w:t>2.12 乙方破产</w:t>
      </w:r>
      <w:bookmarkEnd w:id="341"/>
      <w:bookmarkEnd w:id="342"/>
      <w:bookmarkEnd w:id="343"/>
      <w:bookmarkEnd w:id="344"/>
      <w:bookmarkEnd w:id="34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346" w:name="_Toc23323"/>
      <w:bookmarkStart w:id="347" w:name="_Toc1123"/>
      <w:bookmarkStart w:id="348" w:name="_Toc2016"/>
      <w:r>
        <w:rPr>
          <w:rFonts w:hint="eastAsia" w:ascii="仿宋" w:hAnsi="仿宋" w:eastAsia="仿宋" w:cs="仿宋"/>
          <w:b/>
          <w:bCs/>
          <w:sz w:val="24"/>
          <w:szCs w:val="24"/>
        </w:rPr>
        <w:t>2.13 合同中止、终止</w:t>
      </w:r>
      <w:bookmarkEnd w:id="346"/>
      <w:bookmarkEnd w:id="347"/>
      <w:bookmarkEnd w:id="34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49" w:name="_Toc17363"/>
      <w:bookmarkStart w:id="350" w:name="_Toc1969"/>
      <w:bookmarkStart w:id="351" w:name="_Toc14525"/>
      <w:r>
        <w:rPr>
          <w:rFonts w:hint="eastAsia" w:ascii="仿宋" w:hAnsi="仿宋" w:eastAsia="仿宋" w:cs="仿宋"/>
          <w:b/>
          <w:bCs/>
          <w:sz w:val="24"/>
          <w:szCs w:val="24"/>
        </w:rPr>
        <w:t>2.14 检验和验收</w:t>
      </w:r>
      <w:bookmarkEnd w:id="349"/>
      <w:bookmarkEnd w:id="350"/>
      <w:bookmarkEnd w:id="351"/>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352" w:name="_Toc25198"/>
      <w:bookmarkStart w:id="353" w:name="_Toc31892"/>
      <w:bookmarkStart w:id="354" w:name="_Toc9808"/>
      <w:bookmarkStart w:id="355" w:name="_Toc12666"/>
      <w:bookmarkStart w:id="356" w:name="_Toc2308"/>
      <w:r>
        <w:rPr>
          <w:rFonts w:hint="eastAsia" w:ascii="仿宋" w:hAnsi="仿宋" w:eastAsia="仿宋" w:cs="仿宋"/>
          <w:b/>
          <w:bCs/>
          <w:sz w:val="24"/>
          <w:szCs w:val="24"/>
        </w:rPr>
        <w:t>2.15 通知和送达</w:t>
      </w:r>
      <w:bookmarkEnd w:id="352"/>
      <w:bookmarkEnd w:id="353"/>
      <w:bookmarkEnd w:id="354"/>
      <w:bookmarkEnd w:id="355"/>
      <w:bookmarkEnd w:id="356"/>
    </w:p>
    <w:p>
      <w:pPr>
        <w:spacing w:line="560" w:lineRule="exact"/>
        <w:ind w:firstLine="480" w:firstLineChars="200"/>
        <w:rPr>
          <w:rFonts w:hint="eastAsia" w:ascii="仿宋" w:hAnsi="仿宋" w:eastAsia="仿宋" w:cs="仿宋"/>
          <w:sz w:val="24"/>
          <w:szCs w:val="24"/>
        </w:rPr>
      </w:pPr>
      <w:bookmarkStart w:id="357" w:name="_Toc7073"/>
      <w:bookmarkStart w:id="358" w:name="_Toc29220"/>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357"/>
      <w:bookmarkEnd w:id="358"/>
    </w:p>
    <w:p>
      <w:pPr>
        <w:spacing w:line="560" w:lineRule="exact"/>
        <w:ind w:firstLine="480" w:firstLineChars="200"/>
        <w:rPr>
          <w:rFonts w:hint="eastAsia" w:ascii="仿宋" w:hAnsi="仿宋" w:eastAsia="仿宋" w:cs="仿宋"/>
          <w:sz w:val="24"/>
          <w:szCs w:val="24"/>
        </w:rPr>
      </w:pPr>
      <w:bookmarkStart w:id="359" w:name="_Toc27674"/>
      <w:bookmarkStart w:id="360" w:name="_Toc18401"/>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9"/>
      <w:bookmarkEnd w:id="360"/>
    </w:p>
    <w:p>
      <w:pPr>
        <w:spacing w:line="560" w:lineRule="exact"/>
        <w:ind w:firstLine="482" w:firstLineChars="200"/>
        <w:outlineLvl w:val="0"/>
        <w:rPr>
          <w:rFonts w:hint="eastAsia" w:ascii="仿宋" w:hAnsi="仿宋" w:eastAsia="仿宋" w:cs="仿宋"/>
          <w:b/>
          <w:bCs/>
          <w:sz w:val="24"/>
          <w:szCs w:val="24"/>
        </w:rPr>
      </w:pPr>
      <w:bookmarkStart w:id="361" w:name="_Toc27644"/>
      <w:bookmarkStart w:id="362" w:name="_Toc28906"/>
      <w:bookmarkStart w:id="363" w:name="_Toc5063"/>
      <w:bookmarkStart w:id="364" w:name="_Toc20808"/>
      <w:bookmarkStart w:id="365" w:name="_Toc12254"/>
      <w:r>
        <w:rPr>
          <w:rFonts w:hint="eastAsia" w:ascii="仿宋" w:hAnsi="仿宋" w:eastAsia="仿宋" w:cs="仿宋"/>
          <w:b/>
          <w:bCs/>
          <w:sz w:val="24"/>
          <w:szCs w:val="24"/>
        </w:rPr>
        <w:t>2.16 合同使用的文字和适用的法律</w:t>
      </w:r>
      <w:bookmarkEnd w:id="361"/>
      <w:bookmarkEnd w:id="362"/>
      <w:bookmarkEnd w:id="363"/>
      <w:bookmarkEnd w:id="364"/>
      <w:bookmarkEnd w:id="36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366" w:name="_Toc27127"/>
      <w:bookmarkStart w:id="367" w:name="_Toc30096"/>
      <w:bookmarkStart w:id="368" w:name="_Toc27403"/>
      <w:bookmarkStart w:id="369" w:name="_Toc1492"/>
      <w:bookmarkStart w:id="370" w:name="_Toc22266"/>
      <w:r>
        <w:rPr>
          <w:rFonts w:hint="eastAsia" w:ascii="仿宋" w:hAnsi="仿宋" w:eastAsia="仿宋" w:cs="仿宋"/>
          <w:b/>
          <w:bCs/>
          <w:sz w:val="24"/>
          <w:szCs w:val="24"/>
        </w:rPr>
        <w:t>2.17 履约保证金</w:t>
      </w:r>
      <w:bookmarkEnd w:id="366"/>
      <w:bookmarkEnd w:id="367"/>
      <w:bookmarkEnd w:id="368"/>
      <w:bookmarkEnd w:id="369"/>
      <w:bookmarkEnd w:id="370"/>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8"/>
        <w:rPr>
          <w:rFonts w:hint="eastAsia" w:ascii="仿宋" w:hAnsi="仿宋" w:eastAsia="仿宋" w:cs="仿宋"/>
          <w:sz w:val="28"/>
          <w:szCs w:val="21"/>
          <w:highlight w:val="red"/>
        </w:rPr>
      </w:pPr>
    </w:p>
    <w:p>
      <w:pPr>
        <w:pStyle w:val="8"/>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34"/>
        <w:rPr>
          <w:rFonts w:hint="eastAsia" w:ascii="仿宋" w:hAnsi="仿宋" w:eastAsia="仿宋" w:cs="仿宋"/>
          <w:kern w:val="44"/>
          <w:sz w:val="28"/>
          <w:szCs w:val="28"/>
        </w:rPr>
      </w:pPr>
    </w:p>
    <w:p>
      <w:pPr>
        <w:pStyle w:val="33"/>
        <w:rPr>
          <w:rFonts w:hint="eastAsia" w:ascii="仿宋" w:hAnsi="仿宋" w:eastAsia="仿宋" w:cs="仿宋"/>
          <w:kern w:val="44"/>
          <w:sz w:val="28"/>
          <w:szCs w:val="28"/>
        </w:rPr>
      </w:pPr>
    </w:p>
    <w:p>
      <w:pPr>
        <w:pStyle w:val="34"/>
        <w:rPr>
          <w:rFonts w:hint="eastAsia" w:ascii="仿宋" w:hAnsi="仿宋" w:eastAsia="仿宋" w:cs="仿宋"/>
          <w:kern w:val="44"/>
          <w:sz w:val="28"/>
          <w:szCs w:val="28"/>
        </w:rPr>
      </w:pPr>
    </w:p>
    <w:p>
      <w:pPr>
        <w:pStyle w:val="33"/>
        <w:rPr>
          <w:rFonts w:hint="eastAsia" w:ascii="仿宋" w:hAnsi="仿宋" w:eastAsia="仿宋" w:cs="仿宋"/>
          <w:kern w:val="44"/>
          <w:sz w:val="28"/>
          <w:szCs w:val="28"/>
        </w:rPr>
      </w:pPr>
    </w:p>
    <w:p>
      <w:pPr>
        <w:pStyle w:val="34"/>
        <w:rPr>
          <w:rFonts w:hint="eastAsia" w:ascii="仿宋" w:hAnsi="仿宋" w:eastAsia="仿宋" w:cs="仿宋"/>
          <w:kern w:val="44"/>
          <w:sz w:val="28"/>
          <w:szCs w:val="28"/>
        </w:rPr>
      </w:pPr>
    </w:p>
    <w:p>
      <w:pPr>
        <w:pStyle w:val="33"/>
        <w:rPr>
          <w:rFonts w:hint="eastAsia" w:ascii="仿宋" w:hAnsi="仿宋" w:eastAsia="仿宋" w:cs="仿宋"/>
          <w:kern w:val="44"/>
          <w:sz w:val="28"/>
          <w:szCs w:val="28"/>
        </w:rPr>
      </w:pPr>
    </w:p>
    <w:p>
      <w:pPr>
        <w:pStyle w:val="34"/>
        <w:rPr>
          <w:rFonts w:hint="eastAsia" w:ascii="仿宋" w:hAnsi="仿宋" w:eastAsia="仿宋" w:cs="仿宋"/>
          <w:kern w:val="44"/>
          <w:sz w:val="28"/>
          <w:szCs w:val="28"/>
        </w:rPr>
      </w:pPr>
    </w:p>
    <w:p>
      <w:pPr>
        <w:pStyle w:val="4"/>
        <w:spacing w:before="0" w:line="240" w:lineRule="atLeast"/>
        <w:jc w:val="both"/>
        <w:rPr>
          <w:rFonts w:hint="eastAsia" w:ascii="仿宋" w:hAnsi="仿宋" w:eastAsia="仿宋" w:cs="仿宋"/>
          <w:sz w:val="24"/>
        </w:rPr>
      </w:pPr>
    </w:p>
    <w:sectPr>
      <w:headerReference r:id="rId11" w:type="default"/>
      <w:footerReference r:id="rId12"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9"/>
                            <w:rPr>
                              <w:rStyle w:val="39"/>
                            </w:rPr>
                          </w:pPr>
                          <w:r>
                            <w:fldChar w:fldCharType="begin"/>
                          </w:r>
                          <w:r>
                            <w:rPr>
                              <w:rStyle w:val="39"/>
                            </w:rPr>
                            <w:instrText xml:space="preserve">PAGE  </w:instrText>
                          </w:r>
                          <w:r>
                            <w:fldChar w:fldCharType="separate"/>
                          </w:r>
                          <w:r>
                            <w:rPr>
                              <w:rStyle w:val="39"/>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19"/>
                      <w:rPr>
                        <w:rStyle w:val="39"/>
                      </w:rPr>
                    </w:pPr>
                    <w:r>
                      <w:fldChar w:fldCharType="begin"/>
                    </w:r>
                    <w:r>
                      <w:rPr>
                        <w:rStyle w:val="39"/>
                      </w:rPr>
                      <w:instrText xml:space="preserve">PAGE  </w:instrText>
                    </w:r>
                    <w:r>
                      <w:fldChar w:fldCharType="separate"/>
                    </w:r>
                    <w:r>
                      <w:rPr>
                        <w:rStyle w:val="39"/>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9"/>
                            <w:rPr>
                              <w:rStyle w:val="39"/>
                            </w:rPr>
                          </w:pPr>
                          <w:r>
                            <w:fldChar w:fldCharType="begin"/>
                          </w:r>
                          <w:r>
                            <w:rPr>
                              <w:rStyle w:val="39"/>
                            </w:rPr>
                            <w:instrText xml:space="preserve">PAGE  </w:instrText>
                          </w:r>
                          <w:r>
                            <w:fldChar w:fldCharType="separate"/>
                          </w:r>
                          <w:r>
                            <w:rPr>
                              <w:rStyle w:val="39"/>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19"/>
                      <w:rPr>
                        <w:rStyle w:val="39"/>
                      </w:rPr>
                    </w:pPr>
                    <w:r>
                      <w:fldChar w:fldCharType="begin"/>
                    </w:r>
                    <w:r>
                      <w:rPr>
                        <w:rStyle w:val="39"/>
                      </w:rPr>
                      <w:instrText xml:space="preserve">PAGE  </w:instrText>
                    </w:r>
                    <w:r>
                      <w:fldChar w:fldCharType="separate"/>
                    </w:r>
                    <w:r>
                      <w:rPr>
                        <w:rStyle w:val="39"/>
                      </w:rP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9"/>
      </w:rPr>
    </w:pPr>
    <w:r>
      <w:fldChar w:fldCharType="begin"/>
    </w:r>
    <w:r>
      <w:rPr>
        <w:rStyle w:val="39"/>
      </w:rPr>
      <w:instrText xml:space="preserve">PAGE  </w:instrTex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9"/>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FFFA1"/>
    <w:multiLevelType w:val="singleLevel"/>
    <w:tmpl w:val="B9AFFFA1"/>
    <w:lvl w:ilvl="0" w:tentative="0">
      <w:start w:val="2"/>
      <w:numFmt w:val="decimal"/>
      <w:suff w:val="space"/>
      <w:lvlText w:val="第%1章"/>
      <w:lvlJc w:val="left"/>
    </w:lvl>
  </w:abstractNum>
  <w:abstractNum w:abstractNumId="1">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41DF016E"/>
    <w:multiLevelType w:val="singleLevel"/>
    <w:tmpl w:val="41DF016E"/>
    <w:lvl w:ilvl="0" w:tentative="0">
      <w:start w:val="2"/>
      <w:numFmt w:val="chineseCounting"/>
      <w:suff w:val="space"/>
      <w:lvlText w:val="第%1部分"/>
      <w:lvlJc w:val="left"/>
      <w:rPr>
        <w:rFonts w:hint="eastAsia"/>
      </w:rPr>
    </w:lvl>
  </w:abstractNum>
  <w:abstractNum w:abstractNumId="4">
    <w:nsid w:val="53F98F85"/>
    <w:multiLevelType w:val="singleLevel"/>
    <w:tmpl w:val="53F98F85"/>
    <w:lvl w:ilvl="0" w:tentative="0">
      <w:start w:val="2"/>
      <w:numFmt w:val="chineseCounting"/>
      <w:suff w:val="nothing"/>
      <w:lvlText w:val="（%1）"/>
      <w:lvlJc w:val="left"/>
    </w:lvl>
  </w:abstractNum>
  <w:abstractNum w:abstractNumId="5">
    <w:nsid w:val="6B02DAB2"/>
    <w:multiLevelType w:val="singleLevel"/>
    <w:tmpl w:val="6B02DAB2"/>
    <w:lvl w:ilvl="0" w:tentative="0">
      <w:start w:val="3"/>
      <w:numFmt w:val="chineseCounting"/>
      <w:pStyle w:val="48"/>
      <w:suff w:val="nothing"/>
      <w:lvlText w:val="%1、"/>
      <w:lvlJc w:val="left"/>
      <w:rPr>
        <w:rFonts w:hint="eastAsia"/>
      </w:rPr>
    </w:lvl>
  </w:abstractNum>
  <w:abstractNum w:abstractNumId="6">
    <w:nsid w:val="73D2D7EA"/>
    <w:multiLevelType w:val="singleLevel"/>
    <w:tmpl w:val="73D2D7EA"/>
    <w:lvl w:ilvl="0" w:tentative="0">
      <w:start w:val="10"/>
      <w:numFmt w:val="chineseCounting"/>
      <w:suff w:val="nothing"/>
      <w:lvlText w:val="%1、"/>
      <w:lvlJc w:val="left"/>
      <w:rPr>
        <w:rFonts w:hint="eastAsia"/>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Y1NDE4NWJhNjZmYThmNDVlNGIyMDQyZjEwNTM3YmUifQ=="/>
    <w:docVar w:name="KSO_WPS_MARK_KEY" w:val="220804f1-8066-4e4c-b350-7948679ff49e"/>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31D"/>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19420B"/>
    <w:rsid w:val="012C5761"/>
    <w:rsid w:val="017046B5"/>
    <w:rsid w:val="018F054B"/>
    <w:rsid w:val="024B26CE"/>
    <w:rsid w:val="02AB0B8E"/>
    <w:rsid w:val="03433819"/>
    <w:rsid w:val="03822C68"/>
    <w:rsid w:val="03CB50B5"/>
    <w:rsid w:val="041651F4"/>
    <w:rsid w:val="049F43DF"/>
    <w:rsid w:val="04B22E9E"/>
    <w:rsid w:val="051D1B41"/>
    <w:rsid w:val="054162A1"/>
    <w:rsid w:val="05540833"/>
    <w:rsid w:val="05DF46DF"/>
    <w:rsid w:val="06225B6E"/>
    <w:rsid w:val="06667684"/>
    <w:rsid w:val="07C1731B"/>
    <w:rsid w:val="095D1A5F"/>
    <w:rsid w:val="09A37CB3"/>
    <w:rsid w:val="09BD6E8E"/>
    <w:rsid w:val="09D449C2"/>
    <w:rsid w:val="0A6D7B49"/>
    <w:rsid w:val="0A774A1C"/>
    <w:rsid w:val="0A9C1B06"/>
    <w:rsid w:val="0AA8018E"/>
    <w:rsid w:val="0B1873A5"/>
    <w:rsid w:val="0B450737"/>
    <w:rsid w:val="0B49704E"/>
    <w:rsid w:val="0BC03108"/>
    <w:rsid w:val="0BE47B36"/>
    <w:rsid w:val="0C054382"/>
    <w:rsid w:val="0C9A104D"/>
    <w:rsid w:val="0CB076E1"/>
    <w:rsid w:val="0CDC6CA4"/>
    <w:rsid w:val="0DB74BA1"/>
    <w:rsid w:val="0DDD130C"/>
    <w:rsid w:val="0EB16EFF"/>
    <w:rsid w:val="0F0136F4"/>
    <w:rsid w:val="0F7A70CC"/>
    <w:rsid w:val="0FA1651E"/>
    <w:rsid w:val="0FB43190"/>
    <w:rsid w:val="0FC50D8F"/>
    <w:rsid w:val="10451C7D"/>
    <w:rsid w:val="10A3646A"/>
    <w:rsid w:val="118848CF"/>
    <w:rsid w:val="11CA69B5"/>
    <w:rsid w:val="124E25CC"/>
    <w:rsid w:val="12FB1FFC"/>
    <w:rsid w:val="13172843"/>
    <w:rsid w:val="132451DE"/>
    <w:rsid w:val="13472720"/>
    <w:rsid w:val="14377EC4"/>
    <w:rsid w:val="14675B7E"/>
    <w:rsid w:val="14CE2B49"/>
    <w:rsid w:val="155E4085"/>
    <w:rsid w:val="15B52295"/>
    <w:rsid w:val="15EC5AC1"/>
    <w:rsid w:val="168A6CDE"/>
    <w:rsid w:val="168E2D78"/>
    <w:rsid w:val="16A27AC5"/>
    <w:rsid w:val="16A64D6D"/>
    <w:rsid w:val="16C04C56"/>
    <w:rsid w:val="16EB2471"/>
    <w:rsid w:val="172E2B9C"/>
    <w:rsid w:val="18003993"/>
    <w:rsid w:val="18196A06"/>
    <w:rsid w:val="182D3D5F"/>
    <w:rsid w:val="18434A76"/>
    <w:rsid w:val="18A272E6"/>
    <w:rsid w:val="18BA600F"/>
    <w:rsid w:val="1956552E"/>
    <w:rsid w:val="1A3426E3"/>
    <w:rsid w:val="1A853F9F"/>
    <w:rsid w:val="1AEC041D"/>
    <w:rsid w:val="1AEC419B"/>
    <w:rsid w:val="1AF6583C"/>
    <w:rsid w:val="1C085136"/>
    <w:rsid w:val="1D242FC2"/>
    <w:rsid w:val="1DC01C11"/>
    <w:rsid w:val="1DE87BD4"/>
    <w:rsid w:val="1E054C48"/>
    <w:rsid w:val="1E1B3173"/>
    <w:rsid w:val="1E211684"/>
    <w:rsid w:val="1FCF77B6"/>
    <w:rsid w:val="20572949"/>
    <w:rsid w:val="2133411B"/>
    <w:rsid w:val="214B4697"/>
    <w:rsid w:val="223A00A8"/>
    <w:rsid w:val="23447637"/>
    <w:rsid w:val="23F5768F"/>
    <w:rsid w:val="246529A6"/>
    <w:rsid w:val="25997426"/>
    <w:rsid w:val="25BF62B8"/>
    <w:rsid w:val="25CF59CB"/>
    <w:rsid w:val="260C39F2"/>
    <w:rsid w:val="261A0491"/>
    <w:rsid w:val="26C66E06"/>
    <w:rsid w:val="26D259BC"/>
    <w:rsid w:val="270246D4"/>
    <w:rsid w:val="271257BE"/>
    <w:rsid w:val="27645745"/>
    <w:rsid w:val="27C621B9"/>
    <w:rsid w:val="28855A7D"/>
    <w:rsid w:val="28DF57D5"/>
    <w:rsid w:val="28E40298"/>
    <w:rsid w:val="29311E86"/>
    <w:rsid w:val="299C178C"/>
    <w:rsid w:val="29A21E55"/>
    <w:rsid w:val="2A0A2D83"/>
    <w:rsid w:val="2A472991"/>
    <w:rsid w:val="2AAB0BA0"/>
    <w:rsid w:val="2AFB4D94"/>
    <w:rsid w:val="2B755F4B"/>
    <w:rsid w:val="2BA67271"/>
    <w:rsid w:val="2BC24BED"/>
    <w:rsid w:val="2BE0319D"/>
    <w:rsid w:val="2BE95450"/>
    <w:rsid w:val="2C6544D8"/>
    <w:rsid w:val="2C8C39F6"/>
    <w:rsid w:val="2CD52E61"/>
    <w:rsid w:val="2CEA397A"/>
    <w:rsid w:val="2CF2533C"/>
    <w:rsid w:val="2D632394"/>
    <w:rsid w:val="2DE515E5"/>
    <w:rsid w:val="2EB22755"/>
    <w:rsid w:val="2EB65D97"/>
    <w:rsid w:val="2EC64046"/>
    <w:rsid w:val="2F434FDE"/>
    <w:rsid w:val="2F725AED"/>
    <w:rsid w:val="30561E3F"/>
    <w:rsid w:val="306150E4"/>
    <w:rsid w:val="30735F9F"/>
    <w:rsid w:val="30A06F64"/>
    <w:rsid w:val="30CC197B"/>
    <w:rsid w:val="31B91D72"/>
    <w:rsid w:val="31E22C88"/>
    <w:rsid w:val="322C3A43"/>
    <w:rsid w:val="328205D3"/>
    <w:rsid w:val="32C9667D"/>
    <w:rsid w:val="32E853BA"/>
    <w:rsid w:val="33760457"/>
    <w:rsid w:val="33EB1895"/>
    <w:rsid w:val="34066E5C"/>
    <w:rsid w:val="350D4388"/>
    <w:rsid w:val="353A46B7"/>
    <w:rsid w:val="356F73C9"/>
    <w:rsid w:val="35A32A3D"/>
    <w:rsid w:val="35B1151A"/>
    <w:rsid w:val="35B6520A"/>
    <w:rsid w:val="36035BCB"/>
    <w:rsid w:val="36524D5F"/>
    <w:rsid w:val="36593EB8"/>
    <w:rsid w:val="365E0BEC"/>
    <w:rsid w:val="3680580C"/>
    <w:rsid w:val="369B0D16"/>
    <w:rsid w:val="36E575BE"/>
    <w:rsid w:val="3799633A"/>
    <w:rsid w:val="37C07E80"/>
    <w:rsid w:val="38520B8E"/>
    <w:rsid w:val="39070852"/>
    <w:rsid w:val="3929383F"/>
    <w:rsid w:val="394A4C3B"/>
    <w:rsid w:val="399B1DB8"/>
    <w:rsid w:val="3A12743D"/>
    <w:rsid w:val="3BC978A7"/>
    <w:rsid w:val="3BFC46F4"/>
    <w:rsid w:val="3C183F80"/>
    <w:rsid w:val="3C18466D"/>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1BE6428"/>
    <w:rsid w:val="44086C32"/>
    <w:rsid w:val="44EF1B82"/>
    <w:rsid w:val="44F22B38"/>
    <w:rsid w:val="44FF5255"/>
    <w:rsid w:val="45644B25"/>
    <w:rsid w:val="45E77C31"/>
    <w:rsid w:val="45FD1FD2"/>
    <w:rsid w:val="461B2714"/>
    <w:rsid w:val="465855D4"/>
    <w:rsid w:val="46794BE0"/>
    <w:rsid w:val="469B2720"/>
    <w:rsid w:val="473D2DF8"/>
    <w:rsid w:val="48D32C81"/>
    <w:rsid w:val="48D923C7"/>
    <w:rsid w:val="491B7D4D"/>
    <w:rsid w:val="49221512"/>
    <w:rsid w:val="499B2B75"/>
    <w:rsid w:val="4A226C77"/>
    <w:rsid w:val="4A4C1516"/>
    <w:rsid w:val="4AF01045"/>
    <w:rsid w:val="4B14032B"/>
    <w:rsid w:val="4B307AE9"/>
    <w:rsid w:val="4B717BA7"/>
    <w:rsid w:val="4B862CAD"/>
    <w:rsid w:val="4BDA5CFE"/>
    <w:rsid w:val="4CFA39CE"/>
    <w:rsid w:val="4D282CB4"/>
    <w:rsid w:val="4D3B1AB9"/>
    <w:rsid w:val="4D48236F"/>
    <w:rsid w:val="4DC1760D"/>
    <w:rsid w:val="4E6B322B"/>
    <w:rsid w:val="4EC56C2F"/>
    <w:rsid w:val="4EEE449A"/>
    <w:rsid w:val="4F231585"/>
    <w:rsid w:val="4F7E6A86"/>
    <w:rsid w:val="502D02BC"/>
    <w:rsid w:val="503700FB"/>
    <w:rsid w:val="51423F3F"/>
    <w:rsid w:val="51526ABB"/>
    <w:rsid w:val="516914A3"/>
    <w:rsid w:val="5176537C"/>
    <w:rsid w:val="517944E3"/>
    <w:rsid w:val="51933661"/>
    <w:rsid w:val="51AC6956"/>
    <w:rsid w:val="51E5108B"/>
    <w:rsid w:val="52483304"/>
    <w:rsid w:val="52D24297"/>
    <w:rsid w:val="52D32AFD"/>
    <w:rsid w:val="52E16C74"/>
    <w:rsid w:val="53240C30"/>
    <w:rsid w:val="535D0F42"/>
    <w:rsid w:val="55314071"/>
    <w:rsid w:val="55544E7D"/>
    <w:rsid w:val="556E1D75"/>
    <w:rsid w:val="56D97FD1"/>
    <w:rsid w:val="572A1B2D"/>
    <w:rsid w:val="578E58A0"/>
    <w:rsid w:val="57B53639"/>
    <w:rsid w:val="58881554"/>
    <w:rsid w:val="59E11BC5"/>
    <w:rsid w:val="5AF56077"/>
    <w:rsid w:val="5B001520"/>
    <w:rsid w:val="5B9E0C30"/>
    <w:rsid w:val="5C223BC9"/>
    <w:rsid w:val="5C7C6396"/>
    <w:rsid w:val="5C9A03FD"/>
    <w:rsid w:val="5CDB24E5"/>
    <w:rsid w:val="5D8D419C"/>
    <w:rsid w:val="5DC155E2"/>
    <w:rsid w:val="5DD51960"/>
    <w:rsid w:val="5DED6DA2"/>
    <w:rsid w:val="5E3B443B"/>
    <w:rsid w:val="5EC42D73"/>
    <w:rsid w:val="5F197194"/>
    <w:rsid w:val="5F3D2878"/>
    <w:rsid w:val="5F55219B"/>
    <w:rsid w:val="5F944D2C"/>
    <w:rsid w:val="5FCB4D87"/>
    <w:rsid w:val="5FED68F6"/>
    <w:rsid w:val="5FF95CF0"/>
    <w:rsid w:val="60384F4A"/>
    <w:rsid w:val="603E49EB"/>
    <w:rsid w:val="60C648E5"/>
    <w:rsid w:val="60C66115"/>
    <w:rsid w:val="60CD4825"/>
    <w:rsid w:val="61800D2B"/>
    <w:rsid w:val="61BC2A15"/>
    <w:rsid w:val="61D86AC2"/>
    <w:rsid w:val="62337EF3"/>
    <w:rsid w:val="62716BBC"/>
    <w:rsid w:val="627E7A26"/>
    <w:rsid w:val="634E7828"/>
    <w:rsid w:val="639F78D1"/>
    <w:rsid w:val="63B63F59"/>
    <w:rsid w:val="65117867"/>
    <w:rsid w:val="654639B4"/>
    <w:rsid w:val="66094ED0"/>
    <w:rsid w:val="66700908"/>
    <w:rsid w:val="668D28D9"/>
    <w:rsid w:val="66A40EC3"/>
    <w:rsid w:val="67375276"/>
    <w:rsid w:val="67A535E2"/>
    <w:rsid w:val="67A80762"/>
    <w:rsid w:val="688C19B0"/>
    <w:rsid w:val="689A7718"/>
    <w:rsid w:val="6917469A"/>
    <w:rsid w:val="697E2311"/>
    <w:rsid w:val="69B33D58"/>
    <w:rsid w:val="69F50936"/>
    <w:rsid w:val="6A0368D7"/>
    <w:rsid w:val="6A472730"/>
    <w:rsid w:val="6AA221F4"/>
    <w:rsid w:val="6AA628DF"/>
    <w:rsid w:val="6B0A3E88"/>
    <w:rsid w:val="6B700603"/>
    <w:rsid w:val="6B94314E"/>
    <w:rsid w:val="6B974B12"/>
    <w:rsid w:val="6BAB7017"/>
    <w:rsid w:val="6BD4551A"/>
    <w:rsid w:val="6BDD4FB2"/>
    <w:rsid w:val="6BE50451"/>
    <w:rsid w:val="6BEF2BAB"/>
    <w:rsid w:val="6C283CF7"/>
    <w:rsid w:val="6CC0101E"/>
    <w:rsid w:val="6D8816C8"/>
    <w:rsid w:val="6E1355C9"/>
    <w:rsid w:val="6E3B4CCA"/>
    <w:rsid w:val="6E505373"/>
    <w:rsid w:val="6EA16987"/>
    <w:rsid w:val="6EA25DF9"/>
    <w:rsid w:val="6F8D1FC2"/>
    <w:rsid w:val="6F8D5C1A"/>
    <w:rsid w:val="6FD27139"/>
    <w:rsid w:val="7010208F"/>
    <w:rsid w:val="703B6854"/>
    <w:rsid w:val="704A44DC"/>
    <w:rsid w:val="70BF1008"/>
    <w:rsid w:val="71326C39"/>
    <w:rsid w:val="716147BD"/>
    <w:rsid w:val="71883D59"/>
    <w:rsid w:val="72611DE4"/>
    <w:rsid w:val="726E545D"/>
    <w:rsid w:val="72B73FF5"/>
    <w:rsid w:val="72FF44EF"/>
    <w:rsid w:val="74A165CC"/>
    <w:rsid w:val="755B645C"/>
    <w:rsid w:val="75615E2A"/>
    <w:rsid w:val="75776E8F"/>
    <w:rsid w:val="75B60F89"/>
    <w:rsid w:val="761728C2"/>
    <w:rsid w:val="76823514"/>
    <w:rsid w:val="76B07EDE"/>
    <w:rsid w:val="775D10FB"/>
    <w:rsid w:val="77695595"/>
    <w:rsid w:val="791D4BEA"/>
    <w:rsid w:val="7987697C"/>
    <w:rsid w:val="79D1422E"/>
    <w:rsid w:val="7A9F47F8"/>
    <w:rsid w:val="7B602F54"/>
    <w:rsid w:val="7C1C6325"/>
    <w:rsid w:val="7C520C2F"/>
    <w:rsid w:val="7CC067C4"/>
    <w:rsid w:val="7D3E444E"/>
    <w:rsid w:val="7D602FB4"/>
    <w:rsid w:val="7D622872"/>
    <w:rsid w:val="7DD74FBC"/>
    <w:rsid w:val="7E462371"/>
    <w:rsid w:val="7F083EE0"/>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420" w:hanging="420"/>
    </w:pPr>
    <w:rPr>
      <w:sz w:val="24"/>
      <w:szCs w:val="20"/>
    </w:rPr>
  </w:style>
  <w:style w:type="paragraph" w:styleId="7">
    <w:name w:val="toc 7"/>
    <w:basedOn w:val="1"/>
    <w:next w:val="1"/>
    <w:qFormat/>
    <w:uiPriority w:val="39"/>
    <w:pPr>
      <w:ind w:left="2520" w:leftChars="1200"/>
    </w:p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link w:val="57"/>
    <w:qFormat/>
    <w:uiPriority w:val="99"/>
    <w:pPr>
      <w:jc w:val="left"/>
    </w:pPr>
  </w:style>
  <w:style w:type="paragraph" w:styleId="10">
    <w:name w:val="Body Text"/>
    <w:basedOn w:val="1"/>
    <w:next w:val="1"/>
    <w:link w:val="63"/>
    <w:qFormat/>
    <w:uiPriority w:val="0"/>
    <w:pPr>
      <w:tabs>
        <w:tab w:val="left" w:pos="567"/>
      </w:tabs>
      <w:spacing w:before="120" w:line="22" w:lineRule="atLeast"/>
    </w:pPr>
    <w:rPr>
      <w:rFonts w:ascii="宋体" w:hAnsi="宋体"/>
      <w:sz w:val="24"/>
    </w:rPr>
  </w:style>
  <w:style w:type="paragraph" w:styleId="11">
    <w:name w:val="Body Text Indent"/>
    <w:basedOn w:val="1"/>
    <w:next w:val="6"/>
    <w:qFormat/>
    <w:uiPriority w:val="0"/>
    <w:pPr>
      <w:spacing w:line="360" w:lineRule="auto"/>
      <w:ind w:firstLine="570"/>
    </w:pPr>
    <w:rPr>
      <w:sz w:val="24"/>
    </w:rPr>
  </w:style>
  <w:style w:type="paragraph" w:styleId="12">
    <w:name w:val="toc 5"/>
    <w:basedOn w:val="1"/>
    <w:next w:val="1"/>
    <w:qFormat/>
    <w:uiPriority w:val="39"/>
    <w:pPr>
      <w:ind w:left="1680" w:leftChars="800"/>
    </w:pPr>
  </w:style>
  <w:style w:type="paragraph" w:styleId="13">
    <w:name w:val="toc 3"/>
    <w:basedOn w:val="1"/>
    <w:next w:val="1"/>
    <w:qFormat/>
    <w:uiPriority w:val="39"/>
    <w:pPr>
      <w:tabs>
        <w:tab w:val="left" w:pos="1260"/>
        <w:tab w:val="right" w:leader="dot" w:pos="8630"/>
      </w:tabs>
      <w:ind w:left="840" w:leftChars="400"/>
    </w:pPr>
  </w:style>
  <w:style w:type="paragraph" w:styleId="14">
    <w:name w:val="Plain Text"/>
    <w:basedOn w:val="1"/>
    <w:link w:val="61"/>
    <w:qFormat/>
    <w:uiPriority w:val="0"/>
    <w:rPr>
      <w:rFonts w:ascii="宋体" w:hAnsi="Courier New"/>
      <w:szCs w:val="20"/>
    </w:rPr>
  </w:style>
  <w:style w:type="paragraph" w:styleId="15">
    <w:name w:val="toc 8"/>
    <w:basedOn w:val="1"/>
    <w:next w:val="1"/>
    <w:qFormat/>
    <w:uiPriority w:val="39"/>
    <w:pPr>
      <w:ind w:left="2940" w:leftChars="1400"/>
    </w:pPr>
  </w:style>
  <w:style w:type="paragraph" w:styleId="16">
    <w:name w:val="Date"/>
    <w:basedOn w:val="1"/>
    <w:next w:val="1"/>
    <w:link w:val="66"/>
    <w:qFormat/>
    <w:uiPriority w:val="0"/>
    <w:pPr>
      <w:ind w:left="100" w:leftChars="2500"/>
    </w:pPr>
    <w:rPr>
      <w:rFonts w:ascii="仿宋_GB2312" w:hAnsi="宋体" w:eastAsia="仿宋_GB2312"/>
      <w:color w:val="000000"/>
      <w:sz w:val="24"/>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Balloon Text"/>
    <w:basedOn w:val="1"/>
    <w:link w:val="59"/>
    <w:qFormat/>
    <w:uiPriority w:val="0"/>
    <w:rPr>
      <w:sz w:val="18"/>
      <w:szCs w:val="18"/>
    </w:rPr>
  </w:style>
  <w:style w:type="paragraph" w:styleId="19">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envelope return"/>
    <w:basedOn w:val="1"/>
    <w:qFormat/>
    <w:uiPriority w:val="0"/>
    <w:pPr>
      <w:snapToGrid w:val="0"/>
    </w:pPr>
    <w:rPr>
      <w:rFonts w:ascii="Arial" w:hAnsi="Arial"/>
    </w:rPr>
  </w:style>
  <w:style w:type="paragraph" w:styleId="21">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Body Text 2"/>
    <w:basedOn w:val="1"/>
    <w:qFormat/>
    <w:uiPriority w:val="0"/>
    <w:pPr>
      <w:spacing w:after="120" w:line="480" w:lineRule="auto"/>
    </w:pPr>
    <w:rPr>
      <w:rFonts w:ascii="Arial" w:hAnsi="Arial"/>
      <w:sz w:val="24"/>
    </w:rPr>
  </w:style>
  <w:style w:type="paragraph" w:styleId="30">
    <w:name w:val="Normal (Web)"/>
    <w:basedOn w:val="1"/>
    <w:qFormat/>
    <w:uiPriority w:val="0"/>
    <w:pPr>
      <w:widowControl/>
      <w:jc w:val="left"/>
    </w:pPr>
    <w:rPr>
      <w:rFonts w:ascii="宋体" w:hAnsi="宋体" w:cs="宋体"/>
      <w:kern w:val="0"/>
      <w:sz w:val="24"/>
    </w:rPr>
  </w:style>
  <w:style w:type="paragraph" w:styleId="31">
    <w:name w:val="index 1"/>
    <w:basedOn w:val="1"/>
    <w:next w:val="1"/>
    <w:semiHidden/>
    <w:qFormat/>
    <w:uiPriority w:val="0"/>
    <w:rPr>
      <w:szCs w:val="20"/>
    </w:rPr>
  </w:style>
  <w:style w:type="paragraph" w:styleId="32">
    <w:name w:val="annotation subject"/>
    <w:basedOn w:val="9"/>
    <w:next w:val="9"/>
    <w:link w:val="60"/>
    <w:qFormat/>
    <w:uiPriority w:val="0"/>
    <w:rPr>
      <w:b/>
      <w:bCs/>
    </w:rPr>
  </w:style>
  <w:style w:type="paragraph" w:styleId="33">
    <w:name w:val="Body Text First Indent"/>
    <w:basedOn w:val="10"/>
    <w:next w:val="34"/>
    <w:qFormat/>
    <w:uiPriority w:val="0"/>
    <w:pPr>
      <w:autoSpaceDE w:val="0"/>
      <w:autoSpaceDN w:val="0"/>
      <w:adjustRightInd w:val="0"/>
      <w:spacing w:line="360" w:lineRule="auto"/>
      <w:ind w:firstLine="420" w:firstLineChars="200"/>
    </w:pPr>
    <w:rPr>
      <w:rFonts w:ascii="Arial" w:hAnsi="Arial"/>
      <w:szCs w:val="21"/>
    </w:rPr>
  </w:style>
  <w:style w:type="paragraph" w:styleId="34">
    <w:name w:val="Body Text First Indent 2"/>
    <w:basedOn w:val="11"/>
    <w:next w:val="33"/>
    <w:unhideWhenUsed/>
    <w:qFormat/>
    <w:uiPriority w:val="99"/>
    <w:pPr>
      <w:ind w:firstLine="420" w:firstLineChars="200"/>
    </w:pPr>
  </w:style>
  <w:style w:type="table" w:styleId="36">
    <w:name w:val="Table Grid"/>
    <w:basedOn w:val="3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rFonts w:ascii="Arial" w:hAnsi="Arial" w:eastAsia="Times New Roman" w:cs="Verdana"/>
      <w:b/>
      <w:bCs/>
      <w:kern w:val="0"/>
      <w:sz w:val="24"/>
      <w:lang w:eastAsia="en-US"/>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Default"/>
    <w:next w:val="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3">
    <w:name w:val="样式1"/>
    <w:basedOn w:val="1"/>
    <w:qFormat/>
    <w:uiPriority w:val="0"/>
    <w:pPr>
      <w:adjustRightInd w:val="0"/>
      <w:textAlignment w:val="baseline"/>
    </w:pPr>
    <w:rPr>
      <w:rFonts w:ascii="宋体" w:hAnsi="宋体"/>
      <w:kern w:val="0"/>
      <w:szCs w:val="21"/>
    </w:rPr>
  </w:style>
  <w:style w:type="paragraph" w:customStyle="1" w:styleId="44">
    <w:name w:val="列出段落1"/>
    <w:basedOn w:val="1"/>
    <w:qFormat/>
    <w:uiPriority w:val="99"/>
    <w:pPr>
      <w:ind w:firstLine="420" w:firstLineChars="200"/>
    </w:pPr>
  </w:style>
  <w:style w:type="paragraph" w:customStyle="1" w:styleId="45">
    <w:name w:val="正文1"/>
    <w:basedOn w:val="1"/>
    <w:qFormat/>
    <w:uiPriority w:val="0"/>
    <w:pPr>
      <w:ind w:firstLine="420" w:firstLineChars="200"/>
    </w:pPr>
    <w:rPr>
      <w:rFonts w:ascii="宋体" w:hAnsi="宋体"/>
    </w:rPr>
  </w:style>
  <w:style w:type="paragraph" w:styleId="46">
    <w:name w:val="List Paragraph"/>
    <w:basedOn w:val="1"/>
    <w:qFormat/>
    <w:uiPriority w:val="34"/>
    <w:pPr>
      <w:widowControl/>
      <w:ind w:firstLine="420" w:firstLineChars="200"/>
      <w:jc w:val="left"/>
    </w:pPr>
    <w:rPr>
      <w:kern w:val="0"/>
      <w:sz w:val="24"/>
    </w:rPr>
  </w:style>
  <w:style w:type="paragraph" w:customStyle="1" w:styleId="47">
    <w:name w:val="Char"/>
    <w:basedOn w:val="1"/>
    <w:qFormat/>
    <w:uiPriority w:val="0"/>
    <w:pPr>
      <w:tabs>
        <w:tab w:val="left" w:pos="360"/>
      </w:tabs>
    </w:pPr>
    <w:rPr>
      <w:sz w:val="24"/>
    </w:rPr>
  </w:style>
  <w:style w:type="paragraph" w:customStyle="1" w:styleId="48">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link w:val="55"/>
    <w:qFormat/>
    <w:uiPriority w:val="0"/>
    <w:rPr>
      <w:rFonts w:ascii="宋体" w:hAnsi="Courier New"/>
      <w:kern w:val="0"/>
      <w:sz w:val="20"/>
      <w:szCs w:val="20"/>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4"/>
    <w:qFormat/>
    <w:uiPriority w:val="0"/>
    <w:rPr>
      <w:rFonts w:ascii="Arial" w:hAnsi="Arial" w:eastAsia="黑体"/>
      <w:b/>
      <w:sz w:val="30"/>
    </w:rPr>
  </w:style>
  <w:style w:type="character" w:customStyle="1" w:styleId="54">
    <w:name w:val="页脚 Char"/>
    <w:link w:val="19"/>
    <w:qFormat/>
    <w:uiPriority w:val="99"/>
    <w:rPr>
      <w:rFonts w:ascii="宋体"/>
      <w:sz w:val="18"/>
    </w:rPr>
  </w:style>
  <w:style w:type="character" w:customStyle="1" w:styleId="55">
    <w:name w:val="纯文本 Char1"/>
    <w:link w:val="50"/>
    <w:qFormat/>
    <w:uiPriority w:val="0"/>
    <w:rPr>
      <w:rFonts w:ascii="宋体" w:hAnsi="Courier New"/>
    </w:rPr>
  </w:style>
  <w:style w:type="character" w:customStyle="1" w:styleId="56">
    <w:name w:val="NormalCharacter"/>
    <w:qFormat/>
    <w:uiPriority w:val="0"/>
  </w:style>
  <w:style w:type="character" w:customStyle="1" w:styleId="57">
    <w:name w:val="批注文字 Char"/>
    <w:link w:val="9"/>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18"/>
    <w:qFormat/>
    <w:uiPriority w:val="0"/>
    <w:rPr>
      <w:kern w:val="2"/>
      <w:sz w:val="18"/>
      <w:szCs w:val="18"/>
    </w:rPr>
  </w:style>
  <w:style w:type="character" w:customStyle="1" w:styleId="60">
    <w:name w:val="批注主题 Char"/>
    <w:link w:val="32"/>
    <w:qFormat/>
    <w:uiPriority w:val="0"/>
    <w:rPr>
      <w:b/>
      <w:bCs/>
      <w:kern w:val="2"/>
      <w:sz w:val="21"/>
      <w:szCs w:val="24"/>
    </w:rPr>
  </w:style>
  <w:style w:type="character" w:customStyle="1" w:styleId="61">
    <w:name w:val="纯文本 Char"/>
    <w:link w:val="14"/>
    <w:qFormat/>
    <w:uiPriority w:val="0"/>
    <w:rPr>
      <w:rFonts w:ascii="宋体" w:hAnsi="Courier New"/>
      <w:kern w:val="2"/>
      <w:sz w:val="21"/>
    </w:rPr>
  </w:style>
  <w:style w:type="character" w:customStyle="1" w:styleId="62">
    <w:name w:val="标题 3 Char"/>
    <w:link w:val="5"/>
    <w:qFormat/>
    <w:uiPriority w:val="0"/>
    <w:rPr>
      <w:rFonts w:ascii="宋体"/>
      <w:b/>
      <w:sz w:val="24"/>
      <w:u w:val="single"/>
    </w:rPr>
  </w:style>
  <w:style w:type="character" w:customStyle="1" w:styleId="63">
    <w:name w:val="正文文本 Char"/>
    <w:link w:val="10"/>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6"/>
    <w:qFormat/>
    <w:uiPriority w:val="0"/>
    <w:rPr>
      <w:rFonts w:ascii="仿宋_GB2312" w:hAnsi="宋体" w:eastAsia="仿宋_GB2312"/>
      <w:color w:val="000000"/>
      <w:kern w:val="2"/>
      <w:sz w:val="24"/>
      <w:szCs w:val="24"/>
    </w:rPr>
  </w:style>
  <w:style w:type="character" w:customStyle="1" w:styleId="67">
    <w:name w:val="页眉 Char"/>
    <w:link w:val="21"/>
    <w:qFormat/>
    <w:uiPriority w:val="0"/>
    <w:rPr>
      <w:kern w:val="2"/>
      <w:sz w:val="18"/>
      <w:szCs w:val="18"/>
    </w:rPr>
  </w:style>
  <w:style w:type="character" w:customStyle="1" w:styleId="68">
    <w:name w:val="标题 1 Char"/>
    <w:link w:val="3"/>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71">
    <w:name w:val="fontstyle01"/>
    <w:basedOn w:val="37"/>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4"/>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44426</Words>
  <Characters>48215</Characters>
  <Lines>295</Lines>
  <Paragraphs>83</Paragraphs>
  <TotalTime>4</TotalTime>
  <ScaleCrop>false</ScaleCrop>
  <LinksUpToDate>false</LinksUpToDate>
  <CharactersWithSpaces>50954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2023-02-10T11:23:41Z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37C734995C9347649860E5329EFC8C18</vt:lpwstr>
  </property>
</Properties>
</file>