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spacing w:line="240" w:lineRule="atLeast"/>
        <w:ind w:left="1079" w:leftChars="257" w:hanging="540"/>
        <w:jc w:val="center"/>
        <w:rPr>
          <w:rFonts w:hint="eastAsia" w:ascii="仿宋" w:hAnsi="仿宋" w:eastAsia="仿宋" w:cs="仿宋"/>
          <w:b/>
          <w:sz w:val="32"/>
        </w:rPr>
      </w:pP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_Toc9228 </w:instrText>
      </w:r>
      <w:r>
        <w:rPr>
          <w:rFonts w:hint="eastAsia" w:ascii="仿宋" w:hAnsi="仿宋" w:eastAsia="仿宋" w:cs="仿宋"/>
          <w:kern w:val="0"/>
          <w:szCs w:val="21"/>
        </w:rPr>
        <w:fldChar w:fldCharType="separate"/>
      </w:r>
      <w:r>
        <w:rPr>
          <w:rFonts w:hint="eastAsia" w:ascii="仿宋" w:hAnsi="仿宋" w:eastAsia="仿宋" w:cs="仿宋"/>
        </w:rPr>
        <w:t>第1章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_Toc9228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_Toc9485 </w:instrText>
      </w:r>
      <w:r>
        <w:rPr>
          <w:rFonts w:hint="eastAsia" w:ascii="仿宋" w:hAnsi="仿宋" w:eastAsia="仿宋" w:cs="仿宋"/>
          <w:kern w:val="0"/>
          <w:szCs w:val="21"/>
        </w:rPr>
        <w:fldChar w:fldCharType="separate"/>
      </w:r>
      <w:r>
        <w:rPr>
          <w:rFonts w:hint="eastAsia" w:ascii="仿宋" w:hAnsi="仿宋" w:eastAsia="仿宋" w:cs="仿宋"/>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_Toc9485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_Toc12013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_Toc12013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_Toc2643 </w:instrText>
      </w:r>
      <w:r>
        <w:rPr>
          <w:rFonts w:hint="eastAsia" w:ascii="仿宋" w:hAnsi="仿宋" w:eastAsia="仿宋" w:cs="仿宋"/>
          <w:kern w:val="0"/>
          <w:szCs w:val="21"/>
        </w:rPr>
        <w:fldChar w:fldCharType="separate"/>
      </w:r>
      <w:r>
        <w:rPr>
          <w:rFonts w:hint="eastAsia" w:ascii="仿宋" w:hAnsi="仿宋" w:eastAsia="仿宋" w:cs="仿宋"/>
        </w:rPr>
        <w:t>2.资金来源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_Toc2643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_Toc28166 </w:instrText>
      </w:r>
      <w:r>
        <w:rPr>
          <w:rFonts w:hint="eastAsia" w:ascii="仿宋" w:hAnsi="仿宋" w:eastAsia="仿宋" w:cs="仿宋"/>
          <w:kern w:val="0"/>
          <w:szCs w:val="21"/>
        </w:rPr>
        <w:fldChar w:fldCharType="separate"/>
      </w:r>
      <w:r>
        <w:rPr>
          <w:rFonts w:hint="eastAsia" w:ascii="仿宋" w:hAnsi="仿宋" w:eastAsia="仿宋" w:cs="仿宋"/>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_Toc28166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_Toc32365 </w:instrText>
      </w:r>
      <w:r>
        <w:rPr>
          <w:rFonts w:hint="eastAsia" w:ascii="仿宋" w:hAnsi="仿宋" w:eastAsia="仿宋" w:cs="仿宋"/>
          <w:kern w:val="0"/>
          <w:szCs w:val="21"/>
        </w:rPr>
        <w:fldChar w:fldCharType="separate"/>
      </w:r>
      <w:r>
        <w:rPr>
          <w:rFonts w:hint="eastAsia" w:ascii="仿宋" w:hAnsi="仿宋" w:eastAsia="仿宋" w:cs="仿宋"/>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_Toc809 </w:instrText>
      </w:r>
      <w:r>
        <w:rPr>
          <w:rFonts w:hint="eastAsia" w:ascii="仿宋" w:hAnsi="仿宋" w:eastAsia="仿宋" w:cs="仿宋"/>
          <w:kern w:val="0"/>
          <w:szCs w:val="21"/>
        </w:rPr>
        <w:fldChar w:fldCharType="separate"/>
      </w:r>
      <w:r>
        <w:rPr>
          <w:rFonts w:hint="eastAsia" w:ascii="仿宋" w:hAnsi="仿宋" w:eastAsia="仿宋" w:cs="仿宋"/>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_Toc809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_Toc22990 </w:instrText>
      </w:r>
      <w:r>
        <w:rPr>
          <w:rFonts w:hint="eastAsia" w:ascii="仿宋" w:hAnsi="仿宋" w:eastAsia="仿宋" w:cs="仿宋"/>
          <w:kern w:val="0"/>
          <w:szCs w:val="21"/>
        </w:rPr>
        <w:fldChar w:fldCharType="separate"/>
      </w:r>
      <w:r>
        <w:rPr>
          <w:rFonts w:hint="eastAsia" w:ascii="仿宋" w:hAnsi="仿宋" w:eastAsia="仿宋" w:cs="仿宋"/>
        </w:rPr>
        <w:t>5.招标文件构成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_Toc22990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_Toc21314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_Toc21314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_Toc10994 </w:instrText>
      </w:r>
      <w:r>
        <w:rPr>
          <w:rFonts w:hint="eastAsia" w:ascii="仿宋" w:hAnsi="仿宋" w:eastAsia="仿宋" w:cs="仿宋"/>
          <w:kern w:val="0"/>
          <w:szCs w:val="21"/>
        </w:rPr>
        <w:fldChar w:fldCharType="separate"/>
      </w:r>
      <w:r>
        <w:rPr>
          <w:rFonts w:hint="eastAsia" w:ascii="仿宋" w:hAnsi="仿宋" w:eastAsia="仿宋" w:cs="仿宋"/>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_Toc10994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_Toc25389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_Toc25389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_Toc6728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_Toc6728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_Toc15487 </w:instrText>
      </w:r>
      <w:r>
        <w:rPr>
          <w:rFonts w:hint="eastAsia" w:ascii="仿宋" w:hAnsi="仿宋" w:eastAsia="仿宋" w:cs="仿宋"/>
          <w:kern w:val="0"/>
          <w:szCs w:val="21"/>
        </w:rPr>
        <w:fldChar w:fldCharType="separate"/>
      </w:r>
      <w:r>
        <w:rPr>
          <w:rFonts w:hint="eastAsia" w:ascii="仿宋" w:hAnsi="仿宋" w:eastAsia="仿宋" w:cs="仿宋"/>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_Toc15487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_Toc2671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w:t>
      </w:r>
      <w:r>
        <w:rPr>
          <w:rFonts w:hint="eastAsia" w:ascii="仿宋" w:hAnsi="仿宋" w:eastAsia="仿宋" w:cs="仿宋"/>
          <w:lang w:eastAsia="zh-CN"/>
        </w:rPr>
        <w:t>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_Toc8529 </w:instrText>
      </w:r>
      <w:r>
        <w:rPr>
          <w:rFonts w:hint="eastAsia" w:ascii="仿宋" w:hAnsi="仿宋" w:eastAsia="仿宋" w:cs="仿宋"/>
          <w:kern w:val="0"/>
          <w:szCs w:val="21"/>
        </w:rPr>
        <w:fldChar w:fldCharType="separate"/>
      </w:r>
      <w:r>
        <w:rPr>
          <w:rFonts w:hint="eastAsia" w:ascii="仿宋" w:hAnsi="仿宋" w:eastAsia="仿宋" w:cs="仿宋"/>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_Toc8529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_Toc16199 </w:instrText>
      </w:r>
      <w:r>
        <w:rPr>
          <w:rFonts w:hint="eastAsia" w:ascii="仿宋" w:hAnsi="仿宋" w:eastAsia="仿宋" w:cs="仿宋"/>
          <w:kern w:val="0"/>
          <w:szCs w:val="21"/>
        </w:rPr>
        <w:fldChar w:fldCharType="separate"/>
      </w:r>
      <w:r>
        <w:rPr>
          <w:rFonts w:hint="eastAsia" w:ascii="仿宋" w:hAnsi="仿宋" w:eastAsia="仿宋" w:cs="仿宋"/>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_Toc16199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_Toc20355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_Toc27303 </w:instrText>
      </w:r>
      <w:r>
        <w:rPr>
          <w:rFonts w:hint="eastAsia" w:ascii="仿宋" w:hAnsi="仿宋" w:eastAsia="仿宋" w:cs="仿宋"/>
          <w:kern w:val="0"/>
          <w:szCs w:val="21"/>
        </w:rPr>
        <w:fldChar w:fldCharType="separate"/>
      </w:r>
      <w:r>
        <w:rPr>
          <w:rFonts w:hint="eastAsia" w:ascii="仿宋" w:hAnsi="仿宋" w:eastAsia="仿宋" w:cs="仿宋"/>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_Toc27303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_Toc22303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_Toc22303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_Toc13247 </w:instrText>
      </w:r>
      <w:r>
        <w:rPr>
          <w:rFonts w:hint="eastAsia" w:ascii="仿宋" w:hAnsi="仿宋" w:eastAsia="仿宋" w:cs="仿宋"/>
          <w:kern w:val="0"/>
          <w:szCs w:val="21"/>
        </w:rPr>
        <w:fldChar w:fldCharType="separate"/>
      </w:r>
      <w:r>
        <w:rPr>
          <w:rFonts w:hint="eastAsia" w:ascii="仿宋" w:hAnsi="仿宋" w:eastAsia="仿宋" w:cs="仿宋"/>
        </w:rPr>
        <w:t>15.投标文件的密封和标记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_Toc13247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_Toc25787 </w:instrText>
      </w:r>
      <w:r>
        <w:rPr>
          <w:rFonts w:hint="eastAsia" w:ascii="仿宋" w:hAnsi="仿宋" w:eastAsia="仿宋" w:cs="仿宋"/>
          <w:kern w:val="0"/>
          <w:szCs w:val="21"/>
        </w:rPr>
        <w:fldChar w:fldCharType="separate"/>
      </w:r>
      <w:r>
        <w:rPr>
          <w:rFonts w:hint="eastAsia" w:ascii="仿宋" w:hAnsi="仿宋" w:eastAsia="仿宋" w:cs="仿宋"/>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_Toc25787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_Toc13921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_Toc13921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_Toc10257 </w:instrText>
      </w:r>
      <w:r>
        <w:rPr>
          <w:rFonts w:hint="eastAsia" w:ascii="仿宋" w:hAnsi="仿宋" w:eastAsia="仿宋" w:cs="仿宋"/>
          <w:kern w:val="0"/>
          <w:szCs w:val="21"/>
        </w:rPr>
        <w:fldChar w:fldCharType="separate"/>
      </w:r>
      <w:r>
        <w:rPr>
          <w:rFonts w:hint="eastAsia" w:ascii="仿宋" w:hAnsi="仿宋" w:eastAsia="仿宋" w:cs="仿宋"/>
        </w:rPr>
        <w:t>五   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_Toc8653 </w:instrText>
      </w:r>
      <w:r>
        <w:rPr>
          <w:rFonts w:hint="eastAsia" w:ascii="仿宋" w:hAnsi="仿宋" w:eastAsia="仿宋" w:cs="仿宋"/>
          <w:kern w:val="0"/>
          <w:szCs w:val="21"/>
        </w:rPr>
        <w:fldChar w:fldCharType="separate"/>
      </w:r>
      <w:r>
        <w:rPr>
          <w:rFonts w:hint="eastAsia" w:ascii="仿宋" w:hAnsi="仿宋" w:eastAsia="仿宋" w:cs="仿宋"/>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_Toc8653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_Toc6842 </w:instrText>
      </w:r>
      <w:r>
        <w:rPr>
          <w:rFonts w:hint="eastAsia" w:ascii="仿宋" w:hAnsi="仿宋" w:eastAsia="仿宋" w:cs="仿宋"/>
          <w:kern w:val="0"/>
          <w:szCs w:val="21"/>
        </w:rPr>
        <w:fldChar w:fldCharType="separate"/>
      </w:r>
      <w:r>
        <w:rPr>
          <w:rFonts w:hint="eastAsia" w:ascii="仿宋" w:hAnsi="仿宋" w:eastAsia="仿宋" w:cs="仿宋"/>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_Toc6842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_Toc8603 </w:instrText>
      </w:r>
      <w:r>
        <w:rPr>
          <w:rFonts w:hint="eastAsia" w:ascii="仿宋" w:hAnsi="仿宋" w:eastAsia="仿宋" w:cs="仿宋"/>
          <w:kern w:val="0"/>
          <w:szCs w:val="21"/>
        </w:rPr>
        <w:fldChar w:fldCharType="separate"/>
      </w:r>
      <w:r>
        <w:rPr>
          <w:rFonts w:hint="eastAsia" w:ascii="仿宋" w:hAnsi="仿宋" w:eastAsia="仿宋" w:cs="仿宋"/>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_Toc8603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_Toc25255 </w:instrText>
      </w:r>
      <w:r>
        <w:rPr>
          <w:rFonts w:hint="eastAsia" w:ascii="仿宋" w:hAnsi="仿宋" w:eastAsia="仿宋" w:cs="仿宋"/>
          <w:kern w:val="0"/>
          <w:szCs w:val="21"/>
        </w:rPr>
        <w:fldChar w:fldCharType="separate"/>
      </w:r>
      <w:r>
        <w:rPr>
          <w:rFonts w:hint="eastAsia" w:ascii="仿宋" w:hAnsi="仿宋" w:eastAsia="仿宋" w:cs="仿宋"/>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_Toc25255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_Toc20835 </w:instrText>
      </w:r>
      <w:r>
        <w:rPr>
          <w:rFonts w:hint="eastAsia" w:ascii="仿宋" w:hAnsi="仿宋" w:eastAsia="仿宋" w:cs="仿宋"/>
          <w:kern w:val="0"/>
          <w:szCs w:val="21"/>
        </w:rPr>
        <w:fldChar w:fldCharType="separate"/>
      </w:r>
      <w:r>
        <w:rPr>
          <w:rFonts w:hint="eastAsia" w:ascii="仿宋" w:hAnsi="仿宋" w:eastAsia="仿宋" w:cs="仿宋"/>
        </w:rPr>
        <w:t>23.比较与评价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_Toc20835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_Toc5823 </w:instrText>
      </w:r>
      <w:r>
        <w:rPr>
          <w:rFonts w:hint="eastAsia" w:ascii="仿宋" w:hAnsi="仿宋" w:eastAsia="仿宋" w:cs="仿宋"/>
          <w:kern w:val="0"/>
          <w:szCs w:val="21"/>
        </w:rPr>
        <w:fldChar w:fldCharType="separate"/>
      </w:r>
      <w:r>
        <w:rPr>
          <w:rFonts w:hint="eastAsia" w:ascii="仿宋" w:hAnsi="仿宋" w:eastAsia="仿宋" w:cs="仿宋"/>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_Toc5823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_Toc23660 </w:instrText>
      </w:r>
      <w:r>
        <w:rPr>
          <w:rFonts w:hint="eastAsia" w:ascii="仿宋" w:hAnsi="仿宋" w:eastAsia="仿宋" w:cs="仿宋"/>
          <w:kern w:val="0"/>
          <w:szCs w:val="21"/>
        </w:rPr>
        <w:fldChar w:fldCharType="separate"/>
      </w:r>
      <w:r>
        <w:rPr>
          <w:rFonts w:hint="eastAsia" w:ascii="仿宋" w:hAnsi="仿宋" w:eastAsia="仿宋" w:cs="仿宋"/>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_Toc23660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_Toc10964 </w:instrText>
      </w:r>
      <w:r>
        <w:rPr>
          <w:rFonts w:hint="eastAsia" w:ascii="仿宋" w:hAnsi="仿宋" w:eastAsia="仿宋" w:cs="仿宋"/>
          <w:kern w:val="0"/>
          <w:szCs w:val="21"/>
        </w:rPr>
        <w:fldChar w:fldCharType="separate"/>
      </w:r>
      <w:r>
        <w:rPr>
          <w:rFonts w:hint="eastAsia" w:ascii="仿宋" w:hAnsi="仿宋" w:eastAsia="仿宋" w:cs="仿宋"/>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_Toc10964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_Toc32578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_Toc32578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_Toc10555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_Toc10555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_Toc17138 </w:instrText>
      </w:r>
      <w:r>
        <w:rPr>
          <w:rFonts w:hint="eastAsia" w:ascii="仿宋" w:hAnsi="仿宋" w:eastAsia="仿宋" w:cs="仿宋"/>
          <w:kern w:val="0"/>
          <w:szCs w:val="21"/>
        </w:rPr>
        <w:fldChar w:fldCharType="separate"/>
      </w:r>
      <w:r>
        <w:rPr>
          <w:rFonts w:hint="eastAsia" w:ascii="仿宋" w:hAnsi="仿宋" w:eastAsia="仿宋" w:cs="仿宋"/>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_Toc18072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_Toc18072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_Toc16952 </w:instrText>
      </w:r>
      <w:r>
        <w:rPr>
          <w:rFonts w:hint="eastAsia" w:ascii="仿宋" w:hAnsi="仿宋" w:eastAsia="仿宋" w:cs="仿宋"/>
          <w:kern w:val="0"/>
          <w:szCs w:val="21"/>
        </w:rPr>
        <w:fldChar w:fldCharType="separate"/>
      </w:r>
      <w:r>
        <w:rPr>
          <w:rFonts w:hint="eastAsia" w:ascii="仿宋" w:hAnsi="仿宋" w:eastAsia="仿宋" w:cs="仿宋"/>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_Toc4302 </w:instrText>
      </w:r>
      <w:r>
        <w:rPr>
          <w:rFonts w:hint="eastAsia" w:ascii="仿宋" w:hAnsi="仿宋" w:eastAsia="仿宋" w:cs="仿宋"/>
          <w:kern w:val="0"/>
          <w:szCs w:val="21"/>
        </w:rPr>
        <w:fldChar w:fldCharType="separate"/>
      </w:r>
      <w:r>
        <w:rPr>
          <w:rFonts w:hint="eastAsia" w:ascii="仿宋" w:hAnsi="仿宋" w:eastAsia="仿宋" w:cs="仿宋"/>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_Toc4302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_Toc8476 </w:instrText>
      </w:r>
      <w:r>
        <w:rPr>
          <w:rFonts w:hint="eastAsia" w:ascii="仿宋" w:hAnsi="仿宋" w:eastAsia="仿宋" w:cs="仿宋"/>
          <w:kern w:val="0"/>
          <w:szCs w:val="21"/>
        </w:rPr>
        <w:fldChar w:fldCharType="separate"/>
      </w:r>
      <w:r>
        <w:rPr>
          <w:rFonts w:hint="eastAsia" w:ascii="仿宋" w:hAnsi="仿宋" w:eastAsia="仿宋" w:cs="仿宋"/>
        </w:rPr>
        <w:t>32.中标服务费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_Toc8476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_Toc31411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_Toc31411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_Toc4701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_Toc4701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_Toc21055 </w:instrText>
      </w:r>
      <w:r>
        <w:rPr>
          <w:rFonts w:hint="eastAsia" w:ascii="仿宋" w:hAnsi="仿宋" w:eastAsia="仿宋" w:cs="仿宋"/>
          <w:kern w:val="0"/>
          <w:szCs w:val="21"/>
        </w:rPr>
        <w:fldChar w:fldCharType="separate"/>
      </w:r>
      <w:r>
        <w:rPr>
          <w:rFonts w:hint="eastAsia" w:ascii="仿宋" w:hAnsi="仿宋" w:eastAsia="仿宋" w:cs="仿宋"/>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_Toc21055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_Toc24931 </w:instrText>
      </w:r>
      <w:r>
        <w:rPr>
          <w:rFonts w:hint="eastAsia" w:ascii="仿宋" w:hAnsi="仿宋" w:eastAsia="仿宋" w:cs="仿宋"/>
          <w:kern w:val="0"/>
          <w:szCs w:val="21"/>
        </w:rPr>
        <w:fldChar w:fldCharType="separate"/>
      </w:r>
      <w:r>
        <w:rPr>
          <w:rFonts w:hint="eastAsia" w:ascii="仿宋" w:hAnsi="仿宋" w:eastAsia="仿宋" w:cs="仿宋"/>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_Toc24931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_Toc23883 </w:instrText>
      </w:r>
      <w:r>
        <w:rPr>
          <w:rFonts w:hint="eastAsia" w:ascii="仿宋" w:hAnsi="仿宋" w:eastAsia="仿宋" w:cs="仿宋"/>
          <w:kern w:val="0"/>
          <w:szCs w:val="21"/>
        </w:rPr>
        <w:fldChar w:fldCharType="separate"/>
      </w:r>
      <w:r>
        <w:rPr>
          <w:rFonts w:hint="eastAsia" w:ascii="仿宋" w:hAnsi="仿宋" w:eastAsia="仿宋" w:cs="仿宋"/>
        </w:rPr>
        <w:t>附件1：履约保证金保函（格式）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_Toc23883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_Toc27788 </w:instrText>
      </w:r>
      <w:r>
        <w:rPr>
          <w:rFonts w:hint="eastAsia" w:ascii="仿宋" w:hAnsi="仿宋" w:eastAsia="仿宋" w:cs="仿宋"/>
          <w:kern w:val="0"/>
          <w:szCs w:val="21"/>
        </w:rPr>
        <w:fldChar w:fldCharType="separate"/>
      </w:r>
      <w:r>
        <w:rPr>
          <w:rFonts w:hint="eastAsia" w:ascii="仿宋" w:hAnsi="仿宋" w:eastAsia="仿宋" w:cs="仿宋"/>
        </w:rPr>
        <w:t>附件2：履约担保函格式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_Toc27788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_Toc30995 </w:instrText>
      </w:r>
      <w:r>
        <w:rPr>
          <w:rFonts w:hint="eastAsia" w:ascii="仿宋" w:hAnsi="仿宋" w:eastAsia="仿宋" w:cs="仿宋"/>
          <w:kern w:val="0"/>
          <w:szCs w:val="21"/>
        </w:rPr>
        <w:fldChar w:fldCharType="separate"/>
      </w:r>
      <w:r>
        <w:rPr>
          <w:rFonts w:hint="eastAsia" w:ascii="仿宋" w:hAnsi="仿宋" w:eastAsia="仿宋" w:cs="仿宋"/>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_Toc30995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_Toc6923 </w:instrText>
      </w:r>
      <w:r>
        <w:rPr>
          <w:rFonts w:hint="eastAsia" w:ascii="仿宋" w:hAnsi="仿宋" w:eastAsia="仿宋" w:cs="仿宋"/>
          <w:kern w:val="0"/>
          <w:szCs w:val="21"/>
        </w:rPr>
        <w:fldChar w:fldCharType="separate"/>
      </w:r>
      <w:r>
        <w:rPr>
          <w:rFonts w:hint="eastAsia" w:ascii="仿宋" w:hAnsi="仿宋" w:eastAsia="仿宋" w:cs="仿宋"/>
        </w:rPr>
        <w:t>第2章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_Toc6923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_Toc15142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_Toc15142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_Toc16844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_Toc16844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_Toc9913 </w:instrText>
      </w:r>
      <w:r>
        <w:rPr>
          <w:rFonts w:hint="eastAsia" w:ascii="仿宋" w:hAnsi="仿宋" w:eastAsia="仿宋" w:cs="仿宋"/>
          <w:kern w:val="0"/>
          <w:szCs w:val="21"/>
        </w:rPr>
        <w:fldChar w:fldCharType="separate"/>
      </w:r>
      <w:r>
        <w:rPr>
          <w:rFonts w:hint="eastAsia" w:ascii="仿宋" w:hAnsi="仿宋" w:eastAsia="仿宋" w:cs="仿宋"/>
        </w:rPr>
        <w:t>第3章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_Toc9913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_Toc28647 </w:instrText>
      </w:r>
      <w:r>
        <w:rPr>
          <w:rFonts w:hint="eastAsia" w:ascii="仿宋" w:hAnsi="仿宋" w:eastAsia="仿宋" w:cs="仿宋"/>
          <w:kern w:val="0"/>
          <w:szCs w:val="21"/>
        </w:rPr>
        <w:fldChar w:fldCharType="separate"/>
      </w:r>
      <w:r>
        <w:rPr>
          <w:rFonts w:hint="eastAsia" w:ascii="仿宋" w:hAnsi="仿宋" w:eastAsia="仿宋" w:cs="仿宋"/>
          <w:szCs w:val="32"/>
        </w:rPr>
        <w:t xml:space="preserve">第4章 </w:t>
      </w:r>
      <w:r>
        <w:rPr>
          <w:rFonts w:hint="eastAsia" w:ascii="仿宋" w:hAnsi="仿宋" w:eastAsia="仿宋" w:cs="仿宋"/>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_Toc28647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_Toc7112 </w:instrText>
      </w:r>
      <w:r>
        <w:rPr>
          <w:rFonts w:hint="eastAsia" w:ascii="仿宋" w:hAnsi="仿宋" w:eastAsia="仿宋" w:cs="仿宋"/>
          <w:kern w:val="0"/>
          <w:szCs w:val="21"/>
        </w:rPr>
        <w:fldChar w:fldCharType="separate"/>
      </w:r>
      <w:r>
        <w:rPr>
          <w:rFonts w:hint="eastAsia" w:ascii="仿宋" w:hAnsi="仿宋" w:eastAsia="仿宋" w:cs="仿宋"/>
        </w:rPr>
        <w:t>第5章 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_Toc7112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_Toc10220 </w:instrText>
      </w:r>
      <w:r>
        <w:rPr>
          <w:rFonts w:hint="eastAsia" w:ascii="仿宋" w:hAnsi="仿宋" w:eastAsia="仿宋" w:cs="仿宋"/>
          <w:kern w:val="0"/>
          <w:szCs w:val="21"/>
        </w:rPr>
        <w:fldChar w:fldCharType="separate"/>
      </w:r>
      <w:r>
        <w:rPr>
          <w:rFonts w:hint="eastAsia" w:ascii="仿宋" w:hAnsi="仿宋" w:eastAsia="仿宋" w:cs="仿宋"/>
        </w:rPr>
        <w:t>第6章 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_Toc10220 </w:instrText>
      </w:r>
      <w:r>
        <w:rPr>
          <w:rFonts w:hint="eastAsia" w:ascii="仿宋" w:hAnsi="仿宋" w:eastAsia="仿宋" w:cs="仿宋"/>
        </w:rPr>
        <w:fldChar w:fldCharType="separate"/>
      </w:r>
      <w:r>
        <w:rPr>
          <w:rFonts w:hint="eastAsia" w:ascii="仿宋" w:hAnsi="仿宋" w:eastAsia="仿宋" w:cs="仿宋"/>
        </w:rPr>
        <w:t>88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kern w:val="0"/>
          <w:szCs w:val="21"/>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_Toc23018 </w:instrText>
      </w:r>
      <w:r>
        <w:rPr>
          <w:rFonts w:hint="eastAsia" w:ascii="仿宋" w:hAnsi="仿宋" w:eastAsia="仿宋" w:cs="仿宋"/>
          <w:kern w:val="0"/>
          <w:szCs w:val="21"/>
        </w:rPr>
        <w:fldChar w:fldCharType="separate"/>
      </w:r>
      <w:r>
        <w:rPr>
          <w:rFonts w:hint="eastAsia" w:ascii="仿宋" w:hAnsi="仿宋" w:eastAsia="仿宋" w:cs="仿宋"/>
        </w:rPr>
        <w:t>第7章 政府采购合同标准文本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_Toc23018 </w:instrText>
      </w:r>
      <w:r>
        <w:rPr>
          <w:rFonts w:hint="eastAsia" w:ascii="仿宋" w:hAnsi="仿宋" w:eastAsia="仿宋" w:cs="仿宋"/>
        </w:rPr>
        <w:fldChar w:fldCharType="separate"/>
      </w:r>
      <w:r>
        <w:rPr>
          <w:rFonts w:hint="eastAsia" w:ascii="仿宋" w:hAnsi="仿宋" w:eastAsia="仿宋" w:cs="仿宋"/>
        </w:rPr>
        <w:t>109</w:t>
      </w:r>
      <w:r>
        <w:rPr>
          <w:rFonts w:hint="eastAsia" w:ascii="仿宋" w:hAnsi="仿宋" w:eastAsia="仿宋" w:cs="仿宋"/>
        </w:rPr>
        <w:fldChar w:fldCharType="end"/>
      </w:r>
      <w:r>
        <w:rPr>
          <w:rFonts w:hint="eastAsia" w:ascii="仿宋" w:hAnsi="仿宋" w:eastAsia="仿宋" w:cs="仿宋"/>
          <w:kern w:val="0"/>
          <w:szCs w:val="21"/>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jc w:val="center"/>
        <w:textAlignment w:val="auto"/>
        <w:rPr>
          <w:rFonts w:hint="eastAsia" w:ascii="仿宋" w:hAnsi="仿宋" w:eastAsia="仿宋" w:cs="仿宋"/>
        </w:rPr>
      </w:pPr>
      <w:r>
        <w:rPr>
          <w:rFonts w:hint="eastAsia" w:ascii="仿宋" w:hAnsi="仿宋" w:eastAsia="仿宋" w:cs="仿宋"/>
          <w:kern w:val="0"/>
          <w:szCs w:val="21"/>
        </w:rPr>
        <w:fldChar w:fldCharType="end"/>
      </w:r>
      <w:bookmarkStart w:id="0" w:name="_Toc216582804"/>
      <w:bookmarkStart w:id="1" w:name="_Toc9228"/>
      <w:r>
        <w:rPr>
          <w:rFonts w:hint="eastAsia" w:ascii="仿宋" w:hAnsi="仿宋" w:eastAsia="仿宋" w:cs="仿宋"/>
          <w:kern w:val="0"/>
          <w:szCs w:val="21"/>
          <w:lang w:val="en-US" w:eastAsia="zh-CN"/>
        </w:rPr>
        <w:t>第一章</w:t>
      </w:r>
      <w:r>
        <w:rPr>
          <w:rFonts w:hint="eastAsia" w:ascii="仿宋" w:hAnsi="仿宋" w:eastAsia="仿宋" w:cs="仿宋"/>
        </w:rPr>
        <w:t xml:space="preserve"> </w:t>
      </w:r>
      <w:bookmarkStart w:id="2" w:name="_Toc518923059"/>
      <w:r>
        <w:rPr>
          <w:rFonts w:hint="eastAsia" w:ascii="仿宋" w:hAnsi="仿宋" w:eastAsia="仿宋" w:cs="仿宋"/>
        </w:rPr>
        <w:t>投标人须知</w:t>
      </w:r>
      <w:bookmarkEnd w:id="0"/>
      <w:bookmarkEnd w:id="1"/>
      <w:bookmarkEnd w:id="2"/>
    </w:p>
    <w:p>
      <w:pPr>
        <w:rPr>
          <w:rFonts w:hint="eastAsia" w:ascii="仿宋" w:hAnsi="仿宋" w:eastAsia="仿宋" w:cs="仿宋"/>
        </w:rPr>
      </w:pPr>
    </w:p>
    <w:p>
      <w:pPr>
        <w:pStyle w:val="4"/>
        <w:spacing w:before="0" w:line="240" w:lineRule="atLeast"/>
        <w:ind w:left="1079"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 w:name="_Toc520356144"/>
      <w:bookmarkStart w:id="8" w:name="_Toc12013"/>
      <w:bookmarkStart w:id="9" w:name="_Toc518923061"/>
      <w:r>
        <w:rPr>
          <w:rFonts w:hint="eastAsia" w:ascii="仿宋" w:hAnsi="仿宋" w:eastAsia="仿宋" w:cs="仿宋"/>
          <w:u w:val="none"/>
        </w:rPr>
        <w:t>1.采购人、采购代理机构及</w:t>
      </w:r>
      <w:bookmarkEnd w:id="7"/>
      <w:r>
        <w:rPr>
          <w:rFonts w:hint="eastAsia" w:ascii="仿宋" w:hAnsi="仿宋" w:eastAsia="仿宋" w:cs="仿宋"/>
          <w:u w:val="none"/>
        </w:rPr>
        <w:t>投标人</w:t>
      </w:r>
      <w:bookmarkEnd w:id="8"/>
      <w:bookmarkEnd w:id="9"/>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采购代理机构：是指集中采购机构或从事采购代理业务的社会中介机构。本项目的采购代理机构见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1.6    </w:t>
      </w:r>
      <w:r>
        <w:rPr>
          <w:rFonts w:hint="eastAsia" w:ascii="仿宋" w:hAnsi="仿宋" w:eastAsia="仿宋" w:cs="仿宋"/>
          <w:b/>
          <w:sz w:val="24"/>
        </w:rPr>
        <w:t>为本项目提供过整体设计、规范编制或者项目管理、监理、检测等服务的供应商，不得再参加本项目上述服务以外的其他采购活动。否则其投标将被认定为投标无效。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 w:name="_Toc2643"/>
      <w:bookmarkStart w:id="11" w:name="_Toc518923062"/>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2" w:name="_Toc518923063"/>
      <w:bookmarkStart w:id="13" w:name="_Toc28166"/>
      <w:bookmarkStart w:id="14" w:name="_Toc520356145"/>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5"/>
        <w:spacing w:before="0" w:after="0" w:line="240" w:lineRule="atLeast"/>
        <w:rPr>
          <w:rFonts w:hint="eastAsia" w:ascii="仿宋" w:hAnsi="仿宋" w:eastAsia="仿宋" w:cs="仿宋"/>
          <w:u w:val="none"/>
        </w:rPr>
      </w:pPr>
      <w:bookmarkStart w:id="15" w:name="_Toc32365"/>
      <w:bookmarkStart w:id="16" w:name="_Toc518923064"/>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8"/>
        </w:rPr>
      </w:pPr>
      <w:bookmarkStart w:id="17" w:name="_Toc809"/>
      <w:bookmarkStart w:id="18" w:name="_Toc216582806"/>
      <w:bookmarkStart w:id="19" w:name="_Toc520356146"/>
      <w:bookmarkStart w:id="20" w:name="_Toc518923065"/>
      <w:r>
        <w:rPr>
          <w:rFonts w:hint="eastAsia" w:ascii="仿宋" w:hAnsi="仿宋" w:eastAsia="仿宋" w:cs="仿宋"/>
          <w:sz w:val="28"/>
        </w:rPr>
        <w:t>二   招标文件</w:t>
      </w:r>
      <w:bookmarkEnd w:id="17"/>
      <w:bookmarkEnd w:id="18"/>
      <w:bookmarkEnd w:id="19"/>
      <w:bookmarkEnd w:id="20"/>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21" w:name="_Toc520356147"/>
      <w:bookmarkStart w:id="22" w:name="_Toc518923066"/>
      <w:bookmarkStart w:id="23" w:name="_Toc22990"/>
      <w:r>
        <w:rPr>
          <w:rFonts w:hint="eastAsia" w:ascii="仿宋" w:hAnsi="仿宋" w:eastAsia="仿宋" w:cs="仿宋"/>
          <w:u w:val="none"/>
        </w:rPr>
        <w:t>5.招标文件构成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第1章  投标人须知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0"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投标邀请</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投标人须知资料表</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项目服务及需求</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政府采购合同格式</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b w:val="0"/>
          <w:u w:val="none"/>
        </w:rPr>
      </w:pPr>
      <w:bookmarkStart w:id="24" w:name="_Toc520356148"/>
      <w:bookmarkStart w:id="25" w:name="_Toc518923067"/>
      <w:bookmarkStart w:id="26" w:name="_Toc21314"/>
      <w:r>
        <w:rPr>
          <w:rFonts w:hint="eastAsia" w:ascii="仿宋" w:hAnsi="仿宋" w:eastAsia="仿宋" w:cs="仿宋"/>
          <w:u w:val="none"/>
        </w:rPr>
        <w:t>6.招标文件的澄清</w:t>
      </w:r>
      <w:bookmarkEnd w:id="24"/>
      <w:r>
        <w:rPr>
          <w:rFonts w:hint="eastAsia" w:ascii="仿宋" w:hAnsi="仿宋" w:eastAsia="仿宋" w:cs="仿宋"/>
          <w:u w:val="none"/>
        </w:rPr>
        <w:t>与修改</w:t>
      </w:r>
      <w:bookmarkEnd w:id="25"/>
      <w:bookmarkEnd w:id="26"/>
    </w:p>
    <w:p>
      <w:pPr>
        <w:pStyle w:val="14"/>
        <w:ind w:left="840" w:hanging="840" w:hangingChars="350"/>
        <w:rPr>
          <w:rFonts w:hint="eastAsia"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14"/>
        <w:ind w:left="840" w:hanging="840" w:hangingChars="350"/>
        <w:rPr>
          <w:rFonts w:hint="eastAsia" w:ascii="仿宋" w:hAnsi="仿宋" w:eastAsia="仿宋" w:cs="仿宋"/>
          <w:szCs w:val="24"/>
        </w:rPr>
      </w:pPr>
      <w:bookmarkStart w:id="27" w:name="_Toc520356149"/>
      <w:bookmarkStart w:id="28"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14"/>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澄清或者修改的内容可能影响投标文件编制的，采购代理机构将以发布澄清（更正）公告的方式告知所有潜在投标人，并对其具有约束力。</w:t>
      </w:r>
    </w:p>
    <w:p>
      <w:pPr>
        <w:pStyle w:val="5"/>
        <w:tabs>
          <w:tab w:val="left" w:pos="900"/>
        </w:tabs>
        <w:spacing w:before="0" w:after="0" w:line="240" w:lineRule="atLeast"/>
        <w:rPr>
          <w:rFonts w:hint="eastAsia" w:ascii="仿宋" w:hAnsi="仿宋" w:eastAsia="仿宋" w:cs="仿宋"/>
          <w:u w:val="none"/>
        </w:rPr>
      </w:pPr>
      <w:bookmarkStart w:id="29" w:name="_Toc518923068"/>
      <w:bookmarkStart w:id="30" w:name="_Toc10994"/>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4"/>
        <w:tabs>
          <w:tab w:val="left" w:pos="900"/>
        </w:tabs>
        <w:spacing w:before="0" w:line="240" w:lineRule="atLeast"/>
        <w:ind w:left="1079" w:leftChars="257" w:hanging="540"/>
        <w:rPr>
          <w:rFonts w:hint="eastAsia" w:ascii="仿宋" w:hAnsi="仿宋" w:eastAsia="仿宋" w:cs="仿宋"/>
          <w:sz w:val="28"/>
        </w:rPr>
      </w:pPr>
      <w:bookmarkStart w:id="31" w:name="_Toc516367020"/>
      <w:bookmarkStart w:id="32" w:name="_Toc25389"/>
      <w:bookmarkStart w:id="33" w:name="_Toc520356150"/>
      <w:bookmarkStart w:id="34" w:name="_Toc216582807"/>
      <w:bookmarkStart w:id="35" w:name="_Toc51892306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14"/>
        <w:rPr>
          <w:rFonts w:hint="eastAsia" w:ascii="仿宋" w:hAnsi="仿宋" w:eastAsia="仿宋" w:cs="仿宋"/>
        </w:rPr>
      </w:pPr>
    </w:p>
    <w:p>
      <w:pPr>
        <w:pStyle w:val="5"/>
        <w:tabs>
          <w:tab w:val="left" w:pos="900"/>
        </w:tabs>
        <w:spacing w:before="0" w:after="0" w:line="240" w:lineRule="atLeast"/>
        <w:rPr>
          <w:rFonts w:hint="eastAsia" w:ascii="仿宋" w:hAnsi="仿宋" w:eastAsia="仿宋" w:cs="仿宋"/>
          <w:u w:val="none"/>
        </w:rPr>
      </w:pPr>
      <w:bookmarkStart w:id="36" w:name="_Toc516367021"/>
      <w:bookmarkStart w:id="37" w:name="_Toc6728"/>
      <w:bookmarkStart w:id="38" w:name="_Toc518923070"/>
      <w:bookmarkStart w:id="39" w:name="_Toc52035615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项目有分包的，投标人可对招标文件其中一个或几个分包进行投标，除非在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8.2    投标人应当对所投分包招标文件中“</w:t>
      </w:r>
      <w:r>
        <w:rPr>
          <w:rFonts w:hint="eastAsia" w:ascii="仿宋" w:hAnsi="仿宋" w:eastAsia="仿宋" w:cs="仿宋"/>
          <w:sz w:val="24"/>
          <w:lang w:val="en-US" w:eastAsia="zh-CN"/>
        </w:rPr>
        <w:t>项目</w:t>
      </w:r>
      <w:r>
        <w:rPr>
          <w:rFonts w:hint="eastAsia" w:ascii="仿宋" w:hAnsi="仿宋" w:eastAsia="仿宋" w:cs="仿宋"/>
          <w:sz w:val="24"/>
        </w:rPr>
        <w:t>需求”所列的所有服务内容进行投标，如仅响应分包中的部分内容，其投标将被认定为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无论招标文件第5章服务需求中是否要求，投标人所投服务均应符合国家强制性标准。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5"/>
        <w:tabs>
          <w:tab w:val="left" w:pos="900"/>
        </w:tabs>
        <w:spacing w:before="0" w:after="0" w:line="240" w:lineRule="atLeast"/>
        <w:rPr>
          <w:rFonts w:hint="eastAsia" w:ascii="仿宋" w:hAnsi="仿宋" w:eastAsia="仿宋" w:cs="仿宋"/>
          <w:u w:val="none"/>
        </w:rPr>
      </w:pPr>
      <w:bookmarkStart w:id="40" w:name="_Ref467306676"/>
      <w:bookmarkStart w:id="41" w:name="_Ref467306195"/>
      <w:bookmarkStart w:id="42" w:name="_Toc516367022"/>
      <w:bookmarkStart w:id="43" w:name="_Toc15487"/>
      <w:bookmarkStart w:id="44" w:name="_Toc518923071"/>
      <w:bookmarkStart w:id="45" w:name="_Toc520356152"/>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rPr>
        <w:t>投标人应完整地按招标文件提供的投标文件格式及要求编写投标文件，投标文件应包括</w:t>
      </w:r>
      <w:bookmarkEnd w:id="46"/>
      <w:r>
        <w:rPr>
          <w:rFonts w:hint="eastAsia" w:ascii="仿宋" w:hAnsi="仿宋" w:eastAsia="仿宋" w:cs="仿宋"/>
          <w:b/>
          <w:bCs/>
          <w:color w:val="auto"/>
          <w:sz w:val="24"/>
          <w:u w:val="single"/>
        </w:rPr>
        <w:t>“开标一览表及资格证明文件”</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“商务</w:t>
      </w:r>
      <w:r>
        <w:rPr>
          <w:rFonts w:hint="eastAsia" w:ascii="仿宋" w:hAnsi="仿宋" w:eastAsia="仿宋" w:cs="仿宋"/>
          <w:b/>
          <w:bCs/>
          <w:color w:val="auto"/>
          <w:sz w:val="24"/>
          <w:u w:val="single"/>
          <w:lang w:val="en-US" w:eastAsia="zh-CN"/>
        </w:rPr>
        <w:t>投标文件”和“</w:t>
      </w:r>
      <w:r>
        <w:rPr>
          <w:rFonts w:hint="eastAsia" w:ascii="仿宋" w:hAnsi="仿宋" w:eastAsia="仿宋" w:cs="仿宋"/>
          <w:b/>
          <w:bCs/>
          <w:color w:val="auto"/>
          <w:sz w:val="24"/>
          <w:u w:val="single"/>
          <w:lang w:eastAsia="zh-CN"/>
        </w:rPr>
        <w:t>技术投标方案</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分别胶装</w:t>
      </w:r>
      <w:r>
        <w:rPr>
          <w:rFonts w:hint="eastAsia" w:ascii="仿宋" w:hAnsi="仿宋" w:eastAsia="仿宋" w:cs="仿宋"/>
          <w:b/>
          <w:bCs/>
          <w:color w:val="auto"/>
          <w:sz w:val="24"/>
          <w:u w:val="single"/>
        </w:rPr>
        <w:t>成册密封递交。投标人应承担封装失误产生的任何后果。</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上述文件应按照招标文件规定的格式填写、签署和盖章。若投标人未依照要求制作装订投标文件的，则视为不响应招标文件编制投标文件的要求，</w:t>
      </w:r>
      <w:r>
        <w:rPr>
          <w:rFonts w:hint="eastAsia" w:ascii="仿宋" w:hAnsi="仿宋" w:eastAsia="仿宋" w:cs="仿宋"/>
          <w:b/>
          <w:bCs/>
          <w:sz w:val="24"/>
        </w:rPr>
        <w:t>为无效投标。</w:t>
      </w:r>
    </w:p>
    <w:p>
      <w:pPr>
        <w:pStyle w:val="5"/>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516367023"/>
      <w:bookmarkStart w:id="48" w:name="_Toc508185920"/>
      <w:bookmarkStart w:id="49" w:name="_Toc518923072"/>
      <w:bookmarkStart w:id="50" w:name="_Toc520356153"/>
      <w:bookmarkStart w:id="51" w:name="_Toc2671"/>
      <w:bookmarkStart w:id="52" w:name="_Toc520356155"/>
      <w:r>
        <w:rPr>
          <w:rFonts w:hint="eastAsia" w:ascii="仿宋" w:hAnsi="仿宋" w:eastAsia="仿宋" w:cs="仿宋"/>
          <w:u w:val="none"/>
        </w:rPr>
        <w:t>10.</w:t>
      </w:r>
      <w:r>
        <w:rPr>
          <w:rFonts w:hint="eastAsia" w:ascii="仿宋" w:hAnsi="仿宋" w:eastAsia="仿宋" w:cs="仿宋"/>
          <w:u w:val="none"/>
        </w:rPr>
        <w:tab/>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证明投标标的的合格性和符合招标文件规定的技术文件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54" w:name="_Toc518923073"/>
      <w:bookmarkStart w:id="55" w:name="_Toc8529"/>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投标人所报的投标报价在合同履行过程中是固定不变的，不得以任何理由予以变更。任何包含价格调整要求的投标，将被认定为投标无效。</w:t>
      </w:r>
    </w:p>
    <w:p>
      <w:pPr>
        <w:pStyle w:val="5"/>
        <w:spacing w:before="0" w:after="0" w:line="240" w:lineRule="atLeast"/>
        <w:rPr>
          <w:rFonts w:hint="eastAsia" w:ascii="仿宋" w:hAnsi="仿宋" w:eastAsia="仿宋" w:cs="仿宋"/>
          <w:u w:val="none"/>
        </w:rPr>
      </w:pPr>
      <w:bookmarkStart w:id="56" w:name="_Toc520356156"/>
      <w:bookmarkStart w:id="57" w:name="_Ref467306513"/>
      <w:bookmarkStart w:id="58" w:name="_Toc16199"/>
      <w:bookmarkStart w:id="59" w:name="_Toc518923074"/>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rPr>
          <w:rFonts w:hint="eastAsia" w:ascii="仿宋" w:hAnsi="仿宋" w:eastAsia="仿宋" w:cs="仿宋"/>
          <w:sz w:val="24"/>
        </w:rPr>
      </w:pPr>
      <w:r>
        <w:rPr>
          <w:rFonts w:hint="eastAsia" w:ascii="仿宋" w:hAnsi="仿宋" w:eastAsia="仿宋" w:cs="仿宋"/>
          <w:sz w:val="24"/>
        </w:rPr>
        <w:t>12.4.1  采用电汇</w:t>
      </w:r>
      <w:r>
        <w:rPr>
          <w:rFonts w:hint="eastAsia" w:ascii="仿宋" w:hAnsi="仿宋" w:eastAsia="仿宋" w:cs="仿宋"/>
          <w:sz w:val="24"/>
          <w:lang w:eastAsia="zh-CN"/>
        </w:rPr>
        <w:t>、对公转账</w:t>
      </w:r>
      <w:r>
        <w:rPr>
          <w:rFonts w:hint="eastAsia" w:ascii="仿宋" w:hAnsi="仿宋" w:eastAsia="仿宋" w:cs="仿宋"/>
          <w:sz w:val="24"/>
        </w:rPr>
        <w:t>形式的，一般可以实时入账；</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5"/>
        <w:spacing w:before="0" w:after="0" w:line="240" w:lineRule="atLeast"/>
        <w:rPr>
          <w:rFonts w:hint="eastAsia" w:ascii="仿宋" w:hAnsi="仿宋" w:eastAsia="仿宋" w:cs="仿宋"/>
          <w:u w:val="none"/>
        </w:rPr>
      </w:pPr>
      <w:bookmarkStart w:id="63" w:name="_Toc520356157"/>
      <w:bookmarkStart w:id="64" w:name="_Toc20355"/>
      <w:bookmarkStart w:id="65" w:name="_Toc518923076"/>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5"/>
        <w:spacing w:before="0" w:after="0" w:line="240" w:lineRule="atLeast"/>
        <w:rPr>
          <w:rFonts w:hint="eastAsia" w:ascii="仿宋" w:hAnsi="仿宋" w:eastAsia="仿宋" w:cs="仿宋"/>
          <w:u w:val="none"/>
        </w:rPr>
      </w:pPr>
      <w:bookmarkStart w:id="66" w:name="_Toc520356158"/>
      <w:bookmarkStart w:id="67" w:name="_Toc518923077"/>
      <w:bookmarkStart w:id="68" w:name="_Toc27303"/>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rPr>
        <w:t>投标人应按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中的规定，</w:t>
      </w:r>
      <w:r>
        <w:rPr>
          <w:rFonts w:hint="eastAsia" w:ascii="仿宋" w:hAnsi="仿宋" w:eastAsia="仿宋" w:cs="仿宋"/>
          <w:sz w:val="24"/>
        </w:rPr>
        <w:t>准备和递交投标文件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正本、副本和电子文档</w:t>
      </w:r>
      <w:r>
        <w:rPr>
          <w:rFonts w:hint="eastAsia" w:ascii="仿宋" w:hAnsi="仿宋" w:eastAsia="仿宋" w:cs="仿宋"/>
          <w:sz w:val="24"/>
          <w:lang w:eastAsia="zh-CN"/>
        </w:rPr>
        <w:t>（投标文件正本的</w:t>
      </w:r>
      <w:r>
        <w:rPr>
          <w:rFonts w:hint="eastAsia" w:ascii="仿宋" w:hAnsi="仿宋" w:eastAsia="仿宋" w:cs="仿宋"/>
          <w:sz w:val="24"/>
          <w:lang w:val="en-US" w:eastAsia="zh-CN"/>
        </w:rPr>
        <w:t>PDF格式文档）</w:t>
      </w:r>
      <w:r>
        <w:rPr>
          <w:rFonts w:hint="eastAsia" w:ascii="仿宋" w:hAnsi="仿宋" w:eastAsia="仿宋" w:cs="仿宋"/>
          <w:sz w:val="24"/>
        </w:rPr>
        <w:t>，每份</w:t>
      </w:r>
      <w:r>
        <w:rPr>
          <w:rFonts w:hint="eastAsia" w:ascii="仿宋" w:hAnsi="仿宋" w:eastAsia="仿宋" w:cs="仿宋"/>
          <w:sz w:val="24"/>
          <w:lang w:eastAsia="zh-CN"/>
        </w:rPr>
        <w:t>投标</w:t>
      </w:r>
      <w:r>
        <w:rPr>
          <w:rFonts w:hint="eastAsia" w:ascii="仿宋" w:hAnsi="仿宋" w:eastAsia="仿宋" w:cs="仿宋"/>
          <w:sz w:val="24"/>
        </w:rPr>
        <w:t>文件封皮须清楚地标明“正本”或“副本”。若正本和副本不符，以正本为准。</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投标文件的正本需打印或用不褪色墨水书写，并由投标人的法定代表人或其委托代理人按招标文件规定在投标文件上签字并加盖单位印章。</w:t>
      </w:r>
      <w:r>
        <w:rPr>
          <w:rFonts w:hint="eastAsia" w:ascii="仿宋" w:hAnsi="仿宋" w:eastAsia="仿宋" w:cs="仿宋"/>
          <w:sz w:val="24"/>
        </w:rPr>
        <w:t>委托代理人须持有书面的“法定代表人授权委托书”（投标文件格式二），并将其附在投标文件中。如对投标文件进行了修改，则应由投标人法定代表人或其委托代理人在每一修改处签字。</w:t>
      </w:r>
      <w:r>
        <w:rPr>
          <w:rFonts w:hint="eastAsia" w:ascii="仿宋" w:hAnsi="仿宋" w:eastAsia="仿宋" w:cs="仿宋"/>
          <w:b/>
          <w:bCs/>
          <w:sz w:val="24"/>
        </w:rPr>
        <w:t>投标文件的副本可采用正本的复印件。</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14.3    所有投标文件采用不可拆装的胶订方式装订，否则将被认定为</w:t>
      </w:r>
      <w:r>
        <w:rPr>
          <w:rFonts w:hint="eastAsia" w:ascii="仿宋" w:hAnsi="仿宋" w:eastAsia="仿宋" w:cs="仿宋"/>
          <w:b/>
          <w:bCs/>
          <w:sz w:val="24"/>
        </w:rPr>
        <w:t>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69" w:name="_Toc518923078"/>
      <w:bookmarkStart w:id="70" w:name="_Toc22303"/>
      <w:bookmarkStart w:id="71" w:name="_Toc216582808"/>
      <w:bookmarkStart w:id="72" w:name="_Toc520356159"/>
      <w:r>
        <w:rPr>
          <w:rFonts w:hint="eastAsia" w:ascii="仿宋" w:hAnsi="仿宋" w:eastAsia="仿宋" w:cs="仿宋"/>
          <w:sz w:val="24"/>
        </w:rPr>
        <w:t>四   投标文件的递交</w:t>
      </w:r>
      <w:bookmarkEnd w:id="69"/>
      <w:bookmarkEnd w:id="70"/>
      <w:bookmarkEnd w:id="71"/>
      <w:bookmarkEnd w:id="72"/>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3" w:name="_Toc520356160"/>
      <w:bookmarkStart w:id="74" w:name="_Toc13247"/>
      <w:bookmarkStart w:id="75" w:name="_Toc518923079"/>
      <w:r>
        <w:rPr>
          <w:rFonts w:hint="eastAsia" w:ascii="仿宋" w:hAnsi="仿宋" w:eastAsia="仿宋" w:cs="仿宋"/>
          <w:u w:val="none"/>
        </w:rPr>
        <w:t>15.投标文件的密封和标记</w:t>
      </w:r>
      <w:bookmarkEnd w:id="73"/>
      <w:bookmarkEnd w:id="74"/>
      <w:bookmarkEnd w:id="75"/>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分别装订</w:t>
      </w:r>
      <w:r>
        <w:rPr>
          <w:rFonts w:hint="eastAsia" w:ascii="仿宋" w:hAnsi="仿宋" w:eastAsia="仿宋" w:cs="仿宋"/>
          <w:sz w:val="24"/>
          <w:lang w:eastAsia="zh-CN"/>
        </w:rPr>
        <w:t>成册密封提交。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15.2   所有包装封皮和信封上均应：</w:t>
      </w:r>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注明招标公告或投标邀请书中指明的项目名称、招标编号、</w:t>
      </w:r>
      <w:r>
        <w:rPr>
          <w:rFonts w:hint="eastAsia" w:ascii="仿宋" w:hAnsi="仿宋" w:eastAsia="仿宋" w:cs="仿宋"/>
          <w:sz w:val="24"/>
          <w:u w:val="single"/>
          <w:lang w:eastAsia="zh-CN"/>
        </w:rPr>
        <w:t>包号、</w:t>
      </w:r>
      <w:r>
        <w:rPr>
          <w:rFonts w:hint="eastAsia" w:ascii="仿宋" w:hAnsi="仿宋" w:eastAsia="仿宋" w:cs="仿宋"/>
          <w:sz w:val="24"/>
          <w:u w:val="single"/>
        </w:rPr>
        <w:t>投标人名称和“在（开标时间）之前不得启封”的字样。</w:t>
      </w:r>
    </w:p>
    <w:p>
      <w:pPr>
        <w:spacing w:line="240" w:lineRule="atLeast"/>
        <w:ind w:left="897" w:leftChars="399" w:hanging="60" w:hangingChars="25"/>
        <w:rPr>
          <w:rFonts w:hint="eastAsia" w:ascii="仿宋" w:hAnsi="仿宋" w:eastAsia="仿宋" w:cs="仿宋"/>
          <w:b/>
          <w:bCs/>
          <w:sz w:val="24"/>
        </w:rPr>
      </w:pPr>
      <w:r>
        <w:rPr>
          <w:rFonts w:hint="eastAsia" w:ascii="仿宋" w:hAnsi="仿宋" w:eastAsia="仿宋" w:cs="仿宋"/>
          <w:sz w:val="24"/>
        </w:rPr>
        <w:t>（2）</w:t>
      </w: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法定代表人或其委托代理人签字并加盖单位印章。</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15.3    如果投标人未按上述要求密封，其投标文件将</w:t>
      </w:r>
      <w:r>
        <w:rPr>
          <w:rFonts w:hint="eastAsia" w:ascii="仿宋" w:hAnsi="仿宋" w:eastAsia="仿宋" w:cs="仿宋"/>
          <w:b/>
          <w:bCs/>
          <w:sz w:val="24"/>
        </w:rPr>
        <w:t>被拒绝接收。</w:t>
      </w:r>
    </w:p>
    <w:p>
      <w:pPr>
        <w:spacing w:line="240" w:lineRule="atLeast"/>
        <w:ind w:left="900" w:hanging="900" w:hangingChars="375"/>
        <w:rPr>
          <w:rFonts w:hint="eastAsia" w:ascii="仿宋" w:hAnsi="仿宋" w:eastAsia="仿宋" w:cs="仿宋"/>
          <w:b/>
          <w:sz w:val="24"/>
          <w:u w:val="single"/>
        </w:rPr>
      </w:pPr>
      <w:r>
        <w:rPr>
          <w:rFonts w:hint="eastAsia" w:ascii="仿宋" w:hAnsi="仿宋" w:eastAsia="仿宋" w:cs="仿宋"/>
          <w:sz w:val="24"/>
        </w:rPr>
        <w:t xml:space="preserve">15.4    </w:t>
      </w:r>
      <w:r>
        <w:rPr>
          <w:rFonts w:hint="eastAsia" w:ascii="仿宋" w:hAnsi="仿宋" w:eastAsia="仿宋" w:cs="仿宋"/>
          <w:b/>
          <w:sz w:val="24"/>
          <w:lang w:val="en-US" w:eastAsia="zh-CN"/>
        </w:rPr>
        <w:t>为方便开标及进行资格审查，</w:t>
      </w:r>
      <w:r>
        <w:rPr>
          <w:rFonts w:hint="eastAsia" w:ascii="仿宋" w:hAnsi="仿宋" w:eastAsia="仿宋" w:cs="仿宋"/>
          <w:b/>
          <w:kern w:val="0"/>
          <w:sz w:val="24"/>
        </w:rPr>
        <w:t>投标人</w:t>
      </w:r>
      <w:r>
        <w:rPr>
          <w:rFonts w:hint="eastAsia" w:ascii="仿宋" w:hAnsi="仿宋" w:eastAsia="仿宋" w:cs="仿宋"/>
          <w:b/>
          <w:kern w:val="0"/>
          <w:sz w:val="24"/>
          <w:lang w:eastAsia="zh-CN"/>
        </w:rPr>
        <w:t>按本须知</w:t>
      </w:r>
      <w:r>
        <w:rPr>
          <w:rFonts w:hint="eastAsia" w:ascii="仿宋" w:hAnsi="仿宋" w:eastAsia="仿宋" w:cs="仿宋"/>
          <w:b/>
          <w:kern w:val="0"/>
          <w:sz w:val="24"/>
          <w:lang w:val="en-US" w:eastAsia="zh-CN"/>
        </w:rPr>
        <w:t>19.1规定现场</w:t>
      </w:r>
      <w:r>
        <w:rPr>
          <w:rFonts w:hint="eastAsia" w:ascii="仿宋" w:hAnsi="仿宋" w:eastAsia="仿宋" w:cs="仿宋"/>
          <w:b/>
          <w:kern w:val="0"/>
          <w:sz w:val="24"/>
          <w:lang w:eastAsia="zh-CN"/>
        </w:rPr>
        <w:t>提交一份</w:t>
      </w:r>
      <w:r>
        <w:rPr>
          <w:rFonts w:hint="eastAsia" w:ascii="仿宋" w:hAnsi="仿宋" w:eastAsia="仿宋" w:cs="仿宋"/>
          <w:b/>
          <w:kern w:val="0"/>
          <w:sz w:val="24"/>
        </w:rPr>
        <w:t>投标资格证明文件</w:t>
      </w:r>
      <w:r>
        <w:rPr>
          <w:rFonts w:hint="eastAsia" w:ascii="仿宋" w:hAnsi="仿宋" w:eastAsia="仿宋" w:cs="仿宋"/>
          <w:b/>
          <w:kern w:val="0"/>
          <w:sz w:val="24"/>
          <w:lang w:eastAsia="zh-CN"/>
        </w:rPr>
        <w:t>。</w:t>
      </w:r>
      <w:r>
        <w:rPr>
          <w:rFonts w:hint="eastAsia" w:ascii="仿宋" w:hAnsi="仿宋" w:eastAsia="仿宋" w:cs="仿宋"/>
          <w:sz w:val="24"/>
          <w:u w:val="single"/>
        </w:rPr>
        <w:t>资格证明文件密封装订在其他投标文件中，其投标将被认定为</w:t>
      </w:r>
      <w:r>
        <w:rPr>
          <w:rFonts w:hint="eastAsia" w:ascii="仿宋" w:hAnsi="仿宋" w:eastAsia="仿宋" w:cs="仿宋"/>
          <w:b/>
          <w:bCs/>
          <w:sz w:val="24"/>
          <w:u w:val="single"/>
        </w:rPr>
        <w:t>投标无效</w:t>
      </w:r>
      <w:r>
        <w:rPr>
          <w:rFonts w:hint="eastAsia" w:ascii="仿宋" w:hAnsi="仿宋" w:eastAsia="仿宋" w:cs="仿宋"/>
          <w:b/>
          <w:sz w:val="24"/>
          <w:u w:val="single"/>
        </w:rPr>
        <w:t>。</w:t>
      </w:r>
    </w:p>
    <w:p>
      <w:pPr>
        <w:pStyle w:val="5"/>
        <w:spacing w:before="0" w:after="0" w:line="240" w:lineRule="atLeast"/>
        <w:rPr>
          <w:rFonts w:hint="eastAsia" w:ascii="仿宋" w:hAnsi="仿宋" w:eastAsia="仿宋" w:cs="仿宋"/>
          <w:u w:val="none"/>
        </w:rPr>
      </w:pPr>
      <w:bookmarkStart w:id="76" w:name="_Toc518923080"/>
      <w:bookmarkStart w:id="77" w:name="_Toc520356161"/>
      <w:bookmarkStart w:id="78" w:name="_Toc25787"/>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5"/>
        <w:spacing w:before="0" w:after="0" w:line="240" w:lineRule="atLeast"/>
        <w:rPr>
          <w:rFonts w:hint="eastAsia" w:ascii="仿宋" w:hAnsi="仿宋" w:eastAsia="仿宋" w:cs="仿宋"/>
          <w:u w:val="none"/>
        </w:rPr>
      </w:pPr>
      <w:bookmarkStart w:id="79" w:name="_Toc520356162"/>
      <w:bookmarkStart w:id="80" w:name="_Toc13921"/>
      <w:bookmarkStart w:id="81" w:name="_Toc51892308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在投标截止时间后送达投标文件的，采购人和采购代理机构将拒绝接收。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17.3   递交投标文件以后，如果投标人要进行修改或撤回投标，须提出书面申请并在投标截止时间前送达开标地点，投标人对投标文件的修改或撤回通知应按本须知规定编制、密封、标记。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82" w:name="_Toc520356163"/>
      <w:bookmarkStart w:id="83" w:name="_Toc216582809"/>
      <w:bookmarkStart w:id="84" w:name="_Toc10257"/>
      <w:bookmarkStart w:id="85" w:name="_Toc518923082"/>
      <w:r>
        <w:rPr>
          <w:rFonts w:hint="eastAsia" w:ascii="仿宋" w:hAnsi="仿宋" w:eastAsia="仿宋" w:cs="仿宋"/>
          <w:sz w:val="24"/>
        </w:rPr>
        <w:t>五   开标及评标</w:t>
      </w:r>
      <w:bookmarkEnd w:id="82"/>
      <w:bookmarkEnd w:id="83"/>
      <w:bookmarkEnd w:id="84"/>
      <w:bookmarkEnd w:id="85"/>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86" w:name="_Toc8653"/>
      <w:bookmarkStart w:id="87" w:name="_Toc518923083"/>
      <w:bookmarkStart w:id="88" w:name="_Toc520356164"/>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 xml:space="preserve">中规定的开标时间和地点组织公开开标并邀请所有投标人代表参加。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rPr>
        <w:t>投标人不足3家的，不得开标。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18.2   开标时，由投标人或其推选的代表检查自己</w:t>
      </w:r>
      <w:r>
        <w:rPr>
          <w:rFonts w:hint="eastAsia" w:ascii="仿宋" w:hAnsi="仿宋" w:eastAsia="仿宋" w:cs="仿宋"/>
          <w:sz w:val="24"/>
          <w:lang w:eastAsia="zh-CN"/>
        </w:rPr>
        <w:t>及</w:t>
      </w:r>
      <w:r>
        <w:rPr>
          <w:rFonts w:hint="eastAsia" w:ascii="仿宋" w:hAnsi="仿宋" w:eastAsia="仿宋" w:cs="仿宋"/>
          <w:sz w:val="24"/>
        </w:rPr>
        <w:t>代表的投标文件的密封情况，经记录后，由采购人或采购代理机构当众拆封</w:t>
      </w:r>
      <w:r>
        <w:rPr>
          <w:rFonts w:hint="eastAsia" w:ascii="仿宋" w:hAnsi="仿宋" w:eastAsia="仿宋" w:cs="仿宋"/>
          <w:sz w:val="24"/>
          <w:lang w:eastAsia="zh-CN"/>
        </w:rPr>
        <w:t>开标一览表</w:t>
      </w:r>
      <w:r>
        <w:rPr>
          <w:rFonts w:hint="eastAsia" w:ascii="仿宋" w:hAnsi="仿宋" w:eastAsia="仿宋" w:cs="仿宋"/>
          <w:sz w:val="24"/>
        </w:rPr>
        <w:t>，宣读投标人名称、投标价格及</w:t>
      </w:r>
      <w:r>
        <w:rPr>
          <w:rFonts w:hint="eastAsia" w:ascii="仿宋" w:hAnsi="仿宋" w:eastAsia="仿宋" w:cs="仿宋"/>
          <w:sz w:val="24"/>
          <w:lang w:eastAsia="zh-CN"/>
        </w:rPr>
        <w:t>开标一览表</w:t>
      </w:r>
      <w:r>
        <w:rPr>
          <w:rFonts w:hint="eastAsia" w:ascii="仿宋" w:hAnsi="仿宋" w:eastAsia="仿宋" w:cs="仿宋"/>
          <w:sz w:val="24"/>
        </w:rPr>
        <w:t>规定的内容。对于投标人在投标截止期前递交的投标声明，在开标时当众宣读，评标时有效。</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未宣读投标价格、价格折扣等实质内容，评标时不予承认。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，由参加开标的各投标人代表和相关工作人员签字确认，并存档备查。</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18.4    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 w:hAnsi="仿宋" w:eastAsia="仿宋" w:cs="仿宋"/>
          <w:u w:val="none"/>
        </w:rPr>
      </w:pPr>
      <w:bookmarkStart w:id="90" w:name="_Toc34"/>
      <w:bookmarkStart w:id="91" w:name="_Toc51892308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采购人或采购代理机构依据法律法规和招标文件中规定的内容，对投标人的资格进行审查。未通过资格审查的投标人不进入评标；进入评标的投标人不足3家的，不得评标。</w:t>
      </w:r>
    </w:p>
    <w:p>
      <w:pPr>
        <w:keepNext w:val="0"/>
        <w:keepLines w:val="0"/>
        <w:pageBreakBefore w:val="0"/>
        <w:widowControl/>
        <w:kinsoku/>
        <w:wordWrap/>
        <w:overflowPunct/>
        <w:topLinePunct w:val="0"/>
        <w:autoSpaceDE/>
        <w:autoSpaceDN/>
        <w:bidi w:val="0"/>
        <w:adjustRightInd/>
        <w:snapToGrid/>
        <w:spacing w:line="240" w:lineRule="atLeast"/>
        <w:ind w:left="957" w:leftChars="456" w:firstLine="60" w:firstLineChars="25"/>
        <w:textAlignment w:val="auto"/>
        <w:rPr>
          <w:rFonts w:hint="eastAsia" w:ascii="仿宋" w:hAnsi="仿宋" w:eastAsia="仿宋" w:cs="仿宋"/>
          <w:b/>
          <w:bCs/>
          <w:kern w:val="0"/>
          <w:sz w:val="24"/>
        </w:rPr>
      </w:pPr>
      <w:bookmarkStart w:id="92" w:name="_Hlk22377230"/>
      <w:r>
        <w:rPr>
          <w:rFonts w:hint="eastAsia" w:ascii="仿宋" w:hAnsi="仿宋" w:eastAsia="仿宋" w:cs="仿宋"/>
          <w:b/>
          <w:kern w:val="0"/>
          <w:sz w:val="24"/>
        </w:rPr>
        <w:t>投标人现场准备的投标资格证明文件应按下列顺序提供，</w:t>
      </w:r>
      <w:r>
        <w:rPr>
          <w:rFonts w:hint="eastAsia" w:ascii="仿宋" w:hAnsi="仿宋" w:eastAsia="仿宋" w:cs="仿宋"/>
          <w:b/>
          <w:bCs/>
          <w:kern w:val="0"/>
          <w:sz w:val="24"/>
        </w:rPr>
        <w:t>其中 ：</w:t>
      </w:r>
      <w:r>
        <w:rPr>
          <w:rFonts w:hint="eastAsia" w:ascii="仿宋" w:hAnsi="仿宋" w:eastAsia="仿宋" w:cs="仿宋"/>
          <w:b/>
          <w:bCs/>
          <w:color w:val="FF0000"/>
          <w:kern w:val="0"/>
          <w:sz w:val="24"/>
        </w:rPr>
        <w:t>1~</w:t>
      </w:r>
      <w:r>
        <w:rPr>
          <w:rFonts w:hint="eastAsia" w:ascii="仿宋" w:hAnsi="仿宋" w:eastAsia="仿宋" w:cs="仿宋"/>
          <w:b/>
          <w:bCs/>
          <w:color w:val="FF0000"/>
          <w:kern w:val="0"/>
          <w:sz w:val="24"/>
          <w:lang w:val="en-US" w:eastAsia="zh-CN"/>
        </w:rPr>
        <w:t>10</w:t>
      </w:r>
      <w:r>
        <w:rPr>
          <w:rFonts w:hint="eastAsia" w:ascii="仿宋" w:hAnsi="仿宋" w:eastAsia="仿宋" w:cs="仿宋"/>
          <w:b/>
          <w:bCs/>
          <w:color w:val="FF0000"/>
          <w:kern w:val="0"/>
          <w:sz w:val="24"/>
        </w:rPr>
        <w:t>项</w:t>
      </w:r>
      <w:r>
        <w:rPr>
          <w:rFonts w:hint="eastAsia" w:ascii="仿宋" w:hAnsi="仿宋" w:eastAsia="仿宋" w:cs="仿宋"/>
          <w:b/>
          <w:bCs/>
          <w:kern w:val="0"/>
          <w:sz w:val="24"/>
        </w:rPr>
        <w:t>为开标时资格审查的必备条件，在规定的投标截止时间内未提供则视为对招标文件资格审查内容的不响应，投标将被拒绝，（不接受第二次提供）。</w:t>
      </w:r>
    </w:p>
    <w:bookmarkEnd w:id="92"/>
    <w:p>
      <w:pPr>
        <w:pageBreakBefore w:val="0"/>
        <w:widowControl w:val="0"/>
        <w:kinsoku/>
        <w:wordWrap/>
        <w:overflowPunct/>
        <w:topLinePunct w:val="0"/>
        <w:bidi w:val="0"/>
        <w:snapToGrid/>
        <w:spacing w:line="240" w:lineRule="atLeast"/>
        <w:ind w:left="973" w:leftChars="230" w:hanging="491" w:hangingChars="205"/>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r>
        <w:rPr>
          <w:rFonts w:hint="eastAsia" w:ascii="仿宋_GB2312" w:hAnsi="宋体" w:eastAsia="仿宋_GB2312"/>
          <w:sz w:val="24"/>
          <w:lang w:val="en-US" w:eastAsia="zh-CN"/>
        </w:rPr>
        <w:t>（</w:t>
      </w:r>
      <w:r>
        <w:rPr>
          <w:rFonts w:hint="eastAsia" w:ascii="仿宋" w:hAnsi="仿宋" w:eastAsia="仿宋" w:cs="Times New Roman"/>
          <w:kern w:val="2"/>
          <w:sz w:val="24"/>
          <w:szCs w:val="24"/>
          <w:lang w:val="en-US" w:eastAsia="zh-CN" w:bidi="ar-SA"/>
        </w:rPr>
        <w:t>查询结果以代理公司开标现场核查为准</w:t>
      </w:r>
      <w:r>
        <w:rPr>
          <w:rFonts w:hint="eastAsia" w:ascii="仿宋_GB2312" w:hAnsi="宋体" w:eastAsia="仿宋_GB2312"/>
          <w:sz w:val="24"/>
          <w:lang w:val="en-US" w:eastAsia="zh-CN"/>
        </w:rPr>
        <w:t>）</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 有效的营业执照正本或副本；</w:t>
      </w:r>
    </w:p>
    <w:p>
      <w:pPr>
        <w:keepNext w:val="0"/>
        <w:keepLines w:val="0"/>
        <w:pageBreakBefore w:val="0"/>
        <w:widowControl w:val="0"/>
        <w:kinsoku/>
        <w:wordWrap/>
        <w:overflowPunct/>
        <w:topLinePunct w:val="0"/>
        <w:autoSpaceDE/>
        <w:autoSpaceDN/>
        <w:bidi w:val="0"/>
        <w:adjustRightInd/>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 法人本人投标的提供法人身份证明及身份证，被授权委托人需提供法人授权委托书及身份证；</w:t>
      </w:r>
    </w:p>
    <w:p>
      <w:pPr>
        <w:pageBreakBefore w:val="0"/>
        <w:widowControl w:val="0"/>
        <w:kinsoku/>
        <w:wordWrap/>
        <w:overflowPunct/>
        <w:topLinePunct w:val="0"/>
        <w:bidi w:val="0"/>
        <w:snapToGrid/>
        <w:spacing w:line="240" w:lineRule="atLeast"/>
        <w:ind w:left="898" w:leftChars="228" w:hanging="420" w:hangingChars="175"/>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4、 </w:t>
      </w:r>
      <w:r>
        <w:rPr>
          <w:rFonts w:hint="eastAsia" w:ascii="仿宋" w:hAnsi="仿宋" w:eastAsia="仿宋" w:cs="仿宋"/>
          <w:sz w:val="24"/>
          <w:lang w:val="en-US" w:eastAsia="zh-CN"/>
        </w:rPr>
        <w:t>投标</w:t>
      </w:r>
      <w:r>
        <w:rPr>
          <w:rFonts w:hint="eastAsia" w:ascii="仿宋" w:hAnsi="仿宋" w:eastAsia="仿宋" w:cs="仿宋"/>
          <w:color w:val="000000"/>
          <w:kern w:val="0"/>
          <w:sz w:val="22"/>
          <w:szCs w:val="22"/>
          <w:lang w:val="en-US" w:eastAsia="zh-CN"/>
        </w:rPr>
        <w:t>单位</w:t>
      </w:r>
      <w:r>
        <w:rPr>
          <w:rFonts w:hint="eastAsia" w:ascii="仿宋" w:hAnsi="仿宋" w:eastAsia="仿宋" w:cs="Times New Roman"/>
          <w:kern w:val="2"/>
          <w:sz w:val="24"/>
          <w:szCs w:val="24"/>
          <w:lang w:val="en-US" w:eastAsia="zh-CN" w:bidi="ar-SA"/>
        </w:rPr>
        <w:t>投标标项一、二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 提供依法缴纳社会保障资金的良好记录；（需提供近期3个月社保部门出具的投标单位的缴纳社保证明）；</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 提供税务部门出具近3个月依法缴纳税收的完税证明原件（依法免缴的，应提供依法免缴的相关证明文件）；</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9、投标保证金打款凭证及银行开户许可证加盖鲜章；</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10、本项目标项一、二不接受联合体投标；标项三接受联合体投标；标项四、五接受联合体投标；标项六不接受联合体投标。</w:t>
      </w:r>
    </w:p>
    <w:p>
      <w:pPr>
        <w:pageBreakBefore w:val="0"/>
        <w:widowControl w:val="0"/>
        <w:kinsoku/>
        <w:wordWrap/>
        <w:overflowPunct/>
        <w:topLinePunct w:val="0"/>
        <w:bidi w:val="0"/>
        <w:snapToGrid/>
        <w:spacing w:line="240" w:lineRule="atLeast"/>
        <w:ind w:left="957" w:leftChars="456"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投标人提供的企业法人营业执照（三证合一）应当在国家市场监督管理总局“国家企业信用信息公示系统”(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 </w:instrText>
      </w:r>
      <w:r>
        <w:rPr>
          <w:rFonts w:hint="eastAsia" w:ascii="仿宋" w:hAnsi="仿宋" w:eastAsia="仿宋" w:cs="仿宋"/>
        </w:rPr>
        <w:fldChar w:fldCharType="separate"/>
      </w:r>
      <w:r>
        <w:rPr>
          <w:rFonts w:hint="eastAsia" w:ascii="仿宋" w:hAnsi="仿宋" w:eastAsia="仿宋" w:cs="仿宋"/>
          <w:color w:val="000000"/>
          <w:sz w:val="24"/>
        </w:rPr>
        <w:t>www.gsxt.gov.cn</w:t>
      </w:r>
      <w:r>
        <w:rPr>
          <w:rFonts w:hint="eastAsia" w:ascii="仿宋" w:hAnsi="仿宋" w:eastAsia="仿宋" w:cs="仿宋"/>
          <w:color w:val="000000"/>
          <w:sz w:val="24"/>
        </w:rPr>
        <w:fldChar w:fldCharType="end"/>
      </w:r>
      <w:r>
        <w:rPr>
          <w:rFonts w:hint="eastAsia" w:ascii="仿宋" w:hAnsi="仿宋" w:eastAsia="仿宋" w:cs="仿宋"/>
          <w:color w:val="000000"/>
          <w:sz w:val="24"/>
        </w:rPr>
        <w:t>)中可查询到，且相关内容信息核对无误。开标时在上述网站中查询不到或者查询内容不一致的或者“经营异常”企业均视为无效。</w:t>
      </w:r>
    </w:p>
    <w:p>
      <w:pPr>
        <w:pageBreakBefore w:val="0"/>
        <w:widowControl w:val="0"/>
        <w:kinsoku/>
        <w:wordWrap/>
        <w:overflowPunct/>
        <w:topLinePunct w:val="0"/>
        <w:bidi w:val="0"/>
        <w:snapToGrid/>
        <w:spacing w:line="240" w:lineRule="atLeast"/>
        <w:ind w:firstLine="787" w:firstLineChars="328"/>
        <w:textAlignment w:val="auto"/>
        <w:rPr>
          <w:rFonts w:hint="eastAsia" w:ascii="仿宋" w:hAnsi="仿宋" w:eastAsia="仿宋" w:cs="仿宋"/>
          <w:sz w:val="24"/>
        </w:rPr>
      </w:pPr>
      <w:r>
        <w:rPr>
          <w:rFonts w:hint="eastAsia" w:ascii="仿宋" w:hAnsi="仿宋" w:eastAsia="仿宋" w:cs="仿宋"/>
          <w:b/>
          <w:iCs/>
          <w:color w:val="000000"/>
          <w:sz w:val="24"/>
        </w:rPr>
        <w:t>通过资格审查的投标人少于不足三家的，不得评标。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采购人或采购代理机构将在开标前1个工作日至投标截止后1小时的期间内查询投标人的信用记录。投标人存在不良信用记录的，其投标将被认定为投标无效。</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4"/>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查询及记录方式：采购人或采购代理机构经办人将查询网页打印、签字并存档备查。投标人不良信用记录以采购人或采购代理机构查询结果为准。</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在本招标文件规定的查询时间之后，网站信息发生的任何变更均不再作为评标依据。</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投标人自行提供的与网站信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3" w:name="_Toc520356166"/>
      <w:r>
        <w:rPr>
          <w:rFonts w:hint="eastAsia" w:ascii="仿宋" w:hAnsi="仿宋" w:eastAsia="仿宋" w:cs="仿宋"/>
          <w:b/>
          <w:bCs/>
          <w:i/>
          <w:iCs/>
          <w:color w:val="000000"/>
          <w:sz w:val="24"/>
          <w:highlight w:val="none"/>
          <w:u w:val="single"/>
        </w:rPr>
        <w:t>本项目评标委员会成员</w:t>
      </w:r>
      <w:r>
        <w:rPr>
          <w:rFonts w:hint="eastAsia" w:ascii="仿宋" w:hAnsi="仿宋" w:eastAsia="仿宋" w:cs="仿宋"/>
          <w:b/>
          <w:bCs/>
          <w:i/>
          <w:iCs/>
          <w:color w:val="000000"/>
          <w:sz w:val="24"/>
          <w:highlight w:val="none"/>
          <w:u w:val="single"/>
          <w:lang w:val="en-US" w:eastAsia="zh-CN"/>
        </w:rPr>
        <w:t>5</w:t>
      </w:r>
      <w:r>
        <w:rPr>
          <w:rFonts w:hint="eastAsia" w:ascii="仿宋" w:hAnsi="仿宋" w:eastAsia="仿宋" w:cs="仿宋"/>
          <w:b/>
          <w:bCs/>
          <w:i/>
          <w:iCs/>
          <w:color w:val="000000"/>
          <w:sz w:val="24"/>
          <w:highlight w:val="none"/>
          <w:u w:val="single"/>
        </w:rPr>
        <w:t>名</w:t>
      </w:r>
      <w:r>
        <w:rPr>
          <w:rFonts w:hint="eastAsia" w:ascii="仿宋" w:hAnsi="仿宋" w:eastAsia="仿宋" w:cs="仿宋"/>
          <w:b/>
          <w:bCs/>
          <w:i/>
          <w:iCs/>
          <w:color w:val="000000"/>
          <w:sz w:val="24"/>
          <w:highlight w:val="none"/>
          <w:u w:val="single"/>
          <w:lang w:eastAsia="zh-CN"/>
        </w:rPr>
        <w:t>，在</w:t>
      </w:r>
      <w:r>
        <w:rPr>
          <w:rFonts w:hint="eastAsia" w:ascii="仿宋" w:hAnsi="仿宋" w:eastAsia="仿宋" w:cs="仿宋"/>
          <w:b/>
          <w:bCs/>
          <w:i/>
          <w:iCs/>
          <w:color w:val="000000"/>
          <w:sz w:val="24"/>
          <w:highlight w:val="none"/>
          <w:u w:val="single"/>
          <w:lang w:val="en-US" w:eastAsia="zh-CN"/>
        </w:rPr>
        <w:t>自然资源厅</w:t>
      </w:r>
      <w:r>
        <w:rPr>
          <w:rFonts w:hint="eastAsia" w:ascii="仿宋" w:hAnsi="仿宋" w:eastAsia="仿宋" w:cs="仿宋"/>
          <w:b/>
          <w:bCs/>
          <w:i/>
          <w:iCs/>
          <w:color w:val="000000"/>
          <w:sz w:val="24"/>
          <w:highlight w:val="none"/>
          <w:u w:val="single"/>
          <w:lang w:eastAsia="zh-CN"/>
        </w:rPr>
        <w:t>专家库内</w:t>
      </w:r>
      <w:r>
        <w:rPr>
          <w:rFonts w:hint="eastAsia" w:ascii="仿宋" w:hAnsi="仿宋" w:eastAsia="仿宋" w:cs="仿宋"/>
          <w:b/>
          <w:bCs/>
          <w:i/>
          <w:iCs/>
          <w:color w:val="000000"/>
          <w:sz w:val="24"/>
          <w:highlight w:val="none"/>
          <w:u w:val="single"/>
          <w:lang w:val="en-US" w:eastAsia="zh-CN"/>
        </w:rPr>
        <w:t>随机抽取，后在政府采购网自行组建按3:1比例</w:t>
      </w:r>
      <w:r>
        <w:rPr>
          <w:rFonts w:hint="eastAsia" w:ascii="仿宋" w:hAnsi="仿宋" w:eastAsia="仿宋" w:cs="仿宋"/>
          <w:b/>
          <w:bCs/>
          <w:i/>
          <w:iCs/>
          <w:color w:val="000000"/>
          <w:sz w:val="24"/>
          <w:highlight w:val="none"/>
          <w:u w:val="single"/>
          <w:lang w:eastAsia="zh-CN"/>
        </w:rPr>
        <w:t>随机抽取</w:t>
      </w:r>
      <w:r>
        <w:rPr>
          <w:rFonts w:hint="eastAsia" w:ascii="仿宋" w:hAnsi="仿宋" w:eastAsia="仿宋" w:cs="仿宋"/>
          <w:b/>
          <w:bCs/>
          <w:i/>
          <w:iCs/>
          <w:color w:val="000000"/>
          <w:sz w:val="24"/>
          <w:highlight w:val="none"/>
          <w:u w:val="single"/>
        </w:rPr>
        <w:t>。</w:t>
      </w:r>
    </w:p>
    <w:p>
      <w:pPr>
        <w:pStyle w:val="5"/>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4" w:name="_Toc6842"/>
      <w:bookmarkStart w:id="95" w:name="_Toc518923085"/>
      <w:r>
        <w:rPr>
          <w:rFonts w:hint="eastAsia" w:ascii="仿宋" w:hAnsi="仿宋" w:eastAsia="仿宋" w:cs="仿宋"/>
          <w:u w:val="none"/>
        </w:rPr>
        <w:t>20.投标文件的</w:t>
      </w:r>
      <w:bookmarkEnd w:id="93"/>
      <w:r>
        <w:rPr>
          <w:rFonts w:hint="eastAsia" w:ascii="仿宋" w:hAnsi="仿宋" w:eastAsia="仿宋" w:cs="仿宋"/>
          <w:u w:val="none"/>
        </w:rPr>
        <w:t>符合性审查与澄清</w:t>
      </w:r>
      <w:bookmarkEnd w:id="94"/>
      <w:bookmarkEnd w:id="95"/>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96" w:name="_Hlt522424701"/>
      <w:bookmarkEnd w:id="96"/>
      <w:bookmarkStart w:id="97"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20.2.2  投标人的澄清、说明或补正将作为投标文件的一部分。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20.4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 w:hAnsi="仿宋" w:eastAsia="仿宋" w:cs="仿宋"/>
          <w:u w:val="none"/>
        </w:rPr>
      </w:pPr>
      <w:bookmarkStart w:id="98" w:name="_Toc8603"/>
      <w:bookmarkStart w:id="99" w:name="_Toc518923086"/>
      <w:r>
        <w:rPr>
          <w:rFonts w:hint="eastAsia" w:ascii="仿宋" w:hAnsi="仿宋" w:eastAsia="仿宋" w:cs="仿宋"/>
          <w:u w:val="none"/>
        </w:rPr>
        <w:t>21.投标偏离</w:t>
      </w:r>
      <w:bookmarkEnd w:id="98"/>
      <w:bookmarkEnd w:id="99"/>
    </w:p>
    <w:p>
      <w:pPr>
        <w:spacing w:line="240" w:lineRule="atLeast"/>
        <w:ind w:left="847"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接受投标文件中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0" w:name="_Toc518923087"/>
      <w:bookmarkStart w:id="101" w:name="_Toc25255"/>
      <w:r>
        <w:rPr>
          <w:rFonts w:hint="eastAsia" w:ascii="仿宋" w:hAnsi="仿宋" w:eastAsia="仿宋" w:cs="仿宋"/>
          <w:u w:val="none"/>
        </w:rPr>
        <w:t>22.投标无效</w:t>
      </w:r>
      <w:bookmarkEnd w:id="100"/>
      <w:bookmarkEnd w:id="101"/>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pPr>
        <w:spacing w:line="240" w:lineRule="atLeast"/>
        <w:ind w:left="791" w:leftChars="377"/>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4"/>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不符合法规和招标文件中规定的其他实质性要求的。</w:t>
      </w:r>
    </w:p>
    <w:p>
      <w:pPr>
        <w:spacing w:line="240" w:lineRule="atLeast"/>
        <w:rPr>
          <w:rFonts w:hint="eastAsia" w:ascii="仿宋" w:hAnsi="仿宋" w:eastAsia="仿宋" w:cs="仿宋"/>
        </w:rPr>
      </w:pPr>
      <w:bookmarkStart w:id="102" w:name="_Toc518923088"/>
      <w:bookmarkStart w:id="103" w:name="_Toc20835"/>
      <w:r>
        <w:rPr>
          <w:rFonts w:hint="eastAsia" w:ascii="仿宋" w:hAnsi="仿宋" w:eastAsia="仿宋" w:cs="仿宋"/>
          <w:b/>
          <w:kern w:val="0"/>
          <w:sz w:val="24"/>
          <w:szCs w:val="20"/>
        </w:rPr>
        <w:t>23</w:t>
      </w:r>
      <w:bookmarkEnd w:id="97"/>
      <w:r>
        <w:rPr>
          <w:rFonts w:hint="eastAsia" w:ascii="仿宋" w:hAnsi="仿宋" w:eastAsia="仿宋" w:cs="仿宋"/>
          <w:b/>
          <w:kern w:val="0"/>
          <w:sz w:val="24"/>
          <w:szCs w:val="20"/>
        </w:rPr>
        <w:t>.比较与评价</w:t>
      </w:r>
      <w:bookmarkEnd w:id="102"/>
      <w:bookmarkEnd w:id="10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7"/>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7"/>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7"/>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23.3   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04" w:name="sendNo"/>
      <w:r>
        <w:rPr>
          <w:rFonts w:hint="eastAsia" w:ascii="仿宋" w:hAnsi="仿宋" w:eastAsia="仿宋" w:cs="仿宋"/>
          <w:bCs/>
          <w:sz w:val="24"/>
          <w:szCs w:val="24"/>
        </w:rPr>
        <w:t>财库〔</w:t>
      </w:r>
      <w:bookmarkEnd w:id="104"/>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7"/>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5"/>
        <w:spacing w:before="0" w:after="0" w:line="240" w:lineRule="atLeast"/>
        <w:rPr>
          <w:rFonts w:hint="eastAsia" w:ascii="仿宋" w:hAnsi="仿宋" w:eastAsia="仿宋" w:cs="仿宋"/>
          <w:u w:val="none"/>
        </w:rPr>
      </w:pPr>
      <w:bookmarkStart w:id="105" w:name="_Toc520356168"/>
      <w:bookmarkStart w:id="106" w:name="_Toc5823"/>
      <w:bookmarkStart w:id="107" w:name="_Toc518923089"/>
      <w:r>
        <w:rPr>
          <w:rFonts w:hint="eastAsia" w:ascii="仿宋" w:hAnsi="仿宋" w:eastAsia="仿宋" w:cs="仿宋"/>
          <w:u w:val="none"/>
        </w:rPr>
        <w:t>24</w:t>
      </w:r>
      <w:bookmarkEnd w:id="105"/>
      <w:r>
        <w:rPr>
          <w:rFonts w:hint="eastAsia" w:ascii="仿宋" w:hAnsi="仿宋" w:eastAsia="仿宋" w:cs="仿宋"/>
          <w:u w:val="none"/>
        </w:rPr>
        <w:t>.废标</w:t>
      </w:r>
      <w:bookmarkEnd w:id="106"/>
      <w:bookmarkEnd w:id="107"/>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（1）符合专业条件的供应商或者对招标文件做实质性响应的供应商不足三家；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（3）投标人的报价均超过了采购预算，采购人不能支付的；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5"/>
        <w:spacing w:before="0" w:after="0" w:line="240" w:lineRule="atLeast"/>
        <w:rPr>
          <w:rFonts w:hint="eastAsia" w:ascii="仿宋" w:hAnsi="仿宋" w:eastAsia="仿宋" w:cs="仿宋"/>
          <w:u w:val="none"/>
        </w:rPr>
      </w:pPr>
      <w:bookmarkStart w:id="108" w:name="_Toc518923090"/>
      <w:bookmarkStart w:id="109" w:name="_Toc23660"/>
      <w:bookmarkStart w:id="110" w:name="_Toc520356169"/>
      <w:r>
        <w:rPr>
          <w:rFonts w:hint="eastAsia" w:ascii="仿宋" w:hAnsi="仿宋" w:eastAsia="仿宋" w:cs="仿宋"/>
          <w:u w:val="none"/>
        </w:rPr>
        <w:t>25.保密原则</w:t>
      </w:r>
      <w:bookmarkEnd w:id="108"/>
      <w:bookmarkEnd w:id="10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11" w:name="_Toc216582810"/>
      <w:bookmarkStart w:id="112" w:name="_Toc10964"/>
      <w:bookmarkStart w:id="113" w:name="_Toc518923091"/>
      <w:r>
        <w:rPr>
          <w:rFonts w:hint="eastAsia" w:ascii="仿宋" w:hAnsi="仿宋" w:eastAsia="仿宋" w:cs="仿宋"/>
          <w:sz w:val="24"/>
        </w:rPr>
        <w:t xml:space="preserve">六   </w:t>
      </w:r>
      <w:bookmarkEnd w:id="110"/>
      <w:r>
        <w:rPr>
          <w:rFonts w:hint="eastAsia" w:ascii="仿宋" w:hAnsi="仿宋" w:eastAsia="仿宋" w:cs="仿宋"/>
          <w:sz w:val="24"/>
        </w:rPr>
        <w:t>确定中标</w:t>
      </w:r>
      <w:bookmarkEnd w:id="111"/>
      <w:bookmarkEnd w:id="112"/>
      <w:bookmarkEnd w:id="113"/>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114" w:name="_Ref467307010"/>
      <w:bookmarkStart w:id="115" w:name="_Toc518923092"/>
      <w:bookmarkStart w:id="116" w:name="_Toc520356170"/>
      <w:bookmarkStart w:id="117" w:name="_Toc32578"/>
      <w:r>
        <w:rPr>
          <w:rFonts w:hint="eastAsia" w:ascii="仿宋" w:hAnsi="仿宋" w:eastAsia="仿宋" w:cs="仿宋"/>
          <w:u w:val="none"/>
        </w:rPr>
        <w:t>26.中标候选人的确定原则及标准</w:t>
      </w:r>
      <w:bookmarkEnd w:id="114"/>
      <w:bookmarkEnd w:id="115"/>
      <w:bookmarkEnd w:id="116"/>
      <w:bookmarkEnd w:id="11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除第28条规定外，对实质上响应招标文件的投标人按下列方法进行排序，确定中标候选人：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w:t>
      </w:r>
      <w:r>
        <w:rPr>
          <w:rFonts w:hint="eastAsia" w:ascii="仿宋" w:hAnsi="仿宋" w:eastAsia="仿宋" w:cs="仿宋"/>
          <w:sz w:val="24"/>
          <w:lang w:eastAsia="zh-CN"/>
        </w:rPr>
        <w:t>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r>
        <w:rPr>
          <w:rFonts w:hint="eastAsia" w:ascii="仿宋" w:hAnsi="仿宋" w:eastAsia="仿宋" w:cs="仿宋"/>
          <w:b/>
          <w:bCs/>
          <w:sz w:val="24"/>
          <w:highlight w:val="none"/>
          <w:lang w:eastAsia="zh-CN"/>
        </w:rPr>
        <w:t>，其中</w:t>
      </w:r>
      <w:r>
        <w:rPr>
          <w:rFonts w:hint="eastAsia" w:ascii="仿宋" w:hAnsi="仿宋" w:eastAsia="仿宋" w:cs="仿宋"/>
          <w:b/>
          <w:bCs/>
          <w:sz w:val="24"/>
          <w:highlight w:val="none"/>
          <w:lang w:val="en-US" w:eastAsia="zh-CN"/>
        </w:rPr>
        <w:t>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六、七、八</w:t>
      </w:r>
      <w:r>
        <w:rPr>
          <w:rFonts w:hint="eastAsia" w:ascii="仿宋" w:hAnsi="仿宋" w:eastAsia="仿宋" w:cs="仿宋"/>
          <w:b/>
          <w:bCs/>
          <w:sz w:val="24"/>
          <w:highlight w:val="none"/>
          <w:lang w:eastAsia="zh-CN"/>
        </w:rPr>
        <w:t>价格分</w:t>
      </w:r>
      <w:r>
        <w:rPr>
          <w:rFonts w:hint="eastAsia" w:ascii="仿宋" w:hAnsi="仿宋" w:eastAsia="仿宋" w:cs="仿宋"/>
          <w:b/>
          <w:bCs/>
          <w:sz w:val="24"/>
          <w:highlight w:val="none"/>
          <w:lang w:val="en-US" w:eastAsia="zh-CN"/>
        </w:rPr>
        <w:t>10%，标项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六、七技术分70%，商务分20%；标项八技术分80%，商务分10%。</w:t>
      </w:r>
    </w:p>
    <w:p>
      <w:pPr>
        <w:pStyle w:val="5"/>
        <w:spacing w:before="0" w:after="0" w:line="240" w:lineRule="atLeast"/>
        <w:rPr>
          <w:rFonts w:hint="eastAsia" w:ascii="仿宋" w:hAnsi="仿宋" w:eastAsia="仿宋" w:cs="仿宋"/>
          <w:u w:val="none"/>
        </w:rPr>
      </w:pPr>
      <w:bookmarkStart w:id="118" w:name="_Toc520356171"/>
      <w:bookmarkStart w:id="119" w:name="_Toc518923093"/>
      <w:bookmarkStart w:id="120" w:name="_Toc10555"/>
      <w:r>
        <w:rPr>
          <w:rFonts w:hint="eastAsia" w:ascii="仿宋" w:hAnsi="仿宋" w:eastAsia="仿宋" w:cs="仿宋"/>
          <w:u w:val="none"/>
        </w:rPr>
        <w:t>27</w:t>
      </w:r>
      <w:bookmarkEnd w:id="118"/>
      <w:r>
        <w:rPr>
          <w:rFonts w:hint="eastAsia" w:ascii="仿宋" w:hAnsi="仿宋" w:eastAsia="仿宋" w:cs="仿宋"/>
          <w:u w:val="none"/>
        </w:rPr>
        <w:t>.确定中标候选人和中标人</w:t>
      </w:r>
      <w:bookmarkEnd w:id="119"/>
      <w:bookmarkEnd w:id="12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pPr>
        <w:pStyle w:val="5"/>
        <w:tabs>
          <w:tab w:val="left" w:pos="900"/>
        </w:tabs>
        <w:spacing w:before="0" w:after="0" w:line="240" w:lineRule="atLeast"/>
        <w:rPr>
          <w:rFonts w:hint="eastAsia" w:ascii="仿宋" w:hAnsi="仿宋" w:eastAsia="仿宋" w:cs="仿宋"/>
          <w:u w:val="none"/>
        </w:rPr>
      </w:pPr>
      <w:bookmarkStart w:id="121" w:name="_Toc520356173"/>
      <w:bookmarkStart w:id="122" w:name="_Ref467306874"/>
      <w:bookmarkStart w:id="123" w:name="_Toc17138"/>
      <w:bookmarkStart w:id="124" w:name="_Toc518923094"/>
      <w:r>
        <w:rPr>
          <w:rFonts w:hint="eastAsia" w:ascii="仿宋" w:hAnsi="仿宋" w:eastAsia="仿宋" w:cs="仿宋"/>
          <w:u w:val="none"/>
        </w:rPr>
        <w:t>28</w:t>
      </w:r>
      <w:bookmarkEnd w:id="121"/>
      <w:bookmarkEnd w:id="122"/>
      <w:r>
        <w:rPr>
          <w:rFonts w:hint="eastAsia" w:ascii="仿宋" w:hAnsi="仿宋" w:eastAsia="仿宋" w:cs="仿宋"/>
          <w:u w:val="none"/>
        </w:rPr>
        <w:t>.采购任务取消</w:t>
      </w:r>
      <w:bookmarkEnd w:id="123"/>
      <w:bookmarkEnd w:id="12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125" w:name="_Toc520356174"/>
    </w:p>
    <w:p>
      <w:pPr>
        <w:pStyle w:val="5"/>
        <w:spacing w:before="0" w:after="0" w:line="240" w:lineRule="atLeast"/>
        <w:rPr>
          <w:rFonts w:hint="eastAsia" w:ascii="仿宋" w:hAnsi="仿宋" w:eastAsia="仿宋" w:cs="仿宋"/>
          <w:u w:val="none"/>
        </w:rPr>
      </w:pPr>
      <w:bookmarkStart w:id="126" w:name="_Toc518923095"/>
      <w:bookmarkStart w:id="127" w:name="_Toc18072"/>
      <w:r>
        <w:rPr>
          <w:rFonts w:hint="eastAsia" w:ascii="仿宋" w:hAnsi="仿宋" w:eastAsia="仿宋" w:cs="仿宋"/>
          <w:u w:val="none"/>
        </w:rPr>
        <w:t>29.中标通知书</w:t>
      </w:r>
      <w:bookmarkEnd w:id="125"/>
      <w:r>
        <w:rPr>
          <w:rFonts w:hint="eastAsia" w:ascii="仿宋" w:hAnsi="仿宋" w:eastAsia="仿宋" w:cs="仿宋"/>
          <w:u w:val="none"/>
        </w:rPr>
        <w:t>和招标结果通知书</w:t>
      </w:r>
      <w:bookmarkEnd w:id="126"/>
      <w:bookmarkEnd w:id="12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240" w:lineRule="atLeast"/>
        <w:rPr>
          <w:rFonts w:hint="eastAsia" w:ascii="仿宋" w:hAnsi="仿宋" w:eastAsia="仿宋" w:cs="仿宋"/>
          <w:u w:val="none"/>
        </w:rPr>
      </w:pPr>
      <w:bookmarkStart w:id="128" w:name="_Toc520356175"/>
      <w:bookmarkStart w:id="129" w:name="_Ref467307204"/>
      <w:bookmarkStart w:id="130" w:name="_Toc16952"/>
      <w:bookmarkStart w:id="131" w:name="_Ref467307062"/>
      <w:bookmarkStart w:id="132" w:name="_Ref467306978"/>
      <w:bookmarkStart w:id="133" w:name="_Toc518923096"/>
      <w:bookmarkStart w:id="134" w:name="_Ref467306377"/>
      <w:r>
        <w:rPr>
          <w:rFonts w:hint="eastAsia" w:ascii="仿宋" w:hAnsi="仿宋" w:eastAsia="仿宋" w:cs="仿宋"/>
          <w:u w:val="none"/>
        </w:rPr>
        <w:t>30.签订合同</w:t>
      </w:r>
      <w:bookmarkEnd w:id="128"/>
      <w:bookmarkEnd w:id="129"/>
      <w:bookmarkEnd w:id="130"/>
      <w:bookmarkEnd w:id="131"/>
      <w:bookmarkEnd w:id="132"/>
      <w:bookmarkEnd w:id="133"/>
      <w:bookmarkEnd w:id="13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5" w:name="_Ref467307090"/>
      <w:bookmarkStart w:id="136" w:name="_Ref467306425"/>
      <w:bookmarkStart w:id="137" w:name="_Toc520356176"/>
      <w:r>
        <w:rPr>
          <w:rFonts w:hint="eastAsia" w:ascii="仿宋" w:hAnsi="仿宋" w:eastAsia="仿宋" w:cs="仿宋"/>
          <w:sz w:val="24"/>
        </w:rPr>
        <w:t>招标文件、中标人的投标文件及其澄清文件等，均为签订合同的依据。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rPr>
          <w:rFonts w:hint="eastAsia" w:ascii="仿宋" w:hAnsi="仿宋" w:eastAsia="仿宋" w:cs="仿宋"/>
          <w:u w:val="none"/>
        </w:rPr>
      </w:pPr>
      <w:bookmarkStart w:id="138" w:name="_Toc518923097"/>
      <w:bookmarkStart w:id="139" w:name="_Toc4302"/>
      <w:r>
        <w:rPr>
          <w:rFonts w:hint="eastAsia" w:ascii="仿宋" w:hAnsi="仿宋" w:eastAsia="仿宋" w:cs="仿宋"/>
          <w:u w:val="none"/>
        </w:rPr>
        <w:t>31.履约保证金</w:t>
      </w:r>
      <w:bookmarkEnd w:id="135"/>
      <w:bookmarkEnd w:id="136"/>
      <w:bookmarkEnd w:id="137"/>
      <w:bookmarkEnd w:id="138"/>
      <w:bookmarkEnd w:id="1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rPr>
          <w:rFonts w:hint="eastAsia" w:ascii="仿宋" w:hAnsi="仿宋" w:eastAsia="仿宋" w:cs="仿宋"/>
          <w:u w:val="none"/>
        </w:rPr>
      </w:pPr>
      <w:bookmarkStart w:id="140" w:name="_Toc8476"/>
      <w:bookmarkStart w:id="141" w:name="_Toc518923098"/>
      <w:r>
        <w:rPr>
          <w:rFonts w:hint="eastAsia" w:ascii="仿宋" w:hAnsi="仿宋" w:eastAsia="仿宋" w:cs="仿宋"/>
          <w:u w:val="none"/>
        </w:rPr>
        <w:t>32.中标服务费</w:t>
      </w:r>
      <w:bookmarkEnd w:id="140"/>
      <w:bookmarkEnd w:id="141"/>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rPr>
          <w:rFonts w:hint="eastAsia" w:ascii="仿宋" w:hAnsi="仿宋" w:eastAsia="仿宋" w:cs="仿宋"/>
          <w:u w:val="none"/>
        </w:rPr>
      </w:pPr>
      <w:bookmarkStart w:id="142" w:name="_Toc31411"/>
      <w:bookmarkStart w:id="143" w:name="_Toc518923099"/>
      <w:r>
        <w:rPr>
          <w:rFonts w:hint="eastAsia" w:ascii="仿宋" w:hAnsi="仿宋" w:eastAsia="仿宋" w:cs="仿宋"/>
          <w:u w:val="none"/>
        </w:rPr>
        <w:t>33.政府采购信用担保</w:t>
      </w:r>
      <w:bookmarkEnd w:id="142"/>
      <w:bookmarkEnd w:id="14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44" w:name="_Toc4701"/>
      <w:bookmarkStart w:id="145" w:name="_Toc518923100"/>
      <w:r>
        <w:rPr>
          <w:rFonts w:hint="eastAsia" w:ascii="仿宋" w:hAnsi="仿宋" w:eastAsia="仿宋" w:cs="仿宋"/>
          <w:u w:val="none"/>
        </w:rPr>
        <w:t>34.廉洁自律规定</w:t>
      </w:r>
      <w:bookmarkEnd w:id="144"/>
      <w:bookmarkEnd w:id="14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w:t>
      </w:r>
      <w:bookmarkStart w:id="427" w:name="_GoBack"/>
      <w:bookmarkEnd w:id="427"/>
      <w:r>
        <w:rPr>
          <w:rFonts w:hint="eastAsia" w:ascii="仿宋" w:hAnsi="仿宋" w:eastAsia="仿宋" w:cs="仿宋"/>
          <w:sz w:val="24"/>
        </w:rPr>
        <w:t>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监督电话和信箱，反映采购代理机构的廉洁自律等问题。</w:t>
      </w:r>
    </w:p>
    <w:p>
      <w:pPr>
        <w:pStyle w:val="5"/>
        <w:spacing w:before="0" w:after="0" w:line="240" w:lineRule="atLeast"/>
        <w:rPr>
          <w:rFonts w:hint="eastAsia" w:ascii="仿宋" w:hAnsi="仿宋" w:eastAsia="仿宋" w:cs="仿宋"/>
          <w:u w:val="none"/>
        </w:rPr>
      </w:pPr>
      <w:bookmarkStart w:id="146" w:name="_Toc518923101"/>
      <w:bookmarkStart w:id="147" w:name="_Toc21055"/>
      <w:r>
        <w:rPr>
          <w:rFonts w:hint="eastAsia" w:ascii="仿宋" w:hAnsi="仿宋" w:eastAsia="仿宋" w:cs="仿宋"/>
          <w:u w:val="none"/>
        </w:rPr>
        <w:t>35.人员回避</w:t>
      </w:r>
      <w:bookmarkEnd w:id="146"/>
      <w:bookmarkEnd w:id="14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40" w:lineRule="atLeast"/>
        <w:rPr>
          <w:rFonts w:hint="eastAsia" w:ascii="仿宋" w:hAnsi="仿宋" w:eastAsia="仿宋" w:cs="仿宋"/>
          <w:u w:val="none"/>
        </w:rPr>
      </w:pPr>
      <w:bookmarkStart w:id="148" w:name="_Toc518923102"/>
      <w:bookmarkStart w:id="149" w:name="_Toc24931"/>
      <w:r>
        <w:rPr>
          <w:rFonts w:hint="eastAsia" w:ascii="仿宋" w:hAnsi="仿宋" w:eastAsia="仿宋" w:cs="仿宋"/>
          <w:u w:val="none"/>
        </w:rPr>
        <w:t>36.质疑与接收</w:t>
      </w:r>
      <w:bookmarkEnd w:id="148"/>
      <w:bookmarkEnd w:id="149"/>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0" w:name="_Toc23883"/>
      <w:bookmarkStart w:id="151" w:name="_Toc518923103"/>
      <w:r>
        <w:rPr>
          <w:rFonts w:hint="eastAsia" w:ascii="仿宋" w:hAnsi="仿宋" w:eastAsia="仿宋" w:cs="仿宋"/>
          <w:szCs w:val="24"/>
        </w:rPr>
        <w:t>附件1：履约保证金保函（格式）</w:t>
      </w:r>
      <w:bookmarkEnd w:id="150"/>
      <w:bookmarkEnd w:id="151"/>
    </w:p>
    <w:p>
      <w:pPr>
        <w:pStyle w:val="17"/>
        <w:spacing w:line="240" w:lineRule="atLeast"/>
        <w:ind w:left="1079"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7"/>
        <w:spacing w:line="240" w:lineRule="atLeast"/>
        <w:ind w:left="1079" w:leftChars="257" w:hanging="540"/>
        <w:rPr>
          <w:rFonts w:hint="eastAsia" w:ascii="仿宋" w:hAnsi="仿宋" w:eastAsia="仿宋" w:cs="仿宋"/>
          <w:b/>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7"/>
        <w:spacing w:line="240" w:lineRule="atLeas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7"/>
        <w:spacing w:line="240" w:lineRule="atLeast"/>
        <w:ind w:left="1079" w:leftChars="257" w:hanging="540"/>
        <w:jc w:val="center"/>
        <w:rPr>
          <w:rFonts w:hint="eastAsia" w:ascii="仿宋" w:hAnsi="仿宋" w:eastAsia="仿宋" w:cs="仿宋"/>
          <w:sz w:val="24"/>
        </w:rPr>
      </w:pPr>
    </w:p>
    <w:p>
      <w:pPr>
        <w:pStyle w:val="17"/>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7"/>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7"/>
        <w:spacing w:line="240" w:lineRule="atLeas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7"/>
        <w:spacing w:line="240" w:lineRule="atLeast"/>
        <w:ind w:left="1079" w:leftChars="257" w:hanging="540"/>
        <w:rPr>
          <w:rFonts w:hint="eastAsia" w:ascii="仿宋" w:hAnsi="仿宋" w:eastAsia="仿宋" w:cs="仿宋"/>
          <w:sz w:val="24"/>
        </w:rPr>
      </w:pP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谨启</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2" w:name="_Toc27788"/>
      <w:bookmarkStart w:id="153" w:name="_Toc518923104"/>
      <w:r>
        <w:rPr>
          <w:rFonts w:hint="eastAsia" w:ascii="仿宋" w:hAnsi="仿宋" w:eastAsia="仿宋" w:cs="仿宋"/>
          <w:szCs w:val="24"/>
        </w:rPr>
        <w:t>附件2：履约担保函格式</w:t>
      </w:r>
      <w:bookmarkEnd w:id="152"/>
      <w:bookmarkEnd w:id="153"/>
    </w:p>
    <w:p>
      <w:pPr>
        <w:keepNext/>
        <w:keepLines/>
        <w:pageBreakBefore w:val="0"/>
        <w:widowControl w:val="0"/>
        <w:kinsoku/>
        <w:wordWrap/>
        <w:overflowPunct/>
        <w:topLinePunct w:val="0"/>
        <w:autoSpaceDE w:val="0"/>
        <w:autoSpaceDN w:val="0"/>
        <w:bidi w:val="0"/>
        <w:adjustRightInd w:val="0"/>
        <w:snapToGrid/>
        <w:spacing w:before="0" w:line="240" w:lineRule="atLeast"/>
        <w:ind w:left="1078" w:leftChars="257" w:hanging="539"/>
        <w:jc w:val="center"/>
        <w:textAlignment w:val="auto"/>
        <w:outlineLvl w:val="9"/>
        <w:rPr>
          <w:rFonts w:hint="eastAsia" w:ascii="仿宋" w:hAnsi="仿宋" w:eastAsia="仿宋" w:cs="仿宋"/>
          <w:b/>
          <w:bCs/>
          <w:sz w:val="28"/>
          <w:szCs w:val="36"/>
        </w:rPr>
      </w:pPr>
      <w:bookmarkStart w:id="154" w:name="_Toc515904842"/>
      <w:bookmarkStart w:id="155" w:name="_Toc518923105"/>
      <w:bookmarkStart w:id="156" w:name="_Toc30995"/>
      <w:r>
        <w:rPr>
          <w:rFonts w:hint="eastAsia" w:ascii="仿宋" w:hAnsi="仿宋" w:eastAsia="仿宋" w:cs="仿宋"/>
          <w:b/>
          <w:bCs/>
          <w:sz w:val="28"/>
          <w:szCs w:val="36"/>
        </w:rPr>
        <w:t>（采用政府采购信用担保形式时使用）</w:t>
      </w:r>
      <w:bookmarkEnd w:id="154"/>
      <w:bookmarkEnd w:id="155"/>
      <w:bookmarkEnd w:id="156"/>
    </w:p>
    <w:p>
      <w:pPr>
        <w:spacing w:line="240" w:lineRule="atLeast"/>
        <w:ind w:left="1079"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14"/>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kern w:val="44"/>
          <w:sz w:val="32"/>
          <w:szCs w:val="20"/>
          <w:lang w:val="en-US" w:eastAsia="zh-CN" w:bidi="ar-SA"/>
        </w:rPr>
      </w:pPr>
      <w:bookmarkStart w:id="157" w:name="_Toc518923106"/>
      <w:bookmarkStart w:id="158" w:name="_Toc216582812"/>
      <w:bookmarkStart w:id="159" w:name="_Toc6923"/>
      <w:r>
        <w:rPr>
          <w:rFonts w:hint="eastAsia" w:ascii="仿宋" w:hAnsi="仿宋" w:eastAsia="仿宋" w:cs="仿宋"/>
          <w:b/>
          <w:kern w:val="44"/>
          <w:sz w:val="32"/>
          <w:szCs w:val="20"/>
          <w:lang w:val="en-US" w:eastAsia="zh-CN" w:bidi="ar-SA"/>
        </w:rPr>
        <w:t xml:space="preserve"> 投标文件格式</w:t>
      </w:r>
      <w:bookmarkEnd w:id="157"/>
      <w:bookmarkEnd w:id="158"/>
      <w:bookmarkEnd w:id="159"/>
    </w:p>
    <w:p>
      <w:pPr>
        <w:bidi w:val="0"/>
        <w:rPr>
          <w:rFonts w:hint="eastAsia"/>
          <w:lang w:val="en-US" w:eastAsia="zh-CN"/>
        </w:rPr>
      </w:pPr>
    </w:p>
    <w:p>
      <w:pPr>
        <w:pStyle w:val="4"/>
        <w:keepNext/>
        <w:keepLines/>
        <w:pageBreakBefore w:val="0"/>
        <w:widowControl w:val="0"/>
        <w:kinsoku/>
        <w:wordWrap/>
        <w:overflowPunct/>
        <w:topLinePunct w:val="0"/>
        <w:autoSpaceDE w:val="0"/>
        <w:autoSpaceDN w:val="0"/>
        <w:bidi w:val="0"/>
        <w:adjustRightInd w:val="0"/>
        <w:snapToGrid/>
        <w:spacing w:before="0" w:line="240" w:lineRule="atLeas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第一部分 各部分封面格式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kern w:val="44"/>
          <w:sz w:val="24"/>
          <w:szCs w:val="16"/>
          <w:lang w:val="zh-CN" w:eastAsia="zh-CN" w:bidi="ar-SA"/>
        </w:rPr>
      </w:pPr>
      <w:r>
        <w:rPr>
          <w:rFonts w:hint="eastAsia" w:ascii="仿宋" w:hAnsi="仿宋" w:eastAsia="仿宋" w:cs="仿宋"/>
          <w:b w:val="0"/>
          <w:bCs/>
          <w:kern w:val="44"/>
          <w:sz w:val="24"/>
          <w:szCs w:val="16"/>
          <w:lang w:val="zh-CN" w:eastAsia="zh-CN" w:bidi="ar-SA"/>
        </w:rPr>
        <w:t>（</w:t>
      </w:r>
      <w:r>
        <w:rPr>
          <w:rFonts w:hint="eastAsia" w:ascii="仿宋" w:hAnsi="仿宋" w:eastAsia="仿宋" w:cs="仿宋"/>
          <w:b w:val="0"/>
          <w:bCs/>
          <w:kern w:val="44"/>
          <w:sz w:val="24"/>
          <w:szCs w:val="16"/>
          <w:lang w:val="en-US" w:eastAsia="zh-CN" w:bidi="ar-SA"/>
        </w:rPr>
        <w:t>外封包</w:t>
      </w:r>
      <w:r>
        <w:rPr>
          <w:rFonts w:hint="eastAsia" w:ascii="仿宋" w:hAnsi="仿宋" w:eastAsia="仿宋" w:cs="仿宋"/>
          <w:b w:val="0"/>
          <w:bCs/>
          <w:kern w:val="44"/>
          <w:sz w:val="24"/>
          <w:szCs w:val="16"/>
          <w:lang w:val="zh-CN" w:eastAsia="zh-CN" w:bidi="ar-SA"/>
        </w:rPr>
        <w:t>示例）</w:t>
      </w:r>
    </w:p>
    <w:p>
      <w:pPr>
        <w:widowControl/>
        <w:spacing w:line="440" w:lineRule="exact"/>
        <w:jc w:val="left"/>
        <w:rPr>
          <w:rFonts w:hint="eastAsia"/>
          <w:lang w:val="zh-CN"/>
        </w:rPr>
      </w:pPr>
      <w:bookmarkStart w:id="160" w:name="_Toc16621"/>
    </w:p>
    <w:bookmarkEnd w:id="160"/>
    <w:p>
      <w:pPr>
        <w:bidi w:val="0"/>
        <w:jc w:val="right"/>
        <w:rPr>
          <w:rFonts w:hint="eastAsia" w:ascii="仿宋" w:hAnsi="仿宋" w:eastAsia="仿宋" w:cs="仿宋"/>
          <w:sz w:val="24"/>
          <w:szCs w:val="32"/>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bookmarkStart w:id="161" w:name="_Toc31774"/>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jc w:val="center"/>
        <w:textAlignment w:val="auto"/>
        <w:outlineLvl w:val="9"/>
        <w:rPr>
          <w:rFonts w:hint="eastAsia" w:ascii="仿宋" w:hAnsi="仿宋" w:eastAsia="仿宋" w:cs="仿宋"/>
          <w:b/>
          <w:bCs w:val="0"/>
          <w:sz w:val="36"/>
          <w:szCs w:val="36"/>
          <w:lang w:val="zh-CN"/>
        </w:rPr>
      </w:pPr>
      <w:bookmarkStart w:id="162" w:name="_Toc31602"/>
      <w:r>
        <w:rPr>
          <w:rFonts w:hint="eastAsia" w:ascii="仿宋" w:hAnsi="仿宋" w:eastAsia="仿宋" w:cs="仿宋"/>
          <w:b/>
          <w:bCs w:val="0"/>
          <w:sz w:val="36"/>
          <w:szCs w:val="36"/>
          <w:lang w:val="zh-CN"/>
        </w:rPr>
        <w:t>投 标 文 件</w:t>
      </w:r>
      <w:bookmarkEnd w:id="161"/>
      <w:bookmarkEnd w:id="162"/>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投标人（盖公章）：×××公司</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rPr>
        <w:t>法定代表人或授权代理人（签字或盖章）：</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地址：</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联系人：</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联系电话：</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编制时间：×年×月×日</w:t>
      </w:r>
    </w:p>
    <w:p>
      <w:pPr>
        <w:shd w:val="clear" w:color="auto" w:fill="FFFFFF"/>
        <w:spacing w:line="4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投标文件各部分封包</w:t>
      </w:r>
      <w:r>
        <w:rPr>
          <w:rFonts w:hint="eastAsia" w:ascii="仿宋" w:hAnsi="仿宋" w:eastAsia="仿宋" w:cs="仿宋"/>
          <w:sz w:val="24"/>
          <w:lang w:val="zh-CN"/>
        </w:rPr>
        <w:t>示例）</w:t>
      </w:r>
    </w:p>
    <w:p>
      <w:pPr>
        <w:bidi w:val="0"/>
        <w:rPr>
          <w:rFonts w:hint="eastAsia"/>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二〇二二年一月</w:t>
      </w:r>
    </w:p>
    <w:p>
      <w:pPr>
        <w:bidi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投标文件各部分封面</w:t>
      </w:r>
      <w:r>
        <w:rPr>
          <w:rFonts w:hint="eastAsia" w:ascii="仿宋" w:hAnsi="仿宋" w:eastAsia="仿宋" w:cs="仿宋"/>
          <w:sz w:val="24"/>
          <w:lang w:val="zh-CN"/>
        </w:rPr>
        <w:t>示例）</w:t>
      </w: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r>
        <w:rPr>
          <w:rFonts w:hint="eastAsia" w:ascii="仿宋" w:hAnsi="仿宋" w:eastAsia="仿宋" w:cs="仿宋"/>
          <w:sz w:val="24"/>
          <w:szCs w:val="32"/>
          <w:lang w:val="zh-CN"/>
        </w:rPr>
        <w:t>正本或副本</w:t>
      </w: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2"/>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YLZ-DZFZ2022-01……08</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技术投标文件</w:t>
      </w: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(商务投标文件)</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keepNext/>
        <w:keepLines/>
        <w:pageBreakBefore w:val="0"/>
        <w:widowControl w:val="0"/>
        <w:kinsoku/>
        <w:wordWrap/>
        <w:overflowPunct/>
        <w:topLinePunct w:val="0"/>
        <w:autoSpaceDE w:val="0"/>
        <w:autoSpaceDN w:val="0"/>
        <w:bidi w:val="0"/>
        <w:adjustRightInd w:val="0"/>
        <w:snapToGrid/>
        <w:spacing w:before="0" w:after="0" w:line="240" w:lineRule="atLeast"/>
        <w:jc w:val="center"/>
        <w:textAlignment w:val="auto"/>
        <w:outlineLvl w:val="9"/>
        <w:rPr>
          <w:rFonts w:hint="eastAsia" w:ascii="仿宋" w:hAnsi="仿宋" w:eastAsia="仿宋" w:cs="仿宋"/>
        </w:rPr>
      </w:pPr>
      <w:r>
        <w:rPr>
          <w:rFonts w:hint="eastAsia" w:ascii="仿宋" w:hAnsi="仿宋" w:eastAsia="仿宋" w:cs="仿宋"/>
          <w:b/>
          <w:bCs/>
          <w:sz w:val="32"/>
          <w:szCs w:val="32"/>
          <w:lang w:val="en-US" w:eastAsia="zh-CN"/>
        </w:rPr>
        <w:t>二〇二二年一月</w:t>
      </w:r>
      <w:r>
        <w:rPr>
          <w:rFonts w:hint="eastAsia"/>
          <w:lang w:val="zh-CN"/>
        </w:rPr>
        <w:br w:type="page"/>
      </w:r>
    </w:p>
    <w:p>
      <w:pPr>
        <w:spacing w:line="240" w:lineRule="atLeast"/>
        <w:ind w:left="735" w:leftChars="350" w:firstLine="120" w:firstLineChars="5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63" w:name="_Toc518923107"/>
      <w:bookmarkStart w:id="164" w:name="_Toc15142"/>
      <w:r>
        <w:rPr>
          <w:rFonts w:hint="eastAsia" w:ascii="仿宋" w:hAnsi="仿宋" w:eastAsia="仿宋" w:cs="仿宋"/>
          <w:sz w:val="24"/>
        </w:rPr>
        <w:t>第</w:t>
      </w:r>
      <w:r>
        <w:rPr>
          <w:rFonts w:hint="eastAsia" w:ascii="仿宋" w:hAnsi="仿宋" w:eastAsia="仿宋" w:cs="仿宋"/>
          <w:sz w:val="24"/>
          <w:lang w:val="en-US" w:eastAsia="zh-CN"/>
        </w:rPr>
        <w:t>二</w:t>
      </w:r>
      <w:r>
        <w:rPr>
          <w:rFonts w:hint="eastAsia" w:ascii="仿宋" w:hAnsi="仿宋" w:eastAsia="仿宋" w:cs="仿宋"/>
          <w:sz w:val="24"/>
        </w:rPr>
        <w:t>部分 开标一览表及资格证明文件</w:t>
      </w:r>
      <w:bookmarkEnd w:id="163"/>
      <w:bookmarkEnd w:id="164"/>
    </w:p>
    <w:p>
      <w:pPr>
        <w:spacing w:line="240" w:lineRule="atLeast"/>
        <w:ind w:left="708" w:hanging="708" w:hangingChars="295"/>
        <w:jc w:val="center"/>
        <w:rPr>
          <w:rFonts w:hint="eastAsia" w:ascii="仿宋" w:hAnsi="仿宋" w:eastAsia="仿宋" w:cs="仿宋"/>
          <w:sz w:val="24"/>
        </w:rPr>
      </w:pP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r>
        <w:rPr>
          <w:rFonts w:hint="eastAsia" w:ascii="仿宋" w:hAnsi="仿宋" w:eastAsia="仿宋" w:cs="仿宋"/>
          <w:bCs/>
          <w:iCs/>
          <w:sz w:val="24"/>
          <w:lang w:eastAsia="zh-CN"/>
        </w:rPr>
        <w:t>（</w:t>
      </w:r>
      <w:r>
        <w:rPr>
          <w:rFonts w:hint="eastAsia" w:ascii="仿宋" w:hAnsi="仿宋" w:eastAsia="仿宋" w:cs="仿宋"/>
          <w:sz w:val="24"/>
        </w:rPr>
        <w:t>投标文件</w:t>
      </w:r>
      <w:r>
        <w:rPr>
          <w:rFonts w:hint="eastAsia" w:ascii="仿宋" w:hAnsi="仿宋" w:eastAsia="仿宋" w:cs="仿宋"/>
          <w:bCs/>
          <w:iCs/>
          <w:sz w:val="24"/>
          <w:lang w:eastAsia="zh-CN"/>
        </w:rPr>
        <w:t>格式一）</w:t>
      </w:r>
      <w:r>
        <w:rPr>
          <w:rFonts w:hint="eastAsia" w:ascii="仿宋" w:hAnsi="仿宋" w:eastAsia="仿宋" w:cs="仿宋"/>
          <w:bCs/>
          <w:iCs/>
          <w:sz w:val="24"/>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提供相关查询记录和查询结果并加盖公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4、法人本人投标的提供法人身份证明及身份证，被授权委托人需提供法人授权委托书及身份证原件（</w:t>
      </w:r>
      <w:r>
        <w:rPr>
          <w:rFonts w:hint="eastAsia" w:ascii="仿宋" w:hAnsi="仿宋" w:eastAsia="仿宋" w:cs="仿宋"/>
          <w:sz w:val="24"/>
        </w:rPr>
        <w:t>投标文件</w:t>
      </w:r>
      <w:r>
        <w:rPr>
          <w:rFonts w:hint="eastAsia" w:ascii="仿宋" w:hAnsi="仿宋" w:eastAsia="仿宋" w:cs="Times New Roman"/>
          <w:kern w:val="2"/>
          <w:sz w:val="24"/>
          <w:szCs w:val="24"/>
          <w:lang w:val="en-US" w:eastAsia="zh-CN" w:bidi="ar-SA"/>
        </w:rPr>
        <w:t>格式二）；</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仿宋"/>
          <w:color w:val="000000"/>
          <w:kern w:val="0"/>
          <w:sz w:val="22"/>
          <w:szCs w:val="22"/>
          <w:lang w:val="en-US" w:eastAsia="zh-CN"/>
        </w:rPr>
        <w:t>投标单位</w:t>
      </w:r>
      <w:r>
        <w:rPr>
          <w:rFonts w:hint="eastAsia" w:ascii="仿宋" w:hAnsi="仿宋" w:eastAsia="仿宋" w:cs="Times New Roman"/>
          <w:kern w:val="2"/>
          <w:sz w:val="24"/>
          <w:szCs w:val="24"/>
          <w:lang w:val="en-US" w:eastAsia="zh-CN" w:bidi="ar-SA"/>
        </w:rPr>
        <w:t>投标标项一、二包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r>
        <w:rPr>
          <w:rFonts w:hint="eastAsia" w:ascii="仿宋" w:hAnsi="仿宋" w:eastAsia="仿宋" w:cs="仿宋"/>
          <w:kern w:val="0"/>
          <w:sz w:val="24"/>
          <w:szCs w:val="20"/>
          <w:lang w:val="en-US" w:eastAsia="zh-CN" w:bidi="ar-SA"/>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8、提供针对本次项目的反商业贿赂承诺书；</w:t>
      </w:r>
    </w:p>
    <w:p>
      <w:pPr>
        <w:pStyle w:val="22"/>
        <w:tabs>
          <w:tab w:val="center" w:pos="4140"/>
          <w:tab w:val="right" w:pos="8300"/>
          <w:tab w:val="clear" w:pos="4153"/>
          <w:tab w:val="clear" w:pos="8306"/>
        </w:tabs>
        <w:spacing w:line="440" w:lineRule="exact"/>
        <w:ind w:left="478" w:leftChars="228"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9、参加政府采购活动前三年内，在经营活动中没有重大违法记录承诺书；</w:t>
      </w:r>
    </w:p>
    <w:p>
      <w:pPr>
        <w:pStyle w:val="22"/>
        <w:tabs>
          <w:tab w:val="center" w:pos="4140"/>
          <w:tab w:val="right" w:pos="8300"/>
          <w:tab w:val="clear" w:pos="4153"/>
          <w:tab w:val="clear" w:pos="8306"/>
        </w:tabs>
        <w:spacing w:line="440" w:lineRule="exact"/>
        <w:ind w:left="478" w:leftChars="228" w:firstLine="0" w:firstLineChars="0"/>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Cs/>
          <w:iCs/>
          <w:sz w:val="24"/>
        </w:rPr>
      </w:pPr>
      <w:r>
        <w:rPr>
          <w:rFonts w:hint="eastAsia" w:ascii="仿宋" w:hAnsi="仿宋" w:eastAsia="仿宋" w:cs="仿宋"/>
          <w:bCs/>
          <w:iCs/>
          <w:color w:val="000000"/>
          <w:kern w:val="2"/>
          <w:sz w:val="24"/>
          <w:szCs w:val="24"/>
          <w:lang w:val="en-US" w:eastAsia="zh-CN"/>
        </w:rPr>
        <w:t>11、</w:t>
      </w:r>
      <w:r>
        <w:rPr>
          <w:rFonts w:hint="eastAsia" w:ascii="仿宋" w:hAnsi="仿宋" w:eastAsia="仿宋" w:cs="Times New Roman"/>
          <w:kern w:val="2"/>
          <w:sz w:val="24"/>
          <w:szCs w:val="24"/>
          <w:lang w:val="en-US" w:eastAsia="zh-CN" w:bidi="ar-SA"/>
        </w:rPr>
        <w:t>本项目标项第一、二包不接受联合体投标；标项三、四、五、六、七接受联合体投标；标项八不接受联合体投标。</w:t>
      </w:r>
    </w:p>
    <w:p>
      <w:pPr>
        <w:pStyle w:val="22"/>
        <w:tabs>
          <w:tab w:val="center" w:pos="4140"/>
          <w:tab w:val="right" w:pos="8300"/>
          <w:tab w:val="clear" w:pos="4153"/>
          <w:tab w:val="clear" w:pos="8306"/>
        </w:tabs>
        <w:spacing w:line="440" w:lineRule="exact"/>
        <w:jc w:val="both"/>
        <w:rPr>
          <w:rFonts w:hint="eastAsia" w:ascii="仿宋" w:hAnsi="仿宋" w:eastAsia="仿宋" w:cs="仿宋"/>
          <w:sz w:val="24"/>
        </w:rPr>
      </w:pPr>
      <w:r>
        <w:rPr>
          <w:rFonts w:hint="eastAsia" w:ascii="仿宋" w:hAnsi="仿宋" w:eastAsia="仿宋" w:cs="仿宋"/>
          <w:bCs/>
          <w:iCs/>
          <w:sz w:val="24"/>
        </w:rPr>
        <w:br w:type="page"/>
      </w:r>
      <w:bookmarkStart w:id="165" w:name="_Toc29377"/>
      <w:bookmarkStart w:id="166" w:name="_Toc518923108"/>
      <w:r>
        <w:rPr>
          <w:rFonts w:hint="eastAsia" w:ascii="仿宋" w:hAnsi="仿宋" w:eastAsia="仿宋" w:cs="仿宋"/>
          <w:b/>
          <w:bCs w:val="0"/>
          <w:iCs/>
          <w:sz w:val="24"/>
          <w:lang w:val="en-US" w:eastAsia="zh-CN"/>
        </w:rPr>
        <w:t xml:space="preserve">  </w:t>
      </w:r>
      <w:r>
        <w:rPr>
          <w:rFonts w:hint="eastAsia" w:ascii="仿宋" w:hAnsi="仿宋" w:eastAsia="仿宋" w:cs="仿宋"/>
          <w:b/>
          <w:bCs w:val="0"/>
          <w:sz w:val="24"/>
        </w:rPr>
        <w:t>1</w:t>
      </w:r>
      <w:r>
        <w:rPr>
          <w:rFonts w:hint="eastAsia" w:ascii="仿宋" w:hAnsi="仿宋" w:eastAsia="仿宋" w:cs="仿宋"/>
          <w:b/>
          <w:bCs w:val="0"/>
          <w:sz w:val="24"/>
          <w:lang w:eastAsia="zh-CN"/>
        </w:rPr>
        <w:t>、</w:t>
      </w:r>
      <w:r>
        <w:rPr>
          <w:rFonts w:hint="eastAsia" w:ascii="仿宋" w:hAnsi="仿宋" w:eastAsia="仿宋" w:cs="仿宋"/>
          <w:b/>
          <w:bCs w:val="0"/>
          <w:sz w:val="24"/>
        </w:rPr>
        <w:t>开标一览表（投标文件格式一）</w:t>
      </w:r>
      <w:bookmarkEnd w:id="165"/>
      <w:bookmarkEnd w:id="166"/>
    </w:p>
    <w:p>
      <w:pPr>
        <w:pStyle w:val="17"/>
        <w:tabs>
          <w:tab w:val="left" w:pos="5580"/>
        </w:tabs>
        <w:spacing w:line="240" w:lineRule="atLeast"/>
        <w:ind w:left="268" w:leftChars="128"/>
        <w:rPr>
          <w:rFonts w:hint="eastAsia" w:ascii="仿宋" w:hAnsi="仿宋" w:eastAsia="仿宋" w:cs="仿宋"/>
          <w:sz w:val="24"/>
        </w:rPr>
      </w:pPr>
    </w:p>
    <w:p>
      <w:pPr>
        <w:pStyle w:val="17"/>
        <w:tabs>
          <w:tab w:val="left" w:pos="5580"/>
        </w:tabs>
        <w:spacing w:line="240" w:lineRule="atLeast"/>
        <w:ind w:left="268" w:leftChars="128"/>
        <w:rPr>
          <w:rFonts w:hint="eastAsia" w:ascii="仿宋" w:hAnsi="仿宋" w:eastAsia="仿宋" w:cs="仿宋"/>
          <w:sz w:val="24"/>
          <w:szCs w:val="24"/>
        </w:rPr>
      </w:pPr>
    </w:p>
    <w:p>
      <w:pPr>
        <w:pStyle w:val="14"/>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b/>
        </w:rPr>
      </w:pPr>
      <w:bookmarkStart w:id="167" w:name="_Hlt520356241"/>
      <w:bookmarkEnd w:id="167"/>
      <w:bookmarkStart w:id="168" w:name="_Toc494296984"/>
      <w:bookmarkStart w:id="169" w:name="_Ref467988698"/>
      <w:bookmarkStart w:id="170" w:name="_Toc480942349"/>
      <w:bookmarkStart w:id="171" w:name="_Toc520356217"/>
      <w:bookmarkStart w:id="172" w:name="_Toc216582813"/>
      <w:r>
        <w:rPr>
          <w:rFonts w:hint="eastAsia" w:ascii="仿宋" w:hAnsi="仿宋" w:eastAsia="仿宋" w:cs="仿宋"/>
          <w:b/>
        </w:rPr>
        <w:t>开标一览表</w:t>
      </w:r>
      <w:bookmarkEnd w:id="168"/>
      <w:r>
        <w:rPr>
          <w:rFonts w:hint="eastAsia" w:ascii="仿宋" w:hAnsi="仿宋" w:eastAsia="仿宋" w:cs="仿宋"/>
          <w:b/>
        </w:rPr>
        <w:cr/>
      </w:r>
    </w:p>
    <w:p>
      <w:pPr>
        <w:pStyle w:val="14"/>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rPr>
      </w:pP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r>
        <w:rPr>
          <w:rFonts w:hint="eastAsia" w:ascii="仿宋" w:hAnsi="仿宋" w:eastAsia="仿宋" w:cs="仿宋"/>
          <w:sz w:val="24"/>
        </w:rPr>
        <w:t xml:space="preserve">           </w:t>
      </w: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40"/>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Layout w:type="fixed"/>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rPr>
              <w:t>服务名称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Layout w:type="fixed"/>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r>
    </w:tbl>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投标人名称（单位章）：</w:t>
      </w:r>
      <w:r>
        <w:rPr>
          <w:rFonts w:hint="eastAsia" w:ascii="仿宋" w:hAnsi="仿宋" w:eastAsia="仿宋" w:cs="仿宋"/>
          <w:sz w:val="24"/>
          <w:u w:val="single"/>
        </w:rPr>
        <w:t xml:space="preserve">                       </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注:1、此表应按投标人须知的规定装订密封。</w:t>
      </w:r>
    </w:p>
    <w:p>
      <w:pPr>
        <w:pStyle w:val="17"/>
        <w:pageBreakBefore w:val="0"/>
        <w:numPr>
          <w:ilvl w:val="0"/>
          <w:numId w:val="0"/>
        </w:numPr>
        <w:tabs>
          <w:tab w:val="left" w:pos="5580"/>
        </w:tabs>
        <w:kinsoku/>
        <w:wordWrap/>
        <w:overflowPunct/>
        <w:topLinePunct w:val="0"/>
        <w:bidi w:val="0"/>
        <w:spacing w:line="240" w:lineRule="atLeast"/>
        <w:ind w:left="210" w:leftChars="0" w:firstLine="720" w:firstLineChars="300"/>
        <w:textAlignment w:val="auto"/>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此表中，每个分包的投标总价应和投标分项报价表的总价相一致。</w:t>
      </w:r>
    </w:p>
    <w:p>
      <w:pPr>
        <w:pStyle w:val="17"/>
        <w:pageBreakBefore w:val="0"/>
        <w:tabs>
          <w:tab w:val="left" w:pos="5580"/>
        </w:tabs>
        <w:kinsoku/>
        <w:wordWrap/>
        <w:overflowPunct/>
        <w:topLinePunct w:val="0"/>
        <w:bidi w:val="0"/>
        <w:spacing w:line="240" w:lineRule="atLeast"/>
        <w:ind w:left="741" w:leftChars="353"/>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rPr>
      </w:pPr>
    </w:p>
    <w:p>
      <w:pPr>
        <w:pageBreakBefore w:val="0"/>
        <w:numPr>
          <w:ilvl w:val="0"/>
          <w:numId w:val="6"/>
        </w:numPr>
        <w:kinsoku/>
        <w:wordWrap/>
        <w:overflowPunct/>
        <w:topLinePunct w:val="0"/>
        <w:bidi w:val="0"/>
        <w:spacing w:before="0" w:after="0" w:line="240" w:lineRule="atLeast"/>
        <w:ind w:left="390" w:leftChars="0" w:hanging="180" w:firstLineChars="0"/>
        <w:jc w:val="both"/>
        <w:textAlignment w:val="auto"/>
        <w:outlineLvl w:val="9"/>
        <w:rPr>
          <w:rFonts w:hint="eastAsia" w:ascii="仿宋" w:hAnsi="仿宋" w:eastAsia="仿宋" w:cs="仿宋"/>
          <w:b/>
          <w:color w:val="000000"/>
          <w:kern w:val="0"/>
          <w:sz w:val="24"/>
          <w:szCs w:val="20"/>
          <w:u w:val="none"/>
          <w:lang w:val="en-US" w:eastAsia="zh-CN" w:bidi="ar-SA"/>
        </w:rPr>
      </w:pPr>
      <w:bookmarkStart w:id="173" w:name="_Toc39671740"/>
      <w:bookmarkStart w:id="174" w:name="_Toc22494199"/>
      <w:r>
        <w:rPr>
          <w:rFonts w:hint="eastAsia" w:ascii="仿宋" w:hAnsi="仿宋" w:eastAsia="仿宋" w:cs="仿宋"/>
          <w:b/>
          <w:color w:val="000000"/>
          <w:kern w:val="0"/>
          <w:sz w:val="24"/>
          <w:szCs w:val="20"/>
          <w:u w:val="no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p>
    <w:p>
      <w:pPr>
        <w:pageBreakBefore w:val="0"/>
        <w:numPr>
          <w:ilvl w:val="0"/>
          <w:numId w:val="0"/>
        </w:numPr>
        <w:kinsoku/>
        <w:wordWrap/>
        <w:overflowPunct/>
        <w:topLinePunct w:val="0"/>
        <w:bidi w:val="0"/>
        <w:ind w:leftChars="353"/>
        <w:textAlignment w:val="auto"/>
        <w:outlineLvl w:val="9"/>
        <w:rPr>
          <w:rFonts w:hint="eastAsia"/>
          <w:lang w:val="en-US" w:eastAsia="zh-CN"/>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r>
        <w:rPr>
          <w:rFonts w:hint="eastAsia" w:ascii="仿宋" w:hAnsi="仿宋" w:eastAsia="仿宋" w:cs="仿宋"/>
          <w:b/>
          <w:bCs/>
          <w:color w:val="000000"/>
          <w:sz w:val="24"/>
          <w:u w:val="none"/>
          <w:lang w:val="en-US" w:eastAsia="zh-CN"/>
        </w:rPr>
        <w:t>3、有效的营业执照正本或副本；</w:t>
      </w:r>
      <w:bookmarkEnd w:id="173"/>
      <w:bookmarkEnd w:id="174"/>
    </w:p>
    <w:p>
      <w:pPr>
        <w:pageBreakBefore w:val="0"/>
        <w:kinsoku/>
        <w:wordWrap/>
        <w:overflowPunct/>
        <w:topLinePunct w:val="0"/>
        <w:bidi w:val="0"/>
        <w:ind w:left="741" w:leftChars="353"/>
        <w:textAlignment w:val="auto"/>
        <w:outlineLvl w:val="9"/>
        <w:rPr>
          <w:rFonts w:hint="eastAsia" w:ascii="仿宋" w:hAnsi="仿宋" w:eastAsia="仿宋" w:cs="仿宋"/>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说明：1）法人或者非法人组织营业执照等证明文件复印件（须加盖本单位章）或自然人的身份证明复印件;</w:t>
      </w:r>
    </w:p>
    <w:p>
      <w:pPr>
        <w:pStyle w:val="17"/>
        <w:pageBreakBefore w:val="0"/>
        <w:tabs>
          <w:tab w:val="left" w:pos="5580"/>
        </w:tabs>
        <w:kinsoku/>
        <w:wordWrap/>
        <w:overflowPunct/>
        <w:topLinePunct w:val="0"/>
        <w:bidi w:val="0"/>
        <w:spacing w:line="240" w:lineRule="atLeast"/>
        <w:ind w:firstLine="1200" w:firstLineChars="5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2）投标人必须满足《中华人民共和国政府采购法》第二十二条要求，法定代表人（或企业负责人）授权书（见投标文件格式二，自然人投标的无需提供）。</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bookmarkStart w:id="175" w:name="_Toc22472"/>
      <w:bookmarkStart w:id="176" w:name="_Toc515647807"/>
      <w:bookmarkStart w:id="177" w:name="_Toc39671741"/>
      <w:bookmarkStart w:id="178" w:name="_Toc22494200"/>
      <w:bookmarkStart w:id="179" w:name="_Toc1083"/>
      <w:r>
        <w:rPr>
          <w:rFonts w:hint="eastAsia" w:ascii="仿宋" w:hAnsi="仿宋" w:eastAsia="仿宋" w:cs="仿宋"/>
          <w:b/>
          <w:bCs/>
          <w:color w:val="000000"/>
          <w:sz w:val="24"/>
          <w:u w:val="none"/>
          <w:lang w:val="en-US" w:eastAsia="zh-CN"/>
        </w:rPr>
        <w:t>4、法定代表人（或企业负责人）授权委托书(投标文件格式二)</w:t>
      </w:r>
      <w:bookmarkEnd w:id="175"/>
      <w:bookmarkEnd w:id="176"/>
      <w:bookmarkEnd w:id="177"/>
      <w:bookmarkEnd w:id="178"/>
      <w:bookmarkEnd w:id="179"/>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r>
        <w:rPr>
          <w:rFonts w:hint="eastAsia" w:ascii="仿宋" w:hAnsi="仿宋" w:eastAsia="仿宋" w:cs="仿宋"/>
          <w:color w:val="000000"/>
          <w:sz w:val="24"/>
        </w:rPr>
        <w:cr/>
      </w:r>
      <w:r>
        <w:rPr>
          <w:rFonts w:hint="eastAsia" w:ascii="仿宋" w:hAnsi="仿宋" w:eastAsia="仿宋" w:cs="仿宋"/>
          <w:color w:val="000000"/>
          <w:sz w:val="24"/>
        </w:rPr>
        <w:t xml:space="preserve"> </w:t>
      </w:r>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p>
    <w:p>
      <w:pPr>
        <w:pStyle w:val="17"/>
        <w:pageBreakBefore w:val="0"/>
        <w:kinsoku/>
        <w:wordWrap/>
        <w:overflowPunct/>
        <w:topLinePunct w:val="0"/>
        <w:bidi w:val="0"/>
        <w:spacing w:line="240" w:lineRule="atLeast"/>
        <w:textAlignment w:val="auto"/>
        <w:outlineLvl w:val="9"/>
        <w:rPr>
          <w:rFonts w:hint="eastAsia" w:ascii="宋体" w:hAnsi="宋体" w:eastAsia="宋体" w:cs="宋体"/>
          <w:color w:val="auto"/>
          <w:szCs w:val="21"/>
        </w:rPr>
      </w:pPr>
      <w:r>
        <w:rPr>
          <w:rFonts w:hint="eastAsia" w:ascii="仿宋" w:hAnsi="仿宋" w:eastAsia="仿宋" w:cs="仿宋"/>
          <w:color w:val="000000"/>
          <w:sz w:val="24"/>
        </w:rPr>
        <w:t xml:space="preserve"> </w:t>
      </w:r>
      <w:r>
        <w:rPr>
          <w:rFonts w:hint="eastAsia" w:ascii="宋体" w:hAnsi="宋体" w:eastAsia="宋体" w:cs="宋体"/>
          <w:b/>
          <w:color w:val="auto"/>
          <w:szCs w:val="21"/>
        </w:rPr>
        <w:t>（一）法定代表人身份证明</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签发日期：                  单位：        </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附：代表人性别：            年龄：           身份证号码：</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联系电话：</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营业执照号码：              经济性质：</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说明：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1、法定代表人为企业事业单位、国家机关、社会团体的主要行政负责人。</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2、内容必须填写真实、清楚、涂改无效，不得转让。</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3、将此证明书原件提交采购代理机构作为谈判投标文件附件。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(为避免废标，请</w:t>
      </w:r>
      <w:r>
        <w:rPr>
          <w:rFonts w:hint="eastAsia" w:ascii="宋体" w:hAnsi="宋体" w:eastAsia="宋体" w:cs="宋体"/>
          <w:color w:val="auto"/>
          <w:szCs w:val="21"/>
          <w:lang w:eastAsia="zh-CN"/>
        </w:rPr>
        <w:t>供应商</w:t>
      </w:r>
      <w:r>
        <w:rPr>
          <w:rFonts w:hint="eastAsia" w:ascii="宋体" w:hAnsi="宋体" w:eastAsia="宋体" w:cs="宋体"/>
          <w:color w:val="auto"/>
          <w:szCs w:val="21"/>
        </w:rPr>
        <w:t>务必提供本附件)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k69dYAAAAIAQAA&#10;DwAAAAAAAAABACAAAAAiAAAAZHJzL2Rvd25yZXYueG1sUEsBAhQAFAAAAAgAh07iQB0+rvUbAgAA&#10;IAQAAA4AAAAAAAAAAQAgAAAAJQEAAGRycy9lMm9Eb2MueG1sUEsFBgAAAAAGAAYAWQEAALIFAAAA&#10;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8vY1/aAAAA&#10;CQEAAA8AAAAAAAAAAQAgAAAAIgAAAGRycy9kb3ducmV2LnhtbFBLAQIUABQAAAAIAIdO4kDgm5dN&#10;GwIAACgEAAAOAAAAAAAAAAEAIAAAACkBAABkcnMvZTJvRG9jLnhtbFBLBQYAAAAABgAGAFkBAAC2&#10;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v:textbox>
              </v:roundrect>
            </w:pict>
          </mc:Fallback>
        </mc:AlternateConten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公</w:t>
      </w:r>
      <w:r>
        <w:rPr>
          <w:rFonts w:hint="eastAsia" w:ascii="宋体" w:hAnsi="宋体" w:eastAsia="宋体" w:cs="宋体"/>
          <w:color w:val="auto"/>
          <w:kern w:val="0"/>
          <w:szCs w:val="21"/>
        </w:rPr>
        <w:t>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法定代表人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签/章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u w:val="single"/>
        </w:rPr>
      </w:pPr>
      <w:r>
        <w:rPr>
          <w:rFonts w:hint="eastAsia" w:ascii="宋体" w:hAnsi="宋体" w:eastAsia="宋体" w:cs="宋体"/>
          <w:color w:val="auto"/>
          <w:szCs w:val="21"/>
          <w:u w:val="single"/>
        </w:rPr>
        <w:br w:type="page"/>
      </w:r>
      <w:r>
        <w:rPr>
          <w:rFonts w:hint="eastAsia" w:ascii="宋体" w:hAnsi="宋体" w:eastAsia="宋体" w:cs="宋体"/>
          <w:b/>
          <w:bCs/>
          <w:color w:val="auto"/>
          <w:sz w:val="24"/>
        </w:rPr>
        <w:t>（二）法定代表人授权委托书</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本授权书声明：注册于</w:t>
      </w:r>
      <w:r>
        <w:rPr>
          <w:rFonts w:hint="eastAsia" w:ascii="宋体" w:hAnsi="宋体" w:eastAsia="宋体" w:cs="宋体"/>
          <w:color w:val="auto"/>
          <w:szCs w:val="21"/>
          <w:u w:val="single"/>
        </w:rPr>
        <w:t>（国家或地区的名称）</w:t>
      </w:r>
      <w:r>
        <w:rPr>
          <w:rFonts w:hint="eastAsia" w:ascii="宋体" w:hAnsi="宋体" w:eastAsia="宋体" w:cs="宋体"/>
          <w:color w:val="auto"/>
          <w:szCs w:val="21"/>
        </w:rPr>
        <w:t>的（</w:t>
      </w:r>
      <w:r>
        <w:rPr>
          <w:rFonts w:hint="eastAsia" w:ascii="宋体" w:hAnsi="宋体" w:eastAsia="宋体" w:cs="宋体"/>
          <w:i/>
          <w:color w:val="auto"/>
          <w:szCs w:val="21"/>
          <w:u w:val="single"/>
          <w:lang w:eastAsia="zh-CN"/>
        </w:rPr>
        <w:t>供应商</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法人代表姓名、职务</w:t>
      </w:r>
      <w:r>
        <w:rPr>
          <w:rFonts w:hint="eastAsia" w:ascii="宋体" w:hAnsi="宋体" w:eastAsia="宋体" w:cs="宋体"/>
          <w:color w:val="auto"/>
          <w:szCs w:val="21"/>
        </w:rPr>
        <w:t>）代表我单位授权（</w:t>
      </w:r>
      <w:r>
        <w:rPr>
          <w:rFonts w:hint="eastAsia" w:ascii="宋体" w:hAnsi="宋体" w:eastAsia="宋体" w:cs="宋体"/>
          <w:i/>
          <w:color w:val="auto"/>
          <w:szCs w:val="21"/>
          <w:u w:val="single"/>
        </w:rPr>
        <w:t>单位名称</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被授权人的姓名、职务</w:t>
      </w:r>
      <w:r>
        <w:rPr>
          <w:rFonts w:hint="eastAsia" w:ascii="宋体" w:hAnsi="宋体" w:eastAsia="宋体" w:cs="宋体"/>
          <w:color w:val="auto"/>
          <w:szCs w:val="21"/>
        </w:rPr>
        <w:t>）为我单位的合法代理人，就（</w:t>
      </w:r>
      <w:r>
        <w:rPr>
          <w:rFonts w:hint="eastAsia" w:ascii="宋体" w:hAnsi="宋体" w:eastAsia="宋体" w:cs="宋体"/>
          <w:i/>
          <w:color w:val="auto"/>
          <w:szCs w:val="21"/>
          <w:u w:val="single"/>
        </w:rPr>
        <w:t>项目名称）</w:t>
      </w:r>
      <w:r>
        <w:rPr>
          <w:rFonts w:hint="eastAsia" w:ascii="宋体" w:hAnsi="宋体" w:eastAsia="宋体" w:cs="宋体"/>
          <w:i/>
          <w:color w:val="auto"/>
          <w:szCs w:val="21"/>
          <w:u w:val="single"/>
          <w:lang w:eastAsia="zh-CN"/>
        </w:rPr>
        <w:t>（</w:t>
      </w:r>
      <w:r>
        <w:rPr>
          <w:rFonts w:hint="eastAsia" w:hAnsi="宋体" w:eastAsia="宋体" w:cs="宋体"/>
          <w:i/>
          <w:color w:val="auto"/>
          <w:szCs w:val="21"/>
          <w:u w:val="single"/>
          <w:lang w:eastAsia="zh-CN"/>
        </w:rPr>
        <w:t>包号</w:t>
      </w:r>
      <w:r>
        <w:rPr>
          <w:rFonts w:hint="eastAsia" w:ascii="宋体" w:hAnsi="宋体" w:eastAsia="宋体" w:cs="宋体"/>
          <w:i/>
          <w:color w:val="auto"/>
          <w:szCs w:val="21"/>
          <w:u w:val="single"/>
          <w:lang w:eastAsia="zh-CN"/>
        </w:rPr>
        <w:t>）</w:t>
      </w:r>
      <w:r>
        <w:rPr>
          <w:rFonts w:hint="eastAsia" w:ascii="宋体" w:hAnsi="宋体" w:eastAsia="宋体" w:cs="宋体"/>
          <w:i/>
          <w:color w:val="auto"/>
          <w:szCs w:val="21"/>
          <w:u w:val="single"/>
        </w:rPr>
        <w:t>的</w:t>
      </w:r>
      <w:r>
        <w:rPr>
          <w:rFonts w:hint="eastAsia" w:ascii="宋体" w:hAnsi="宋体" w:eastAsia="宋体" w:cs="宋体"/>
          <w:color w:val="auto"/>
          <w:szCs w:val="21"/>
        </w:rPr>
        <w:t>投标，以我单位名义处理一切与之有关的事务。</w:t>
      </w:r>
      <w:r>
        <w:rPr>
          <w:rFonts w:hint="eastAsia" w:ascii="宋体" w:hAnsi="宋体" w:eastAsia="宋体" w:cs="宋体"/>
          <w:color w:val="auto"/>
          <w:szCs w:val="21"/>
        </w:rPr>
        <w:cr/>
      </w:r>
      <w:r>
        <w:rPr>
          <w:rFonts w:hint="eastAsia" w:ascii="宋体" w:hAnsi="宋体" w:eastAsia="宋体" w:cs="宋体"/>
          <w:color w:val="auto"/>
          <w:szCs w:val="21"/>
        </w:rPr>
        <w:t>　　</w:t>
      </w:r>
    </w:p>
    <w:p>
      <w:pPr>
        <w:pStyle w:val="17"/>
        <w:pageBreakBefore w:val="0"/>
        <w:tabs>
          <w:tab w:val="left" w:pos="5580"/>
        </w:tabs>
        <w:kinsoku/>
        <w:wordWrap/>
        <w:overflowPunct/>
        <w:topLinePunct w:val="0"/>
        <w:bidi w:val="0"/>
        <w:spacing w:line="360" w:lineRule="exac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pStyle w:val="17"/>
        <w:pageBreakBefore w:val="0"/>
        <w:tabs>
          <w:tab w:val="left" w:pos="5580"/>
        </w:tabs>
        <w:kinsoku/>
        <w:wordWrap/>
        <w:overflowPunct/>
        <w:topLinePunct w:val="0"/>
        <w:bidi w:val="0"/>
        <w:spacing w:line="240" w:lineRule="atLeas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WfuNsAAAAK&#10;AQAADwAAAAAAAAABACAAAAAiAAAAZHJzL2Rvd25yZXYueG1sUEsBAhQAFAAAAAgAh07iQKZipo0Z&#10;AgAAJQQAAA4AAAAAAAAAAQAgAAAAKgEAAGRycy9lMm9Eb2MueG1sUEsFBgAAAAAGAAYAWQEAALUF&#10;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9525" b="1333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zaEDtYAAAAIAQAADwAAAAAAAAABACAA&#10;AAAiAAAAZHJzL2Rvd25yZXYueG1sUEsBAhQAFAAAAAgAh07iQEMHvtUPAgAAEgQAAA4AAAAAAAAA&#10;AQAgAAAAJQEAAGRycy9lMm9Eb2MueG1sUEsFBgAAAAAGAAYAWQEAAKY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NFZ7bAAAACgEA&#10;AA8AAAAAAAAAAQAgAAAAIgAAAGRycy9kb3ducmV2LnhtbFBLAQIUABQAAAAIAIdO4kDR9GkQFwIA&#10;ACUEAAAOAAAAAAAAAAEAIAAAACoBAABkcnMvZTJvRG9jLnhtbFBLBQYAAAAABgAGAFkBAACzBQAA&#10;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vgt72AAAAAgB&#10;AAAPAAAAAAAAAAEAIAAAACIAAABkcnMvZG93bnJldi54bWxQSwECFAAUAAAACACHTuJAAgPw9hsC&#10;AAAmBAAADgAAAAAAAAABACAAAAAnAQAAZHJzL2Uyb0RvYy54bWxQSwUGAAAAAAYABgBZAQAAtAUA&#10;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身份证号码：__________________________________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详细通讯地址：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邮 政 编 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240" w:lineRule="atLeast"/>
        <w:ind w:firstLine="420" w:firstLineChars="200"/>
        <w:textAlignment w:val="auto"/>
        <w:outlineLvl w:val="9"/>
        <w:rPr>
          <w:rFonts w:hint="eastAsia" w:ascii="仿宋" w:hAnsi="仿宋" w:eastAsia="仿宋" w:cs="仿宋"/>
          <w:color w:val="000000"/>
          <w:sz w:val="24"/>
        </w:rPr>
      </w:pPr>
      <w:r>
        <w:rPr>
          <w:rFonts w:hint="eastAsia" w:ascii="宋体" w:hAnsi="宋体" w:eastAsia="宋体" w:cs="宋体"/>
          <w:color w:val="auto"/>
          <w:szCs w:val="21"/>
        </w:rPr>
        <w:t>年   月   日</w:t>
      </w:r>
    </w:p>
    <w:p>
      <w:pPr>
        <w:pageBreakBefore w:val="0"/>
        <w:kinsoku/>
        <w:wordWrap/>
        <w:overflowPunct/>
        <w:topLinePunct w:val="0"/>
        <w:bidi w:val="0"/>
        <w:textAlignment w:val="auto"/>
        <w:outlineLvl w:val="9"/>
        <w:rPr>
          <w:rFonts w:hint="eastAsia" w:ascii="仿宋" w:hAnsi="仿宋" w:eastAsia="仿宋" w:cs="仿宋"/>
          <w:color w:val="000000"/>
        </w:rPr>
      </w:pPr>
      <w:bookmarkStart w:id="180" w:name="_Toc39671742"/>
      <w:bookmarkStart w:id="181" w:name="_Toc22494201"/>
      <w:bookmarkStart w:id="182" w:name="_Toc7039"/>
      <w:bookmarkStart w:id="183" w:name="_Toc32520"/>
      <w:bookmarkStart w:id="184" w:name="_Toc515647808"/>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5、投标单位第一、二包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pStyle w:val="14"/>
        <w:pageBreakBefore w:val="0"/>
        <w:kinsoku/>
        <w:wordWrap/>
        <w:overflowPunct/>
        <w:topLinePunct w:val="0"/>
        <w:bidi w:val="0"/>
        <w:textAlignment w:val="auto"/>
        <w:outlineLvl w:val="9"/>
        <w:rPr>
          <w:rFonts w:hint="eastAsia" w:ascii="仿宋" w:hAnsi="仿宋" w:eastAsia="仿宋" w:cs="仿宋"/>
          <w:color w:val="000000"/>
        </w:rPr>
      </w:pP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0"/>
    <w:bookmarkEnd w:id="181"/>
    <w:p>
      <w:pPr>
        <w:pStyle w:val="17"/>
        <w:pageBreakBefore w:val="0"/>
        <w:numPr>
          <w:ilvl w:val="0"/>
          <w:numId w:val="7"/>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b/>
          <w:color w:val="000000"/>
          <w:kern w:val="0"/>
          <w:sz w:val="24"/>
          <w:szCs w:val="20"/>
          <w:u w:val="none"/>
          <w:lang w:val="en-US" w:eastAsia="zh-CN" w:bidi="ar-SA"/>
        </w:rPr>
        <w:t xml:space="preserve">提供依法缴纳社会保障资金的良好记录；（需提供近期3个月社保部门出具的投标单位的缴纳社保证明）   </w:t>
      </w:r>
      <w:r>
        <w:rPr>
          <w:rFonts w:hint="eastAsia" w:ascii="仿宋" w:hAnsi="仿宋" w:eastAsia="仿宋" w:cs="仿宋"/>
          <w:color w:val="000000"/>
          <w:sz w:val="24"/>
        </w:rPr>
        <w:t xml:space="preserve">   </w:t>
      </w:r>
    </w:p>
    <w:p>
      <w:pPr>
        <w:pStyle w:val="17"/>
        <w:pageBreakBefore w:val="0"/>
        <w:numPr>
          <w:ilvl w:val="0"/>
          <w:numId w:val="0"/>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ageBreakBefore w:val="0"/>
        <w:tabs>
          <w:tab w:val="left" w:pos="5580"/>
        </w:tabs>
        <w:kinsoku/>
        <w:wordWrap/>
        <w:overflowPunct/>
        <w:topLinePunct w:val="0"/>
        <w:bidi w:val="0"/>
        <w:spacing w:line="240" w:lineRule="atLeast"/>
        <w:ind w:left="540" w:firstLine="480" w:firstLineChars="200"/>
        <w:textAlignment w:val="auto"/>
        <w:outlineLvl w:val="9"/>
        <w:rPr>
          <w:rFonts w:hint="eastAsia" w:ascii="仿宋" w:hAnsi="仿宋" w:eastAsia="仿宋" w:cs="仿宋"/>
          <w:bCs/>
          <w:color w:val="000000"/>
          <w:sz w:val="24"/>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b/>
          <w:color w:val="000000"/>
          <w:kern w:val="0"/>
          <w:sz w:val="24"/>
          <w:szCs w:val="20"/>
          <w:u w:val="none"/>
          <w:lang w:val="en-US" w:eastAsia="zh-CN" w:bidi="ar-SA"/>
        </w:rPr>
      </w:pPr>
      <w:bookmarkStart w:id="185" w:name="_Toc39671743"/>
      <w:bookmarkStart w:id="186" w:name="_Toc22494202"/>
      <w:r>
        <w:rPr>
          <w:rFonts w:hint="eastAsia" w:ascii="仿宋" w:hAnsi="仿宋" w:eastAsia="仿宋" w:cs="仿宋"/>
          <w:b/>
          <w:color w:val="000000"/>
          <w:kern w:val="0"/>
          <w:sz w:val="24"/>
          <w:szCs w:val="20"/>
          <w:u w:val="none"/>
          <w:lang w:val="en-US" w:eastAsia="zh-CN" w:bidi="ar-SA"/>
        </w:rPr>
        <w:t>7、</w:t>
      </w:r>
      <w:bookmarkEnd w:id="185"/>
      <w:bookmarkEnd w:id="186"/>
      <w:r>
        <w:rPr>
          <w:rFonts w:hint="eastAsia" w:ascii="仿宋" w:hAnsi="仿宋" w:eastAsia="仿宋" w:cs="仿宋"/>
          <w:b/>
          <w:color w:val="000000"/>
          <w:kern w:val="0"/>
          <w:sz w:val="24"/>
          <w:szCs w:val="20"/>
          <w:u w:val="none"/>
          <w:lang w:val="en-US" w:eastAsia="zh-CN" w:bidi="ar-SA"/>
        </w:rPr>
        <w:t>提供税务部门出具近3个月依法缴纳税收的完税证明原件（依法免缴的，应提供依法免缴的相关证明文件）</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 ：复印件上应加盖本单位章。</w:t>
      </w: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2"/>
    <w:bookmarkEnd w:id="183"/>
    <w:bookmarkEnd w:id="184"/>
    <w:p>
      <w:pPr>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420" w:firstLineChars="200"/>
        <w:textAlignment w:val="auto"/>
        <w:outlineLvl w:val="9"/>
        <w:rPr>
          <w:rFonts w:hint="eastAsia" w:ascii="仿宋" w:hAnsi="仿宋" w:eastAsia="仿宋" w:cs="仿宋"/>
          <w:color w:val="000000"/>
          <w:u w:val="none"/>
        </w:rPr>
      </w:pPr>
      <w:bookmarkStart w:id="187" w:name="_Toc22494204"/>
      <w:bookmarkStart w:id="188" w:name="_Toc39671745"/>
      <w:r>
        <w:rPr>
          <w:rFonts w:hint="eastAsia" w:ascii="仿宋" w:hAnsi="仿宋" w:eastAsia="仿宋" w:cs="仿宋"/>
          <w:b/>
          <w:bCs/>
          <w:color w:val="000000"/>
          <w:u w:val="none"/>
          <w:lang w:val="en-US" w:eastAsia="zh-CN"/>
        </w:rPr>
        <w:t>8</w:t>
      </w:r>
      <w:r>
        <w:rPr>
          <w:rFonts w:hint="eastAsia" w:ascii="仿宋" w:hAnsi="仿宋" w:eastAsia="仿宋" w:cs="仿宋"/>
          <w:b/>
          <w:bCs/>
          <w:color w:val="000000"/>
          <w:u w:val="none"/>
        </w:rPr>
        <w:t>、</w:t>
      </w:r>
      <w:r>
        <w:rPr>
          <w:rFonts w:hint="eastAsia" w:ascii="仿宋" w:hAnsi="仿宋" w:eastAsia="仿宋" w:cs="仿宋"/>
          <w:b/>
          <w:bCs/>
          <w:color w:val="000000"/>
          <w:kern w:val="0"/>
          <w:sz w:val="24"/>
          <w:szCs w:val="20"/>
          <w:u w:val="none"/>
          <w:lang w:val="en-US" w:eastAsia="zh-CN" w:bidi="ar-SA"/>
        </w:rPr>
        <w:t>提</w:t>
      </w:r>
      <w:r>
        <w:rPr>
          <w:rFonts w:hint="eastAsia" w:ascii="仿宋" w:hAnsi="仿宋" w:eastAsia="仿宋" w:cs="仿宋"/>
          <w:b/>
          <w:color w:val="000000"/>
          <w:kern w:val="0"/>
          <w:sz w:val="24"/>
          <w:szCs w:val="20"/>
          <w:u w:val="none"/>
          <w:lang w:val="en-US" w:eastAsia="zh-CN" w:bidi="ar-SA"/>
        </w:rPr>
        <w:t>供针对本次项目的反商业贿赂承诺书</w:t>
      </w:r>
      <w:bookmarkEnd w:id="187"/>
      <w:bookmarkEnd w:id="188"/>
    </w:p>
    <w:p>
      <w:pPr>
        <w:pageBreakBefore w:val="0"/>
        <w:kinsoku/>
        <w:wordWrap/>
        <w:overflowPunct/>
        <w:topLinePunct w:val="0"/>
        <w:bidi w:val="0"/>
        <w:ind w:firstLine="420" w:firstLineChars="200"/>
        <w:textAlignment w:val="auto"/>
        <w:outlineLvl w:val="9"/>
        <w:rPr>
          <w:rFonts w:hint="eastAsia" w:ascii="仿宋" w:hAnsi="仿宋" w:eastAsia="仿宋" w:cs="仿宋"/>
          <w:color w:val="000000"/>
        </w:rPr>
      </w:pPr>
      <w:r>
        <w:rPr>
          <w:rFonts w:hint="eastAsia" w:ascii="仿宋" w:hAnsi="仿宋" w:eastAsia="仿宋" w:cs="仿宋"/>
          <w:color w:val="000000"/>
        </w:rPr>
        <w:t>投标人可将本项目投标保证金支付的汇款凭证复印件作为缴纳凭证装订在本部分，复印件上应加盖本单位章，将原件装订在本部分正本中</w:t>
      </w:r>
    </w:p>
    <w:p>
      <w:pPr>
        <w:pageBreakBefore w:val="0"/>
        <w:widowControl/>
        <w:kinsoku/>
        <w:wordWrap/>
        <w:overflowPunct/>
        <w:topLinePunct w:val="0"/>
        <w:bidi w:val="0"/>
        <w:jc w:val="left"/>
        <w:textAlignment w:val="auto"/>
        <w:outlineLvl w:val="9"/>
        <w:rPr>
          <w:rFonts w:hint="eastAsia" w:ascii="仿宋" w:hAnsi="仿宋" w:eastAsia="仿宋" w:cs="仿宋"/>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bookmarkStart w:id="189" w:name="_Toc22494205"/>
      <w:bookmarkStart w:id="190" w:name="_Toc39671746"/>
      <w:r>
        <w:rPr>
          <w:rFonts w:hint="eastAsia" w:ascii="仿宋" w:hAnsi="仿宋" w:eastAsia="仿宋" w:cs="仿宋"/>
          <w:b/>
          <w:color w:val="000000"/>
          <w:kern w:val="0"/>
          <w:sz w:val="24"/>
          <w:szCs w:val="20"/>
          <w:u w:val="none"/>
          <w:lang w:val="en-US" w:eastAsia="zh-CN" w:bidi="ar-SA"/>
        </w:rPr>
        <w:t>9、参加政府采购活动前3年内在经营活动中没有重大违法记录的书面声明</w:t>
      </w:r>
      <w:bookmarkEnd w:id="189"/>
      <w:bookmarkEnd w:id="190"/>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说明：1.投标人应按照相关法规规定如实作出说明。</w:t>
      </w:r>
    </w:p>
    <w:p>
      <w:pPr>
        <w:pageBreakBefore w:val="0"/>
        <w:kinsoku/>
        <w:wordWrap/>
        <w:overflowPunct/>
        <w:topLinePunct w:val="0"/>
        <w:bidi w:val="0"/>
        <w:textAlignment w:val="auto"/>
        <w:outlineLvl w:val="9"/>
        <w:rPr>
          <w:rFonts w:hint="eastAsia"/>
          <w:lang w:val="en-US" w:eastAsia="zh-CN"/>
        </w:rPr>
      </w:pPr>
    </w:p>
    <w:p>
      <w:pPr>
        <w:pageBreakBefore w:val="0"/>
        <w:numPr>
          <w:ilvl w:val="0"/>
          <w:numId w:val="0"/>
        </w:numPr>
        <w:kinsoku/>
        <w:wordWrap/>
        <w:overflowPunct/>
        <w:topLinePunct w:val="0"/>
        <w:bidi w:val="0"/>
        <w:textAlignment w:val="auto"/>
        <w:outlineLvl w:val="9"/>
        <w:rPr>
          <w:rFonts w:hint="eastAsi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
          <w:color w:val="000000"/>
          <w:kern w:val="0"/>
          <w:sz w:val="24"/>
          <w:szCs w:val="20"/>
          <w:u w:val="none"/>
          <w:lang w:val="en-US" w:eastAsia="zh-CN" w:bidi="ar-S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default"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11、联合体协议书（如有）；</w:t>
      </w:r>
    </w:p>
    <w:p>
      <w:pPr>
        <w:pStyle w:val="14"/>
        <w:ind w:firstLine="422"/>
        <w:rPr>
          <w:rFonts w:hint="eastAsia" w:ascii="仿宋" w:hAnsi="仿宋" w:eastAsia="仿宋" w:cs="仿宋"/>
          <w:b/>
          <w:color w:val="000000"/>
          <w:szCs w:val="24"/>
        </w:rPr>
      </w:pPr>
    </w:p>
    <w:p>
      <w:pPr>
        <w:pStyle w:val="14"/>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1270" b="10160"/>
            <wp:docPr id="5"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797893063,3466715407&amp;fm=26&amp;gp=0"/>
                    <pic:cNvPicPr>
                      <a:picLocks noChangeAspect="1"/>
                    </pic:cNvPicPr>
                  </pic:nvPicPr>
                  <pic:blipFill>
                    <a:blip r:embed="rId18"/>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pStyle w:val="22"/>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r>
        <w:rPr>
          <w:rFonts w:hint="eastAsia" w:ascii="仿宋" w:hAnsi="仿宋" w:eastAsia="仿宋" w:cs="仿宋"/>
          <w:b/>
          <w:color w:val="000000"/>
          <w:kern w:val="0"/>
          <w:sz w:val="24"/>
          <w:szCs w:val="20"/>
          <w:u w:val="none"/>
          <w:lang w:val="en-US" w:eastAsia="zh-CN" w:bidi="ar-SA"/>
        </w:rPr>
        <w:br w:type="page"/>
      </w:r>
      <w:bookmarkStart w:id="191" w:name="_Toc16844"/>
      <w:bookmarkStart w:id="192" w:name="_Toc518923115"/>
      <w:r>
        <w:rPr>
          <w:rFonts w:hint="eastAsia" w:ascii="仿宋" w:hAnsi="仿宋" w:eastAsia="仿宋" w:cs="仿宋"/>
          <w:b/>
          <w:kern w:val="0"/>
          <w:sz w:val="24"/>
          <w:szCs w:val="20"/>
          <w:lang w:val="en-US" w:eastAsia="zh-CN" w:bidi="ar-SA"/>
        </w:rPr>
        <w:t>第三部分  商务</w:t>
      </w:r>
      <w:bookmarkEnd w:id="191"/>
      <w:bookmarkEnd w:id="192"/>
      <w:r>
        <w:rPr>
          <w:rFonts w:hint="eastAsia" w:ascii="仿宋" w:hAnsi="仿宋" w:eastAsia="仿宋" w:cs="仿宋"/>
          <w:b/>
          <w:kern w:val="0"/>
          <w:sz w:val="24"/>
          <w:szCs w:val="20"/>
          <w:lang w:val="en-US" w:eastAsia="zh-CN" w:bidi="ar-SA"/>
        </w:rPr>
        <w:t>投标文件</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投标人应根据招标文件的要求提供详细的</w:t>
      </w:r>
      <w:r>
        <w:rPr>
          <w:rFonts w:hint="eastAsia" w:ascii="仿宋" w:hAnsi="仿宋" w:eastAsia="仿宋" w:cs="仿宋"/>
          <w:sz w:val="24"/>
          <w:lang w:val="en-US" w:eastAsia="zh-CN"/>
        </w:rPr>
        <w:t>商务投标方案</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en-US" w:eastAsia="zh-CN"/>
        </w:rPr>
        <w:t>标项一、二、三、四、五、六、七</w:t>
      </w:r>
      <w:r>
        <w:rPr>
          <w:rFonts w:hint="eastAsia" w:ascii="仿宋" w:hAnsi="仿宋" w:eastAsia="仿宋" w:cs="仿宋"/>
          <w:sz w:val="24"/>
          <w:lang w:val="zh-CN" w:eastAsia="zh-CN"/>
        </w:rPr>
        <w:t>商务投标</w:t>
      </w:r>
      <w:r>
        <w:rPr>
          <w:rFonts w:hint="eastAsia" w:ascii="仿宋" w:hAnsi="仿宋" w:eastAsia="仿宋" w:cs="仿宋"/>
          <w:sz w:val="24"/>
          <w:lang w:val="en-US" w:eastAsia="zh-CN"/>
        </w:rPr>
        <w:t>文件</w:t>
      </w:r>
      <w:r>
        <w:rPr>
          <w:rFonts w:hint="eastAsia" w:ascii="仿宋" w:hAnsi="仿宋" w:eastAsia="仿宋" w:cs="仿宋"/>
          <w:sz w:val="24"/>
          <w:lang w:val="zh-CN" w:eastAsia="zh-CN"/>
        </w:rPr>
        <w:t>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default" w:ascii="仿宋" w:hAnsi="仿宋" w:eastAsia="仿宋" w:cs="仿宋"/>
          <w:sz w:val="24"/>
          <w:lang w:val="en-US" w:eastAsia="zh-CN"/>
        </w:rPr>
      </w:pPr>
      <w:r>
        <w:rPr>
          <w:rFonts w:hint="eastAsia" w:ascii="仿宋" w:hAnsi="仿宋" w:eastAsia="仿宋" w:cs="仿宋"/>
          <w:sz w:val="24"/>
          <w:lang w:val="en-US" w:eastAsia="zh-CN"/>
        </w:rPr>
        <w:t>标项八商务投标文件将从对招标文件及合同条款的确认，投入项目人员数量满足要求，工种齐全，人员专业结构配备合理，仪器、设备配置，近三年资产状况，组织管理、质量、进度、安全的保障体系及主要措施，组织管理机构应健全，应建立领导小组，拟派出的总监、总监代表人的职称，主要业绩，相关承诺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投标单位需</w:t>
      </w:r>
      <w:r>
        <w:rPr>
          <w:rFonts w:hint="eastAsia" w:ascii="仿宋" w:hAnsi="仿宋" w:eastAsia="仿宋" w:cs="仿宋"/>
          <w:sz w:val="24"/>
          <w:lang w:val="zh-CN"/>
        </w:rPr>
        <w:t>保证所提供的资料的真实性。未提供格式的，投标人可自行编制，为了便于查找，请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7"/>
        <w:ind w:left="1079"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3、投标报价表（投标文件格式五）</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6、符合《政府采购促进中小企业发展暂行办法》、《关于政府采购支持监狱企业发展有关问题的通知》和《三部门联合发布关于促进残疾人就业政府采购政策的通知》价格扣减条件的投标人须提交）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6-1《投标人企业类型声明函》（投标文件格式七）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6-2《制造商投标人企业类型声明函》（投标文件格式八）</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6-3《残疾人福利性单位声明函》（投标文件格式九）</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7、投标人关联单位的说明（格式自拟）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8、投标文件还应包括投标人须知第10条的所有技术文件</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hint="eastAsia" w:ascii="仿宋" w:hAnsi="仿宋" w:eastAsia="仿宋" w:cs="仿宋"/>
          <w:sz w:val="24"/>
        </w:rPr>
      </w:pPr>
      <w:bookmarkStart w:id="193" w:name="_Toc26126"/>
      <w:bookmarkStart w:id="194" w:name="_Toc518923116"/>
      <w:r>
        <w:rPr>
          <w:rFonts w:hint="eastAsia" w:ascii="仿宋" w:hAnsi="仿宋" w:eastAsia="仿宋" w:cs="仿宋"/>
          <w:sz w:val="24"/>
        </w:rPr>
        <w:t xml:space="preserve">1   </w:t>
      </w:r>
      <w:bookmarkStart w:id="195" w:name="_Hlt520355504"/>
      <w:bookmarkEnd w:id="195"/>
      <w:r>
        <w:rPr>
          <w:rFonts w:hint="eastAsia" w:ascii="仿宋" w:hAnsi="仿宋" w:eastAsia="仿宋" w:cs="仿宋"/>
          <w:sz w:val="24"/>
        </w:rPr>
        <w:t>投标</w:t>
      </w:r>
      <w:bookmarkEnd w:id="169"/>
      <w:bookmarkEnd w:id="170"/>
      <w:r>
        <w:rPr>
          <w:rFonts w:hint="eastAsia" w:ascii="仿宋" w:hAnsi="仿宋" w:eastAsia="仿宋" w:cs="仿宋"/>
          <w:sz w:val="24"/>
        </w:rPr>
        <w:t>书</w:t>
      </w:r>
      <w:bookmarkEnd w:id="171"/>
      <w:r>
        <w:rPr>
          <w:rFonts w:hint="eastAsia" w:ascii="仿宋" w:hAnsi="仿宋" w:eastAsia="仿宋" w:cs="仿宋"/>
          <w:sz w:val="24"/>
        </w:rPr>
        <w:t>（投标文件格式三）</w:t>
      </w:r>
      <w:bookmarkEnd w:id="172"/>
      <w:bookmarkEnd w:id="193"/>
      <w:bookmarkEnd w:id="194"/>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)经正式授权并代表投标人（</w:t>
      </w:r>
      <w:r>
        <w:rPr>
          <w:rFonts w:hint="eastAsia" w:ascii="仿宋" w:hAnsi="仿宋" w:eastAsia="仿宋" w:cs="仿宋"/>
          <w:i/>
          <w:sz w:val="24"/>
          <w:u w:val="single"/>
        </w:rPr>
        <w:t>名称、地址</w:t>
      </w:r>
      <w:r>
        <w:rPr>
          <w:rFonts w:hint="eastAsia" w:ascii="仿宋" w:hAnsi="仿宋" w:eastAsia="仿宋" w:cs="仿宋"/>
          <w:sz w:val="24"/>
        </w:rPr>
        <w:t>）提交下述文件正本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份及电子文档</w:t>
      </w:r>
      <w:r>
        <w:rPr>
          <w:rFonts w:hint="eastAsia" w:ascii="仿宋" w:hAnsi="仿宋" w:eastAsia="仿宋" w:cs="仿宋"/>
          <w:sz w:val="24"/>
          <w:u w:val="single"/>
        </w:rPr>
        <w:t xml:space="preserve">     </w:t>
      </w:r>
      <w:r>
        <w:rPr>
          <w:rFonts w:hint="eastAsia" w:ascii="仿宋" w:hAnsi="仿宋" w:eastAsia="仿宋" w:cs="仿宋"/>
          <w:sz w:val="24"/>
        </w:rPr>
        <w:t>份，并以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7"/>
        <w:tabs>
          <w:tab w:val="left" w:pos="720"/>
          <w:tab w:val="left" w:pos="900"/>
        </w:tabs>
        <w:spacing w:line="240" w:lineRule="atLeast"/>
        <w:ind w:left="768"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（5）在规定的开标时间后，遵守招标文件中有关保证金的规定。</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（6）根据投标人须知第1条规定，我方不是为本项目提供整体设计、规范编制或者项目管理、监理、检测等服务的供应商，我方不是采购代理机构的附属机构。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（9）按照招标文件的规定履行合同责任和义务。</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投标人名称（全称）：-----------------</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投标人单位章：-------------------------</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日期-：------------------------------</w:t>
      </w:r>
    </w:p>
    <w:p>
      <w:pPr>
        <w:pStyle w:val="4"/>
        <w:spacing w:before="0" w:line="240" w:lineRule="atLeast"/>
        <w:ind w:left="1079" w:leftChars="257" w:hanging="540"/>
        <w:rPr>
          <w:rFonts w:hint="eastAsia" w:ascii="仿宋" w:hAnsi="仿宋" w:eastAsia="仿宋" w:cs="仿宋"/>
          <w:sz w:val="24"/>
        </w:rPr>
      </w:pPr>
      <w:bookmarkStart w:id="196" w:name="_Hlt520355938"/>
      <w:bookmarkEnd w:id="196"/>
      <w:bookmarkStart w:id="197" w:name="_Hlt520356243"/>
      <w:bookmarkEnd w:id="197"/>
      <w:bookmarkStart w:id="198" w:name="_Toc216582815"/>
      <w:r>
        <w:rPr>
          <w:rFonts w:hint="eastAsia" w:ascii="仿宋" w:hAnsi="仿宋" w:eastAsia="仿宋" w:cs="仿宋"/>
          <w:sz w:val="24"/>
        </w:rPr>
        <w:br w:type="page"/>
      </w:r>
      <w:bookmarkStart w:id="199" w:name="_Toc24886"/>
      <w:bookmarkStart w:id="200" w:name="_Toc518923117"/>
      <w:r>
        <w:rPr>
          <w:rFonts w:hint="eastAsia" w:ascii="仿宋" w:hAnsi="仿宋" w:eastAsia="仿宋" w:cs="仿宋"/>
          <w:sz w:val="24"/>
        </w:rPr>
        <w:t>2   投标保证金缴纳凭证复印件或投标担保函</w:t>
      </w:r>
      <w:bookmarkEnd w:id="199"/>
      <w:bookmarkEnd w:id="200"/>
    </w:p>
    <w:p>
      <w:pPr>
        <w:ind w:firstLine="420" w:firstLineChars="200"/>
        <w:rPr>
          <w:rFonts w:hint="eastAsia" w:ascii="仿宋" w:hAnsi="仿宋" w:eastAsia="仿宋" w:cs="仿宋"/>
          <w:sz w:val="24"/>
        </w:rPr>
      </w:pPr>
      <w:bookmarkStart w:id="201" w:name="_Toc494296665"/>
      <w:bookmarkStart w:id="202" w:name="_Toc494296991"/>
      <w:r>
        <w:rPr>
          <w:rFonts w:hint="eastAsia" w:ascii="仿宋" w:hAnsi="仿宋" w:eastAsia="仿宋" w:cs="仿宋"/>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01"/>
      <w:bookmarkEnd w:id="202"/>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ind w:firstLine="5775" w:firstLineChars="2750"/>
        <w:rPr>
          <w:rFonts w:hint="eastAsia" w:ascii="仿宋" w:hAnsi="仿宋" w:eastAsia="仿宋" w:cs="仿宋"/>
        </w:rPr>
        <w:sectPr>
          <w:footerReference r:id="rId7" w:type="firs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98"/>
    <w:p>
      <w:pPr>
        <w:pStyle w:val="17"/>
        <w:tabs>
          <w:tab w:val="left" w:pos="5370"/>
        </w:tabs>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7"/>
        <w:spacing w:line="240" w:lineRule="atLeast"/>
        <w:ind w:left="1080" w:leftChars="257" w:hanging="540"/>
        <w:rPr>
          <w:rFonts w:hint="eastAsia" w:ascii="仿宋" w:hAnsi="仿宋" w:eastAsia="仿宋" w:cs="仿宋"/>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7"/>
        <w:spacing w:line="240" w:lineRule="atLeast"/>
        <w:ind w:left="1080" w:leftChars="257" w:hanging="540"/>
        <w:rPr>
          <w:rFonts w:hint="eastAsia" w:ascii="仿宋" w:hAnsi="仿宋" w:eastAsia="仿宋" w:cs="仿宋"/>
          <w:sz w:val="24"/>
        </w:rPr>
      </w:pP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7"/>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招标文件条款号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hint="eastAsia" w:ascii="仿宋" w:hAnsi="仿宋" w:eastAsia="仿宋" w:cs="仿宋"/>
          <w:sz w:val="24"/>
        </w:rPr>
      </w:pPr>
      <w:bookmarkStart w:id="203" w:name="_Toc216582818"/>
      <w:bookmarkStart w:id="204" w:name="_Toc8079"/>
      <w:bookmarkStart w:id="205" w:name="_Toc51892311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203"/>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204"/>
      <w:bookmarkEnd w:id="205"/>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7"/>
        <w:spacing w:line="240" w:lineRule="atLeast"/>
        <w:ind w:left="1080" w:leftChars="257" w:hanging="540"/>
        <w:rPr>
          <w:rFonts w:hint="eastAsia" w:ascii="仿宋" w:hAnsi="仿宋" w:eastAsia="仿宋" w:cs="仿宋"/>
          <w:sz w:val="24"/>
        </w:rPr>
      </w:pPr>
    </w:p>
    <w:tbl>
      <w:tblPr>
        <w:tblStyle w:val="4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招标文件条款号</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206" w:name="_Hlt520343000"/>
      <w:bookmarkEnd w:id="206"/>
      <w:bookmarkStart w:id="207" w:name="_Hlt520271212"/>
      <w:bookmarkEnd w:id="207"/>
      <w:bookmarkStart w:id="208" w:name="_Hlt520274393"/>
      <w:bookmarkEnd w:id="208"/>
      <w:bookmarkStart w:id="209" w:name="_Hlt520273973"/>
      <w:bookmarkEnd w:id="209"/>
      <w:bookmarkStart w:id="210" w:name="_Hlt520350957"/>
      <w:bookmarkEnd w:id="210"/>
      <w:bookmarkStart w:id="211" w:name="_Hlt520343392"/>
      <w:bookmarkEnd w:id="211"/>
      <w:bookmarkStart w:id="212" w:name="_Hlt520350918"/>
      <w:bookmarkEnd w:id="212"/>
      <w:bookmarkStart w:id="213" w:name="_Hlt520273711"/>
      <w:bookmarkEnd w:id="213"/>
      <w:bookmarkStart w:id="214" w:name="_Hlt520274911"/>
      <w:bookmarkEnd w:id="214"/>
      <w:bookmarkStart w:id="215" w:name="_Hlt520274407"/>
      <w:bookmarkEnd w:id="215"/>
      <w:bookmarkStart w:id="216" w:name="_Hlt520274065"/>
      <w:bookmarkEnd w:id="216"/>
      <w:r>
        <w:rPr>
          <w:rFonts w:hint="eastAsia" w:ascii="仿宋" w:hAnsi="仿宋" w:eastAsia="仿宋" w:cs="仿宋"/>
          <w:sz w:val="24"/>
        </w:rPr>
        <w:t xml:space="preserve">  </w:t>
      </w:r>
    </w:p>
    <w:p>
      <w:pPr>
        <w:bidi w:val="0"/>
        <w:rPr>
          <w:rFonts w:hint="eastAsia"/>
          <w:lang w:val="en-US" w:eastAsia="zh-CN"/>
        </w:rPr>
      </w:pPr>
      <w:bookmarkStart w:id="217" w:name="_Toc518923120"/>
      <w:bookmarkStart w:id="218" w:name="_Toc480"/>
    </w:p>
    <w:p>
      <w:pPr>
        <w:pStyle w:val="4"/>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rPr>
        <w:t>投标人企业（单位）类型声明函（投标文件格式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217"/>
      <w:bookmarkEnd w:id="218"/>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1、□本企业（单位）为直接投标人，提供本企业（单位）服务。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4"/>
        <w:spacing w:before="0" w:line="240" w:lineRule="atLeast"/>
        <w:ind w:firstLine="723" w:firstLineChars="300"/>
        <w:jc w:val="both"/>
        <w:rPr>
          <w:rFonts w:hint="eastAsia" w:ascii="仿宋" w:hAnsi="仿宋" w:eastAsia="仿宋" w:cs="仿宋"/>
          <w:b w:val="0"/>
          <w:sz w:val="24"/>
        </w:rPr>
      </w:pPr>
      <w:bookmarkStart w:id="219" w:name="_Toc14769"/>
      <w:bookmarkStart w:id="220" w:name="_Toc518923121"/>
      <w:r>
        <w:rPr>
          <w:rFonts w:hint="eastAsia" w:ascii="仿宋" w:hAnsi="仿宋" w:eastAsia="仿宋" w:cs="仿宋"/>
          <w:sz w:val="24"/>
          <w:lang w:val="en-US" w:eastAsia="zh-CN"/>
        </w:rPr>
        <w:t>5</w:t>
      </w:r>
      <w:r>
        <w:rPr>
          <w:rFonts w:hint="eastAsia" w:ascii="仿宋" w:hAnsi="仿宋" w:eastAsia="仿宋" w:cs="仿宋"/>
          <w:sz w:val="24"/>
        </w:rPr>
        <w:t>-2   制造商企业（单位）类型声明函（投标文件格式</w:t>
      </w:r>
      <w:r>
        <w:rPr>
          <w:rFonts w:hint="eastAsia" w:ascii="仿宋" w:hAnsi="仿宋" w:eastAsia="仿宋" w:cs="仿宋"/>
          <w:sz w:val="24"/>
          <w:lang w:val="en-US" w:eastAsia="zh-CN"/>
        </w:rPr>
        <w:t>八</w:t>
      </w:r>
      <w:r>
        <w:rPr>
          <w:rFonts w:hint="eastAsia" w:ascii="仿宋" w:hAnsi="仿宋" w:eastAsia="仿宋" w:cs="仿宋"/>
          <w:sz w:val="24"/>
        </w:rPr>
        <w:t>）</w:t>
      </w:r>
      <w:bookmarkEnd w:id="219"/>
      <w:bookmarkEnd w:id="220"/>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本单位为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本企业（单位）提供企业（单位）制造的货物。</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本声明函经制造商和投标人共同盖章生效。</w:t>
      </w: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3960" w:firstLineChars="1650"/>
        <w:jc w:val="left"/>
        <w:rPr>
          <w:rFonts w:hint="eastAsia" w:ascii="仿宋" w:hAnsi="仿宋" w:eastAsia="仿宋" w:cs="仿宋"/>
          <w:kern w:val="0"/>
          <w:sz w:val="24"/>
          <w:u w:val="single"/>
        </w:rPr>
      </w:pPr>
      <w:r>
        <w:rPr>
          <w:rFonts w:hint="eastAsia" w:ascii="仿宋" w:hAnsi="仿宋" w:eastAsia="仿宋" w:cs="仿宋"/>
          <w:kern w:val="0"/>
          <w:sz w:val="24"/>
        </w:rPr>
        <w:t>制造商名称（盖单位章）：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420"/>
        <w:jc w:val="left"/>
        <w:rPr>
          <w:rFonts w:hint="eastAsia" w:ascii="仿宋" w:hAnsi="仿宋" w:eastAsia="仿宋" w:cs="仿宋"/>
          <w:kern w:val="0"/>
          <w:szCs w:val="21"/>
        </w:rPr>
      </w:pPr>
    </w:p>
    <w:p>
      <w:pPr>
        <w:widowControl/>
        <w:spacing w:before="100" w:beforeAutospacing="1" w:after="100" w:afterAutospacing="1" w:line="330" w:lineRule="atLeast"/>
        <w:ind w:firstLine="630" w:firstLineChars="300"/>
        <w:jc w:val="left"/>
        <w:rPr>
          <w:rFonts w:hint="eastAsia" w:ascii="仿宋" w:hAnsi="仿宋" w:eastAsia="仿宋" w:cs="仿宋"/>
        </w:rPr>
      </w:pPr>
    </w:p>
    <w:p>
      <w:pPr>
        <w:widowControl/>
        <w:spacing w:before="100" w:beforeAutospacing="1" w:after="100" w:afterAutospacing="1" w:line="330" w:lineRule="atLeast"/>
        <w:jc w:val="left"/>
        <w:rPr>
          <w:rFonts w:hint="eastAsia" w:ascii="仿宋" w:hAnsi="仿宋" w:eastAsia="仿宋" w:cs="仿宋"/>
        </w:rPr>
      </w:pPr>
    </w:p>
    <w:p>
      <w:pPr>
        <w:pStyle w:val="17"/>
        <w:ind w:left="311" w:leftChars="148" w:firstLine="228"/>
        <w:rPr>
          <w:rFonts w:hint="eastAsia" w:ascii="仿宋" w:hAnsi="仿宋" w:eastAsia="仿宋" w:cs="仿宋"/>
          <w:b/>
          <w:bCs/>
          <w:kern w:val="0"/>
          <w:sz w:val="24"/>
          <w:szCs w:val="20"/>
          <w:lang w:val="en-US" w:eastAsia="zh-CN" w:bidi="ar-SA"/>
        </w:rPr>
      </w:pPr>
      <w:bookmarkStart w:id="221" w:name="_Toc27742"/>
      <w:bookmarkStart w:id="222" w:name="_Toc23068"/>
      <w:bookmarkStart w:id="223" w:name="_Toc19284"/>
      <w:bookmarkStart w:id="224" w:name="_Toc515647825"/>
      <w:bookmarkStart w:id="225" w:name="OLE_LINK14"/>
      <w:bookmarkStart w:id="226" w:name="OLE_LINK13"/>
      <w:bookmarkStart w:id="227" w:name="_Toc6238"/>
      <w:bookmarkStart w:id="228" w:name="_Toc518923122"/>
    </w:p>
    <w:p>
      <w:pPr>
        <w:pStyle w:val="17"/>
        <w:ind w:left="311" w:leftChars="148" w:firstLine="228"/>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5-3   残疾人福利性单位声明函</w:t>
      </w:r>
      <w:bookmarkEnd w:id="221"/>
      <w:bookmarkEnd w:id="222"/>
      <w:bookmarkEnd w:id="223"/>
      <w:bookmarkEnd w:id="224"/>
      <w:r>
        <w:rPr>
          <w:rFonts w:hint="eastAsia" w:ascii="仿宋" w:hAnsi="仿宋" w:eastAsia="仿宋" w:cs="仿宋"/>
          <w:b/>
          <w:bCs/>
          <w:kern w:val="0"/>
          <w:sz w:val="24"/>
          <w:szCs w:val="20"/>
          <w:lang w:val="en-US" w:eastAsia="zh-CN" w:bidi="ar-SA"/>
        </w:rPr>
        <w:t>（投标文件格式九）</w:t>
      </w:r>
    </w:p>
    <w:p>
      <w:pPr>
        <w:bidi w:val="0"/>
      </w:pPr>
    </w:p>
    <w:bookmarkEnd w:id="225"/>
    <w:bookmarkEnd w:id="22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期：_____________________________________________</w:t>
      </w:r>
    </w:p>
    <w:p>
      <w:pPr>
        <w:pStyle w:val="14"/>
        <w:ind w:firstLine="964" w:firstLineChars="400"/>
        <w:rPr>
          <w:rFonts w:hint="eastAsia" w:ascii="仿宋" w:hAnsi="仿宋" w:eastAsia="仿宋" w:cs="仿宋"/>
          <w:b/>
          <w:bCs/>
          <w:lang w:val="en-US" w:eastAsia="zh-CN"/>
        </w:rPr>
      </w:pPr>
    </w:p>
    <w:p>
      <w:pPr>
        <w:pStyle w:val="14"/>
        <w:ind w:firstLine="964" w:firstLineChars="400"/>
        <w:rPr>
          <w:rFonts w:hint="eastAsia" w:ascii="仿宋" w:hAnsi="仿宋" w:eastAsia="仿宋" w:cs="仿宋"/>
          <w:b/>
          <w:bCs/>
          <w:lang w:val="en-US" w:eastAsia="zh-CN"/>
        </w:rPr>
      </w:pPr>
    </w:p>
    <w:p>
      <w:pPr>
        <w:pStyle w:val="14"/>
        <w:ind w:firstLine="723" w:firstLineChars="300"/>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 xml:space="preserve">   投标人关联单位的说明</w:t>
      </w:r>
      <w:bookmarkEnd w:id="227"/>
      <w:bookmarkEnd w:id="228"/>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pPr>
        <w:pStyle w:val="14"/>
        <w:ind w:firstLine="480" w:firstLineChars="200"/>
        <w:rPr>
          <w:rFonts w:hint="eastAsia" w:ascii="仿宋" w:hAnsi="仿宋" w:eastAsia="仿宋" w:cs="仿宋"/>
        </w:rPr>
      </w:pPr>
      <w:r>
        <w:rPr>
          <w:rFonts w:hint="eastAsia" w:ascii="仿宋" w:hAnsi="仿宋" w:eastAsia="仿宋" w:cs="仿宋"/>
        </w:rPr>
        <w:t>（1）与投标人单位负责人为同一人的其他单位；</w:t>
      </w:r>
      <w:r>
        <w:rPr>
          <w:rFonts w:hint="eastAsia" w:ascii="仿宋" w:hAnsi="仿宋" w:eastAsia="仿宋" w:cs="仿宋"/>
        </w:rPr>
        <w:br w:type="textWrapping"/>
      </w:r>
      <w:r>
        <w:rPr>
          <w:rFonts w:hint="eastAsia" w:ascii="仿宋" w:hAnsi="仿宋" w:eastAsia="仿宋" w:cs="仿宋"/>
        </w:rPr>
        <w:t xml:space="preserve">    （2）与投标人存在直接控股、管理关系的其他单位。</w:t>
      </w:r>
    </w:p>
    <w:p>
      <w:pPr>
        <w:pStyle w:val="14"/>
        <w:jc w:val="center"/>
        <w:rPr>
          <w:rFonts w:hint="eastAsia" w:ascii="仿宋" w:hAnsi="仿宋" w:eastAsia="仿宋" w:cs="仿宋"/>
        </w:rPr>
      </w:pPr>
    </w:p>
    <w:p>
      <w:pPr>
        <w:pStyle w:val="14"/>
        <w:ind w:firstLine="723" w:firstLineChars="300"/>
        <w:rPr>
          <w:rFonts w:hint="eastAsia" w:ascii="仿宋" w:hAnsi="仿宋" w:eastAsia="仿宋" w:cs="仿宋"/>
          <w:b/>
          <w:bCs/>
          <w:lang w:eastAsia="zh-CN"/>
        </w:rPr>
      </w:pPr>
      <w:bookmarkStart w:id="229" w:name="_Toc17066"/>
      <w:bookmarkStart w:id="230" w:name="_Toc518923123"/>
      <w:r>
        <w:rPr>
          <w:rFonts w:hint="eastAsia" w:ascii="仿宋" w:hAnsi="仿宋" w:eastAsia="仿宋" w:cs="仿宋"/>
          <w:b/>
          <w:bCs/>
          <w:lang w:val="en-US" w:eastAsia="zh-CN"/>
        </w:rPr>
        <w:t>7</w:t>
      </w:r>
      <w:r>
        <w:rPr>
          <w:rFonts w:hint="eastAsia" w:ascii="仿宋" w:hAnsi="仿宋" w:eastAsia="仿宋" w:cs="仿宋"/>
          <w:b/>
          <w:bCs/>
        </w:rPr>
        <w:t xml:space="preserve">   投标文件还应包括投标人须知第10条的所有</w:t>
      </w:r>
      <w:bookmarkEnd w:id="229"/>
      <w:bookmarkEnd w:id="230"/>
      <w:r>
        <w:rPr>
          <w:rFonts w:hint="eastAsia" w:ascii="仿宋" w:hAnsi="仿宋" w:eastAsia="仿宋" w:cs="仿宋"/>
          <w:b/>
          <w:bCs/>
          <w:lang w:eastAsia="zh-CN"/>
        </w:rPr>
        <w:t>投标文件</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第四部分 技术投标方案</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231" w:name="_Toc375218897"/>
      <w:r>
        <w:rPr>
          <w:rFonts w:hint="eastAsia" w:ascii="仿宋" w:hAnsi="仿宋" w:eastAsia="仿宋" w:cs="仿宋"/>
          <w:color w:val="auto"/>
          <w:sz w:val="24"/>
          <w:highlight w:val="none"/>
          <w:lang w:val="zh-CN"/>
        </w:rPr>
        <w:t>投标人应根据招标文件的要求，参照项目的具体情况及评分标准</w:t>
      </w:r>
      <w:bookmarkStart w:id="232"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编制技术投标方案</w:t>
      </w:r>
      <w:r>
        <w:rPr>
          <w:rFonts w:hint="eastAsia" w:ascii="仿宋" w:hAnsi="仿宋" w:eastAsia="仿宋" w:cs="仿宋"/>
          <w:color w:val="auto"/>
          <w:sz w:val="24"/>
          <w:highlight w:val="none"/>
          <w:lang w:val="zh-CN"/>
        </w:rPr>
        <w:t>。</w:t>
      </w:r>
      <w:bookmarkEnd w:id="231"/>
      <w:bookmarkEnd w:id="232"/>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标项一、二：技术投标方案</w:t>
      </w:r>
      <w:r>
        <w:rPr>
          <w:rFonts w:hint="eastAsia" w:ascii="仿宋" w:hAnsi="仿宋" w:eastAsia="仿宋" w:cs="仿宋"/>
          <w:color w:val="auto"/>
          <w:sz w:val="24"/>
          <w:highlight w:val="none"/>
          <w:lang w:val="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投入本项目的主要设备和仪器等方面进行评审</w:t>
      </w:r>
      <w:r>
        <w:rPr>
          <w:rFonts w:hint="eastAsia" w:ascii="仿宋" w:hAnsi="仿宋" w:eastAsia="仿宋" w:cs="仿宋"/>
          <w:color w:val="auto"/>
          <w:sz w:val="24"/>
          <w:highlight w:val="none"/>
          <w:lang w:val="zh-CN"/>
        </w:rPr>
        <w:t>。</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标项三、四：技术投标方案将从与招标文件的响应性，</w:t>
      </w:r>
      <w:r>
        <w:rPr>
          <w:rFonts w:hint="eastAsia" w:ascii="仿宋" w:hAnsi="仿宋" w:eastAsia="仿宋" w:cs="仿宋"/>
          <w:color w:val="auto"/>
          <w:sz w:val="24"/>
          <w:highlight w:val="none"/>
          <w:lang w:val="zh-CN" w:eastAsia="zh-CN"/>
        </w:rPr>
        <w:t>将从与招标文件的响应性，编制依据、目标任务，技术方案，供应设备的技术条款、技术参数、技术指标、设备质保及其他指标，基础施工、设备安装及设备管理，设备安装，绩效目标，预期成果，组织管理机构、主要技术人员配备，设备配置应齐备，工程实施计划、培训计划、售后服务计划 ，质量、进度、安全的保障体系，服务承诺等</w:t>
      </w:r>
      <w:r>
        <w:rPr>
          <w:rFonts w:hint="eastAsia" w:ascii="仿宋" w:hAnsi="仿宋" w:eastAsia="仿宋" w:cs="仿宋"/>
          <w:color w:val="auto"/>
          <w:sz w:val="24"/>
          <w:highlight w:val="none"/>
          <w:lang w:val="en-US" w:eastAsia="zh-CN"/>
        </w:rPr>
        <w:t>方面进行评审。</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标项五、六、七：技术投标方案将从与招标文件的响应性，</w:t>
      </w:r>
      <w:r>
        <w:rPr>
          <w:rFonts w:hint="eastAsia" w:ascii="仿宋" w:hAnsi="仿宋" w:eastAsia="仿宋" w:cs="仿宋"/>
          <w:color w:val="auto"/>
          <w:sz w:val="24"/>
          <w:highlight w:val="none"/>
          <w:lang w:val="zh-CN" w:eastAsia="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投入本项目的主要设备和仪器等方面评审。</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标项八：</w:t>
      </w:r>
      <w:r>
        <w:rPr>
          <w:rFonts w:hint="eastAsia" w:ascii="仿宋" w:hAnsi="仿宋" w:eastAsia="仿宋" w:cs="仿宋"/>
          <w:color w:val="auto"/>
          <w:sz w:val="24"/>
          <w:highlight w:val="none"/>
          <w:lang w:val="zh-CN" w:eastAsia="zh-CN"/>
        </w:rPr>
        <w:t>技术投标方案将将从与招标文件的响应性，监理工作范围、内容、目标及依据，监理机构和组织形式，监理工作程序的合理性，技术要求的可行性，监理工作方法、措施和制度，工程质量控制方法及措施，预期成果等方面进行评审。</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bidi w:val="0"/>
        <w:rPr>
          <w:rFonts w:hint="default"/>
          <w:lang w:val="en-US" w:eastAsia="zh-CN"/>
        </w:rPr>
      </w:pPr>
    </w:p>
    <w:p>
      <w:pPr>
        <w:pStyle w:val="14"/>
        <w:ind w:firstLine="723" w:firstLineChars="300"/>
        <w:rPr>
          <w:rFonts w:hint="eastAsia" w:ascii="仿宋" w:hAnsi="仿宋" w:eastAsia="仿宋" w:cs="仿宋"/>
          <w:b/>
          <w:bCs/>
          <w:lang w:eastAsia="zh-CN"/>
        </w:rPr>
      </w:pPr>
    </w:p>
    <w:p>
      <w:pPr>
        <w:bidi w:val="0"/>
        <w:rPr>
          <w:rFonts w:hint="eastAsia"/>
        </w:rPr>
      </w:pPr>
      <w:r>
        <w:rPr>
          <w:rFonts w:hint="eastAsia"/>
        </w:rPr>
        <w:br w:type="page"/>
      </w: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33" w:name="_Toc216582822"/>
      <w:bookmarkStart w:id="234" w:name="_Toc218935350"/>
      <w:bookmarkStart w:id="235" w:name="_Toc518923124"/>
      <w:bookmarkStart w:id="236" w:name="_Toc9913"/>
      <w:bookmarkStart w:id="237" w:name="_Toc219175634"/>
      <w:bookmarkStart w:id="238" w:name="_Toc507399902"/>
      <w:r>
        <w:rPr>
          <w:rFonts w:hint="eastAsia" w:ascii="仿宋" w:hAnsi="仿宋" w:eastAsia="仿宋" w:cs="仿宋"/>
          <w:b/>
          <w:kern w:val="44"/>
          <w:sz w:val="32"/>
          <w:szCs w:val="20"/>
          <w:lang w:val="en-US" w:eastAsia="zh-CN" w:bidi="ar-SA"/>
        </w:rPr>
        <w:t xml:space="preserve">第3章  </w:t>
      </w:r>
      <w:bookmarkEnd w:id="233"/>
      <w:bookmarkEnd w:id="234"/>
      <w:bookmarkEnd w:id="235"/>
      <w:bookmarkEnd w:id="236"/>
      <w:bookmarkEnd w:id="237"/>
      <w:bookmarkEnd w:id="238"/>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14"/>
        <w:ind w:firstLine="480" w:firstLineChars="200"/>
        <w:rPr>
          <w:rFonts w:hint="eastAsia" w:ascii="仿宋" w:hAnsi="仿宋" w:eastAsia="仿宋" w:cs="仿宋"/>
          <w:lang w:val="en-US" w:eastAsia="zh-CN"/>
        </w:rPr>
      </w:pPr>
      <w:bookmarkStart w:id="239" w:name="_Toc512937850"/>
      <w:r>
        <w:rPr>
          <w:rFonts w:hint="eastAsia" w:ascii="仿宋" w:hAnsi="仿宋" w:eastAsia="仿宋" w:cs="仿宋"/>
          <w:lang w:val="en-US" w:eastAsia="zh-CN"/>
        </w:rPr>
        <w:t>项目概况</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8" w:type="dxa"/>
            <w:noWrap w:val="0"/>
            <w:vAlign w:val="top"/>
          </w:tcPr>
          <w:p>
            <w:pPr>
              <w:pStyle w:val="14"/>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伊犁州2022年自然灾害防治体系建设项目招标项目的潜在投标人应在乌鲁木齐市新市区阜新街1号2号楼3楼获取招标文件，并于2022年2月22日10:30（北京时间）前递交投标文件。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项目编号：YLZ-DZFZ2022-01至08</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项目名称：伊犁州2022年自然灾害防治体系建设项目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预算金额（元）：29100000.00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最高限价（元）：29100000.00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采购需求：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标项一：YLZ-DZFZ2022-01；新疆巩留县地质灾害风险调查评价项目；预算金额：80万元；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标项二：YLZ-DZFZ2022-02；新疆新源县地质灾害风险调查评价项目；预算金额：80万元；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标项三：YLZ-DZFZ2022-03；新疆伊犁哈萨克自治州群专结合监测预警点建设项目（2022年度）（第一标段）；预算金额：580.78万元；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标项四：YLZ-DZFZ2022-04；新疆伊犁哈萨克自治州群专结合监测预警点建设项目（2022年度）（第二标段）；预算金额：775.40万元；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标项五：YLZ-DZFZ2022-05；新疆尼勒克县喀拉托别乡哈拉哈达沟泥石流防治工程项目；预算金额：435.00万元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标项六：YLZ-DZFZ2022-06；新疆霍尔果斯市莫乎尔牧场牧业村甲朗阿西沟泥石流防治工程项目；预算金额：386.50万元。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标项七：YLZ-DZFZ2022-07；新疆昭苏县萨尔阔布乡木孜德萨依沟滑坡防治工程项目；预算金额：483.50万元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标项八：YLZ-DZFZ2022-08；伊犁州2022年自然灾害防治体系建设项目监理；预算金额：88.82万元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合同履行期限：详见招标文件。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3、法人本人投标的提供法人身份证明及身份证，被授权委托人需提供法人授权委托书及身份证原件；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投标单位投标标项一、二提供地质灾害治理工程勘查乙级（含乙级）以上资质；标项三、四提供地质灾害治理工程勘查乙级及以上资质证书；标项五、六、七提供地质灾害治理工程设计和施工乙级（含乙级）以上资质证书；标项八提供地质灾害防治工程监理乙级（含乙级）以上资质证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9、联合体协议书（格式自拟）。</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三、获取招标文件</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时间：2022年1月24日至2022年1月28日，每天上午10:30至13:30，下午15:30至19:00（北京时间，法定节假日除外）.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地点：乌鲁木齐市新市区阜新街1号2号楼3楼</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售价（元）：500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提交投标文件截止时间：2022年2月23日 10:30（北京时间）</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开标时间：2022年2月23日 10:30（北京时间）</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自本公告发布之日起3个工作日。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名称：伊犁哈萨克自治州自然资源局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w:t>
      </w:r>
      <w:r>
        <w:rPr>
          <w:rFonts w:hint="eastAsia" w:ascii="仿宋" w:hAnsi="仿宋" w:eastAsia="仿宋" w:cs="宋体"/>
          <w:color w:val="auto"/>
          <w:sz w:val="24"/>
          <w:szCs w:val="24"/>
        </w:rPr>
        <w:t>新疆伊宁市阿合买提江街五巷105号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联系人：</w:t>
      </w:r>
      <w:bookmarkStart w:id="240" w:name="_Toc28359086"/>
      <w:bookmarkStart w:id="241" w:name="_Toc28359009"/>
      <w:r>
        <w:rPr>
          <w:rFonts w:hint="eastAsia" w:ascii="仿宋" w:hAnsi="仿宋" w:eastAsia="仿宋" w:cs="Times New Roman"/>
          <w:kern w:val="2"/>
          <w:sz w:val="24"/>
          <w:szCs w:val="24"/>
          <w:lang w:val="en-US" w:eastAsia="zh-CN" w:bidi="ar-SA"/>
        </w:rPr>
        <w:t xml:space="preserve">付平      联系电话：15276397888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42" w:name="_Toc472"/>
      <w:r>
        <w:rPr>
          <w:rFonts w:hint="eastAsia" w:ascii="仿宋" w:hAnsi="仿宋" w:eastAsia="仿宋" w:cs="Times New Roman"/>
          <w:kern w:val="2"/>
          <w:sz w:val="24"/>
          <w:szCs w:val="24"/>
          <w:lang w:val="en-US" w:eastAsia="zh-CN" w:bidi="ar-SA"/>
        </w:rPr>
        <w:t>2.采购代理机构信息</w:t>
      </w:r>
      <w:bookmarkEnd w:id="240"/>
      <w:bookmarkEnd w:id="241"/>
      <w:bookmarkEnd w:id="242"/>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联系方式：</w:t>
      </w:r>
      <w:bookmarkStart w:id="243" w:name="_Toc28359010"/>
      <w:bookmarkStart w:id="244" w:name="_Toc28359087"/>
      <w:r>
        <w:rPr>
          <w:rFonts w:hint="eastAsia" w:ascii="仿宋" w:hAnsi="仿宋" w:eastAsia="仿宋" w:cs="Times New Roman"/>
          <w:kern w:val="2"/>
          <w:sz w:val="24"/>
          <w:szCs w:val="24"/>
          <w:lang w:val="en-US" w:eastAsia="zh-CN" w:bidi="ar-SA"/>
        </w:rPr>
        <w:t>王选问  0991-4846078   13579890451　</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bookmarkStart w:id="245" w:name="_Toc15500"/>
      <w:r>
        <w:rPr>
          <w:rFonts w:hint="eastAsia" w:ascii="仿宋" w:hAnsi="仿宋" w:eastAsia="仿宋" w:cs="Times New Roman"/>
          <w:kern w:val="2"/>
          <w:sz w:val="24"/>
          <w:szCs w:val="24"/>
          <w:lang w:val="en-US" w:eastAsia="zh-CN" w:bidi="ar-SA"/>
        </w:rPr>
        <w:t>3.</w:t>
      </w:r>
      <w:bookmarkEnd w:id="243"/>
      <w:bookmarkEnd w:id="244"/>
      <w:bookmarkEnd w:id="245"/>
      <w:r>
        <w:rPr>
          <w:rFonts w:hint="eastAsia" w:ascii="仿宋" w:hAnsi="仿宋" w:eastAsia="仿宋" w:cs="Times New Roman"/>
          <w:kern w:val="2"/>
          <w:sz w:val="24"/>
          <w:szCs w:val="24"/>
          <w:lang w:val="en-US" w:eastAsia="zh-CN" w:bidi="ar-SA"/>
        </w:rPr>
        <w:t>监管单位信息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名称：伊犁哈萨克自治州财政局采购办</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电话：0999-8075070</w:t>
      </w:r>
    </w:p>
    <w:p>
      <w:pPr>
        <w:spacing w:line="240" w:lineRule="auto"/>
        <w:rPr>
          <w:rFonts w:hint="eastAsia" w:ascii="仿宋" w:hAnsi="仿宋" w:eastAsia="仿宋" w:cs="仿宋"/>
        </w:rPr>
      </w:pPr>
    </w:p>
    <w:p>
      <w:pPr>
        <w:pStyle w:val="3"/>
        <w:tabs>
          <w:tab w:val="left" w:pos="0"/>
        </w:tabs>
        <w:spacing w:before="0" w:after="0" w:line="240" w:lineRule="atLeast"/>
        <w:jc w:val="center"/>
        <w:rPr>
          <w:rFonts w:hint="eastAsia" w:ascii="仿宋" w:hAnsi="仿宋" w:eastAsia="仿宋" w:cs="仿宋"/>
          <w:b w:val="0"/>
          <w:szCs w:val="32"/>
        </w:rPr>
      </w:pPr>
      <w:r>
        <w:rPr>
          <w:rFonts w:hint="eastAsia" w:ascii="仿宋" w:hAnsi="仿宋" w:eastAsia="仿宋" w:cs="仿宋"/>
          <w:sz w:val="24"/>
        </w:rPr>
        <w:br w:type="page"/>
      </w:r>
      <w:bookmarkStart w:id="246" w:name="_Toc28647"/>
      <w:bookmarkStart w:id="247" w:name="_Toc216582823"/>
      <w:bookmarkStart w:id="248" w:name="_Toc518923125"/>
      <w:bookmarkStart w:id="249" w:name="_Toc507399903"/>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rPr>
        <w:t>投标人须知资料表</w:t>
      </w:r>
      <w:bookmarkEnd w:id="246"/>
      <w:bookmarkEnd w:id="247"/>
      <w:bookmarkEnd w:id="248"/>
      <w:bookmarkEnd w:id="249"/>
    </w:p>
    <w:bookmarkEnd w:id="239"/>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4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u w:val="single"/>
                <w:lang w:eastAsia="zh-CN"/>
              </w:rPr>
              <w:t>伊犁哈萨克自治州自然资源局</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u w:val="single"/>
                <w:lang w:val="en-US" w:eastAsia="zh-CN"/>
              </w:rPr>
              <w:t>付平</w:t>
            </w:r>
            <w:r>
              <w:rPr>
                <w:rFonts w:hint="eastAsia" w:ascii="仿宋" w:hAnsi="仿宋" w:eastAsia="仿宋" w:cs="仿宋"/>
                <w:sz w:val="24"/>
                <w:lang w:val="en-US" w:eastAsia="zh-CN"/>
              </w:rPr>
              <w:t xml:space="preserve">     </w:t>
            </w:r>
          </w:p>
          <w:p>
            <w:pPr>
              <w:spacing w:line="240" w:lineRule="atLeast"/>
              <w:rPr>
                <w:rFonts w:hint="eastAsia" w:ascii="仿宋" w:hAnsi="仿宋" w:eastAsia="仿宋" w:cs="仿宋"/>
                <w:sz w:val="24"/>
              </w:rPr>
            </w:pPr>
            <w:r>
              <w:rPr>
                <w:rFonts w:hint="eastAsia" w:ascii="仿宋" w:hAnsi="仿宋" w:eastAsia="仿宋" w:cs="仿宋"/>
                <w:sz w:val="24"/>
                <w:lang w:val="en-US" w:eastAsia="zh-CN"/>
              </w:rPr>
              <w:t>联系电话：</w:t>
            </w:r>
            <w:r>
              <w:rPr>
                <w:rFonts w:hint="eastAsia" w:ascii="仿宋" w:hAnsi="仿宋" w:eastAsia="仿宋" w:cs="仿宋"/>
                <w:sz w:val="24"/>
                <w:u w:val="single"/>
                <w:lang w:val="en-US" w:eastAsia="zh-CN"/>
              </w:rPr>
              <w:t>15276397888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新疆国源土地矿产资源交易中心（有限公司）</w:t>
            </w:r>
          </w:p>
          <w:p>
            <w:pPr>
              <w:spacing w:line="240" w:lineRule="atLeast"/>
              <w:rPr>
                <w:rFonts w:hint="eastAsia" w:ascii="仿宋" w:hAnsi="仿宋" w:eastAsia="仿宋" w:cs="仿宋"/>
                <w:sz w:val="24"/>
                <w:u w:val="single"/>
                <w:lang w:eastAsia="zh-CN"/>
              </w:rPr>
            </w:pPr>
            <w:r>
              <w:rPr>
                <w:rFonts w:hint="eastAsia" w:ascii="仿宋" w:hAnsi="仿宋" w:eastAsia="仿宋" w:cs="仿宋"/>
                <w:sz w:val="24"/>
              </w:rPr>
              <w:t>地址：</w:t>
            </w:r>
            <w:r>
              <w:rPr>
                <w:rFonts w:hint="eastAsia" w:ascii="仿宋" w:hAnsi="仿宋" w:eastAsia="仿宋" w:cs="仿宋"/>
                <w:sz w:val="24"/>
                <w:u w:val="single"/>
                <w:lang w:eastAsia="zh-CN"/>
              </w:rPr>
              <w:t>乌鲁木齐市新市区阜新街1号2号楼</w:t>
            </w:r>
          </w:p>
          <w:p>
            <w:pPr>
              <w:spacing w:line="240" w:lineRule="atLeast"/>
              <w:rPr>
                <w:rFonts w:hint="eastAsia" w:ascii="仿宋" w:hAnsi="仿宋" w:eastAsia="仿宋" w:cs="仿宋"/>
                <w:sz w:val="24"/>
              </w:rPr>
            </w:pPr>
            <w:r>
              <w:rPr>
                <w:rFonts w:hint="eastAsia" w:ascii="仿宋" w:hAnsi="仿宋" w:eastAsia="仿宋" w:cs="仿宋"/>
                <w:sz w:val="24"/>
              </w:rPr>
              <w:t>业务联系人：</w:t>
            </w:r>
            <w:r>
              <w:rPr>
                <w:rFonts w:hint="eastAsia" w:ascii="仿宋" w:hAnsi="仿宋" w:eastAsia="仿宋" w:cs="仿宋"/>
                <w:sz w:val="24"/>
                <w:u w:val="single"/>
              </w:rPr>
              <w:t>　</w:t>
            </w:r>
            <w:r>
              <w:rPr>
                <w:rFonts w:hint="eastAsia" w:ascii="仿宋" w:hAnsi="仿宋" w:eastAsia="仿宋" w:cs="仿宋"/>
                <w:sz w:val="24"/>
                <w:u w:val="single"/>
                <w:lang w:val="en-US" w:eastAsia="zh-CN"/>
              </w:rPr>
              <w:t>王选问</w:t>
            </w:r>
            <w:r>
              <w:rPr>
                <w:rFonts w:hint="eastAsia" w:ascii="仿宋" w:hAnsi="仿宋" w:eastAsia="仿宋" w:cs="仿宋"/>
                <w:sz w:val="24"/>
                <w:u w:val="single"/>
              </w:rPr>
              <w:t>　</w:t>
            </w:r>
            <w:r>
              <w:rPr>
                <w:rFonts w:hint="eastAsia" w:ascii="仿宋" w:hAnsi="仿宋" w:eastAsia="仿宋" w:cs="仿宋"/>
                <w:sz w:val="24"/>
              </w:rPr>
              <w:t xml:space="preserve">  电话：</w:t>
            </w:r>
            <w:r>
              <w:rPr>
                <w:rFonts w:hint="eastAsia" w:ascii="仿宋" w:hAnsi="仿宋" w:eastAsia="仿宋" w:cs="Times New Roman"/>
                <w:kern w:val="2"/>
                <w:sz w:val="24"/>
                <w:szCs w:val="24"/>
                <w:u w:val="single"/>
                <w:lang w:val="en-US" w:eastAsia="zh-CN" w:bidi="ar-SA"/>
              </w:rPr>
              <w:t>13579890451</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合格投标人的其他资格要求：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3、法人本人投标的提供法人身份证明及身份证，被授权委托人需提供法人授权委托书及身份证原件；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4、投标单位投标标项一、二提供地质灾害治理工程勘查乙级（含乙级）以上资质；标项三、四提供地质灾害治理工程勘查乙级及以上资质证书；标项五、六、七包提供地质灾害治理工程设计和施工乙级（含乙级）以上资质证书；标项八提供地质灾害防治工程监理乙级（含乙级）以上资质证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5、提供依法缴纳社会保障资金的良好记录；（需提供近期3个月社保部门出具的投标单位的缴纳社保证明)；</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6、提供税务部门出具近3个月依法缴纳税收的完税证明原件（依法免缴的，应提供依法免缴的相关证明文件）；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7、提供针对本次项目的反商业贿赂承诺书；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8、参加政府采购活动前三年内，在经营活动中没有重大违法记录承诺书；</w:t>
            </w:r>
          </w:p>
          <w:p>
            <w:pPr>
              <w:spacing w:line="240" w:lineRule="atLeast"/>
              <w:rPr>
                <w:rFonts w:hint="default"/>
                <w:lang w:val="en-US"/>
              </w:rPr>
            </w:pPr>
            <w:r>
              <w:rPr>
                <w:rFonts w:hint="eastAsia" w:ascii="仿宋" w:hAnsi="仿宋" w:eastAsia="仿宋" w:cs="仿宋"/>
                <w:lang w:val="en-US" w:eastAsia="zh-CN"/>
              </w:rPr>
              <w:t>9、投标保证金打款凭证及银行开户许可证加盖鲜章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否</w:t>
            </w:r>
            <w:r>
              <w:rPr>
                <w:rFonts w:hint="eastAsia" w:ascii="仿宋" w:hAnsi="仿宋" w:eastAsia="仿宋" w:cs="仿宋"/>
                <w:sz w:val="24"/>
                <w:u w:val="single"/>
                <w:lang w:val="en-US" w:eastAsia="zh-CN"/>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是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1.联合体投标的，应签订联合体投标协议书，确定联合牵头人并确定各方的权利和义务；项目牵头投标单位为专业地质类单位；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项目总预算金额：2910万元；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标项二：预算金额：80万元；最高限价：80万元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标项三：预算金额：580.78万元；最高限价：580.78万元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标项四：预算金额：775.40万元；最高限价：775.40万元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标项五：预算金额：435.00万元；最高限价：435.00万元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标项六：预算金额：386.50万元；最高限价：386.50万元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标项七：预算金额：483.50万元；最高限价：483.50万元</w:t>
            </w:r>
          </w:p>
          <w:p>
            <w:pPr>
              <w:spacing w:line="240" w:lineRule="atLeast"/>
              <w:rPr>
                <w:rFonts w:hint="default"/>
                <w:lang w:val="en-US"/>
              </w:rPr>
            </w:pPr>
            <w:r>
              <w:rPr>
                <w:rFonts w:hint="eastAsia" w:ascii="仿宋" w:hAnsi="仿宋" w:eastAsia="仿宋" w:cs="仿宋"/>
                <w:lang w:val="en-US" w:eastAsia="zh-CN"/>
              </w:rPr>
              <w:t>标项八：预算金额：88.82万元；最高限价：88.82万元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14"/>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sz w:val="24"/>
                <w:highlight w:val="none"/>
                <w:u w:val="none"/>
                <w:lang w:eastAsia="zh-CN"/>
              </w:rPr>
              <w:t>☑对公转账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保函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电汇</w:t>
            </w:r>
          </w:p>
          <w:p>
            <w:pPr>
              <w:rPr>
                <w:rFonts w:hint="default" w:ascii="仿宋" w:hAnsi="仿宋" w:eastAsia="仿宋" w:cs="仿宋"/>
                <w:b/>
                <w:bCs/>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标项一：1.5万元；标项二：1.5万元；标项三：10.0万元；标项四：15.0万元；标项五：8.0万元；标项六：7.0万元；标项七：9.0万元；标项八：1.5万元。</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开标</w:t>
            </w:r>
            <w:r>
              <w:rPr>
                <w:rFonts w:hint="eastAsia" w:ascii="仿宋" w:hAnsi="仿宋" w:eastAsia="仿宋" w:cs="仿宋"/>
                <w:b/>
                <w:bCs/>
                <w:sz w:val="24"/>
              </w:rPr>
              <w:t>一览表及资格证明文件”</w:t>
            </w:r>
            <w:r>
              <w:rPr>
                <w:rFonts w:hint="eastAsia" w:ascii="仿宋" w:hAnsi="仿宋" w:eastAsia="仿宋" w:cs="仿宋"/>
                <w:b/>
                <w:bCs/>
                <w:sz w:val="24"/>
                <w:lang w:eastAsia="zh-CN"/>
              </w:rPr>
              <w:t>、</w:t>
            </w:r>
            <w:r>
              <w:rPr>
                <w:rFonts w:hint="eastAsia" w:ascii="仿宋" w:hAnsi="仿宋" w:eastAsia="仿宋" w:cs="仿宋"/>
                <w:b/>
                <w:bCs/>
                <w:sz w:val="24"/>
              </w:rPr>
              <w:t>“商务</w:t>
            </w:r>
            <w:r>
              <w:rPr>
                <w:rFonts w:hint="eastAsia" w:ascii="仿宋" w:hAnsi="仿宋" w:eastAsia="仿宋" w:cs="仿宋"/>
                <w:b/>
                <w:bCs/>
                <w:sz w:val="24"/>
                <w:lang w:val="en-US" w:eastAsia="zh-CN"/>
              </w:rPr>
              <w:t>投标文件</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“技术投标方案”</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分别胶装</w:t>
            </w:r>
            <w:r>
              <w:rPr>
                <w:rFonts w:hint="eastAsia" w:ascii="仿宋" w:hAnsi="仿宋" w:eastAsia="仿宋" w:cs="仿宋"/>
                <w:b/>
                <w:bCs/>
                <w:sz w:val="24"/>
              </w:rPr>
              <w:t>成册密封递交。</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招标</w:t>
            </w:r>
            <w:r>
              <w:rPr>
                <w:rFonts w:hint="eastAsia" w:ascii="仿宋" w:hAnsi="仿宋" w:eastAsia="仿宋" w:cs="仿宋"/>
                <w:b/>
                <w:bCs/>
                <w:sz w:val="24"/>
              </w:rPr>
              <w:t>文件：正本：壹份、副本：</w:t>
            </w:r>
            <w:r>
              <w:rPr>
                <w:rFonts w:hint="eastAsia" w:ascii="仿宋" w:hAnsi="仿宋" w:eastAsia="仿宋" w:cs="仿宋"/>
                <w:b/>
                <w:bCs/>
                <w:sz w:val="24"/>
                <w:lang w:val="en-US" w:eastAsia="zh-CN"/>
              </w:rPr>
              <w:t>陆</w:t>
            </w:r>
            <w:r>
              <w:rPr>
                <w:rFonts w:hint="eastAsia" w:ascii="仿宋" w:hAnsi="仿宋" w:eastAsia="仿宋" w:cs="仿宋"/>
                <w:b/>
                <w:bCs/>
                <w:sz w:val="24"/>
              </w:rPr>
              <w:t>份；（正、副本分别单独密封提交，密封袋封面右上角标明“正本”和“副本”字样）</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投标单位</w:t>
            </w:r>
            <w:r>
              <w:rPr>
                <w:rFonts w:hint="eastAsia" w:ascii="仿宋" w:hAnsi="仿宋" w:eastAsia="仿宋" w:cs="仿宋"/>
                <w:b/>
                <w:bCs/>
                <w:sz w:val="24"/>
              </w:rPr>
              <w:t>必须制作“</w:t>
            </w:r>
            <w:r>
              <w:rPr>
                <w:rFonts w:hint="eastAsia" w:ascii="仿宋" w:hAnsi="仿宋" w:eastAsia="仿宋" w:cs="仿宋"/>
                <w:b/>
                <w:bCs/>
                <w:sz w:val="24"/>
                <w:lang w:eastAsia="zh-CN"/>
              </w:rPr>
              <w:t>开标</w:t>
            </w:r>
            <w:r>
              <w:rPr>
                <w:rFonts w:hint="eastAsia" w:ascii="仿宋" w:hAnsi="仿宋" w:eastAsia="仿宋" w:cs="仿宋"/>
                <w:b/>
                <w:bCs/>
                <w:sz w:val="24"/>
              </w:rPr>
              <w:t>一览表”并单独密封提交，并在密封袋上标明“</w:t>
            </w:r>
            <w:r>
              <w:rPr>
                <w:rFonts w:hint="eastAsia" w:ascii="仿宋" w:hAnsi="仿宋" w:eastAsia="仿宋" w:cs="仿宋"/>
                <w:b/>
                <w:bCs/>
                <w:sz w:val="24"/>
                <w:lang w:eastAsia="zh-CN"/>
              </w:rPr>
              <w:t>开标</w:t>
            </w:r>
            <w:r>
              <w:rPr>
                <w:rFonts w:hint="eastAsia" w:ascii="仿宋" w:hAnsi="仿宋" w:eastAsia="仿宋" w:cs="仿宋"/>
                <w:b/>
                <w:bCs/>
                <w:sz w:val="24"/>
              </w:rPr>
              <w:t>一览表”的字样。不按要求标注或不单独提交报价一览表，其</w:t>
            </w:r>
            <w:r>
              <w:rPr>
                <w:rFonts w:hint="eastAsia" w:ascii="仿宋" w:hAnsi="仿宋" w:eastAsia="仿宋" w:cs="仿宋"/>
                <w:b/>
                <w:bCs/>
                <w:sz w:val="24"/>
                <w:lang w:eastAsia="zh-CN"/>
              </w:rPr>
              <w:t>投标</w:t>
            </w:r>
            <w:r>
              <w:rPr>
                <w:rFonts w:hint="eastAsia" w:ascii="仿宋" w:hAnsi="仿宋" w:eastAsia="仿宋" w:cs="仿宋"/>
                <w:b/>
                <w:bCs/>
                <w:sz w:val="24"/>
              </w:rPr>
              <w:t>文件将被拒绝。</w:t>
            </w:r>
          </w:p>
          <w:p>
            <w:pPr>
              <w:spacing w:line="240" w:lineRule="atLeast"/>
              <w:rPr>
                <w:rFonts w:hint="eastAsia" w:ascii="仿宋" w:hAnsi="仿宋" w:eastAsia="仿宋" w:cs="仿宋"/>
                <w:b/>
                <w:bCs/>
                <w:sz w:val="24"/>
              </w:rPr>
            </w:pPr>
            <w:r>
              <w:rPr>
                <w:rFonts w:hint="eastAsia" w:ascii="仿宋" w:hAnsi="仿宋" w:eastAsia="仿宋" w:cs="仿宋"/>
                <w:b/>
                <w:bCs/>
                <w:sz w:val="24"/>
              </w:rPr>
              <w:t>除上述文件外，还须密封递交</w:t>
            </w:r>
            <w:r>
              <w:rPr>
                <w:rFonts w:hint="eastAsia" w:ascii="仿宋" w:hAnsi="仿宋" w:eastAsia="仿宋" w:cs="仿宋"/>
                <w:b/>
                <w:bCs/>
                <w:sz w:val="24"/>
                <w:lang w:eastAsia="zh-CN"/>
              </w:rPr>
              <w:t>投标</w:t>
            </w:r>
            <w:r>
              <w:rPr>
                <w:rFonts w:hint="eastAsia" w:ascii="仿宋" w:hAnsi="仿宋" w:eastAsia="仿宋" w:cs="仿宋"/>
                <w:b/>
                <w:bCs/>
                <w:sz w:val="24"/>
              </w:rPr>
              <w:t>文件电子文档1份。</w:t>
            </w:r>
            <w:r>
              <w:rPr>
                <w:rFonts w:hint="eastAsia" w:ascii="仿宋" w:hAnsi="仿宋" w:eastAsia="仿宋" w:cs="仿宋"/>
                <w:b/>
                <w:bCs/>
                <w:sz w:val="24"/>
                <w:lang w:eastAsia="zh-CN"/>
              </w:rPr>
              <w:t>投标人</w:t>
            </w:r>
            <w:r>
              <w:rPr>
                <w:rFonts w:hint="eastAsia" w:ascii="仿宋" w:hAnsi="仿宋" w:eastAsia="仿宋" w:cs="仿宋"/>
                <w:b/>
                <w:bCs/>
                <w:sz w:val="24"/>
              </w:rPr>
              <w:t>必须制作“电子版U盘”并单独密封提交。电子版U盘必须是正本扫描件，并制作成与正本完全一致PDF格式文本及Word文档两个格式</w:t>
            </w:r>
            <w:r>
              <w:rPr>
                <w:rFonts w:hint="eastAsia" w:ascii="仿宋" w:hAnsi="仿宋" w:eastAsia="仿宋" w:cs="仿宋"/>
                <w:b/>
                <w:bCs/>
                <w:sz w:val="24"/>
                <w:lang w:eastAsia="zh-CN"/>
              </w:rPr>
              <w:t>。</w:t>
            </w:r>
            <w:r>
              <w:rPr>
                <w:rFonts w:hint="eastAsia" w:ascii="仿宋" w:hAnsi="仿宋" w:eastAsia="仿宋" w:cs="仿宋"/>
                <w:b/>
                <w:bCs/>
                <w:sz w:val="24"/>
                <w:lang w:val="en-US" w:eastAsia="zh-CN"/>
              </w:rPr>
              <w:t>U盘不小于8GB。</w:t>
            </w:r>
            <w:r>
              <w:rPr>
                <w:rFonts w:hint="eastAsia" w:ascii="仿宋" w:hAnsi="仿宋" w:eastAsia="仿宋" w:cs="仿宋"/>
                <w:b/>
                <w:bCs/>
                <w:sz w:val="24"/>
              </w:rPr>
              <w:t>不按要求提交电子版U盘，其</w:t>
            </w:r>
            <w:r>
              <w:rPr>
                <w:rFonts w:hint="eastAsia" w:ascii="仿宋" w:hAnsi="仿宋" w:eastAsia="仿宋" w:cs="仿宋"/>
                <w:b/>
                <w:bCs/>
                <w:sz w:val="24"/>
                <w:lang w:eastAsia="zh-CN"/>
              </w:rPr>
              <w:t>投标</w:t>
            </w:r>
            <w:r>
              <w:rPr>
                <w:rFonts w:hint="eastAsia" w:ascii="仿宋" w:hAnsi="仿宋" w:eastAsia="仿宋" w:cs="仿宋"/>
                <w:b/>
                <w:bCs/>
                <w:sz w:val="24"/>
              </w:rPr>
              <w:t>无效。</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文件使用A4，胶装，每册装订应牢固、不易拆散和换页，不得采用活页装订。除上述文件外，还须密封递交投标文件电子文档</w:t>
            </w:r>
            <w:r>
              <w:rPr>
                <w:rFonts w:hint="eastAsia" w:ascii="仿宋" w:hAnsi="仿宋" w:eastAsia="仿宋" w:cs="仿宋"/>
                <w:b/>
                <w:bCs/>
                <w:sz w:val="24"/>
                <w:lang w:val="en-US" w:eastAsia="zh-CN"/>
              </w:rPr>
              <w:t>1</w:t>
            </w:r>
            <w:r>
              <w:rPr>
                <w:rFonts w:hint="eastAsia" w:ascii="仿宋" w:hAnsi="仿宋" w:eastAsia="仿宋" w:cs="仿宋"/>
                <w:b/>
                <w:bCs/>
                <w:sz w:val="24"/>
              </w:rPr>
              <w:t>份。</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rPr>
              <w:t>投标人应按投标人须知资料表中的规定，准备和递交投标文件，每份</w:t>
            </w:r>
            <w:r>
              <w:rPr>
                <w:rFonts w:hint="eastAsia" w:ascii="仿宋" w:hAnsi="仿宋" w:eastAsia="仿宋" w:cs="仿宋"/>
                <w:b/>
                <w:bCs/>
                <w:sz w:val="24"/>
                <w:lang w:eastAsia="zh-CN"/>
              </w:rPr>
              <w:t>投标文件</w:t>
            </w:r>
            <w:r>
              <w:rPr>
                <w:rFonts w:hint="eastAsia" w:ascii="仿宋" w:hAnsi="仿宋" w:eastAsia="仿宋" w:cs="仿宋"/>
                <w:b/>
                <w:bCs/>
                <w:sz w:val="24"/>
              </w:rPr>
              <w:t>封皮须清楚地标明“正本”或“副本”。若正本和副本不符，以正本为准。</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正本需打印或用不褪色墨水书写，并由投标人的法定代表人或委托代理人按招标文件规定在投标文件上签字并加盖单位印章。委托代理人须持有书面的“法定代表人授权委托书”，并将其附在投标文件中。如对投标文件进行了修改，则应由投标人的法定代表人或其委托代理人在每一修改处签字。投标文件的副本可采用正本的复印件。</w:t>
            </w:r>
          </w:p>
          <w:p>
            <w:pPr>
              <w:spacing w:line="240" w:lineRule="atLeast"/>
              <w:rPr>
                <w:rFonts w:hint="eastAsia" w:ascii="仿宋" w:hAnsi="仿宋" w:eastAsia="仿宋" w:cs="仿宋"/>
                <w:b/>
                <w:bCs/>
                <w:sz w:val="24"/>
              </w:rPr>
            </w:pPr>
            <w:r>
              <w:rPr>
                <w:rFonts w:hint="eastAsia" w:ascii="仿宋" w:hAnsi="仿宋" w:eastAsia="仿宋" w:cs="仿宋"/>
                <w:b/>
                <w:bCs/>
                <w:sz w:val="24"/>
              </w:rPr>
              <w:t>所有包装封皮和信封上均应：</w:t>
            </w:r>
          </w:p>
          <w:p>
            <w:pPr>
              <w:spacing w:line="240" w:lineRule="atLeast"/>
              <w:rPr>
                <w:rFonts w:hint="eastAsia" w:ascii="仿宋" w:hAnsi="仿宋" w:eastAsia="仿宋" w:cs="仿宋"/>
                <w:b/>
                <w:bCs/>
                <w:sz w:val="24"/>
              </w:rPr>
            </w:pPr>
            <w:r>
              <w:rPr>
                <w:rFonts w:hint="eastAsia" w:ascii="仿宋" w:hAnsi="仿宋" w:eastAsia="仿宋" w:cs="仿宋"/>
                <w:b/>
                <w:bCs/>
                <w:sz w:val="24"/>
              </w:rPr>
              <w:t>注明招标公告指明的项目名称</w:t>
            </w:r>
            <w:r>
              <w:rPr>
                <w:rFonts w:hint="eastAsia" w:ascii="仿宋" w:hAnsi="仿宋" w:eastAsia="仿宋" w:cs="仿宋"/>
                <w:b/>
                <w:bCs/>
                <w:sz w:val="24"/>
                <w:lang w:eastAsia="zh-CN"/>
              </w:rPr>
              <w:t>、项目编号</w:t>
            </w:r>
            <w:r>
              <w:rPr>
                <w:rFonts w:hint="eastAsia" w:ascii="仿宋" w:hAnsi="仿宋" w:eastAsia="仿宋" w:cs="仿宋"/>
                <w:b/>
                <w:bCs/>
                <w:sz w:val="24"/>
              </w:rPr>
              <w:t>、</w:t>
            </w:r>
            <w:r>
              <w:rPr>
                <w:rFonts w:hint="eastAsia" w:ascii="仿宋" w:hAnsi="仿宋" w:eastAsia="仿宋" w:cs="仿宋"/>
                <w:b/>
                <w:bCs/>
                <w:sz w:val="24"/>
                <w:lang w:eastAsia="zh-CN"/>
              </w:rPr>
              <w:t>包号、</w:t>
            </w:r>
            <w:r>
              <w:rPr>
                <w:rFonts w:hint="eastAsia" w:ascii="仿宋" w:hAnsi="仿宋" w:eastAsia="仿宋" w:cs="仿宋"/>
                <w:b/>
                <w:bCs/>
                <w:sz w:val="24"/>
              </w:rPr>
              <w:t>投标人名称和“在（开标时间）之前不得启封”的字样。</w:t>
            </w:r>
          </w:p>
          <w:p>
            <w:pPr>
              <w:rPr>
                <w:rFonts w:hint="eastAsia" w:ascii="仿宋" w:hAnsi="仿宋" w:eastAsia="仿宋" w:cs="仿宋"/>
                <w:sz w:val="24"/>
                <w:u w:val="single"/>
              </w:rPr>
            </w:pP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法定代表人或委托代理人签字并加盖投标人单位章。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2022年2月23日 10:30（北京时间）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2022年2月23日 10:30（北京时间）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s="仿宋"/>
                <w:color w:val="auto"/>
                <w:sz w:val="24"/>
                <w:lang w:val="en-US" w:eastAsia="zh-CN"/>
              </w:rPr>
              <w:t>乌鲁木齐市新市区阜新街1号2号楼开标室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w:t>
            </w:r>
            <w:bookmarkStart w:id="250" w:name="_Hlk22725541"/>
            <w:r>
              <w:rPr>
                <w:rFonts w:hint="eastAsia" w:ascii="仿宋" w:hAnsi="仿宋" w:eastAsia="仿宋" w:cs="仿宋"/>
                <w:sz w:val="24"/>
                <w:highlight w:val="none"/>
              </w:rPr>
              <w:t>电汇或企业账户网银汇款</w:t>
            </w:r>
            <w:bookmarkEnd w:id="250"/>
            <w:r>
              <w:rPr>
                <w:rFonts w:hint="eastAsia" w:ascii="仿宋" w:hAnsi="仿宋" w:eastAsia="仿宋" w:cs="仿宋"/>
                <w:sz w:val="24"/>
                <w:highlight w:val="none"/>
              </w:rPr>
              <w:t xml:space="preserve">。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  3  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伊犁哈萨克自治州自然资源局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），代理服务费按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0999-8075070</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240" w:lineRule="atLeast"/>
              <w:rPr>
                <w:rFonts w:hint="eastAsia" w:ascii="仿宋" w:hAnsi="仿宋" w:eastAsia="仿宋" w:cs="仿宋"/>
                <w:sz w:val="24"/>
              </w:rPr>
            </w:pPr>
          </w:p>
        </w:tc>
      </w:tr>
    </w:tbl>
    <w:p>
      <w:pPr>
        <w:spacing w:line="240" w:lineRule="atLeast"/>
        <w:ind w:left="1080" w:leftChars="257" w:hanging="540"/>
        <w:rPr>
          <w:rFonts w:hint="eastAsia" w:ascii="仿宋" w:hAnsi="仿宋" w:eastAsia="仿宋" w:cs="仿宋"/>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center"/>
        <w:rPr>
          <w:rFonts w:hint="eastAsia" w:ascii="仿宋" w:hAnsi="仿宋" w:eastAsia="仿宋" w:cs="仿宋"/>
          <w:b/>
          <w:kern w:val="0"/>
          <w:sz w:val="32"/>
          <w:szCs w:val="32"/>
        </w:rPr>
      </w:pPr>
      <w:bookmarkStart w:id="251" w:name="_Toc216513787"/>
      <w:bookmarkStart w:id="252" w:name="_Toc216582811"/>
      <w:bookmarkStart w:id="253" w:name="_Toc219175635"/>
      <w:bookmarkStart w:id="254" w:name="_Toc218935351"/>
      <w:r>
        <w:rPr>
          <w:rFonts w:hint="eastAsia" w:ascii="仿宋" w:hAnsi="仿宋" w:eastAsia="仿宋" w:cs="仿宋"/>
          <w:b/>
          <w:kern w:val="0"/>
          <w:sz w:val="32"/>
          <w:szCs w:val="32"/>
        </w:rPr>
        <w:t>资格审查表</w:t>
      </w:r>
    </w:p>
    <w:tbl>
      <w:tblPr>
        <w:tblStyle w:val="40"/>
        <w:tblW w:w="8716" w:type="dxa"/>
        <w:tblInd w:w="113" w:type="dxa"/>
        <w:tblLayout w:type="fixed"/>
        <w:tblCellMar>
          <w:top w:w="0" w:type="dxa"/>
          <w:left w:w="108" w:type="dxa"/>
          <w:bottom w:w="0" w:type="dxa"/>
          <w:right w:w="108" w:type="dxa"/>
        </w:tblCellMar>
      </w:tblPr>
      <w:tblGrid>
        <w:gridCol w:w="740"/>
        <w:gridCol w:w="6114"/>
        <w:gridCol w:w="925"/>
        <w:gridCol w:w="937"/>
      </w:tblGrid>
      <w:tr>
        <w:tblPrEx>
          <w:tblLayout w:type="fixed"/>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投标人</w:t>
            </w:r>
          </w:p>
        </w:tc>
      </w:tr>
      <w:tr>
        <w:tblPrEx>
          <w:tblLayout w:type="fixed"/>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Layout w:type="fixed"/>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法人本人投标的提供法人身份证明及身份证，被授权委托人需提供法人授权委托书及身份证原件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投标单位投标标项一、二提供地质灾害治理工程勘查乙级（含乙级）以上资质；标项三、四提供地质灾害治理工程勘查乙级及以上资质证书；第五、六、七包提供地质灾害治理工程设计和施工乙级（含乙级）以上资质证书；标项八提供地质灾害防治工程监理乙级（含乙级）以上资质证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提供依法缴纳社会保障资金的良好记录；需提供近期3个月社保部门出具的投标单位的缴纳社保证；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6</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提供税务部门出具近3个月依法缴纳税收的完税证明原件（依法免缴的，应提供依法免缴的相关证明文件）；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7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7</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提供针对本次项目的反商业贿赂承诺书；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参加政府采购活动前三年内，在经营活动中没有重大违法记录承诺书；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27"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9</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投标保证金打款凭证及银行开户许可证加盖鲜章；</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bookmarkStart w:id="255" w:name="_Toc507399906"/>
            <w:bookmarkStart w:id="256" w:name="_Toc219175638"/>
            <w:bookmarkStart w:id="257" w:name="_Toc7112"/>
            <w:bookmarkStart w:id="258" w:name="_Toc218935354"/>
            <w:bookmarkStart w:id="259" w:name="_Toc216582825"/>
            <w:bookmarkStart w:id="260" w:name="_Toc518923126"/>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pStyle w:val="3"/>
        <w:numPr>
          <w:ilvl w:val="0"/>
          <w:numId w:val="0"/>
        </w:numPr>
        <w:tabs>
          <w:tab w:val="left" w:pos="0"/>
        </w:tabs>
        <w:spacing w:before="0" w:after="0" w:line="240" w:lineRule="atLeast"/>
        <w:jc w:val="center"/>
        <w:rPr>
          <w:rFonts w:hint="eastAsia" w:ascii="仿宋" w:hAnsi="仿宋" w:eastAsia="仿宋" w:cs="仿宋"/>
          <w:b/>
          <w:lang w:eastAsia="zh-CN"/>
        </w:rPr>
      </w:pPr>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55"/>
      <w:bookmarkEnd w:id="256"/>
      <w:bookmarkEnd w:id="257"/>
      <w:bookmarkEnd w:id="258"/>
      <w:bookmarkEnd w:id="259"/>
      <w:bookmarkEnd w:id="260"/>
      <w:r>
        <w:rPr>
          <w:rFonts w:hint="eastAsia" w:ascii="仿宋" w:hAnsi="仿宋" w:eastAsia="仿宋" w:cs="仿宋"/>
          <w:b/>
          <w:lang w:eastAsia="zh-CN"/>
        </w:rPr>
        <w:t>项目需求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40" w:lineRule="exact"/>
        <w:ind w:left="363"/>
        <w:jc w:val="both"/>
        <w:textAlignment w:val="auto"/>
        <w:outlineLvl w:val="1"/>
        <w:rPr>
          <w:rFonts w:hint="eastAsia" w:ascii="仿宋" w:hAnsi="仿宋" w:eastAsia="仿宋" w:cs="仿宋"/>
          <w:b/>
          <w:bCs/>
          <w:kern w:val="0"/>
          <w:sz w:val="32"/>
          <w:szCs w:val="22"/>
          <w:lang w:val="en-US" w:eastAsia="zh-CN" w:bidi="ar-SA"/>
        </w:rPr>
      </w:pPr>
      <w:r>
        <w:rPr>
          <w:rFonts w:hint="eastAsia" w:ascii="仿宋" w:hAnsi="仿宋" w:eastAsia="仿宋" w:cs="仿宋"/>
          <w:b/>
          <w:bCs/>
          <w:kern w:val="0"/>
          <w:sz w:val="32"/>
          <w:szCs w:val="22"/>
          <w:lang w:val="en-US" w:eastAsia="zh-CN" w:bidi="ar-SA"/>
        </w:rPr>
        <w:t>标项一：新疆巩留县地质灾害风险调查评价</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一、项目名称、编号和经费</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项目名称：新疆巩留县地质灾害风险调查评价</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lang w:val="en-US" w:eastAsia="zh-CN"/>
        </w:rPr>
      </w:pPr>
      <w:r>
        <w:rPr>
          <w:rStyle w:val="71"/>
          <w:rFonts w:hint="eastAsia" w:ascii="仿宋" w:hAnsi="仿宋" w:eastAsia="仿宋" w:cs="仿宋"/>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项目费用：80万元（捌拾万元整）</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二、工作范围和面积</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本次工作区范围为巩留县行政区范围，总面积约0.4528万平方千米（以三调成果数据为准）。</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巩留县隶属于新疆维吾尔自治区伊犁哈萨克自治州，位于新疆维吾尔自治区西北部，地处伊犁地区中部，伊犁河上游南侧、特克斯河下游流域，南倚那拉提山和伊什格力克山，北濒伊犁河。巩留县一地具有较好的地理环境优势，西距伊宁市100公里，直线88公里；东距乌鲁木齐801公里，直线412公里。省道S316线穿境而过，横跨特克斯河的哈拉布拉大桥于横跨伊犁河的雅玛图大桥东西呼应，连通了巩留和四邻各县，使巩留成为伊犁地区东五县的交通要道。巩留县气候湿润、水土丰沃，赋予丰美的自然资源，农、宜牧、宜林。</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巩留县辖1个镇、7个乡，总面积面积4528平方公里，截至2011年，巩留县总人口19.64万人。2012年，巩留县完成生产总值27.5亿元，较2011年增长14.5%。</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四、地质环境概况和工作程度</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（一）地质环境概况</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1.地形地貌与人类工程活动</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调查区巩留县受东西向、平行相间的山地和谷地控制，近似呈蝴蝶形区域，总体地势东南高西北低。伊什基里克山在伊犁谷地南侧分隔出昭苏—特克斯河谷地，山体向东与那拉提山相连，使该谷地西宽东窄，形成两面环山的三角形地带，并把巩留县分成东西两部分：东部位于三角形地带内，多为山地和丘陵，海拔1000—4079m，最高峰布卡乔鲁特海拔4079m；西部位于伊犁谷地内，南侧山地海拔900—2584m，平原海拔697—900m，最低处位于伊犁河冲积平原西部主要地貌类型有:高山地貌、中山地貌、低山丘陵地貌、冲击平原和冲击沼泽等。近年，由于人们频繁的社会经济工程活动，诸如开采矿山、开挖山体边坡修筑公路、滥挖草药以及人口增长和牲畜数量的增大，使本身不足的冬草场进一步退化等等，不仅使巩留县自然生态环境遭受极大破坏，同时在气候因素的影响下，还导致了突发性地质灾害的发生，给社会经济和人民财产带来严重损失。</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2.地质灾害类型与分布</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据巩留县详查资料，巩留县境内发育的地质灾害类型以滑坡（滑坡泥石流）为主，崩塌、泥石流较少，地面塌陷、地面沉降、地裂缝不发育。巩留县滑坡主要集中分布在东部中低山区，其物质组成主要为黄土；巩留县崩塌多分布于山区沿沟谷修筑的道路旁和石灰岩采矿区，主要为基岩崩塌；泥石流分布在东部山区与主沟（河流）相交的狭窄支沟内发育，主要由滑坡提供物源，由降水或融雪水引发，为沟谷型泥石流。</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（二）工作程度</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 xml:space="preserve">1.《新疆维吾尔自治区伊犁地区地质灾害调查》，2003年； </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2.《巩留县地质灾害详细调查报告（1:5万）》，2011年；</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《新疆巩留县地质灾害补充详细调查及重要灾害隐患段（点）精细化调查》，2019。</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五、目标任务</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以孕灾主控地质条件和地质灾害隐患判识为主开展巩留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（二）任务</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3.建立地质灾害风险调查空间数据库。</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六、工作方法和技术要求</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（一）工作方法</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sz w:val="24"/>
          <w:szCs w:val="24"/>
        </w:rPr>
      </w:pPr>
      <w:r>
        <w:rPr>
          <w:rStyle w:val="71"/>
          <w:rFonts w:hint="eastAsia" w:ascii="仿宋" w:hAnsi="仿宋" w:eastAsia="仿宋" w:cs="仿宋"/>
          <w:color w:val="auto"/>
          <w:sz w:val="24"/>
          <w:szCs w:val="24"/>
        </w:rPr>
        <w:t>分析研究《巩留县地质灾害详细调查（1:5万）》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spacing w:line="440" w:lineRule="exact"/>
        <w:ind w:firstLine="792" w:firstLineChars="330"/>
        <w:rPr>
          <w:rFonts w:hint="eastAsia" w:ascii="仿宋" w:hAnsi="仿宋" w:eastAsia="仿宋" w:cs="仿宋"/>
          <w:color w:val="000000"/>
          <w:sz w:val="24"/>
          <w:szCs w:val="24"/>
        </w:rPr>
      </w:pPr>
      <w:r>
        <w:rPr>
          <w:rStyle w:val="71"/>
          <w:rFonts w:hint="eastAsia" w:ascii="仿宋" w:hAnsi="仿宋" w:eastAsia="仿宋" w:cs="仿宋"/>
          <w:sz w:val="24"/>
          <w:szCs w:val="24"/>
        </w:rPr>
        <w:t>（二）技术要求</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主要执行的技术规范、技术要求和依据主要有：</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1.《地质灾害风险调查评价技术要求（1:50000）》；</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2.《地质灾害风险调查评价编图技术要求（试行）》；</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3.《地质灾害风险调查评价成果信息化技术要求（试行）》；</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4.《岩土工程勘察规范》GB50021—2001（2009年版）；</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5.《中国地震动参数区划图》（GB18306-2015）；</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6.《遥感地质解译方法指南（1:50000、1:250000）》（DD2011-03）；</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7.《地质灾害遥感调查技术规定》（DD2015-01）；</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8.《倾斜数字航空摄影技术规程》（GB/T 39610-2020）；</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9.《地质调查项目预算标准（2021）》；</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10.《地质资料汇交规范》（DZ/T0273）。</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执行的技术要求和规范，应以项目实施时现行标准和规范为准。</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七、主要实物工作量</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技术综合运用，其中钻探、实测剖面、岩土样品满足规范要求，开展地质灾害防治知识培训和重要地质灾害隐患点防治演练工作。最终实物工作量以设计批复工作量为准。（开展过《新疆巩留县地质灾害补充详细调查及重要灾害隐患段（点）精细化调查》项目投入的实物工作量与本次投入的工作量合计需要满足规范要求）。</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八、预期提交成果</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（一）原始资料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2.各类原始记录卡片</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3.野外照(摄)像等影像资料；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4.测试与试验资料；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（二）成果资料</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新疆巩留县地质灾害风险调查评价报告。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2.附图</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主要包括基础性图件、应用性图件和其他图件。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3.附件</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具体内容详见《地质灾害风险调查评价技术要求（1:50000）》附录P。</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成果资料整理归档严格按照《地质灾害风险调查评价技术要求（1:50000）》和《地质资料汇交规范》DZ/T0273地质资料汇交规范及相关管理办法规定执行。最终成果资料应按地质资料汇交要求向新疆地质资料馆汇交，并向自治区自然资源厅、伊犁州自然资源局和巩留县自然资源局汇交纸介质和电子版各2套。</w:t>
      </w:r>
    </w:p>
    <w:p>
      <w:pPr>
        <w:keepNext w:val="0"/>
        <w:keepLines w:val="0"/>
        <w:pageBreakBefore w:val="0"/>
        <w:widowControl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九、工作周期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rPr>
        <w:br w:type="page"/>
      </w:r>
      <w:r>
        <w:rPr>
          <w:rFonts w:hint="eastAsia" w:ascii="仿宋" w:hAnsi="仿宋" w:eastAsia="仿宋" w:cs="Times New Roman"/>
          <w:b/>
          <w:bCs/>
          <w:kern w:val="2"/>
          <w:sz w:val="32"/>
          <w:szCs w:val="32"/>
          <w:lang w:val="en-US" w:eastAsia="zh-CN" w:bidi="ar-SA"/>
        </w:rPr>
        <w:t>标项二：新疆新源县地质灾害风险调查评价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一、项目名称、编号和经费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项目名称：新疆新源县地质灾害风险调查评价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项目费用：80万元（捌拾万元整）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二、工作范围和面积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本次工作区范围为新源县行政区范围，总面积约7581平方千米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以三调成果数据为准</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三、自然经济地理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新源县隶属伊犁哈萨克自治州管辖</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东西长191千米，南北宽33.8千米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总面积7581平方千米。位于新疆维吾尔自治区西北部、天山腹地、伊犁河谷东部，东接艾肯达坂分水，西止特克斯河与巩留县毗邻，南屏那拉提山、大吉尔尕朗河携巴音郭楞蒙古自治州和静县，北界阿布热勒山、安迪尔山与尼勒克县相邻。新源县东高西低、两边高中间低， 三面环山，西部敞开，东西长，南北窄，海拔高度792-4621米之间</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属于北温带大陆性半</w:t>
      </w:r>
      <w:r>
        <w:rPr>
          <w:rStyle w:val="71"/>
          <w:rFonts w:hint="eastAsia" w:ascii="仿宋" w:hAnsi="仿宋" w:eastAsia="仿宋" w:cs="仿宋"/>
          <w:color w:val="auto"/>
          <w:sz w:val="24"/>
          <w:szCs w:val="24"/>
          <w:highlight w:val="none"/>
          <w:lang w:eastAsia="zh-CN"/>
        </w:rPr>
        <w:t>干旱气候，</w:t>
      </w:r>
      <w:r>
        <w:rPr>
          <w:rStyle w:val="71"/>
          <w:rFonts w:hint="eastAsia" w:ascii="仿宋" w:hAnsi="仿宋" w:eastAsia="仿宋" w:cs="仿宋"/>
          <w:color w:val="auto"/>
          <w:sz w:val="24"/>
          <w:szCs w:val="24"/>
          <w:highlight w:val="none"/>
        </w:rPr>
        <w:t>四季特征较为明显，年平均气温8.5℃</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最冷月平均气温</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14.4℃，极端最低气温</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27.7℃。截至2021年，新源县辖下辖8个镇，1个乡，79个行政村，9个社区，3个国有农牧场。2020年全县实现地区生产总值115.89亿元，增长5.4%</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其中：一般公共预算收入5.76亿元，增长7.6%；规模工业增加值17.48亿元，增长3.32%；固定资产投资（不含农户）29.79亿元，增长201.2%，增速创有史以来新高，位居全州第一；限上社会消费品零售总额2.91亿元，增长26.2%；外贸进出口总额1078.45万美元，增长92.37%；城镇、农村居民人均可支配收入分别达到3.2万元、1.52万元，增长7%、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四、地质环境概况和工作程度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（一）地质环境概况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1、地形地貌与人类工程活动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源县位于新疆天山西部伊犁谷地东部，北面为阿吾拉勒山、南面为伊什基里克山和那拉提山，两山之间为向西开口巩乃斯河河谷平原区，东部北天山主峰依连哈比尔尕山的山结地带，山势高峻挺拔，由东向西山势逐渐降低，其分水岭构成新源县的北界，南面为由伊连哈比尔尕山山结地带向西南延伸的那拉提山主脉，境内由艾肯达坂向西延伸的那拉提山支脉和伊什基里克山纵贯新源县，与那拉提山主脉北侧共同组成新源县南部山区，总地势东高西低。主要地貌类型有</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高山地貌、中山地貌、低山丘陵地貌、河谷阶地、堆积平原等。人类工程活动以种植、放牧、交通运输、水利工程和旅游等为主。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2、地质灾害类型与分布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调查区发育的地质灾害</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隐患</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类型主要以滑坡、泥石流为主</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其他各类均有分布，其中滑坡主要分布于巩乃斯河谷两侧中低山区；泥石流主要分布于则克台镇则克台沟、阿热勒托别镇巴特巴合特沟等地；崩塌主要分布在特克斯河谷和吉尔格朗河、恰甫河中低山区峡谷地带和东部高山区沿线公路两侧；据详查新源县全县已发生的各类地质灾害点1000余处；将新源县地质灾害易发程度划分为高易发区、中易发区、低易发区和不易发区，其中高易发区分布于巩乃斯河谷北部阿吾拉勒山的中、低山丘陵区，南部伊什基里克山和那拉提山分水岭两侧、恰甫河以南</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中易发区分布于县境北部阿吾拉勒山高易发区外围周边的铁木里克</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勒加克布拉克、吐尔根萨依上游、坎苏沟上下游，县境南部伊什基里克山和那拉提山分水岭两侧、恰甫河以南高易发区外围周边区</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低易发区分布于县境南部林带以上高中山区和低山丘陵区；县境北部阿吾拉勒山东部中高山区;不易发区分于巩乃斯河谷平原区。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（二）工作程度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1、《新疆新源县地质灾害补充详细调查及重要灾害隐患段（点）精细化调查》，2019年；（乌鲁木齐大地方圆软件开发有限公司）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2、《新疆维吾尔自治区伊犁地区地质灾害调查》，2001年；（新疆地质环境监测院）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3、《新源县地质灾害详细调查（1:5万）》，2011年；（新疆地质环境监测院）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五、目标任务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以孕灾主控地质条件和地质灾害隐患判识为主开展新源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3、建立地质灾害风险调查空间数据库。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六、工作方法和技术要求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（一）工作方法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分析研究《新源县地质灾害详细调查（1:5万）》、《新疆新源县地质灾害补充详细调查及重要灾害隐患段（点）精细化调查》成果，</w:t>
      </w:r>
      <w:r>
        <w:rPr>
          <w:rStyle w:val="71"/>
          <w:rFonts w:hint="eastAsia" w:ascii="仿宋" w:hAnsi="仿宋" w:eastAsia="仿宋" w:cs="仿宋"/>
          <w:color w:val="auto"/>
          <w:sz w:val="24"/>
          <w:szCs w:val="24"/>
          <w:highlight w:val="none"/>
          <w:lang w:val="en-US" w:eastAsia="zh-CN"/>
        </w:rPr>
        <w:t>收集当地地质灾害勘查、防治工程和重大工程勘查成果，</w:t>
      </w:r>
      <w:r>
        <w:rPr>
          <w:rStyle w:val="71"/>
          <w:rFonts w:hint="eastAsia" w:ascii="仿宋" w:hAnsi="仿宋" w:eastAsia="仿宋" w:cs="仿宋"/>
          <w:color w:val="auto"/>
          <w:sz w:val="24"/>
          <w:szCs w:val="24"/>
          <w:highlight w:val="none"/>
        </w:rPr>
        <w:t>开展遥感解译工作，进行孕灾地质条件调查、承灾体调查，核查调查地质灾害及其隐患，</w:t>
      </w:r>
      <w:r>
        <w:rPr>
          <w:rStyle w:val="71"/>
          <w:rFonts w:hint="eastAsia" w:ascii="仿宋" w:hAnsi="仿宋" w:eastAsia="仿宋" w:cs="仿宋"/>
          <w:color w:val="auto"/>
          <w:sz w:val="24"/>
          <w:szCs w:val="24"/>
          <w:highlight w:val="none"/>
          <w:lang w:val="en-US" w:eastAsia="zh-CN"/>
        </w:rPr>
        <w:t>辅以</w:t>
      </w:r>
      <w:r>
        <w:rPr>
          <w:rStyle w:val="71"/>
          <w:rFonts w:hint="eastAsia" w:ascii="仿宋" w:hAnsi="仿宋" w:eastAsia="仿宋" w:cs="仿宋"/>
          <w:color w:val="auto"/>
          <w:sz w:val="24"/>
          <w:szCs w:val="24"/>
          <w:highlight w:val="none"/>
        </w:rPr>
        <w:t>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（二）技术要求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主要执行的技术规范、技术要求和依据主要有：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1、《地质灾害风险调查评价技术要求（1:50000）》；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2</w:t>
      </w:r>
      <w:r>
        <w:rPr>
          <w:rStyle w:val="71"/>
          <w:rFonts w:hint="eastAsia" w:ascii="仿宋" w:hAnsi="仿宋" w:eastAsia="仿宋" w:cs="仿宋"/>
          <w:color w:val="auto"/>
          <w:sz w:val="24"/>
          <w:szCs w:val="24"/>
          <w:highlight w:val="none"/>
        </w:rPr>
        <w:t>、《地质灾害风险调查评价编图技术要求（试行）》；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3</w:t>
      </w:r>
      <w:r>
        <w:rPr>
          <w:rStyle w:val="71"/>
          <w:rFonts w:hint="eastAsia" w:ascii="仿宋" w:hAnsi="仿宋" w:eastAsia="仿宋" w:cs="仿宋"/>
          <w:color w:val="auto"/>
          <w:sz w:val="24"/>
          <w:szCs w:val="24"/>
          <w:highlight w:val="none"/>
        </w:rPr>
        <w:t>、《地质灾害风险调查评价成果信息化技术要求（试行）》；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4</w:t>
      </w:r>
      <w:r>
        <w:rPr>
          <w:rStyle w:val="71"/>
          <w:rFonts w:hint="eastAsia" w:ascii="仿宋" w:hAnsi="仿宋" w:eastAsia="仿宋" w:cs="仿宋"/>
          <w:color w:val="auto"/>
          <w:sz w:val="24"/>
          <w:szCs w:val="24"/>
          <w:highlight w:val="none"/>
        </w:rPr>
        <w:t>、DZ/T0261—2014滑坡崩塌泥石流灾害调查规范（1:50000）；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5</w:t>
      </w:r>
      <w:r>
        <w:rPr>
          <w:rStyle w:val="71"/>
          <w:rFonts w:hint="eastAsia" w:ascii="仿宋" w:hAnsi="仿宋" w:eastAsia="仿宋" w:cs="仿宋"/>
          <w:color w:val="auto"/>
          <w:sz w:val="24"/>
          <w:szCs w:val="24"/>
          <w:highlight w:val="none"/>
        </w:rPr>
        <w:t>、GB50021—2001（2009年版）岩土工程勘察规范；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6</w:t>
      </w:r>
      <w:r>
        <w:rPr>
          <w:rStyle w:val="71"/>
          <w:rFonts w:hint="eastAsia" w:ascii="仿宋" w:hAnsi="仿宋" w:eastAsia="仿宋" w:cs="仿宋"/>
          <w:color w:val="auto"/>
          <w:sz w:val="24"/>
          <w:szCs w:val="24"/>
          <w:highlight w:val="none"/>
        </w:rPr>
        <w:t>、</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中国地震动参数区划图</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GB18306</w:t>
      </w:r>
      <w:r>
        <w:rPr>
          <w:rStyle w:val="71"/>
          <w:rFonts w:hint="eastAsia" w:ascii="仿宋" w:hAnsi="仿宋" w:eastAsia="仿宋" w:cs="仿宋"/>
          <w:color w:val="auto"/>
          <w:sz w:val="24"/>
          <w:szCs w:val="24"/>
          <w:highlight w:val="none"/>
          <w:lang w:val="en-US" w:eastAsia="zh-CN"/>
        </w:rPr>
        <w:t>-2015</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7</w:t>
      </w:r>
      <w:r>
        <w:rPr>
          <w:rStyle w:val="71"/>
          <w:rFonts w:hint="eastAsia" w:ascii="仿宋" w:hAnsi="仿宋" w:eastAsia="仿宋" w:cs="仿宋"/>
          <w:color w:val="auto"/>
          <w:sz w:val="24"/>
          <w:szCs w:val="24"/>
          <w:highlight w:val="none"/>
        </w:rPr>
        <w:t>、《遥感地质解译方法指南（1:50000、1:250000）》（DD2011-03）；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8</w:t>
      </w:r>
      <w:r>
        <w:rPr>
          <w:rStyle w:val="71"/>
          <w:rFonts w:hint="eastAsia" w:ascii="仿宋" w:hAnsi="仿宋" w:eastAsia="仿宋" w:cs="仿宋"/>
          <w:color w:val="auto"/>
          <w:sz w:val="24"/>
          <w:szCs w:val="24"/>
          <w:highlight w:val="none"/>
        </w:rPr>
        <w:t>、《地质灾害遥感调查技术规定》（DD2015-01）；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eastAsia="zh-CN"/>
        </w:rPr>
      </w:pPr>
      <w:r>
        <w:rPr>
          <w:rStyle w:val="71"/>
          <w:rFonts w:hint="eastAsia" w:ascii="仿宋" w:hAnsi="仿宋" w:eastAsia="仿宋" w:cs="仿宋"/>
          <w:color w:val="auto"/>
          <w:sz w:val="24"/>
          <w:szCs w:val="24"/>
          <w:highlight w:val="none"/>
          <w:lang w:val="en-US" w:eastAsia="zh-CN"/>
        </w:rPr>
        <w:t>9、</w:t>
      </w:r>
      <w:r>
        <w:rPr>
          <w:rStyle w:val="71"/>
          <w:rFonts w:hint="eastAsia" w:ascii="仿宋" w:hAnsi="仿宋" w:eastAsia="仿宋" w:cs="仿宋"/>
          <w:color w:val="auto"/>
          <w:sz w:val="24"/>
          <w:szCs w:val="24"/>
          <w:highlight w:val="none"/>
        </w:rPr>
        <w:t>《倾斜数字航空摄影技术规程》</w:t>
      </w:r>
      <w:r>
        <w:rPr>
          <w:rStyle w:val="71"/>
          <w:rFonts w:hint="eastAsia" w:ascii="仿宋" w:hAnsi="仿宋" w:eastAsia="仿宋" w:cs="仿宋"/>
          <w:color w:val="auto"/>
          <w:sz w:val="24"/>
          <w:szCs w:val="24"/>
          <w:highlight w:val="none"/>
          <w:lang w:eastAsia="zh-CN"/>
        </w:rPr>
        <w:t>（GB/T 39610-2020）；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10</w:t>
      </w:r>
      <w:r>
        <w:rPr>
          <w:rStyle w:val="71"/>
          <w:rFonts w:hint="eastAsia" w:ascii="仿宋" w:hAnsi="仿宋" w:eastAsia="仿宋" w:cs="仿宋"/>
          <w:color w:val="auto"/>
          <w:sz w:val="24"/>
          <w:szCs w:val="24"/>
          <w:highlight w:val="none"/>
        </w:rPr>
        <w:t>、《地质灾害调查技术要求（1:5 万）》（DD2019-08）；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11、《地质调查项目预算标准（2021）》；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12</w:t>
      </w:r>
      <w:r>
        <w:rPr>
          <w:rStyle w:val="71"/>
          <w:rFonts w:hint="eastAsia" w:ascii="仿宋" w:hAnsi="仿宋" w:eastAsia="仿宋" w:cs="仿宋"/>
          <w:color w:val="auto"/>
          <w:sz w:val="24"/>
          <w:szCs w:val="24"/>
          <w:highlight w:val="none"/>
        </w:rPr>
        <w:t>、《地质资料汇交规范》（DZ/T0273）。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执行的技术要求和规范，应以项目实施时现行标准和规范为准。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七、主要实物工作量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开展地质灾害防治知识培训和重要地质灾害隐患点防治演练工作。</w:t>
      </w:r>
      <w:r>
        <w:rPr>
          <w:rStyle w:val="71"/>
          <w:rFonts w:hint="eastAsia" w:ascii="仿宋" w:hAnsi="仿宋" w:eastAsia="仿宋" w:cs="仿宋"/>
          <w:color w:val="auto"/>
          <w:sz w:val="24"/>
          <w:szCs w:val="24"/>
          <w:highlight w:val="none"/>
        </w:rPr>
        <w:t>最终实物工作量以设计批复工作量为准。（开展</w:t>
      </w:r>
      <w:r>
        <w:rPr>
          <w:rStyle w:val="71"/>
          <w:rFonts w:hint="eastAsia" w:ascii="仿宋" w:hAnsi="仿宋" w:eastAsia="仿宋" w:cs="仿宋"/>
          <w:color w:val="auto"/>
          <w:sz w:val="24"/>
          <w:szCs w:val="24"/>
          <w:highlight w:val="none"/>
          <w:lang w:val="en-US" w:eastAsia="zh-CN"/>
        </w:rPr>
        <w:t>过的</w:t>
      </w:r>
      <w:r>
        <w:rPr>
          <w:rStyle w:val="71"/>
          <w:rFonts w:hint="eastAsia" w:ascii="仿宋" w:hAnsi="仿宋" w:eastAsia="仿宋" w:cs="仿宋"/>
          <w:color w:val="auto"/>
          <w:sz w:val="24"/>
          <w:szCs w:val="24"/>
          <w:highlight w:val="none"/>
        </w:rPr>
        <w:t>《新疆新源县地质灾害补充详细调查及重要灾害隐患段（点）精细化调查》</w:t>
      </w:r>
      <w:r>
        <w:rPr>
          <w:rStyle w:val="71"/>
          <w:rFonts w:hint="eastAsia" w:ascii="仿宋" w:hAnsi="仿宋" w:eastAsia="仿宋" w:cs="仿宋"/>
          <w:color w:val="auto"/>
          <w:sz w:val="24"/>
          <w:szCs w:val="24"/>
          <w:highlight w:val="none"/>
          <w:lang w:val="en-US" w:eastAsia="zh-CN"/>
        </w:rPr>
        <w:t>项目</w:t>
      </w:r>
      <w:r>
        <w:rPr>
          <w:rStyle w:val="71"/>
          <w:rFonts w:hint="eastAsia" w:ascii="仿宋" w:hAnsi="仿宋" w:eastAsia="仿宋" w:cs="仿宋"/>
          <w:color w:val="auto"/>
          <w:sz w:val="24"/>
          <w:szCs w:val="24"/>
          <w:highlight w:val="none"/>
        </w:rPr>
        <w:t>投入的</w:t>
      </w:r>
      <w:r>
        <w:rPr>
          <w:rStyle w:val="71"/>
          <w:rFonts w:hint="eastAsia" w:ascii="仿宋" w:hAnsi="仿宋" w:eastAsia="仿宋" w:cs="仿宋"/>
          <w:color w:val="auto"/>
          <w:sz w:val="24"/>
          <w:szCs w:val="24"/>
          <w:highlight w:val="none"/>
          <w:lang w:val="en-US" w:eastAsia="zh-CN"/>
        </w:rPr>
        <w:t>实物</w:t>
      </w:r>
      <w:r>
        <w:rPr>
          <w:rStyle w:val="71"/>
          <w:rFonts w:hint="eastAsia" w:ascii="仿宋" w:hAnsi="仿宋" w:eastAsia="仿宋" w:cs="仿宋"/>
          <w:color w:val="auto"/>
          <w:sz w:val="24"/>
          <w:szCs w:val="24"/>
          <w:highlight w:val="none"/>
        </w:rPr>
        <w:t>工作量与本次投入的工作量合计需要满足规范要求）。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八、预期提交成果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（一）原始资料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2、各类原始记录卡片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3、野外照(摄)像等影像资料；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4、测试与试验资料；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（二）成果资料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1、报告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新疆新源县地质灾害风险调查评价报告。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2、附图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主要包括基础性图件、应用性图件和其他图件。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3、附件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具体内容详见</w:t>
      </w:r>
      <w:r>
        <w:rPr>
          <w:rStyle w:val="71"/>
          <w:rFonts w:hint="eastAsia" w:ascii="仿宋" w:hAnsi="仿宋" w:eastAsia="仿宋" w:cs="仿宋"/>
          <w:color w:val="auto"/>
          <w:sz w:val="24"/>
          <w:szCs w:val="24"/>
          <w:highlight w:val="none"/>
        </w:rPr>
        <w:t>《地质灾害风险调查评价技术要求（1:50000）》附录P</w:t>
      </w:r>
      <w:r>
        <w:rPr>
          <w:rStyle w:val="71"/>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项目成果资料整理归档严格按照《地质灾害风险调查评价技术要求（1:50000）》</w:t>
      </w:r>
      <w:r>
        <w:rPr>
          <w:rStyle w:val="71"/>
          <w:rFonts w:hint="eastAsia" w:ascii="仿宋" w:hAnsi="仿宋" w:eastAsia="仿宋" w:cs="仿宋"/>
          <w:color w:val="auto"/>
          <w:sz w:val="24"/>
          <w:szCs w:val="24"/>
          <w:highlight w:val="none"/>
          <w:lang w:val="en-US" w:eastAsia="zh-CN"/>
        </w:rPr>
        <w:t>和</w:t>
      </w:r>
      <w:r>
        <w:rPr>
          <w:rStyle w:val="71"/>
          <w:rFonts w:hint="eastAsia" w:ascii="仿宋" w:hAnsi="仿宋" w:eastAsia="仿宋" w:cs="仿宋"/>
          <w:color w:val="auto"/>
          <w:sz w:val="24"/>
          <w:szCs w:val="24"/>
          <w:highlight w:val="none"/>
        </w:rPr>
        <w:t>《地质资料汇交规范》DZ/T0273地质资料汇交规范及相关管理办法规定执行。最终成果资料应按地质资料汇交要求向新疆地质资料馆汇交，并向自治区自然资源厅、伊犁州自然资源局和新源县自然资源局汇交纸介质和电子版各2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九、工作周期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Style w:val="71"/>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lang w:eastAsia="zh-CN"/>
        </w:rPr>
        <w:br w:type="page"/>
      </w:r>
      <w:r>
        <w:rPr>
          <w:rFonts w:hint="eastAsia" w:ascii="仿宋" w:hAnsi="仿宋" w:eastAsia="仿宋" w:cs="Times New Roman"/>
          <w:b/>
          <w:bCs/>
          <w:kern w:val="2"/>
          <w:sz w:val="28"/>
          <w:szCs w:val="28"/>
          <w:lang w:val="en-US" w:eastAsia="zh-CN" w:bidi="ar-SA"/>
        </w:rPr>
        <w:t>标项三：新疆伊犁州群专结合监测预警点建设（2022年度）（一标段）</w:t>
      </w:r>
    </w:p>
    <w:p>
      <w:pPr>
        <w:pStyle w:val="27"/>
        <w:keepNext w:val="0"/>
        <w:keepLines w:val="0"/>
        <w:pageBreakBefore w:val="0"/>
        <w:widowControl w:val="0"/>
        <w:kinsoku/>
        <w:wordWrap/>
        <w:overflowPunct/>
        <w:topLinePunct w:val="0"/>
        <w:autoSpaceDE/>
        <w:autoSpaceDN/>
        <w:bidi w:val="0"/>
        <w:spacing w:line="440" w:lineRule="exact"/>
        <w:outlineLvl w:val="9"/>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项目名称：新疆伊犁州群专结合监测预警点建设（2022年度）（一标段）</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kern w:val="0"/>
          <w:sz w:val="24"/>
          <w:szCs w:val="24"/>
          <w:lang w:val="en-US" w:eastAsia="zh-CN"/>
        </w:rPr>
        <w:t>580.00</w:t>
      </w:r>
      <w:r>
        <w:rPr>
          <w:rFonts w:hint="eastAsia" w:ascii="仿宋" w:hAnsi="仿宋" w:eastAsia="仿宋" w:cs="仿宋"/>
          <w:kern w:val="0"/>
          <w:sz w:val="24"/>
          <w:szCs w:val="24"/>
        </w:rPr>
        <w:t>万元</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伍佰捌拾万元</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工作区位于伊犁州，地处新疆维吾尔自治区西部天山北部的伊犁河谷内，本次工作区涉及到的县市有伊宁市、伊宁县、霍城县、霍尔果斯市、昭苏县、尼勒克县、新源县等7个县市。地理坐标：东经80°10′～83°27′，北纬42°55′～44°50′，总面积4.38万平方千米。</w:t>
      </w:r>
    </w:p>
    <w:p>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最终地质灾害监测预警点位置以投标单位现场踏勘并与当地自然资源主管部门充分沟通确定的为准。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（一）交通位置</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伊犁州，位于中国的西北边陲，新疆西北部。东北与俄罗斯、蒙古国接壤，西与哈萨克斯坦共和国交界，内邻克拉玛依市、阿克苏地区、巴音郭楞蒙古自治州、昌吉回族自治州和石河子市。总面积35万平方公里，相当于中国总面积的三十分之一。。</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（二）社会经济概况</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位于新疆西部的监测区，素有“塞外江南”和“瓜果之乡”的美称。伊宁市是监测区政治、经济、科技、教育、文化的中心，也是伊犁哈萨克自治州的首府。有汉、哈萨克、维吾尔、回、蒙、锡伯、俄罗斯等26个民族。</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区内气候温和、物产富饶、水土光热资源充足，监测区充分依托地缘和资源优势发展工、农、畜牧等产业，已成为国家、自治区重要的粮、油、糖、畜、麻、果品生产基地。</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2019年伊犁哈萨克自治州（全州）生产总值2226.45亿元，比上年增长6.0%。2019年州直属县市生产总值1190.71亿元，比上年增长6.5%。 2020年，伊犁哈萨克自治州实现地区生产总值（GDP）2338.11亿元，比上年增长4.4%。</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（一）地形地貌</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处我国新疆天山山脉西段，区内地形地貌形态较复杂，总体呈“三山夹两谷地一盆地”的格局。监测区北部自西向东分布着NW-SE走向的科古琴山、博罗科努山和依连哈比尔尕山等北天山支脉。依连哈比尔尕山平均海拔高度在3600m以上，最高峰海拔5500m，博科努山海拔4000-4500m。南部自西向东分布着NEE-SWW走向的哈尔克他乌山、那拉提山等南天山支脉，平均海拔高度3500-4000m。铁木里克山、乌孙山、伊什基里克山、阿吾拉勒山等山脉自西向东横亘在监测区的中部。三列山系向东复合于依连哈比尔尕山东端形成依连比尔尕山山结。三列山系之间为喀什河谷地、伊犁-巩乃斯谷地、特克斯-昭苏盆地。山区面积占全区面积的60%以上。</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（二）地层岩性</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kern w:val="0"/>
          <w:sz w:val="24"/>
          <w:szCs w:val="24"/>
        </w:rPr>
        <w:t>监测区出露的地层包括元古界长城系特克斯群(Zta)、长城系—青白口系（Zcq）和蓟县系—青白口系（Zjqkk）；古生界奥陶系（O）、志留系（S）、泥盆系（D）、石炭系（C）、二叠系（P）；中生界三叠系（T）、侏罗系（J）及新生界第三系（E、N）、第四系（Q）。</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（三）水文地质条件</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bookmarkStart w:id="261" w:name="_Toc172355312"/>
      <w:bookmarkStart w:id="262" w:name="_Toc172353180"/>
      <w:bookmarkStart w:id="263" w:name="_Toc172356668"/>
      <w:r>
        <w:rPr>
          <w:rFonts w:hint="eastAsia" w:ascii="仿宋" w:hAnsi="仿宋" w:eastAsia="仿宋" w:cs="仿宋"/>
          <w:kern w:val="0"/>
          <w:sz w:val="24"/>
          <w:szCs w:val="24"/>
        </w:rPr>
        <w:t>监测区地下水的形成、运移及赋存受区内地形地貌、地层岩性、气象水文等诸多因素的影响和制约，山区、平原区水文地质条件差异很大。</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基岩山区以基岩裂隙水和碳酸盐岩类岩溶裂隙水为主，地下水的主要补给形式为大气降水、冰雪融化水入渗。在水流切割剧烈的山区，基岩裂隙水沿断层和裂隙带，从高处向低处流动，经过短途径流，在条件适宜处以下降泉的形式溢出地表，排泄于沟谷中。</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（四）工程地质条件</w:t>
      </w:r>
    </w:p>
    <w:bookmarkEnd w:id="261"/>
    <w:bookmarkEnd w:id="262"/>
    <w:bookmarkEnd w:id="263"/>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岩土介质分为岩体和土体两大类，其中岩体进一步依据成因类型、岩体结构类型（块状结构面、层状结构面和碎裂结构面）、岩性组合、物质成分、岩石强度（坚硬、较坚硬、软弱）划分为四个工程地质岩组：块状坚硬花岗岩岩组;块状、层状坚硬-较坚硬以砂岩为主的碎屑岩岩组;坚硬中-厚层状碳酸岩组;互层状较坚硬-较软弱以砂岩、砾岩、泥岩为主的碎屑岩岩组。</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（五）研究程度</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通过近年来进行1:5万地质灾害详细调查、地质灾害风险调查评价及地质灾害勘查和防治工程项目的开展，区内地质灾害防治取得了显著的成效：</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1.目前区内各县市年度地质灾害防治方案、巡查检查、应急调查和灾情速报等制度已建立，并在此基础上不断完善和落实；</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2.目前区内各县市地质灾害三级群策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kern w:val="0"/>
          <w:sz w:val="24"/>
          <w:szCs w:val="24"/>
        </w:rPr>
        <w:t>伊犁州境内发育的地质灾害类型主要以崩塌、泥石流为主，其次为滑坡。依据地质灾害详查资料及最新核查排查结果，监测区共查明各类地质灾害隐患点共计1180余处，包括崩塌、泥石流、滑坡和地面塌陷等灾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kern w:val="0"/>
          <w:sz w:val="24"/>
          <w:szCs w:val="24"/>
        </w:rPr>
      </w:pPr>
      <w:r>
        <w:rPr>
          <w:rFonts w:hint="eastAsia" w:ascii="仿宋" w:hAnsi="仿宋" w:eastAsia="仿宋" w:cs="仿宋"/>
          <w:kern w:val="0"/>
          <w:sz w:val="24"/>
          <w:szCs w:val="24"/>
        </w:rPr>
        <w:t>通过在伊犁州伊宁市等7个县市选取 60 处地质灾害隐患点，实施开展新疆伊犁州群专结合监测预警点建设（2022年度）（一标段）项目，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（一）标准规范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2.《滑坡防治工程勘查规范》,GB/T32864-2016；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4.《工程测量规范》，GB50026-2007；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5.《地质调查项目预算标准（2021年）》；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仿宋" w:hAnsi="仿宋" w:eastAsia="仿宋" w:cs="仿宋"/>
          <w:bCs/>
          <w:sz w:val="24"/>
          <w:szCs w:val="24"/>
        </w:rPr>
      </w:pPr>
      <w:r>
        <w:rPr>
          <w:rFonts w:hint="eastAsia" w:ascii="仿宋" w:hAnsi="仿宋" w:eastAsia="仿宋" w:cs="仿宋"/>
          <w:bCs/>
          <w:sz w:val="24"/>
          <w:szCs w:val="24"/>
        </w:rPr>
        <w:t>（二）监测设备技术要求</w:t>
      </w: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r>
              <w:rPr>
                <w:rFonts w:hint="eastAsia" w:ascii="仿宋" w:hAnsi="仿宋" w:eastAsia="仿宋" w:cs="仿宋"/>
                <w:b/>
                <w:w w:val="99"/>
                <w:sz w:val="24"/>
                <w:szCs w:val="24"/>
              </w:rPr>
              <w:t xml:space="preserve"> </w:t>
            </w:r>
          </w:p>
        </w:tc>
        <w:tc>
          <w:tcPr>
            <w:tcW w:w="1654" w:type="dxa"/>
          </w:tcPr>
          <w:p>
            <w:pPr>
              <w:pStyle w:val="72"/>
              <w:keepNext w:val="0"/>
              <w:keepLines w:val="0"/>
              <w:pageBreakBefore w:val="0"/>
              <w:widowControl w:val="0"/>
              <w:kinsoku/>
              <w:wordWrap/>
              <w:overflowPunct/>
              <w:topLinePunct w:val="0"/>
              <w:autoSpaceDE/>
              <w:autoSpaceDN/>
              <w:bidi w:val="0"/>
              <w:spacing w:before="22"/>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177"/>
              <w:ind w:right="289"/>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58" w:type="dxa"/>
          </w:tcPr>
          <w:p>
            <w:pPr>
              <w:pStyle w:val="72"/>
              <w:keepNext w:val="0"/>
              <w:keepLines w:val="0"/>
              <w:pageBreakBefore w:val="0"/>
              <w:widowControl w:val="0"/>
              <w:kinsoku/>
              <w:wordWrap/>
              <w:overflowPunct/>
              <w:topLinePunct w:val="0"/>
              <w:autoSpaceDE/>
              <w:autoSpaceDN/>
              <w:bidi w:val="0"/>
              <w:ind w:left="1395"/>
              <w:outlineLvl w:val="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0～8mm/min（</w:t>
            </w:r>
            <w:r>
              <w:rPr>
                <w:rFonts w:hint="eastAsia" w:ascii="仿宋" w:hAnsi="仿宋" w:eastAsia="仿宋" w:cs="仿宋"/>
                <w:sz w:val="24"/>
                <w:szCs w:val="24"/>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outlineLvl w:val="9"/>
              <w:rPr>
                <w:rFonts w:hint="eastAsia" w:ascii="仿宋" w:hAnsi="仿宋" w:eastAsia="仿宋" w:cs="仿宋"/>
                <w:sz w:val="24"/>
                <w:szCs w:val="24"/>
              </w:rPr>
            </w:pPr>
            <w:r>
              <w:rPr>
                <w:rFonts w:hint="eastAsia" w:ascii="仿宋" w:hAnsi="仿宋" w:eastAsia="仿宋" w:cs="仿宋"/>
                <w:spacing w:val="-1"/>
                <w:sz w:val="24"/>
                <w:szCs w:val="24"/>
              </w:rPr>
              <w:t>0～4mm/min（</w:t>
            </w:r>
            <w:r>
              <w:rPr>
                <w:rFonts w:hint="eastAsia" w:ascii="仿宋" w:hAnsi="仿宋" w:eastAsia="仿宋" w:cs="仿宋"/>
                <w:sz w:val="24"/>
                <w:szCs w:val="24"/>
              </w:rPr>
              <w:t>毫米/分）（翻斗式）</w:t>
            </w:r>
          </w:p>
        </w:tc>
        <w:tc>
          <w:tcPr>
            <w:tcW w:w="1654" w:type="dxa"/>
          </w:tcPr>
          <w:p>
            <w:pPr>
              <w:pStyle w:val="72"/>
              <w:keepNext w:val="0"/>
              <w:keepLines w:val="0"/>
              <w:pageBreakBefore w:val="0"/>
              <w:widowControl w:val="0"/>
              <w:kinsoku/>
              <w:wordWrap/>
              <w:overflowPunct/>
              <w:topLinePunct w:val="0"/>
              <w:autoSpaceDE/>
              <w:autoSpaceDN/>
              <w:bidi w:val="0"/>
              <w:spacing w:before="177"/>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ind w:right="289"/>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±4%</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outlineLvl w:val="9"/>
              <w:rPr>
                <w:rFonts w:hint="eastAsia" w:ascii="仿宋" w:hAnsi="仿宋" w:eastAsia="仿宋" w:cs="仿宋"/>
                <w:sz w:val="24"/>
                <w:szCs w:val="24"/>
              </w:rPr>
            </w:pPr>
            <w:r>
              <w:rPr>
                <w:rFonts w:hint="eastAsia" w:ascii="仿宋" w:hAnsi="仿宋" w:eastAsia="仿宋" w:cs="仿宋"/>
                <w:sz w:val="24"/>
                <w:szCs w:val="24"/>
              </w:rPr>
              <w:t>0.2mm</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58" w:type="dxa"/>
          </w:tcPr>
          <w:p>
            <w:pPr>
              <w:pStyle w:val="72"/>
              <w:keepNext w:val="0"/>
              <w:keepLines w:val="0"/>
              <w:pageBreakBefore w:val="0"/>
              <w:widowControl w:val="0"/>
              <w:kinsoku/>
              <w:wordWrap/>
              <w:overflowPunct/>
              <w:topLinePunct w:val="0"/>
              <w:autoSpaceDE/>
              <w:autoSpaceDN/>
              <w:bidi w:val="0"/>
              <w:ind w:left="639" w:right="527"/>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8"/>
              <w:outlineLvl w:val="9"/>
              <w:rPr>
                <w:rFonts w:hint="eastAsia" w:ascii="仿宋" w:hAnsi="仿宋" w:eastAsia="仿宋" w:cs="仿宋"/>
                <w:sz w:val="24"/>
                <w:szCs w:val="24"/>
              </w:rPr>
            </w:pPr>
            <w:r>
              <w:rPr>
                <w:rFonts w:hint="eastAsia" w:ascii="仿宋" w:hAnsi="仿宋" w:eastAsia="仿宋" w:cs="仿宋"/>
                <w:sz w:val="24"/>
                <w:szCs w:val="24"/>
              </w:rPr>
              <w:t>RS485/NB-IoT/LoRa/α/2/4/5G等</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58"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rPr>
            </w:pPr>
            <w:r>
              <w:rPr>
                <w:rFonts w:hint="eastAsia" w:ascii="仿宋" w:hAnsi="仿宋" w:eastAsia="仿宋" w:cs="仿宋"/>
                <w:sz w:val="24"/>
                <w:szCs w:val="24"/>
              </w:rPr>
              <w:t>0℃～+65℃</w:t>
            </w:r>
          </w:p>
        </w:tc>
        <w:tc>
          <w:tcPr>
            <w:tcW w:w="1654" w:type="dxa"/>
          </w:tcPr>
          <w:p>
            <w:pPr>
              <w:pStyle w:val="72"/>
              <w:keepNext w:val="0"/>
              <w:keepLines w:val="0"/>
              <w:pageBreakBefore w:val="0"/>
              <w:widowControl w:val="0"/>
              <w:kinsoku/>
              <w:wordWrap/>
              <w:overflowPunct/>
              <w:topLinePunct w:val="0"/>
              <w:autoSpaceDE/>
              <w:autoSpaceDN/>
              <w:bidi w:val="0"/>
              <w:ind w:right="151"/>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58" w:type="dxa"/>
          </w:tcPr>
          <w:p>
            <w:pPr>
              <w:pStyle w:val="72"/>
              <w:keepNext w:val="0"/>
              <w:keepLines w:val="0"/>
              <w:pageBreakBefore w:val="0"/>
              <w:widowControl w:val="0"/>
              <w:kinsoku/>
              <w:wordWrap/>
              <w:overflowPunct/>
              <w:topLinePunct w:val="0"/>
              <w:autoSpaceDE/>
              <w:autoSpaceDN/>
              <w:bidi w:val="0"/>
              <w:ind w:right="528"/>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7"/>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1654" w:type="dxa"/>
          </w:tcPr>
          <w:p>
            <w:pPr>
              <w:pStyle w:val="72"/>
              <w:keepNext w:val="0"/>
              <w:keepLines w:val="0"/>
              <w:pageBreakBefore w:val="0"/>
              <w:widowControl w:val="0"/>
              <w:kinsoku/>
              <w:wordWrap/>
              <w:overflowPunct/>
              <w:topLinePunct w:val="0"/>
              <w:autoSpaceDE/>
              <w:autoSpaceDN/>
              <w:bidi w:val="0"/>
              <w:spacing w:before="22"/>
              <w:ind w:left="11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58"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立杆胀杆固定、一体化基座安装箱、浇筑基础等</w:t>
            </w:r>
          </w:p>
        </w:tc>
        <w:tc>
          <w:tcPr>
            <w:tcW w:w="1654" w:type="dxa"/>
          </w:tcPr>
          <w:p>
            <w:pPr>
              <w:pStyle w:val="72"/>
              <w:keepNext w:val="0"/>
              <w:keepLines w:val="0"/>
              <w:pageBreakBefore w:val="0"/>
              <w:widowControl w:val="0"/>
              <w:kinsoku/>
              <w:wordWrap/>
              <w:overflowPunct/>
              <w:topLinePunct w:val="0"/>
              <w:autoSpaceDE/>
              <w:autoSpaceDN/>
              <w:bidi w:val="0"/>
              <w:ind w:left="11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58" w:type="dxa"/>
          </w:tcPr>
          <w:p>
            <w:pPr>
              <w:pStyle w:val="72"/>
              <w:keepNext w:val="0"/>
              <w:keepLines w:val="0"/>
              <w:pageBreakBefore w:val="0"/>
              <w:widowControl w:val="0"/>
              <w:kinsoku/>
              <w:wordWrap/>
              <w:overflowPunct/>
              <w:topLinePunct w:val="0"/>
              <w:autoSpaceDE/>
              <w:autoSpaceDN/>
              <w:bidi w:val="0"/>
              <w:ind w:right="527"/>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按需供电方式，满足连续30个阴雨日正常工作</w:t>
            </w:r>
          </w:p>
        </w:tc>
        <w:tc>
          <w:tcPr>
            <w:tcW w:w="1654" w:type="dxa"/>
          </w:tcPr>
          <w:p>
            <w:pPr>
              <w:pStyle w:val="72"/>
              <w:keepNext w:val="0"/>
              <w:keepLines w:val="0"/>
              <w:pageBreakBefore w:val="0"/>
              <w:widowControl w:val="0"/>
              <w:kinsoku/>
              <w:wordWrap/>
              <w:overflowPunct/>
              <w:topLinePunct w:val="0"/>
              <w:autoSpaceDE/>
              <w:autoSpaceDN/>
              <w:bidi w:val="0"/>
              <w:ind w:right="15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r>
        <w:rPr>
          <w:rFonts w:hint="eastAsia" w:ascii="仿宋" w:hAnsi="仿宋" w:eastAsia="仿宋" w:cs="仿宋"/>
          <w:sz w:val="24"/>
          <w:szCs w:val="24"/>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tcPr>
          <w:p>
            <w:pPr>
              <w:pStyle w:val="72"/>
              <w:keepNext w:val="0"/>
              <w:keepLines w:val="0"/>
              <w:pageBreakBefore w:val="0"/>
              <w:widowControl w:val="0"/>
              <w:kinsoku/>
              <w:wordWrap/>
              <w:overflowPunct/>
              <w:topLinePunct w:val="0"/>
              <w:autoSpaceDE/>
              <w:autoSpaceDN/>
              <w:bidi w:val="0"/>
              <w:ind w:right="252"/>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135" w:type="dxa"/>
          </w:tcPr>
          <w:p>
            <w:pPr>
              <w:pStyle w:val="72"/>
              <w:keepNext w:val="0"/>
              <w:keepLines w:val="0"/>
              <w:pageBreakBefore w:val="0"/>
              <w:widowControl w:val="0"/>
              <w:kinsoku/>
              <w:wordWrap/>
              <w:overflowPunct/>
              <w:topLinePunct w:val="0"/>
              <w:autoSpaceDE/>
              <w:autoSpaceDN/>
              <w:bidi w:val="0"/>
              <w:ind w:left="844" w:right="730"/>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510" w:type="dxa"/>
          </w:tcPr>
          <w:p>
            <w:pPr>
              <w:pStyle w:val="72"/>
              <w:keepNext w:val="0"/>
              <w:keepLines w:val="0"/>
              <w:pageBreakBefore w:val="0"/>
              <w:widowControl w:val="0"/>
              <w:kinsoku/>
              <w:wordWrap/>
              <w:overflowPunct/>
              <w:topLinePunct w:val="0"/>
              <w:autoSpaceDE/>
              <w:autoSpaceDN/>
              <w:bidi w:val="0"/>
              <w:ind w:left="376" w:right="264"/>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干土～饱和土</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±4%</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right="20"/>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right="20"/>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135" w:type="dxa"/>
          </w:tcPr>
          <w:p>
            <w:pPr>
              <w:pStyle w:val="72"/>
              <w:keepNext w:val="0"/>
              <w:keepLines w:val="0"/>
              <w:pageBreakBefore w:val="0"/>
              <w:widowControl w:val="0"/>
              <w:kinsoku/>
              <w:wordWrap/>
              <w:overflowPunct/>
              <w:topLinePunct w:val="0"/>
              <w:autoSpaceDE/>
              <w:autoSpaceDN/>
              <w:bidi w:val="0"/>
              <w:spacing w:before="22"/>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510" w:type="dxa"/>
          </w:tcPr>
          <w:p>
            <w:pPr>
              <w:pStyle w:val="72"/>
              <w:keepNext w:val="0"/>
              <w:keepLines w:val="0"/>
              <w:pageBreakBefore w:val="0"/>
              <w:widowControl w:val="0"/>
              <w:kinsoku/>
              <w:wordWrap/>
              <w:overflowPunct/>
              <w:topLinePunct w:val="0"/>
              <w:autoSpaceDE/>
              <w:autoSpaceDN/>
              <w:bidi w:val="0"/>
              <w:spacing w:before="22"/>
              <w:ind w:left="87"/>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分层含水率、温度、振动加速度、倾角等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tcPr>
          <w:p>
            <w:pPr>
              <w:pStyle w:val="72"/>
              <w:keepNext w:val="0"/>
              <w:keepLines w:val="0"/>
              <w:pageBreakBefore w:val="0"/>
              <w:widowControl w:val="0"/>
              <w:kinsoku/>
              <w:wordWrap/>
              <w:overflowPunct/>
              <w:topLinePunct w:val="0"/>
              <w:autoSpaceDE/>
              <w:autoSpaceDN/>
              <w:bidi w:val="0"/>
              <w:ind w:right="-59"/>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135" w:type="dxa"/>
          </w:tcPr>
          <w:p>
            <w:pPr>
              <w:pStyle w:val="72"/>
              <w:keepNext w:val="0"/>
              <w:keepLines w:val="0"/>
              <w:pageBreakBefore w:val="0"/>
              <w:widowControl w:val="0"/>
              <w:kinsoku/>
              <w:wordWrap/>
              <w:overflowPunct/>
              <w:topLinePunct w:val="0"/>
              <w:autoSpaceDE/>
              <w:autoSpaceDN/>
              <w:bidi w:val="0"/>
              <w:ind w:right="529"/>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510" w:type="dxa"/>
          </w:tcPr>
          <w:p>
            <w:pPr>
              <w:pStyle w:val="72"/>
              <w:keepNext w:val="0"/>
              <w:keepLines w:val="0"/>
              <w:pageBreakBefore w:val="0"/>
              <w:widowControl w:val="0"/>
              <w:kinsoku/>
              <w:wordWrap/>
              <w:overflowPunct/>
              <w:topLinePunct w:val="0"/>
              <w:autoSpaceDE/>
              <w:autoSpaceDN/>
              <w:bidi w:val="0"/>
              <w:ind w:right="20"/>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IP68</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原状土回灌泥浆等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86"/>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outlineLvl w:val="9"/>
              <w:rPr>
                <w:rFonts w:hint="eastAsia" w:ascii="仿宋" w:hAnsi="仿宋" w:eastAsia="仿宋" w:cs="仿宋"/>
                <w:sz w:val="24"/>
                <w:szCs w:val="24"/>
                <w:lang w:eastAsia="zh-CN"/>
              </w:rPr>
            </w:pPr>
          </w:p>
        </w:tc>
      </w:tr>
    </w:tbl>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outlineLvl w:val="9"/>
        <w:rPr>
          <w:rFonts w:hint="eastAsia" w:ascii="仿宋" w:hAnsi="仿宋" w:eastAsia="仿宋" w:cs="仿宋"/>
          <w:sz w:val="24"/>
          <w:szCs w:val="24"/>
        </w:rPr>
      </w:pPr>
      <w:r>
        <w:rPr>
          <w:rFonts w:hint="eastAsia" w:ascii="仿宋" w:hAnsi="仿宋" w:eastAsia="仿宋" w:cs="仿宋"/>
          <w:sz w:val="24"/>
          <w:szCs w:val="24"/>
        </w:rPr>
        <w:t>表3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参数类型</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技术指标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restart"/>
          </w:tcPr>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outlineLvl w:val="9"/>
              <w:rPr>
                <w:rFonts w:hint="eastAsia" w:ascii="仿宋" w:hAnsi="仿宋" w:eastAsia="仿宋" w:cs="仿宋"/>
                <w:sz w:val="24"/>
                <w:szCs w:val="24"/>
                <w:lang w:bidi="en-US"/>
              </w:rPr>
            </w:pPr>
          </w:p>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outlineLvl w:val="9"/>
              <w:rPr>
                <w:rFonts w:hint="eastAsia" w:ascii="仿宋" w:hAnsi="仿宋" w:eastAsia="仿宋" w:cs="仿宋"/>
                <w:sz w:val="24"/>
                <w:szCs w:val="24"/>
                <w:lang w:eastAsia="en-US" w:bidi="en-US"/>
              </w:rPr>
            </w:pPr>
            <w:r>
              <w:rPr>
                <w:rFonts w:hint="eastAsia" w:ascii="仿宋" w:hAnsi="仿宋" w:eastAsia="仿宋" w:cs="仿宋"/>
                <w:sz w:val="24"/>
                <w:szCs w:val="24"/>
                <w:lang w:bidi="en-US"/>
              </w:rPr>
              <w:t>测量精度</w:t>
            </w:r>
            <w:r>
              <w:rPr>
                <w:rFonts w:hint="eastAsia" w:ascii="仿宋" w:hAnsi="仿宋" w:eastAsia="仿宋" w:cs="仿宋"/>
                <w:sz w:val="24"/>
                <w:szCs w:val="24"/>
                <w:lang w:eastAsia="en-US" w:bidi="en-US"/>
              </w:rPr>
              <w:t xml:space="preserve"> </w:t>
            </w:r>
          </w:p>
        </w:tc>
        <w:tc>
          <w:tcPr>
            <w:tcW w:w="2039" w:type="dxa"/>
            <w:vMerge w:val="restart"/>
          </w:tcPr>
          <w:p>
            <w:pPr>
              <w:pStyle w:val="72"/>
              <w:keepNext w:val="0"/>
              <w:keepLines w:val="0"/>
              <w:pageBreakBefore w:val="0"/>
              <w:widowControl w:val="0"/>
              <w:kinsoku/>
              <w:wordWrap/>
              <w:overflowPunct/>
              <w:topLinePunct w:val="0"/>
              <w:autoSpaceDE/>
              <w:autoSpaceDN/>
              <w:bidi w:val="0"/>
              <w:spacing w:before="142"/>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350"/>
              <w:jc w:val="right"/>
              <w:outlineLvl w:val="9"/>
              <w:rPr>
                <w:rFonts w:hint="eastAsia" w:ascii="仿宋" w:hAnsi="仿宋" w:eastAsia="仿宋" w:cs="仿宋"/>
                <w:sz w:val="24"/>
                <w:szCs w:val="24"/>
              </w:rPr>
            </w:pPr>
            <w:r>
              <w:rPr>
                <w:rFonts w:hint="eastAsia" w:ascii="仿宋" w:hAnsi="仿宋" w:eastAsia="仿宋" w:cs="仿宋"/>
                <w:sz w:val="24"/>
                <w:szCs w:val="24"/>
              </w:rPr>
              <w:t xml:space="preserve">水平：5mm+1ppm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垂直：10mm+1ppm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restart"/>
          </w:tcPr>
          <w:p>
            <w:pPr>
              <w:pStyle w:val="72"/>
              <w:keepNext w:val="0"/>
              <w:keepLines w:val="0"/>
              <w:pageBreakBefore w:val="0"/>
              <w:widowControl w:val="0"/>
              <w:kinsoku/>
              <w:wordWrap/>
              <w:overflowPunct/>
              <w:topLinePunct w:val="0"/>
              <w:autoSpaceDE/>
              <w:autoSpaceDN/>
              <w:bidi w:val="0"/>
              <w:spacing w:before="142"/>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3042" w:type="dxa"/>
          </w:tcPr>
          <w:p>
            <w:pPr>
              <w:pStyle w:val="72"/>
              <w:keepNext w:val="0"/>
              <w:keepLines w:val="0"/>
              <w:pageBreakBefore w:val="0"/>
              <w:widowControl w:val="0"/>
              <w:kinsoku/>
              <w:wordWrap/>
              <w:overflowPunct/>
              <w:topLinePunct w:val="0"/>
              <w:autoSpaceDE/>
              <w:autoSpaceDN/>
              <w:bidi w:val="0"/>
              <w:spacing w:before="2"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水平：10mm+1ppm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outlineLvl w:val="9"/>
              <w:rPr>
                <w:rFonts w:hint="eastAsia" w:ascii="仿宋" w:hAnsi="仿宋" w:eastAsia="仿宋" w:cs="仿宋"/>
                <w:sz w:val="24"/>
                <w:szCs w:val="24"/>
              </w:rPr>
            </w:pPr>
            <w:r>
              <w:rPr>
                <w:rFonts w:hint="eastAsia" w:ascii="仿宋" w:hAnsi="仿宋" w:eastAsia="仿宋" w:cs="仿宋"/>
                <w:sz w:val="24"/>
                <w:szCs w:val="24"/>
              </w:rPr>
              <w:t xml:space="preserve">垂直：20mm+1ppm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采样间隔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0s～24h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上传间隔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0s～72h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输出信号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NB-IoT/LoRa/α/4/5G 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通讯标准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符合《地质灾害监测数据通讯技术要求》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输出参数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位移、倾角、振动加速度等 RTCM32原始数据（静态模式）、动态位移（动态模式）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星频要求及工作模式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BDS+GPS/双星四频以上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功耗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在采样间隔不低于 15s 且上传间隔不低于 15s 情况下，接收机正常工作的平均功耗</w:t>
            </w:r>
            <w:r>
              <w:rPr>
                <w:rFonts w:hint="eastAsia" w:ascii="仿宋" w:hAnsi="仿宋" w:eastAsia="仿宋" w:cs="仿宋"/>
                <w:sz w:val="24"/>
                <w:szCs w:val="24"/>
                <w:lang w:eastAsia="zh-CN"/>
              </w:rPr>
              <w:t>〈</w:t>
            </w:r>
            <w:r>
              <w:rPr>
                <w:rFonts w:hint="eastAsia" w:ascii="仿宋" w:hAnsi="仿宋" w:eastAsia="仿宋" w:cs="仿宋"/>
                <w:sz w:val="24"/>
                <w:szCs w:val="24"/>
              </w:rPr>
              <w:t xml:space="preserve">2W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工作温度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-20～+65℃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防护等级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rPr>
            </w:pPr>
            <w:r>
              <w:rPr>
                <w:rFonts w:hint="eastAsia" w:ascii="仿宋" w:hAnsi="仿宋" w:eastAsia="仿宋" w:cs="仿宋"/>
                <w:sz w:val="24"/>
                <w:szCs w:val="24"/>
              </w:rPr>
              <w:t xml:space="preserve">IP67 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设备可靠性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MTBF 指标不低于 10000 小时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安装方式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标准观测墩、现浇混凝土墩、钢结构等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 xml:space="preserve">供电方式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按需供电方式，满足连续 30 个阴雨日正常工作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outlineLvl w:val="9"/>
              <w:rPr>
                <w:rFonts w:hint="eastAsia" w:ascii="仿宋" w:hAnsi="仿宋" w:eastAsia="仿宋" w:cs="仿宋"/>
                <w:sz w:val="24"/>
                <w:szCs w:val="24"/>
              </w:rPr>
            </w:pPr>
            <w:r>
              <w:rPr>
                <w:rFonts w:hint="eastAsia" w:ascii="仿宋" w:hAnsi="仿宋" w:eastAsia="仿宋" w:cs="仿宋"/>
                <w:sz w:val="24"/>
                <w:szCs w:val="24"/>
              </w:rPr>
              <w:t xml:space="preserve">过压及欠压保护 </w:t>
            </w:r>
          </w:p>
        </w:tc>
      </w:tr>
    </w:tbl>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 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018"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674"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0～50/100</w:t>
            </w:r>
            <w:r>
              <w:rPr>
                <w:rFonts w:hint="eastAsia" w:ascii="仿宋" w:hAnsi="仿宋" w:eastAsia="仿宋" w:cs="仿宋"/>
                <w:sz w:val="24"/>
                <w:szCs w:val="24"/>
                <w:lang w:eastAsia="zh-CN"/>
              </w:rPr>
              <w:t>/</w:t>
            </w:r>
            <w:r>
              <w:rPr>
                <w:rFonts w:hint="eastAsia" w:ascii="仿宋" w:hAnsi="仿宋" w:eastAsia="仿宋" w:cs="仿宋"/>
                <w:sz w:val="24"/>
                <w:szCs w:val="24"/>
              </w:rPr>
              <w:t>200/500cm</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裂缝宽度、振动加速度、倾角等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17"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20"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±30°</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 6</w:t>
      </w:r>
      <w:r>
        <w:rPr>
          <w:rFonts w:hint="eastAsia" w:ascii="仿宋" w:hAnsi="仿宋" w:eastAsia="仿宋" w:cs="仿宋"/>
          <w:sz w:val="24"/>
          <w:szCs w:val="24"/>
        </w:rPr>
        <w:tab/>
      </w:r>
      <w:r>
        <w:rPr>
          <w:rFonts w:hint="eastAsia" w:ascii="仿宋" w:hAnsi="仿宋" w:eastAsia="仿宋" w:cs="仿宋"/>
          <w:sz w:val="24"/>
          <w:szCs w:val="24"/>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tcPr>
          <w:p>
            <w:pPr>
              <w:pStyle w:val="72"/>
              <w:keepNext w:val="0"/>
              <w:keepLines w:val="0"/>
              <w:pageBreakBefore w:val="0"/>
              <w:widowControl w:val="0"/>
              <w:kinsoku/>
              <w:wordWrap/>
              <w:overflowPunct/>
              <w:topLinePunct w:val="0"/>
              <w:autoSpaceDE/>
              <w:autoSpaceDN/>
              <w:bidi w:val="0"/>
              <w:ind w:right="255"/>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64"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41"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±1mg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振动加速度、倾角、自振频率、最大振幅等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标准观测墩、现浇混凝土墩、钢结构、粘结、铆接等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2"/>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tcPr>
          <w:p>
            <w:pPr>
              <w:pStyle w:val="72"/>
              <w:keepNext w:val="0"/>
              <w:keepLines w:val="0"/>
              <w:pageBreakBefore w:val="0"/>
              <w:widowControl w:val="0"/>
              <w:kinsoku/>
              <w:wordWrap/>
              <w:overflowPunct/>
              <w:topLinePunct w:val="0"/>
              <w:autoSpaceDE/>
              <w:autoSpaceDN/>
              <w:bidi w:val="0"/>
              <w:ind w:left="404" w:right="289"/>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990" w:type="dxa"/>
          </w:tcPr>
          <w:p>
            <w:pPr>
              <w:pStyle w:val="72"/>
              <w:keepNext w:val="0"/>
              <w:keepLines w:val="0"/>
              <w:pageBreakBefore w:val="0"/>
              <w:widowControl w:val="0"/>
              <w:kinsoku/>
              <w:wordWrap/>
              <w:overflowPunct/>
              <w:topLinePunct w:val="0"/>
              <w:autoSpaceDE/>
              <w:autoSpaceDN/>
              <w:bidi w:val="0"/>
              <w:ind w:left="639" w:right="529"/>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88" w:type="dxa"/>
          </w:tcPr>
          <w:p>
            <w:pPr>
              <w:pStyle w:val="72"/>
              <w:keepNext w:val="0"/>
              <w:keepLines w:val="0"/>
              <w:pageBreakBefore w:val="0"/>
              <w:widowControl w:val="0"/>
              <w:kinsoku/>
              <w:wordWrap/>
              <w:overflowPunct/>
              <w:topLinePunct w:val="0"/>
              <w:autoSpaceDE/>
              <w:autoSpaceDN/>
              <w:bidi w:val="0"/>
              <w:ind w:left="262" w:right="152"/>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0.6～40m</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钢结构、现浇混凝土墩等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57" w:type="dxa"/>
            <w:gridSpan w:val="2"/>
          </w:tcPr>
          <w:p>
            <w:pPr>
              <w:pStyle w:val="72"/>
              <w:keepNext w:val="0"/>
              <w:keepLines w:val="0"/>
              <w:pageBreakBefore w:val="0"/>
              <w:widowControl w:val="0"/>
              <w:kinsoku/>
              <w:wordWrap/>
              <w:overflowPunct/>
              <w:topLinePunct w:val="0"/>
              <w:autoSpaceDE/>
              <w:autoSpaceDN/>
              <w:bidi w:val="0"/>
              <w:ind w:left="118" w:right="8"/>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20" w:type="dxa"/>
          </w:tcPr>
          <w:p>
            <w:pPr>
              <w:pStyle w:val="72"/>
              <w:keepNext w:val="0"/>
              <w:keepLines w:val="0"/>
              <w:pageBreakBefore w:val="0"/>
              <w:widowControl w:val="0"/>
              <w:kinsoku/>
              <w:wordWrap/>
              <w:overflowPunct/>
              <w:topLinePunct w:val="0"/>
              <w:autoSpaceDE/>
              <w:autoSpaceDN/>
              <w:bidi w:val="0"/>
              <w:ind w:left="139" w:right="29"/>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水平：2.5mm+0.5ppm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continue"/>
            <w:tcBorders>
              <w:top w:val="nil"/>
            </w:tcBorders>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垂直：5mm+0.5ppm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水平：8mm+1ppm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3038"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垂直：15mm+1ppm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接收机内部噪声水平优于 0.2mm</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天线</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相位中心误差±1mm；噪声系数≤2dB</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NB-IoT/LoRa/α/4/5G 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工作模式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三星八频以上</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数据格式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支持 RTCM32 原始数据及实时动态结果数据上传</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多路径误差</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每小时每颗卫星：L1/B1 频段优于 0.3 米；L2/B2 频段优于 0.3米</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周跳比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周跳比每小时不小于 8000；</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IP68</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设备可靠性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MTBF 时间不小于 20000 小时</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
        <w:jc w:val="center"/>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outlineLvl w:val="9"/>
        <w:rPr>
          <w:rFonts w:hint="eastAsia" w:ascii="仿宋" w:hAnsi="仿宋" w:eastAsia="仿宋" w:cs="仿宋"/>
          <w:sz w:val="24"/>
          <w:szCs w:val="24"/>
        </w:rPr>
      </w:pPr>
      <w:r>
        <w:rPr>
          <w:rFonts w:hint="eastAsia" w:ascii="仿宋" w:hAnsi="仿宋" w:eastAsia="仿宋" w:cs="仿宋"/>
          <w:sz w:val="24"/>
          <w:szCs w:val="24"/>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75" w:type="dxa"/>
            <w:gridSpan w:val="2"/>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06" w:type="dxa"/>
          </w:tcPr>
          <w:p>
            <w:pPr>
              <w:pStyle w:val="72"/>
              <w:keepNext w:val="0"/>
              <w:keepLines w:val="0"/>
              <w:pageBreakBefore w:val="0"/>
              <w:widowControl w:val="0"/>
              <w:kinsoku/>
              <w:wordWrap/>
              <w:overflowPunct/>
              <w:topLinePunct w:val="0"/>
              <w:autoSpaceDE/>
              <w:autoSpaceDN/>
              <w:bidi w:val="0"/>
              <w:ind w:left="338" w:right="225"/>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75" w:type="dxa"/>
            <w:gridSpan w:val="2"/>
          </w:tcPr>
          <w:p>
            <w:pPr>
              <w:pStyle w:val="72"/>
              <w:keepNext w:val="0"/>
              <w:keepLines w:val="0"/>
              <w:pageBreakBefore w:val="0"/>
              <w:widowControl w:val="0"/>
              <w:kinsoku/>
              <w:wordWrap/>
              <w:overflowPunct/>
              <w:topLinePunct w:val="0"/>
              <w:autoSpaceDE/>
              <w:autoSpaceDN/>
              <w:bidi w:val="0"/>
              <w:ind w:left="851" w:right="738"/>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06" w:type="dxa"/>
          </w:tcPr>
          <w:p>
            <w:pPr>
              <w:pStyle w:val="72"/>
              <w:keepNext w:val="0"/>
              <w:keepLines w:val="0"/>
              <w:pageBreakBefore w:val="0"/>
              <w:widowControl w:val="0"/>
              <w:kinsoku/>
              <w:wordWrap/>
              <w:overflowPunct/>
              <w:topLinePunct w:val="0"/>
              <w:autoSpaceDE/>
              <w:autoSpaceDN/>
              <w:bidi w:val="0"/>
              <w:ind w:left="113"/>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报警来源</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right="45"/>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本地人工播报；本地自主判断；远程系统发送等</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报警方式</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报警音；警示灯光；语音播报</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通讯方式</w:t>
            </w:r>
          </w:p>
        </w:tc>
        <w:tc>
          <w:tcPr>
            <w:tcW w:w="4675" w:type="dxa"/>
            <w:gridSpan w:val="2"/>
          </w:tcPr>
          <w:p>
            <w:pPr>
              <w:pStyle w:val="72"/>
              <w:keepNext w:val="0"/>
              <w:keepLines w:val="0"/>
              <w:pageBreakBefore w:val="0"/>
              <w:widowControl w:val="0"/>
              <w:kinsoku/>
              <w:wordWrap/>
              <w:overflowPunct/>
              <w:topLinePunct w:val="0"/>
              <w:autoSpaceDE/>
              <w:autoSpaceDN/>
              <w:bidi w:val="0"/>
              <w:outlineLvl w:val="9"/>
              <w:rPr>
                <w:rFonts w:hint="eastAsia" w:ascii="仿宋" w:hAnsi="仿宋" w:eastAsia="仿宋" w:cs="仿宋"/>
                <w:sz w:val="24"/>
                <w:szCs w:val="24"/>
              </w:rPr>
            </w:pPr>
            <w:r>
              <w:rPr>
                <w:rFonts w:hint="eastAsia" w:ascii="仿宋" w:hAnsi="仿宋" w:eastAsia="仿宋" w:cs="仿宋"/>
                <w:sz w:val="24"/>
                <w:szCs w:val="24"/>
              </w:rPr>
              <w:t>NB-IoT/LoRa/α/2/4/5G等</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8"/>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布设位置</w:t>
            </w:r>
          </w:p>
        </w:tc>
        <w:tc>
          <w:tcPr>
            <w:tcW w:w="2357" w:type="dxa"/>
          </w:tcPr>
          <w:p>
            <w:pPr>
              <w:pStyle w:val="72"/>
              <w:keepNext w:val="0"/>
              <w:keepLines w:val="0"/>
              <w:pageBreakBefore w:val="0"/>
              <w:widowControl w:val="0"/>
              <w:kinsoku/>
              <w:wordWrap/>
              <w:overflowPunct/>
              <w:topLinePunct w:val="0"/>
              <w:autoSpaceDE/>
              <w:autoSpaceDN/>
              <w:bidi w:val="0"/>
              <w:ind w:right="1027"/>
              <w:outlineLvl w:val="9"/>
              <w:rPr>
                <w:rFonts w:hint="eastAsia" w:ascii="仿宋" w:hAnsi="仿宋" w:eastAsia="仿宋" w:cs="仿宋"/>
                <w:sz w:val="24"/>
                <w:szCs w:val="24"/>
              </w:rPr>
            </w:pPr>
            <w:r>
              <w:rPr>
                <w:rFonts w:hint="eastAsia" w:ascii="仿宋" w:hAnsi="仿宋" w:eastAsia="仿宋" w:cs="仿宋"/>
                <w:sz w:val="24"/>
                <w:szCs w:val="24"/>
              </w:rPr>
              <w:t>室外</w:t>
            </w:r>
          </w:p>
        </w:tc>
        <w:tc>
          <w:tcPr>
            <w:tcW w:w="2318" w:type="dxa"/>
          </w:tcPr>
          <w:p>
            <w:pPr>
              <w:pStyle w:val="72"/>
              <w:keepNext w:val="0"/>
              <w:keepLines w:val="0"/>
              <w:pageBreakBefore w:val="0"/>
              <w:widowControl w:val="0"/>
              <w:kinsoku/>
              <w:wordWrap/>
              <w:overflowPunct/>
              <w:topLinePunct w:val="0"/>
              <w:autoSpaceDE/>
              <w:autoSpaceDN/>
              <w:bidi w:val="0"/>
              <w:ind w:left="898" w:right="784"/>
              <w:outlineLvl w:val="9"/>
              <w:rPr>
                <w:rFonts w:hint="eastAsia" w:ascii="仿宋" w:hAnsi="仿宋" w:eastAsia="仿宋" w:cs="仿宋"/>
                <w:sz w:val="24"/>
                <w:szCs w:val="24"/>
              </w:rPr>
            </w:pPr>
            <w:r>
              <w:rPr>
                <w:rFonts w:hint="eastAsia" w:ascii="仿宋" w:hAnsi="仿宋" w:eastAsia="仿宋" w:cs="仿宋"/>
                <w:sz w:val="24"/>
                <w:szCs w:val="24"/>
              </w:rPr>
              <w:t>室内</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outlineLvl w:val="9"/>
              <w:rPr>
                <w:rFonts w:hint="eastAsia" w:ascii="仿宋" w:hAnsi="仿宋" w:eastAsia="仿宋" w:cs="仿宋"/>
                <w:sz w:val="24"/>
                <w:szCs w:val="24"/>
              </w:rPr>
            </w:pPr>
            <w:r>
              <w:rPr>
                <w:rFonts w:hint="eastAsia" w:ascii="仿宋" w:hAnsi="仿宋" w:eastAsia="仿宋" w:cs="仿宋"/>
                <w:sz w:val="24"/>
                <w:szCs w:val="24"/>
              </w:rPr>
              <w:t>输出功率</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outlineLvl w:val="9"/>
              <w:rPr>
                <w:rFonts w:hint="eastAsia" w:ascii="仿宋" w:hAnsi="仿宋" w:eastAsia="仿宋" w:cs="仿宋"/>
                <w:sz w:val="24"/>
                <w:szCs w:val="24"/>
              </w:rPr>
            </w:pPr>
            <w:r>
              <w:rPr>
                <w:rFonts w:hint="eastAsia" w:ascii="仿宋" w:hAnsi="仿宋" w:eastAsia="仿宋" w:cs="仿宋"/>
                <w:sz w:val="24"/>
                <w:szCs w:val="24"/>
              </w:rPr>
              <w:t>100W以上</w:t>
            </w:r>
          </w:p>
        </w:tc>
        <w:tc>
          <w:tcPr>
            <w:tcW w:w="2318" w:type="dxa"/>
          </w:tcPr>
          <w:p>
            <w:pPr>
              <w:pStyle w:val="72"/>
              <w:keepNext w:val="0"/>
              <w:keepLines w:val="0"/>
              <w:pageBreakBefore w:val="0"/>
              <w:widowControl w:val="0"/>
              <w:kinsoku/>
              <w:wordWrap/>
              <w:overflowPunct/>
              <w:topLinePunct w:val="0"/>
              <w:autoSpaceDE/>
              <w:autoSpaceDN/>
              <w:bidi w:val="0"/>
              <w:ind w:left="896" w:right="784"/>
              <w:outlineLvl w:val="9"/>
              <w:rPr>
                <w:rFonts w:hint="eastAsia" w:ascii="仿宋" w:hAnsi="仿宋" w:eastAsia="仿宋" w:cs="仿宋"/>
                <w:sz w:val="24"/>
                <w:szCs w:val="24"/>
              </w:rPr>
            </w:pPr>
            <w:r>
              <w:rPr>
                <w:rFonts w:hint="eastAsia" w:ascii="仿宋" w:hAnsi="仿宋" w:eastAsia="仿宋" w:cs="仿宋"/>
                <w:sz w:val="24"/>
                <w:szCs w:val="24"/>
              </w:rPr>
              <w:t>2W</w:t>
            </w:r>
          </w:p>
        </w:tc>
        <w:tc>
          <w:tcPr>
            <w:tcW w:w="2106" w:type="dxa"/>
          </w:tcPr>
          <w:p>
            <w:pPr>
              <w:pStyle w:val="72"/>
              <w:keepNext w:val="0"/>
              <w:keepLines w:val="0"/>
              <w:pageBreakBefore w:val="0"/>
              <w:widowControl w:val="0"/>
              <w:kinsoku/>
              <w:wordWrap/>
              <w:overflowPunct/>
              <w:topLinePunct w:val="0"/>
              <w:autoSpaceDE/>
              <w:autoSpaceDN/>
              <w:bidi w:val="0"/>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2318" w:type="dxa"/>
          </w:tcPr>
          <w:p>
            <w:pPr>
              <w:pStyle w:val="72"/>
              <w:keepNext w:val="0"/>
              <w:keepLines w:val="0"/>
              <w:pageBreakBefore w:val="0"/>
              <w:widowControl w:val="0"/>
              <w:kinsoku/>
              <w:wordWrap/>
              <w:overflowPunct/>
              <w:topLinePunct w:val="0"/>
              <w:autoSpaceDE/>
              <w:autoSpaceDN/>
              <w:bidi w:val="0"/>
              <w:spacing w:before="22"/>
              <w:ind w:left="898" w:right="784"/>
              <w:outlineLvl w:val="9"/>
              <w:rPr>
                <w:rFonts w:hint="eastAsia" w:ascii="仿宋" w:hAnsi="仿宋" w:eastAsia="仿宋" w:cs="仿宋"/>
                <w:sz w:val="24"/>
                <w:szCs w:val="24"/>
              </w:rPr>
            </w:pPr>
            <w:r>
              <w:rPr>
                <w:rFonts w:hint="eastAsia" w:ascii="仿宋" w:hAnsi="仿宋" w:eastAsia="仿宋" w:cs="仿宋"/>
                <w:sz w:val="24"/>
                <w:szCs w:val="24"/>
              </w:rPr>
              <w:t>IP44</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2357" w:type="dxa"/>
          </w:tcPr>
          <w:p>
            <w:pPr>
              <w:pStyle w:val="72"/>
              <w:keepNext w:val="0"/>
              <w:keepLines w:val="0"/>
              <w:pageBreakBefore w:val="0"/>
              <w:widowControl w:val="0"/>
              <w:kinsoku/>
              <w:wordWrap/>
              <w:overflowPunct/>
              <w:topLinePunct w:val="0"/>
              <w:autoSpaceDE/>
              <w:autoSpaceDN/>
              <w:bidi w:val="0"/>
              <w:ind w:left="106"/>
              <w:jc w:val="left"/>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立杆胀杆固定、一体化基座安装箱、浇筑基础、钢结构等</w:t>
            </w:r>
          </w:p>
        </w:tc>
        <w:tc>
          <w:tcPr>
            <w:tcW w:w="2318" w:type="dxa"/>
          </w:tcPr>
          <w:p>
            <w:pPr>
              <w:pStyle w:val="72"/>
              <w:keepNext w:val="0"/>
              <w:keepLines w:val="0"/>
              <w:pageBreakBefore w:val="0"/>
              <w:widowControl w:val="0"/>
              <w:tabs>
                <w:tab w:val="left" w:pos="1680"/>
              </w:tabs>
              <w:kinsoku/>
              <w:wordWrap/>
              <w:overflowPunct/>
              <w:topLinePunct w:val="0"/>
              <w:autoSpaceDE/>
              <w:autoSpaceDN/>
              <w:bidi w:val="0"/>
              <w:spacing w:before="177"/>
              <w:ind w:right="784"/>
              <w:jc w:val="both"/>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以壁挂式为主</w:t>
            </w:r>
          </w:p>
        </w:tc>
        <w:tc>
          <w:tcPr>
            <w:tcW w:w="2106" w:type="dxa"/>
          </w:tcPr>
          <w:p>
            <w:pPr>
              <w:pStyle w:val="72"/>
              <w:keepNext w:val="0"/>
              <w:keepLines w:val="0"/>
              <w:pageBreakBefore w:val="0"/>
              <w:widowControl w:val="0"/>
              <w:kinsoku/>
              <w:wordWrap/>
              <w:overflowPunct/>
              <w:topLinePunct w:val="0"/>
              <w:autoSpaceDE/>
              <w:autoSpaceDN/>
              <w:bidi w:val="0"/>
              <w:spacing w:before="177"/>
              <w:ind w:left="113"/>
              <w:jc w:val="both"/>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0"/>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0"/>
              <w:ind w:right="257"/>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2357" w:type="dxa"/>
          </w:tcPr>
          <w:p>
            <w:pPr>
              <w:pStyle w:val="72"/>
              <w:keepNext w:val="0"/>
              <w:keepLines w:val="0"/>
              <w:pageBreakBefore w:val="0"/>
              <w:widowControl w:val="0"/>
              <w:kinsoku/>
              <w:wordWrap/>
              <w:overflowPunct/>
              <w:topLinePunct w:val="0"/>
              <w:autoSpaceDE/>
              <w:autoSpaceDN/>
              <w:bidi w:val="0"/>
              <w:spacing w:before="177" w:line="278" w:lineRule="auto"/>
              <w:ind w:right="96"/>
              <w:outlineLvl w:val="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按需供电方式，满足连续</w:t>
            </w:r>
            <w:r>
              <w:rPr>
                <w:rFonts w:hint="eastAsia" w:ascii="仿宋" w:hAnsi="仿宋" w:eastAsia="仿宋" w:cs="仿宋"/>
                <w:sz w:val="24"/>
                <w:szCs w:val="24"/>
                <w:lang w:eastAsia="zh-CN"/>
              </w:rPr>
              <w:t>30</w:t>
            </w:r>
            <w:r>
              <w:rPr>
                <w:rFonts w:hint="eastAsia" w:ascii="仿宋" w:hAnsi="仿宋" w:eastAsia="仿宋" w:cs="仿宋"/>
                <w:spacing w:val="-7"/>
                <w:sz w:val="24"/>
                <w:szCs w:val="24"/>
                <w:lang w:eastAsia="zh-CN"/>
              </w:rPr>
              <w:t>个阴</w:t>
            </w:r>
            <w:r>
              <w:rPr>
                <w:rFonts w:hint="eastAsia" w:ascii="仿宋" w:hAnsi="仿宋" w:eastAsia="仿宋" w:cs="仿宋"/>
                <w:sz w:val="24"/>
                <w:szCs w:val="24"/>
                <w:lang w:eastAsia="zh-CN"/>
              </w:rPr>
              <w:t>雨日正常工作</w:t>
            </w:r>
          </w:p>
        </w:tc>
        <w:tc>
          <w:tcPr>
            <w:tcW w:w="2318" w:type="dxa"/>
          </w:tcPr>
          <w:p>
            <w:pPr>
              <w:pStyle w:val="72"/>
              <w:keepNext w:val="0"/>
              <w:keepLines w:val="0"/>
              <w:pageBreakBefore w:val="0"/>
              <w:widowControl w:val="0"/>
              <w:kinsoku/>
              <w:wordWrap/>
              <w:overflowPunct/>
              <w:topLinePunct w:val="0"/>
              <w:autoSpaceDE/>
              <w:autoSpaceDN/>
              <w:bidi w:val="0"/>
              <w:spacing w:line="278" w:lineRule="auto"/>
              <w:ind w:left="130" w:right="120"/>
              <w:jc w:val="left"/>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市电及内置备用电池，支持断电自动切换，电池待机时间大于24小时</w:t>
            </w:r>
          </w:p>
        </w:tc>
        <w:tc>
          <w:tcPr>
            <w:tcW w:w="2106" w:type="dxa"/>
          </w:tcPr>
          <w:p>
            <w:pPr>
              <w:pStyle w:val="72"/>
              <w:keepNext w:val="0"/>
              <w:keepLines w:val="0"/>
              <w:pageBreakBefore w:val="0"/>
              <w:widowControl w:val="0"/>
              <w:kinsoku/>
              <w:wordWrap/>
              <w:overflowPunct/>
              <w:topLinePunct w:val="0"/>
              <w:autoSpaceDE/>
              <w:autoSpaceDN/>
              <w:bidi w:val="0"/>
              <w:spacing w:before="0"/>
              <w:jc w:val="both"/>
              <w:outlineLvl w:val="9"/>
              <w:rPr>
                <w:rFonts w:hint="eastAsia" w:ascii="仿宋" w:hAnsi="仿宋" w:eastAsia="仿宋" w:cs="仿宋"/>
                <w:sz w:val="24"/>
                <w:szCs w:val="24"/>
                <w:lang w:eastAsia="zh-CN"/>
              </w:rPr>
            </w:pPr>
          </w:p>
          <w:p>
            <w:pPr>
              <w:pStyle w:val="72"/>
              <w:keepNext w:val="0"/>
              <w:keepLines w:val="0"/>
              <w:pageBreakBefore w:val="0"/>
              <w:widowControl w:val="0"/>
              <w:kinsoku/>
              <w:wordWrap/>
              <w:overflowPunct/>
              <w:topLinePunct w:val="0"/>
              <w:autoSpaceDE/>
              <w:autoSpaceDN/>
              <w:bidi w:val="0"/>
              <w:spacing w:before="0"/>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outlineLvl w:val="9"/>
              <w:rPr>
                <w:rFonts w:hint="eastAsia" w:ascii="仿宋" w:hAnsi="仿宋" w:eastAsia="仿宋" w:cs="仿宋"/>
                <w:sz w:val="24"/>
                <w:szCs w:val="24"/>
              </w:rPr>
            </w:pPr>
            <w:r>
              <w:rPr>
                <w:rFonts w:hint="eastAsia" w:ascii="仿宋" w:hAnsi="仿宋" w:eastAsia="仿宋" w:cs="仿宋"/>
                <w:sz w:val="24"/>
                <w:szCs w:val="24"/>
              </w:rPr>
              <w:t>现场存储</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1868"/>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本地存储及远端平台存储</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outlineLvl w:val="9"/>
              <w:rPr>
                <w:rFonts w:hint="eastAsia" w:ascii="仿宋" w:hAnsi="仿宋" w:eastAsia="仿宋" w:cs="仿宋"/>
                <w:sz w:val="24"/>
                <w:szCs w:val="24"/>
              </w:rPr>
            </w:pPr>
            <w:r>
              <w:rPr>
                <w:rFonts w:hint="eastAsia" w:ascii="仿宋" w:hAnsi="仿宋" w:eastAsia="仿宋" w:cs="仿宋"/>
                <w:sz w:val="24"/>
                <w:szCs w:val="24"/>
              </w:rPr>
              <w:t>控制方式</w:t>
            </w:r>
          </w:p>
        </w:tc>
        <w:tc>
          <w:tcPr>
            <w:tcW w:w="4675" w:type="dxa"/>
            <w:gridSpan w:val="2"/>
          </w:tcPr>
          <w:p>
            <w:pPr>
              <w:pStyle w:val="72"/>
              <w:keepNext w:val="0"/>
              <w:keepLines w:val="0"/>
              <w:pageBreakBefore w:val="0"/>
              <w:widowControl w:val="0"/>
              <w:kinsoku/>
              <w:wordWrap/>
              <w:overflowPunct/>
              <w:topLinePunct w:val="0"/>
              <w:autoSpaceDE/>
              <w:autoSpaceDN/>
              <w:bidi w:val="0"/>
              <w:spacing w:before="177"/>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本地控制及远端平台控制</w:t>
            </w:r>
          </w:p>
        </w:tc>
        <w:tc>
          <w:tcPr>
            <w:tcW w:w="2106" w:type="dxa"/>
          </w:tcPr>
          <w:p>
            <w:pPr>
              <w:pStyle w:val="72"/>
              <w:keepNext w:val="0"/>
              <w:keepLines w:val="0"/>
              <w:pageBreakBefore w:val="0"/>
              <w:widowControl w:val="0"/>
              <w:kinsoku/>
              <w:wordWrap/>
              <w:overflowPunct/>
              <w:topLinePunct w:val="0"/>
              <w:autoSpaceDE/>
              <w:autoSpaceDN/>
              <w:bidi w:val="0"/>
              <w:ind w:left="125"/>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报消除按键</w:t>
            </w:r>
          </w:p>
        </w:tc>
      </w:tr>
    </w:tbl>
    <w:p>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地质灾害群专结合监测预警点建设工作包括现场踏勘、监测点单点设计书及总体设计方案、监测设备的购置、运输、安装、防护围栏安装、警示牌制作、数据传输和运行维护。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bookmarkStart w:id="264" w:name="_Hlk61893115"/>
      <w:r>
        <w:rPr>
          <w:rFonts w:hint="eastAsia" w:ascii="仿宋" w:hAnsi="仿宋" w:eastAsia="仿宋" w:cs="仿宋"/>
          <w:sz w:val="24"/>
          <w:szCs w:val="24"/>
        </w:rPr>
        <w:t>监测点建设数量不少于60个。选择确定风险较大的重要隐患，安排采用无人机实测成图，其中正射影像比例不低于20%，三维模型比例不低于5%。监测预警点单点设计方案应采用近期高分辨率影像，附地质隐患点、承载体、灾害特征照片。</w:t>
      </w:r>
    </w:p>
    <w:bookmarkEnd w:id="264"/>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最终设计方案及工作量以审批后的项目设计书为准。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（一）《新疆伊犁州群专结合监测预警点建设（2022年度）项目（一标段）年度成果报告》；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（二）《新疆伊犁州群专结合监测预警点建设（2022年度）项目（一标段）竣工报告》；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（三）《新疆伊犁州群专结合监测预警点建设（2022年度）项目（一标段）设备使用手册》；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（四）《</w:t>
      </w:r>
      <w:r>
        <w:rPr>
          <w:rFonts w:hint="eastAsia" w:ascii="仿宋" w:hAnsi="仿宋" w:eastAsia="仿宋" w:cs="仿宋"/>
          <w:kern w:val="0"/>
          <w:sz w:val="24"/>
          <w:szCs w:val="24"/>
        </w:rPr>
        <w:t>新疆伊犁州群专结合监测预警点建设</w:t>
      </w:r>
      <w:r>
        <w:rPr>
          <w:rFonts w:hint="eastAsia" w:ascii="仿宋" w:hAnsi="仿宋" w:eastAsia="仿宋" w:cs="仿宋"/>
          <w:sz w:val="24"/>
          <w:szCs w:val="24"/>
        </w:rPr>
        <w:t>（2022年度）</w:t>
      </w:r>
      <w:r>
        <w:rPr>
          <w:rFonts w:hint="eastAsia" w:ascii="仿宋" w:hAnsi="仿宋" w:eastAsia="仿宋" w:cs="仿宋"/>
          <w:kern w:val="0"/>
          <w:sz w:val="24"/>
          <w:szCs w:val="24"/>
        </w:rPr>
        <w:t>项目</w:t>
      </w:r>
      <w:r>
        <w:rPr>
          <w:rFonts w:hint="eastAsia" w:ascii="仿宋" w:hAnsi="仿宋" w:eastAsia="仿宋" w:cs="仿宋"/>
          <w:sz w:val="24"/>
          <w:szCs w:val="24"/>
        </w:rPr>
        <w:t>（一标段）</w:t>
      </w:r>
      <w:r>
        <w:rPr>
          <w:rFonts w:hint="eastAsia" w:ascii="仿宋" w:hAnsi="仿宋" w:eastAsia="仿宋" w:cs="仿宋"/>
          <w:kern w:val="0"/>
          <w:sz w:val="24"/>
          <w:szCs w:val="24"/>
        </w:rPr>
        <w:t>运行维护报告》。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（五）项目建设原始资料（包含地质灾害专业监测点建设实际材料图；监测点建设照片和影像资料；其他原始资料等）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2022年3月30日前实施单位进驻现场开始基础施工，并同步启动设备安装，5月10日前完成基础施和设备安装及试运行；5月15日前，完成项目野外工作初验。2022年5月20日前，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color w:val="auto"/>
          <w:sz w:val="24"/>
          <w:szCs w:val="24"/>
          <w:lang w:eastAsia="zh-CN"/>
        </w:rPr>
        <w:br w:type="page"/>
      </w:r>
      <w:bookmarkEnd w:id="251"/>
      <w:bookmarkEnd w:id="252"/>
      <w:bookmarkEnd w:id="253"/>
      <w:bookmarkEnd w:id="254"/>
      <w:bookmarkStart w:id="265" w:name="_Toc216582826"/>
      <w:bookmarkStart w:id="266" w:name="_Toc219175639"/>
      <w:bookmarkStart w:id="267" w:name="_Toc218935355"/>
      <w:r>
        <w:rPr>
          <w:rFonts w:hint="eastAsia" w:ascii="仿宋" w:hAnsi="仿宋" w:eastAsia="仿宋" w:cs="Times New Roman"/>
          <w:b/>
          <w:bCs/>
          <w:kern w:val="2"/>
          <w:sz w:val="28"/>
          <w:szCs w:val="28"/>
          <w:lang w:val="en-US" w:eastAsia="zh-CN" w:bidi="ar-SA"/>
        </w:rPr>
        <w:t>标项四：新疆伊犁州群专结合监测预警点建设（2022年度）（二标段）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bookmarkStart w:id="268" w:name="_Toc309244628"/>
      <w:bookmarkStart w:id="269" w:name="_Toc309305499"/>
      <w:bookmarkStart w:id="270" w:name="_Toc309246654"/>
      <w:bookmarkStart w:id="271" w:name="_Toc309246786"/>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项目名称：新疆伊犁州群专结合监测预警点建设（2022年度）（二标段）</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FF0000"/>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kern w:val="0"/>
          <w:sz w:val="24"/>
          <w:szCs w:val="24"/>
          <w:lang w:val="en-US" w:eastAsia="zh-CN"/>
        </w:rPr>
        <w:t>775.40</w:t>
      </w:r>
      <w:r>
        <w:rPr>
          <w:rFonts w:hint="eastAsia" w:ascii="仿宋" w:hAnsi="仿宋" w:eastAsia="仿宋" w:cs="仿宋"/>
          <w:kern w:val="0"/>
          <w:sz w:val="24"/>
          <w:szCs w:val="24"/>
        </w:rPr>
        <w:t>万元</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柒佰柒拾伍万肆仟元</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工作区位于伊犁州，地处新疆维吾尔自治区西部天山北部的伊犁河谷内，本次工作区涉及到的县市有巩留县和特克斯个县。地理坐标：东经80°10′～83°27′，北纬42°55′～44°50′，总面积1.27万平方千米。</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最终地质灾害监测预警点位置以投标单位现场踏勘并与当地自然资源主管部门充分沟通确定的为准。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（一）交通位置</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伊犁州，位于中国的西北边陲，新疆西北部。东北与俄罗斯、蒙古国接壤，西与哈萨克斯坦共和国交界，内邻克拉玛依市、阿克苏地区、巴音郭楞蒙古自治州、昌吉回族自治州和石河子市。总面积35万平方公里，相当于中国总面积的三十分之一。。</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（二）社会经济概况</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位于新疆西部的监测区，素有“塞外江南”和“瓜果之乡”的美称。伊宁市是监测区政治、经济、科技、教育、文化的中心，也是伊犁哈萨克自治州的首府。有汉、哈萨克、维吾尔、回、蒙、锡伯、俄罗斯等26个民族。</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区内气候温和、物产富饶、水土光热资源充足，监测区充分依托地缘和资源优势发展工、农、畜牧等产业，已成为国家、自治区重要的粮、油、糖、畜、麻、果品生产基地。</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2019年伊犁哈萨克自治州（全州）生产总值2226.45亿元，比上年增长6.0%。2019年州直属县市生产总值1190.71亿元，比上年增长6.5%。 2020年，伊犁哈萨克自治州实现地区生产总值（GDP）2338.11亿元，比上年增长4.4%。</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（一）地形地貌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处我国新疆天山山脉西段，区内地形地貌形态较复杂，总体呈“三山夹两谷地一盆地”的格局。监测区北部自西向东分布着NW-SE走向的科古琴山、博罗科努山和依连哈比尔尕山等北天山支脉。依连哈比尔尕山平均海拔高度在3600m以上，最高峰海拔5500m，博科努山海拔4000-4500m。南部自西向东分布着NEE-SWW走向的哈尔克他乌山、那拉提山等南天山支脉，平均海拔高度3500-4000m。铁木里克山、乌孙山、伊什基里克山、阿吾拉勒山等山脉自西向东横亘在监测区的中部。三列山系向东复合于依连哈比尔尕山东端形成依连比尔尕山山结。三列山系之间为喀什河谷地、伊犁-巩乃斯谷地、特克斯-昭苏盆地。山区面积占全区面积的60%以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（二）地层岩性</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kern w:val="0"/>
          <w:sz w:val="24"/>
          <w:szCs w:val="24"/>
        </w:rPr>
        <w:t>监测区出露的地层包括元古界长城系特克斯群(Zta)、长城系—青白口系（Zcq）和蓟县系—青白口系（Zjqkk）；古生界奥陶系（O）、志留系（S）、泥盆系（D）、石炭系（C）、二叠系（P）；中生界三叠系（T）、侏罗系（J）及新生界第三系（E、N）、第四系（Q）。</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（三）水文地质条件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监测区地下水的形成、运移及赋存受区内地形地貌、地层岩性、气象水文等诸多因素的影响和制约，山区、平原区水文地质条件差异很大。</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基岩山区以基岩裂隙水和碳酸盐岩类岩溶裂隙水为主，地下水的主要补给形式为大气降水、冰雪融化水入渗。在水流切割剧烈的山区，基岩裂隙水沿断层和裂隙带，从高处向低处流动，经过短途径流，在条件适宜处以下降泉的形式溢出地表，排泄于沟谷中。</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（四）工程地质条件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岩土介质分为岩体和土体两大类，其中岩体进一步依据成因类型、岩体结构类型（块状结构面、层状结构面和碎裂结构面）、岩性组合、物质成分、岩石强度（坚硬、较坚硬、软弱）划分为四个工程地质岩组：块状坚硬花岗岩岩组;块状、层状坚硬-较坚硬以砂岩为主的碎屑岩岩组;坚硬中-厚层状碳酸岩组;互层状较坚硬-较软弱以砂岩、砾岩、泥岩为主的碎屑岩岩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（五）研究程度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通过近年来进行1:5万地质灾害详细调查、地质灾害精细化调查、地质灾害风险调查评价及地质灾害勘查和防治工程项目的开展，区内地质灾害防治取得了显著的成效：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1.目前区内各县市年度地质灾害防治方案、巡查检查、应急调查和灾情速报等制度已建立，并在此基础上不断完善和落实；</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目前区内各县市地质灾害三级群策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伊犁州境内发育的地质灾害类型主要以崩塌、泥石流为主，其次为滑坡。依据地质灾害详查资料及最新核查排查结果，监测区共查明各类地质灾害隐患点共计589处，包括崩塌、泥石流、滑坡等灾害。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通过在伊犁州巩留县和特克斯县选取80 处地质灾害隐患点，实施开展新疆伊犁州群专结合监测预警点建设（2022年度）（二标段）项目，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（二）任务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（一）标准规范</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2.《滑坡防治工程勘查规范》,GB/T32864-2016；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4.《工程测量规范》，GB50026-2007；</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5.《地质调查项目预算标准（2021年）》；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（二）监测设备技术要求</w:t>
      </w: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r>
              <w:rPr>
                <w:rFonts w:hint="eastAsia" w:ascii="仿宋" w:hAnsi="仿宋" w:eastAsia="仿宋" w:cs="仿宋"/>
                <w:b/>
                <w:w w:val="99"/>
                <w:sz w:val="24"/>
                <w:szCs w:val="24"/>
              </w:rPr>
              <w:t xml:space="preserve"> </w:t>
            </w:r>
          </w:p>
        </w:tc>
        <w:tc>
          <w:tcPr>
            <w:tcW w:w="1654" w:type="dxa"/>
          </w:tcPr>
          <w:p>
            <w:pPr>
              <w:pStyle w:val="72"/>
              <w:keepNext w:val="0"/>
              <w:keepLines w:val="0"/>
              <w:pageBreakBefore w:val="0"/>
              <w:widowControl w:val="0"/>
              <w:kinsoku/>
              <w:wordWrap/>
              <w:overflowPunct/>
              <w:topLinePunct w:val="0"/>
              <w:autoSpaceDE/>
              <w:autoSpaceDN/>
              <w:bidi w:val="0"/>
              <w:spacing w:before="22"/>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177"/>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58" w:type="dxa"/>
          </w:tcPr>
          <w:p>
            <w:pPr>
              <w:pStyle w:val="72"/>
              <w:keepNext w:val="0"/>
              <w:keepLines w:val="0"/>
              <w:pageBreakBefore w:val="0"/>
              <w:widowControl w:val="0"/>
              <w:kinsoku/>
              <w:wordWrap/>
              <w:overflowPunct/>
              <w:topLinePunct w:val="0"/>
              <w:autoSpaceDE/>
              <w:autoSpaceDN/>
              <w:bidi w:val="0"/>
              <w:ind w:left="1395"/>
              <w:textAlignment w:val="auto"/>
              <w:outlineLvl w:val="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0～8mm/min（</w:t>
            </w:r>
            <w:r>
              <w:rPr>
                <w:rFonts w:hint="eastAsia" w:ascii="仿宋" w:hAnsi="仿宋" w:eastAsia="仿宋" w:cs="仿宋"/>
                <w:sz w:val="24"/>
                <w:szCs w:val="24"/>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textAlignment w:val="auto"/>
              <w:outlineLvl w:val="9"/>
              <w:rPr>
                <w:rFonts w:hint="eastAsia" w:ascii="仿宋" w:hAnsi="仿宋" w:eastAsia="仿宋" w:cs="仿宋"/>
                <w:sz w:val="24"/>
                <w:szCs w:val="24"/>
              </w:rPr>
            </w:pPr>
            <w:r>
              <w:rPr>
                <w:rFonts w:hint="eastAsia" w:ascii="仿宋" w:hAnsi="仿宋" w:eastAsia="仿宋" w:cs="仿宋"/>
                <w:spacing w:val="-1"/>
                <w:sz w:val="24"/>
                <w:szCs w:val="24"/>
              </w:rPr>
              <w:t>0～4mm/min（</w:t>
            </w:r>
            <w:r>
              <w:rPr>
                <w:rFonts w:hint="eastAsia" w:ascii="仿宋" w:hAnsi="仿宋" w:eastAsia="仿宋" w:cs="仿宋"/>
                <w:sz w:val="24"/>
                <w:szCs w:val="24"/>
              </w:rPr>
              <w:t>毫米/分）（翻斗式）</w:t>
            </w:r>
          </w:p>
        </w:tc>
        <w:tc>
          <w:tcPr>
            <w:tcW w:w="1654" w:type="dxa"/>
          </w:tcPr>
          <w:p>
            <w:pPr>
              <w:pStyle w:val="72"/>
              <w:keepNext w:val="0"/>
              <w:keepLines w:val="0"/>
              <w:pageBreakBefore w:val="0"/>
              <w:widowControl w:val="0"/>
              <w:kinsoku/>
              <w:wordWrap/>
              <w:overflowPunct/>
              <w:topLinePunct w:val="0"/>
              <w:autoSpaceDE/>
              <w:autoSpaceDN/>
              <w:bidi w:val="0"/>
              <w:spacing w:before="177"/>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0.2mm</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8"/>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RS485/NB-IoT/LoRa/α/2/4/5G等</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0℃～+65℃</w:t>
            </w:r>
          </w:p>
        </w:tc>
        <w:tc>
          <w:tcPr>
            <w:tcW w:w="1654" w:type="dxa"/>
          </w:tcPr>
          <w:p>
            <w:pPr>
              <w:pStyle w:val="72"/>
              <w:keepNext w:val="0"/>
              <w:keepLines w:val="0"/>
              <w:pageBreakBefore w:val="0"/>
              <w:widowControl w:val="0"/>
              <w:kinsoku/>
              <w:wordWrap/>
              <w:overflowPunct/>
              <w:topLinePunct w:val="0"/>
              <w:autoSpaceDE/>
              <w:autoSpaceDN/>
              <w:bidi w:val="0"/>
              <w:ind w:right="151"/>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58" w:type="dxa"/>
          </w:tcPr>
          <w:p>
            <w:pPr>
              <w:pStyle w:val="72"/>
              <w:keepNext w:val="0"/>
              <w:keepLines w:val="0"/>
              <w:pageBreakBefore w:val="0"/>
              <w:widowControl w:val="0"/>
              <w:kinsoku/>
              <w:wordWrap/>
              <w:overflowPunct/>
              <w:topLinePunct w:val="0"/>
              <w:autoSpaceDE/>
              <w:autoSpaceDN/>
              <w:bidi w:val="0"/>
              <w:ind w:right="528"/>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立杆胀杆固定、一体化基座安装箱、浇筑基础等</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58" w:type="dxa"/>
          </w:tcPr>
          <w:p>
            <w:pPr>
              <w:pStyle w:val="72"/>
              <w:keepNext w:val="0"/>
              <w:keepLines w:val="0"/>
              <w:pageBreakBefore w:val="0"/>
              <w:widowControl w:val="0"/>
              <w:kinsoku/>
              <w:wordWrap/>
              <w:overflowPunct/>
              <w:topLinePunct w:val="0"/>
              <w:autoSpaceDE/>
              <w:autoSpaceDN/>
              <w:bidi w:val="0"/>
              <w:ind w:right="527"/>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按需供电方式，满足连续30个阴雨日正常工作</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tcPr>
          <w:p>
            <w:pPr>
              <w:pStyle w:val="72"/>
              <w:keepNext w:val="0"/>
              <w:keepLines w:val="0"/>
              <w:pageBreakBefore w:val="0"/>
              <w:widowControl w:val="0"/>
              <w:kinsoku/>
              <w:wordWrap/>
              <w:overflowPunct/>
              <w:topLinePunct w:val="0"/>
              <w:autoSpaceDE/>
              <w:autoSpaceDN/>
              <w:bidi w:val="0"/>
              <w:ind w:right="252"/>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135" w:type="dxa"/>
          </w:tcPr>
          <w:p>
            <w:pPr>
              <w:pStyle w:val="72"/>
              <w:keepNext w:val="0"/>
              <w:keepLines w:val="0"/>
              <w:pageBreakBefore w:val="0"/>
              <w:widowControl w:val="0"/>
              <w:kinsoku/>
              <w:wordWrap/>
              <w:overflowPunct/>
              <w:topLinePunct w:val="0"/>
              <w:autoSpaceDE/>
              <w:autoSpaceDN/>
              <w:bidi w:val="0"/>
              <w:ind w:left="844" w:right="730"/>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510" w:type="dxa"/>
          </w:tcPr>
          <w:p>
            <w:pPr>
              <w:pStyle w:val="72"/>
              <w:keepNext w:val="0"/>
              <w:keepLines w:val="0"/>
              <w:pageBreakBefore w:val="0"/>
              <w:widowControl w:val="0"/>
              <w:kinsoku/>
              <w:wordWrap/>
              <w:overflowPunct/>
              <w:topLinePunct w:val="0"/>
              <w:autoSpaceDE/>
              <w:autoSpaceDN/>
              <w:bidi w:val="0"/>
              <w:ind w:left="376" w:right="264"/>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干土～饱和土</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135" w:type="dxa"/>
          </w:tcPr>
          <w:p>
            <w:pPr>
              <w:pStyle w:val="72"/>
              <w:keepNext w:val="0"/>
              <w:keepLines w:val="0"/>
              <w:pageBreakBefore w:val="0"/>
              <w:widowControl w:val="0"/>
              <w:kinsoku/>
              <w:wordWrap/>
              <w:overflowPunct/>
              <w:topLinePunct w:val="0"/>
              <w:autoSpaceDE/>
              <w:autoSpaceDN/>
              <w:bidi w:val="0"/>
              <w:spacing w:before="22"/>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510" w:type="dxa"/>
          </w:tcPr>
          <w:p>
            <w:pPr>
              <w:pStyle w:val="72"/>
              <w:keepNext w:val="0"/>
              <w:keepLines w:val="0"/>
              <w:pageBreakBefore w:val="0"/>
              <w:widowControl w:val="0"/>
              <w:kinsoku/>
              <w:wordWrap/>
              <w:overflowPunct/>
              <w:topLinePunct w:val="0"/>
              <w:autoSpaceDE/>
              <w:autoSpaceDN/>
              <w:bidi w:val="0"/>
              <w:spacing w:before="22"/>
              <w:ind w:left="87"/>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分层含水率、温度、振动加速度、倾角等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tcPr>
          <w:p>
            <w:pPr>
              <w:pStyle w:val="72"/>
              <w:keepNext w:val="0"/>
              <w:keepLines w:val="0"/>
              <w:pageBreakBefore w:val="0"/>
              <w:widowControl w:val="0"/>
              <w:kinsoku/>
              <w:wordWrap/>
              <w:overflowPunct/>
              <w:topLinePunct w:val="0"/>
              <w:autoSpaceDE/>
              <w:autoSpaceDN/>
              <w:bidi w:val="0"/>
              <w:ind w:right="-5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135"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510" w:type="dxa"/>
          </w:tcPr>
          <w:p>
            <w:pPr>
              <w:pStyle w:val="72"/>
              <w:keepNext w:val="0"/>
              <w:keepLines w:val="0"/>
              <w:pageBreakBefore w:val="0"/>
              <w:widowControl w:val="0"/>
              <w:kinsoku/>
              <w:wordWrap/>
              <w:overflowPunct/>
              <w:topLinePunct w:val="0"/>
              <w:autoSpaceDE/>
              <w:autoSpaceDN/>
              <w:bidi w:val="0"/>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原状土回灌泥浆等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86"/>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bl>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参数类型</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技术指标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restart"/>
          </w:tcPr>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sz w:val="24"/>
                <w:szCs w:val="24"/>
                <w:lang w:eastAsia="en-US" w:bidi="en-US"/>
              </w:rPr>
            </w:pPr>
            <w:r>
              <w:rPr>
                <w:rFonts w:hint="eastAsia" w:ascii="仿宋" w:hAnsi="仿宋" w:eastAsia="仿宋" w:cs="仿宋"/>
                <w:sz w:val="24"/>
                <w:szCs w:val="24"/>
                <w:lang w:bidi="en-US"/>
              </w:rPr>
              <w:t>测量精度</w:t>
            </w:r>
            <w:r>
              <w:rPr>
                <w:rFonts w:hint="eastAsia" w:ascii="仿宋" w:hAnsi="仿宋" w:eastAsia="仿宋" w:cs="仿宋"/>
                <w:sz w:val="24"/>
                <w:szCs w:val="24"/>
                <w:lang w:eastAsia="en-US" w:bidi="en-US"/>
              </w:rPr>
              <w:t xml:space="preserve"> </w:t>
            </w: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35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水平：5mm+1ppm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3042" w:type="dxa"/>
          </w:tcPr>
          <w:p>
            <w:pPr>
              <w:pStyle w:val="72"/>
              <w:keepNext w:val="0"/>
              <w:keepLines w:val="0"/>
              <w:pageBreakBefore w:val="0"/>
              <w:widowControl w:val="0"/>
              <w:kinsoku/>
              <w:wordWrap/>
              <w:overflowPunct/>
              <w:topLinePunct w:val="0"/>
              <w:autoSpaceDE/>
              <w:autoSpaceDN/>
              <w:bidi w:val="0"/>
              <w:spacing w:before="2"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垂直：20mm+1ppm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采样间隔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0s～24h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上传间隔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0s～72h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输出信号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NB-IoT/LoRa/α/4/5G 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通讯标准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符合《地质灾害监测数据通讯技术要求》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输出参数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位移、倾角、振动加速度等 RTCM32原始数据（静态模式）、动态位移（动态模式）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星频要求及工作模式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BDS+GPS/双星四频以上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功耗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在采样间隔不低于 15s 且上传间隔不低于 15s 情况下，接收机正常工作的平均功耗</w:t>
            </w:r>
            <w:r>
              <w:rPr>
                <w:rFonts w:hint="eastAsia" w:ascii="仿宋" w:hAnsi="仿宋" w:eastAsia="仿宋" w:cs="仿宋"/>
                <w:sz w:val="24"/>
                <w:szCs w:val="24"/>
                <w:lang w:eastAsia="zh-CN"/>
              </w:rPr>
              <w:t>〈</w:t>
            </w:r>
            <w:r>
              <w:rPr>
                <w:rFonts w:hint="eastAsia" w:ascii="仿宋" w:hAnsi="仿宋" w:eastAsia="仿宋" w:cs="仿宋"/>
                <w:sz w:val="24"/>
                <w:szCs w:val="24"/>
              </w:rPr>
              <w:t xml:space="preserve">2W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工作温度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-20～+65℃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防护等级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IP67 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设备可靠性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MTBF 指标不低于 10000 小时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安装方式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标准观测墩、现浇混凝土墩、钢结构等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供电方式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按需供电方式，满足连续 30 个阴雨日正常工作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过压及欠压保护 </w:t>
            </w:r>
          </w:p>
        </w:tc>
      </w:tr>
    </w:tbl>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 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018"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674"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0～50/100</w:t>
            </w:r>
            <w:r>
              <w:rPr>
                <w:rFonts w:hint="eastAsia" w:ascii="仿宋" w:hAnsi="仿宋" w:eastAsia="仿宋" w:cs="仿宋"/>
                <w:sz w:val="24"/>
                <w:szCs w:val="24"/>
                <w:lang w:eastAsia="zh-CN"/>
              </w:rPr>
              <w:t>/</w:t>
            </w:r>
            <w:r>
              <w:rPr>
                <w:rFonts w:hint="eastAsia" w:ascii="仿宋" w:hAnsi="仿宋" w:eastAsia="仿宋" w:cs="仿宋"/>
                <w:sz w:val="24"/>
                <w:szCs w:val="24"/>
              </w:rPr>
              <w:t>200/500cm</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裂缝宽度、振动加速度、倾角等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17"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20"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±30°</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 6</w:t>
      </w:r>
      <w:r>
        <w:rPr>
          <w:rFonts w:hint="eastAsia" w:ascii="仿宋" w:hAnsi="仿宋" w:eastAsia="仿宋" w:cs="仿宋"/>
          <w:sz w:val="24"/>
          <w:szCs w:val="24"/>
        </w:rPr>
        <w:tab/>
      </w:r>
      <w:r>
        <w:rPr>
          <w:rFonts w:hint="eastAsia" w:ascii="仿宋" w:hAnsi="仿宋" w:eastAsia="仿宋" w:cs="仿宋"/>
          <w:sz w:val="24"/>
          <w:szCs w:val="24"/>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64"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41"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±1mg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振动加速度、倾角、自振频率、最大振幅等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标准观测墩、现浇混凝土墩、钢结构、粘结、铆接等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2"/>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tcPr>
          <w:p>
            <w:pPr>
              <w:pStyle w:val="72"/>
              <w:keepNext w:val="0"/>
              <w:keepLines w:val="0"/>
              <w:pageBreakBefore w:val="0"/>
              <w:widowControl w:val="0"/>
              <w:kinsoku/>
              <w:wordWrap/>
              <w:overflowPunct/>
              <w:topLinePunct w:val="0"/>
              <w:autoSpaceDE/>
              <w:autoSpaceDN/>
              <w:bidi w:val="0"/>
              <w:ind w:left="404"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990"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88"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0.6～40m</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钢结构、现浇混凝土墩等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57" w:type="dxa"/>
            <w:gridSpan w:val="2"/>
          </w:tcPr>
          <w:p>
            <w:pPr>
              <w:pStyle w:val="72"/>
              <w:keepNext w:val="0"/>
              <w:keepLines w:val="0"/>
              <w:pageBreakBefore w:val="0"/>
              <w:widowControl w:val="0"/>
              <w:kinsoku/>
              <w:wordWrap/>
              <w:overflowPunct/>
              <w:topLinePunct w:val="0"/>
              <w:autoSpaceDE/>
              <w:autoSpaceDN/>
              <w:bidi w:val="0"/>
              <w:ind w:left="118" w:right="8"/>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20" w:type="dxa"/>
          </w:tcPr>
          <w:p>
            <w:pPr>
              <w:pStyle w:val="72"/>
              <w:keepNext w:val="0"/>
              <w:keepLines w:val="0"/>
              <w:pageBreakBefore w:val="0"/>
              <w:widowControl w:val="0"/>
              <w:kinsoku/>
              <w:wordWrap/>
              <w:overflowPunct/>
              <w:topLinePunct w:val="0"/>
              <w:autoSpaceDE/>
              <w:autoSpaceDN/>
              <w:bidi w:val="0"/>
              <w:ind w:left="139" w:right="29"/>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水平：2.5mm+0.5ppm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水平：8mm+1ppm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垂直：15mm+1ppm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接收机内部噪声水平优于 0.2mm</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天线</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相位中心误差±1mm；噪声系数≤2dB</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NB-IoT/LoRa/α/4/5G 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工作模式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三星八频以上</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数据格式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支持 RTCM32 原始数据及实时动态结果数据上传</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多路径误差</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每小时每颗卫星：L1/B1 频段优于 0.3 米；L2/B2 频段优于 0.3米</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周跳比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周跳比每小时不小于 8000；</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设备可靠性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MTBF 时间不小于 20000 小时</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75" w:type="dxa"/>
            <w:gridSpan w:val="2"/>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06"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75" w:type="dxa"/>
            <w:gridSpan w:val="2"/>
          </w:tcPr>
          <w:p>
            <w:pPr>
              <w:pStyle w:val="72"/>
              <w:keepNext w:val="0"/>
              <w:keepLines w:val="0"/>
              <w:pageBreakBefore w:val="0"/>
              <w:widowControl w:val="0"/>
              <w:kinsoku/>
              <w:wordWrap/>
              <w:overflowPunct/>
              <w:topLinePunct w:val="0"/>
              <w:autoSpaceDE/>
              <w:autoSpaceDN/>
              <w:bidi w:val="0"/>
              <w:ind w:left="851" w:right="738"/>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06" w:type="dxa"/>
          </w:tcPr>
          <w:p>
            <w:pPr>
              <w:pStyle w:val="72"/>
              <w:keepNext w:val="0"/>
              <w:keepLines w:val="0"/>
              <w:pageBreakBefore w:val="0"/>
              <w:widowControl w:val="0"/>
              <w:kinsoku/>
              <w:wordWrap/>
              <w:overflowPunct/>
              <w:topLinePunct w:val="0"/>
              <w:autoSpaceDE/>
              <w:autoSpaceDN/>
              <w:bidi w:val="0"/>
              <w:ind w:left="113"/>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报警来源</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right="45"/>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本地人工播报；本地自主判断；远程系统发送等</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报警方式</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报警音；警示灯光；语音播报</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通讯方式</w:t>
            </w:r>
          </w:p>
        </w:tc>
        <w:tc>
          <w:tcPr>
            <w:tcW w:w="4675" w:type="dxa"/>
            <w:gridSpan w:val="2"/>
          </w:tcPr>
          <w:p>
            <w:pPr>
              <w:pStyle w:val="72"/>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NB-IoT/LoRa/α/2/4/5G等</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8"/>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布设位置</w:t>
            </w:r>
          </w:p>
        </w:tc>
        <w:tc>
          <w:tcPr>
            <w:tcW w:w="2357" w:type="dxa"/>
          </w:tcPr>
          <w:p>
            <w:pPr>
              <w:pStyle w:val="72"/>
              <w:keepNext w:val="0"/>
              <w:keepLines w:val="0"/>
              <w:pageBreakBefore w:val="0"/>
              <w:widowControl w:val="0"/>
              <w:kinsoku/>
              <w:wordWrap/>
              <w:overflowPunct/>
              <w:topLinePunct w:val="0"/>
              <w:autoSpaceDE/>
              <w:autoSpaceDN/>
              <w:bidi w:val="0"/>
              <w:ind w:right="1027"/>
              <w:textAlignment w:val="auto"/>
              <w:outlineLvl w:val="9"/>
              <w:rPr>
                <w:rFonts w:hint="eastAsia" w:ascii="仿宋" w:hAnsi="仿宋" w:eastAsia="仿宋" w:cs="仿宋"/>
                <w:sz w:val="24"/>
                <w:szCs w:val="24"/>
              </w:rPr>
            </w:pPr>
            <w:r>
              <w:rPr>
                <w:rFonts w:hint="eastAsia" w:ascii="仿宋" w:hAnsi="仿宋" w:eastAsia="仿宋" w:cs="仿宋"/>
                <w:sz w:val="24"/>
                <w:szCs w:val="24"/>
              </w:rPr>
              <w:t>室外</w:t>
            </w:r>
          </w:p>
        </w:tc>
        <w:tc>
          <w:tcPr>
            <w:tcW w:w="2318" w:type="dxa"/>
          </w:tcPr>
          <w:p>
            <w:pPr>
              <w:pStyle w:val="72"/>
              <w:keepNext w:val="0"/>
              <w:keepLines w:val="0"/>
              <w:pageBreakBefore w:val="0"/>
              <w:widowControl w:val="0"/>
              <w:kinsoku/>
              <w:wordWrap/>
              <w:overflowPunct/>
              <w:topLinePunct w:val="0"/>
              <w:autoSpaceDE/>
              <w:autoSpaceDN/>
              <w:bidi w:val="0"/>
              <w:ind w:left="898" w:right="784"/>
              <w:textAlignment w:val="auto"/>
              <w:outlineLvl w:val="9"/>
              <w:rPr>
                <w:rFonts w:hint="eastAsia" w:ascii="仿宋" w:hAnsi="仿宋" w:eastAsia="仿宋" w:cs="仿宋"/>
                <w:sz w:val="24"/>
                <w:szCs w:val="24"/>
              </w:rPr>
            </w:pPr>
            <w:r>
              <w:rPr>
                <w:rFonts w:hint="eastAsia" w:ascii="仿宋" w:hAnsi="仿宋" w:eastAsia="仿宋" w:cs="仿宋"/>
                <w:sz w:val="24"/>
                <w:szCs w:val="24"/>
              </w:rPr>
              <w:t>室内</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输出功率</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textAlignment w:val="auto"/>
              <w:outlineLvl w:val="9"/>
              <w:rPr>
                <w:rFonts w:hint="eastAsia" w:ascii="仿宋" w:hAnsi="仿宋" w:eastAsia="仿宋" w:cs="仿宋"/>
                <w:sz w:val="24"/>
                <w:szCs w:val="24"/>
              </w:rPr>
            </w:pPr>
            <w:r>
              <w:rPr>
                <w:rFonts w:hint="eastAsia" w:ascii="仿宋" w:hAnsi="仿宋" w:eastAsia="仿宋" w:cs="仿宋"/>
                <w:sz w:val="24"/>
                <w:szCs w:val="24"/>
              </w:rPr>
              <w:t>100W以上</w:t>
            </w:r>
          </w:p>
        </w:tc>
        <w:tc>
          <w:tcPr>
            <w:tcW w:w="2318" w:type="dxa"/>
          </w:tcPr>
          <w:p>
            <w:pPr>
              <w:pStyle w:val="72"/>
              <w:keepNext w:val="0"/>
              <w:keepLines w:val="0"/>
              <w:pageBreakBefore w:val="0"/>
              <w:widowControl w:val="0"/>
              <w:kinsoku/>
              <w:wordWrap/>
              <w:overflowPunct/>
              <w:topLinePunct w:val="0"/>
              <w:autoSpaceDE/>
              <w:autoSpaceDN/>
              <w:bidi w:val="0"/>
              <w:ind w:left="896" w:right="784"/>
              <w:textAlignment w:val="auto"/>
              <w:outlineLvl w:val="9"/>
              <w:rPr>
                <w:rFonts w:hint="eastAsia" w:ascii="仿宋" w:hAnsi="仿宋" w:eastAsia="仿宋" w:cs="仿宋"/>
                <w:sz w:val="24"/>
                <w:szCs w:val="24"/>
              </w:rPr>
            </w:pPr>
            <w:r>
              <w:rPr>
                <w:rFonts w:hint="eastAsia" w:ascii="仿宋" w:hAnsi="仿宋" w:eastAsia="仿宋" w:cs="仿宋"/>
                <w:sz w:val="24"/>
                <w:szCs w:val="24"/>
              </w:rPr>
              <w:t>2W</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2318" w:type="dxa"/>
          </w:tcPr>
          <w:p>
            <w:pPr>
              <w:pStyle w:val="72"/>
              <w:keepNext w:val="0"/>
              <w:keepLines w:val="0"/>
              <w:pageBreakBefore w:val="0"/>
              <w:widowControl w:val="0"/>
              <w:kinsoku/>
              <w:wordWrap/>
              <w:overflowPunct/>
              <w:topLinePunct w:val="0"/>
              <w:autoSpaceDE/>
              <w:autoSpaceDN/>
              <w:bidi w:val="0"/>
              <w:spacing w:before="22"/>
              <w:ind w:left="898" w:right="784"/>
              <w:textAlignment w:val="auto"/>
              <w:outlineLvl w:val="9"/>
              <w:rPr>
                <w:rFonts w:hint="eastAsia" w:ascii="仿宋" w:hAnsi="仿宋" w:eastAsia="仿宋" w:cs="仿宋"/>
                <w:sz w:val="24"/>
                <w:szCs w:val="24"/>
              </w:rPr>
            </w:pPr>
            <w:r>
              <w:rPr>
                <w:rFonts w:hint="eastAsia" w:ascii="仿宋" w:hAnsi="仿宋" w:eastAsia="仿宋" w:cs="仿宋"/>
                <w:sz w:val="24"/>
                <w:szCs w:val="24"/>
              </w:rPr>
              <w:t>IP44</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2357" w:type="dxa"/>
          </w:tcPr>
          <w:p>
            <w:pPr>
              <w:pStyle w:val="72"/>
              <w:keepNext w:val="0"/>
              <w:keepLines w:val="0"/>
              <w:pageBreakBefore w:val="0"/>
              <w:widowControl w:val="0"/>
              <w:kinsoku/>
              <w:wordWrap/>
              <w:overflowPunct/>
              <w:topLinePunct w:val="0"/>
              <w:autoSpaceDE/>
              <w:autoSpaceDN/>
              <w:bidi w:val="0"/>
              <w:ind w:left="106"/>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立杆胀杆固定、一体化基座安装箱、浇筑基础、钢结构等</w:t>
            </w:r>
          </w:p>
        </w:tc>
        <w:tc>
          <w:tcPr>
            <w:tcW w:w="2318" w:type="dxa"/>
          </w:tcPr>
          <w:p>
            <w:pPr>
              <w:pStyle w:val="72"/>
              <w:keepNext w:val="0"/>
              <w:keepLines w:val="0"/>
              <w:pageBreakBefore w:val="0"/>
              <w:widowControl w:val="0"/>
              <w:tabs>
                <w:tab w:val="left" w:pos="1680"/>
              </w:tabs>
              <w:kinsoku/>
              <w:wordWrap/>
              <w:overflowPunct/>
              <w:topLinePunct w:val="0"/>
              <w:autoSpaceDE/>
              <w:autoSpaceDN/>
              <w:bidi w:val="0"/>
              <w:spacing w:before="177"/>
              <w:ind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以壁挂式为主</w:t>
            </w:r>
          </w:p>
        </w:tc>
        <w:tc>
          <w:tcPr>
            <w:tcW w:w="2106" w:type="dxa"/>
          </w:tcPr>
          <w:p>
            <w:pPr>
              <w:pStyle w:val="72"/>
              <w:keepNext w:val="0"/>
              <w:keepLines w:val="0"/>
              <w:pageBreakBefore w:val="0"/>
              <w:widowControl w:val="0"/>
              <w:kinsoku/>
              <w:wordWrap/>
              <w:overflowPunct/>
              <w:topLinePunct w:val="0"/>
              <w:autoSpaceDE/>
              <w:autoSpaceDN/>
              <w:bidi w:val="0"/>
              <w:spacing w:before="177"/>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0"/>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2357" w:type="dxa"/>
          </w:tcPr>
          <w:p>
            <w:pPr>
              <w:pStyle w:val="72"/>
              <w:keepNext w:val="0"/>
              <w:keepLines w:val="0"/>
              <w:pageBreakBefore w:val="0"/>
              <w:widowControl w:val="0"/>
              <w:kinsoku/>
              <w:wordWrap/>
              <w:overflowPunct/>
              <w:topLinePunct w:val="0"/>
              <w:autoSpaceDE/>
              <w:autoSpaceDN/>
              <w:bidi w:val="0"/>
              <w:spacing w:before="177" w:line="278" w:lineRule="auto"/>
              <w:ind w:right="96"/>
              <w:textAlignment w:val="auto"/>
              <w:outlineLvl w:val="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按需供电方式，满足连续</w:t>
            </w:r>
            <w:r>
              <w:rPr>
                <w:rFonts w:hint="eastAsia" w:ascii="仿宋" w:hAnsi="仿宋" w:eastAsia="仿宋" w:cs="仿宋"/>
                <w:sz w:val="24"/>
                <w:szCs w:val="24"/>
                <w:lang w:eastAsia="zh-CN"/>
              </w:rPr>
              <w:t>30</w:t>
            </w:r>
            <w:r>
              <w:rPr>
                <w:rFonts w:hint="eastAsia" w:ascii="仿宋" w:hAnsi="仿宋" w:eastAsia="仿宋" w:cs="仿宋"/>
                <w:spacing w:val="-7"/>
                <w:sz w:val="24"/>
                <w:szCs w:val="24"/>
                <w:lang w:eastAsia="zh-CN"/>
              </w:rPr>
              <w:t>个阴</w:t>
            </w:r>
            <w:r>
              <w:rPr>
                <w:rFonts w:hint="eastAsia" w:ascii="仿宋" w:hAnsi="仿宋" w:eastAsia="仿宋" w:cs="仿宋"/>
                <w:sz w:val="24"/>
                <w:szCs w:val="24"/>
                <w:lang w:eastAsia="zh-CN"/>
              </w:rPr>
              <w:t>雨日正常工作</w:t>
            </w:r>
          </w:p>
        </w:tc>
        <w:tc>
          <w:tcPr>
            <w:tcW w:w="2318" w:type="dxa"/>
          </w:tcPr>
          <w:p>
            <w:pPr>
              <w:pStyle w:val="72"/>
              <w:keepNext w:val="0"/>
              <w:keepLines w:val="0"/>
              <w:pageBreakBefore w:val="0"/>
              <w:widowControl w:val="0"/>
              <w:kinsoku/>
              <w:wordWrap/>
              <w:overflowPunct/>
              <w:topLinePunct w:val="0"/>
              <w:autoSpaceDE/>
              <w:autoSpaceDN/>
              <w:bidi w:val="0"/>
              <w:spacing w:line="278" w:lineRule="auto"/>
              <w:ind w:left="130" w:right="12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市电及内置备用电池，支持断电自动切换，电池待机时间大于24小时</w:t>
            </w:r>
          </w:p>
        </w:tc>
        <w:tc>
          <w:tcPr>
            <w:tcW w:w="2106" w:type="dxa"/>
          </w:tcPr>
          <w:p>
            <w:pPr>
              <w:pStyle w:val="72"/>
              <w:keepNext w:val="0"/>
              <w:keepLines w:val="0"/>
              <w:pageBreakBefore w:val="0"/>
              <w:widowControl w:val="0"/>
              <w:kinsoku/>
              <w:wordWrap/>
              <w:overflowPunct/>
              <w:topLinePunct w:val="0"/>
              <w:autoSpaceDE/>
              <w:autoSpaceDN/>
              <w:bidi w:val="0"/>
              <w:spacing w:before="0"/>
              <w:jc w:val="both"/>
              <w:textAlignment w:val="auto"/>
              <w:outlineLvl w:val="9"/>
              <w:rPr>
                <w:rFonts w:hint="eastAsia" w:ascii="仿宋" w:hAnsi="仿宋" w:eastAsia="仿宋" w:cs="仿宋"/>
                <w:sz w:val="24"/>
                <w:szCs w:val="24"/>
                <w:lang w:eastAsia="zh-CN"/>
              </w:rPr>
            </w:pPr>
          </w:p>
          <w:p>
            <w:pPr>
              <w:pStyle w:val="72"/>
              <w:keepNext w:val="0"/>
              <w:keepLines w:val="0"/>
              <w:pageBreakBefore w:val="0"/>
              <w:widowControl w:val="0"/>
              <w:kinsoku/>
              <w:wordWrap/>
              <w:overflowPunct/>
              <w:topLinePunct w:val="0"/>
              <w:autoSpaceDE/>
              <w:autoSpaceDN/>
              <w:bidi w:val="0"/>
              <w:spacing w:before="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现场存储</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1868"/>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本地存储及远端平台存储</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控制方式</w:t>
            </w:r>
          </w:p>
        </w:tc>
        <w:tc>
          <w:tcPr>
            <w:tcW w:w="4675" w:type="dxa"/>
            <w:gridSpan w:val="2"/>
          </w:tcPr>
          <w:p>
            <w:pPr>
              <w:pStyle w:val="72"/>
              <w:keepNext w:val="0"/>
              <w:keepLines w:val="0"/>
              <w:pageBreakBefore w:val="0"/>
              <w:widowControl w:val="0"/>
              <w:kinsoku/>
              <w:wordWrap/>
              <w:overflowPunct/>
              <w:topLinePunct w:val="0"/>
              <w:autoSpaceDE/>
              <w:autoSpaceDN/>
              <w:bidi w:val="0"/>
              <w:spacing w:before="177"/>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本地控制及远端平台控制</w:t>
            </w:r>
          </w:p>
        </w:tc>
        <w:tc>
          <w:tcPr>
            <w:tcW w:w="2106" w:type="dxa"/>
          </w:tcPr>
          <w:p>
            <w:pPr>
              <w:pStyle w:val="72"/>
              <w:keepNext w:val="0"/>
              <w:keepLines w:val="0"/>
              <w:pageBreakBefore w:val="0"/>
              <w:widowControl w:val="0"/>
              <w:kinsoku/>
              <w:wordWrap/>
              <w:overflowPunct/>
              <w:topLinePunct w:val="0"/>
              <w:autoSpaceDE/>
              <w:autoSpaceDN/>
              <w:bidi w:val="0"/>
              <w:ind w:left="1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报消除按键</w:t>
            </w:r>
          </w:p>
        </w:tc>
      </w:tr>
    </w:tbl>
    <w:p>
      <w:pPr>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地质灾害群专结合监测预警点建设工作包括现场踏勘、监测点单点设计书及总体设计方案、监测设备的购置、运输、安装、防护围栏安装、警示牌制作、数据传输和运行维护。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监测点建设数量不少于80个。选择确定风险较大的重要隐患，安排采用无人机实测成图，其中正射影像比例不低于20%，三维模型比例不低于5%。监测预警点单点设计方案应采用近期高分辨率影像，附地质隐患点、承载体、灾害特征照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最终设计方案及工作量以审批后的项目设计书为准。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（一）《新疆伊犁州群专结合监测预警点建设（2022年度）项目（二标段）年度成果报告》；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（二）《新疆伊犁州群专结合监测预警点建设（2022年度）项目（二标段）竣工报告》；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（三）《新疆伊犁州群专结合监测预警点建设（2022年度）项目（二标段）设备使用手册》；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（四）《</w:t>
      </w:r>
      <w:r>
        <w:rPr>
          <w:rFonts w:hint="eastAsia" w:ascii="仿宋" w:hAnsi="仿宋" w:eastAsia="仿宋" w:cs="仿宋"/>
          <w:kern w:val="0"/>
          <w:sz w:val="24"/>
          <w:szCs w:val="24"/>
        </w:rPr>
        <w:t>新疆伊犁州群专结合监测预警点建设</w:t>
      </w:r>
      <w:r>
        <w:rPr>
          <w:rFonts w:hint="eastAsia" w:ascii="仿宋" w:hAnsi="仿宋" w:eastAsia="仿宋" w:cs="仿宋"/>
          <w:sz w:val="24"/>
          <w:szCs w:val="24"/>
        </w:rPr>
        <w:t>（2022年度）</w:t>
      </w:r>
      <w:r>
        <w:rPr>
          <w:rFonts w:hint="eastAsia" w:ascii="仿宋" w:hAnsi="仿宋" w:eastAsia="仿宋" w:cs="仿宋"/>
          <w:kern w:val="0"/>
          <w:sz w:val="24"/>
          <w:szCs w:val="24"/>
        </w:rPr>
        <w:t>项目</w:t>
      </w:r>
      <w:r>
        <w:rPr>
          <w:rFonts w:hint="eastAsia" w:ascii="仿宋" w:hAnsi="仿宋" w:eastAsia="仿宋" w:cs="仿宋"/>
          <w:sz w:val="24"/>
          <w:szCs w:val="24"/>
        </w:rPr>
        <w:t>（二标段）</w:t>
      </w:r>
      <w:r>
        <w:rPr>
          <w:rFonts w:hint="eastAsia" w:ascii="仿宋" w:hAnsi="仿宋" w:eastAsia="仿宋" w:cs="仿宋"/>
          <w:kern w:val="0"/>
          <w:sz w:val="24"/>
          <w:szCs w:val="24"/>
        </w:rPr>
        <w:t>运行维护报告》。</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（五）项目建设原始资料（包含地质灾害专业监测点建设实际材料图；监测点建设照片和影像资料；其他原始资料等）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2022年3月30日前实施单位进驻现场开始基础施工，并同步启动设备安装，5月10日前完成基础施和设备安装及试运行；5月15日前，完成项目野外工作初验。2022年5月20日前，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outlineLvl w:val="1"/>
        <w:rPr>
          <w:rFonts w:hint="eastAsia" w:ascii="仿宋" w:hAnsi="仿宋" w:eastAsia="仿宋" w:cs="宋体"/>
          <w:color w:val="auto"/>
          <w:kern w:val="0"/>
          <w:sz w:val="24"/>
          <w:szCs w:val="36"/>
        </w:rPr>
      </w:pPr>
      <w:r>
        <w:rPr>
          <w:rFonts w:hint="eastAsia" w:ascii="仿宋" w:hAnsi="仿宋" w:eastAsia="仿宋" w:cs="仿宋"/>
          <w:color w:val="auto"/>
          <w:sz w:val="24"/>
          <w:szCs w:val="24"/>
        </w:rPr>
        <w:br w:type="page"/>
      </w:r>
      <w:bookmarkStart w:id="272" w:name="_Toc32368"/>
      <w:bookmarkStart w:id="273" w:name="_Toc25238"/>
      <w:r>
        <w:rPr>
          <w:rStyle w:val="73"/>
          <w:rFonts w:hint="eastAsia" w:ascii="宋体" w:hAnsi="宋体" w:eastAsia="宋体" w:cs="宋体"/>
          <w:color w:val="auto"/>
          <w:lang w:val="en-US" w:eastAsia="zh-CN"/>
        </w:rPr>
        <w:t>标项五：</w:t>
      </w:r>
      <w:bookmarkEnd w:id="272"/>
      <w:bookmarkEnd w:id="273"/>
      <w:r>
        <w:rPr>
          <w:rStyle w:val="73"/>
          <w:rFonts w:hint="eastAsia" w:ascii="宋体" w:hAnsi="宋体" w:eastAsia="宋体" w:cs="宋体"/>
          <w:color w:val="auto"/>
          <w:lang w:val="en-US" w:eastAsia="zh-CN"/>
        </w:rPr>
        <w:t>新疆尼勒克县喀拉托别乡哈拉哈达沟口泥石流防治工程</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w:t>
      </w:r>
      <w:bookmarkStart w:id="274" w:name="_Hlk93580047"/>
      <w:r>
        <w:rPr>
          <w:rFonts w:hint="eastAsia" w:ascii="仿宋" w:hAnsi="仿宋" w:eastAsia="仿宋" w:cs="仿宋"/>
          <w:kern w:val="0"/>
          <w:sz w:val="24"/>
          <w:szCs w:val="24"/>
        </w:rPr>
        <w:t>新疆</w:t>
      </w:r>
      <w:bookmarkStart w:id="275" w:name="_Hlk93574531"/>
      <w:r>
        <w:rPr>
          <w:rFonts w:hint="eastAsia" w:ascii="仿宋" w:hAnsi="仿宋" w:eastAsia="仿宋" w:cs="仿宋"/>
          <w:kern w:val="0"/>
          <w:sz w:val="24"/>
          <w:szCs w:val="24"/>
        </w:rPr>
        <w:t>尼勒克县喀拉托别乡</w:t>
      </w:r>
      <w:bookmarkEnd w:id="275"/>
      <w:r>
        <w:rPr>
          <w:rFonts w:hint="eastAsia" w:ascii="仿宋" w:hAnsi="仿宋" w:eastAsia="仿宋" w:cs="仿宋"/>
          <w:kern w:val="0"/>
          <w:sz w:val="24"/>
          <w:szCs w:val="24"/>
        </w:rPr>
        <w:t>哈拉哈达沟口泥石流防治工程</w:t>
      </w:r>
      <w:bookmarkEnd w:id="274"/>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b w:val="0"/>
          <w:bCs w:val="0"/>
          <w:kern w:val="0"/>
          <w:sz w:val="24"/>
          <w:szCs w:val="24"/>
          <w:lang w:val="en-US" w:eastAsia="zh-CN"/>
        </w:rPr>
        <w:t>435.00</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肆佰叁拾伍万元</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rPr>
        <w:t>防治区位于尼勒克县喀拉托别乡，中心地理坐标为：东经83°13′19″，北纬43°43′20″。距尼勒克县城以东75km，西距79团2km。工作范围涵盖泥石流、潜在威胁对象及周围可能受威胁的区域，面积为4.36km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泥石流灾害主要威胁对象为泥石流沟口哈拉哈达自然村的居民、商埠、省道315线、流动车辆人口输电线路等，威胁出山口以外固定人口120户450人，流动人口约100人，威胁省道315线长度约500m，威胁房屋475间、农田100亩，马278匹，牛290头，羊2165只。初步估算受威胁财产约2946万元。</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防治区距尼勒克县城以东75km，西距79团2km，位于省道315线喀什河大桥南侧200m处，与外界交通较为便利。防治区地貌属低中山区，地形起伏较大，防治区内只有简易牧道，大部分地区车辆无法通行，</w:t>
      </w:r>
      <w:r>
        <w:rPr>
          <w:rFonts w:hint="eastAsia" w:ascii="仿宋" w:hAnsi="仿宋" w:eastAsia="仿宋" w:cs="仿宋"/>
          <w:snapToGrid w:val="0"/>
          <w:kern w:val="0"/>
          <w:sz w:val="24"/>
          <w:szCs w:val="24"/>
        </w:rPr>
        <w:t>内部通行较为不便。</w:t>
      </w:r>
    </w:p>
    <w:p>
      <w:pPr>
        <w:keepNext w:val="0"/>
        <w:keepLines w:val="0"/>
        <w:pageBreakBefore w:val="0"/>
        <w:widowControl w:val="0"/>
        <w:numPr>
          <w:ilvl w:val="0"/>
          <w:numId w:val="8"/>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尼勒克县位于中天山西段，面积10053km2。县城东距乌鲁木市516km，西距伊宁市113km。尼勒克县辖10乡1镇2场，共83个行政村，6个居委会。2016年末，全县总人口18.98万人，由哈萨克、汉、维吾尔等24个民族组成，少数民族占全县总人口的73.4%。2016年全县完成生产总值46.1亿元，城镇居民人均可支配收入24207元，农牧民人均纯收入10591元。</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属尼勒克县喀拉托别乡喀尔沃依村哈拉哈达牧业自然村，哈拉哈达牧业自然村常住人口155户，650人，其中沟口以外有120户450人，沟内123户，530人（其中大部分牧民在沟内和沟外都有住房），均为哈萨克族，2016年末牲畜存栏数8800头（只），草场面积7万余亩。</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bidi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防治区位于伊犁谷地东端喀什河南岸，地貌类型属剥蚀低中山区，总体地势南高北低，海拔高程1500-2590m，相对高差1090m。</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哈拉哈达沟主沟呈西南—北东向延伸，沟谷上游地形切割较深，大部分基岩出露或覆盖薄层第四系；沟谷中游地形起伏相对较小，沟谷两侧山坡呈低矮平缓型；下游地形切割较大，沟谷两侧山坡高80-100m，沟槽两岸陡直。沟谷内植被发育；沟谷出山口处至喀什河为喀什河河谷阶地地貌，泥石流出山口发育堆积扇，堆积于喀什河阶地之上。地形开阔平坦，地表植被发育，堆积扇后期被人为改造，其上分布有居民房屋、道路、农田等，堆积扇特征不明显。</w:t>
      </w:r>
    </w:p>
    <w:p>
      <w:pPr>
        <w:keepNext w:val="0"/>
        <w:keepLines w:val="0"/>
        <w:pageBreakBefore w:val="0"/>
        <w:widowControl w:val="0"/>
        <w:numPr>
          <w:ilvl w:val="0"/>
          <w:numId w:val="9"/>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地层岩性</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防治区出露的地层主要有：二叠系、侏罗系及第四系，其分布特征如下：</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二叠系</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主要</w:t>
      </w:r>
      <w:r>
        <w:rPr>
          <w:rFonts w:hint="eastAsia" w:ascii="仿宋" w:hAnsi="仿宋" w:eastAsia="仿宋" w:cs="仿宋"/>
          <w:snapToGrid w:val="0"/>
          <w:kern w:val="0"/>
          <w:sz w:val="24"/>
          <w:szCs w:val="24"/>
        </w:rPr>
        <w:t>分布在上游至分水岭。大面积出露，局部覆盖薄层第四系粉土，</w:t>
      </w:r>
      <w:r>
        <w:rPr>
          <w:rFonts w:hint="eastAsia" w:ascii="仿宋" w:hAnsi="仿宋" w:eastAsia="仿宋" w:cs="仿宋"/>
          <w:sz w:val="24"/>
          <w:szCs w:val="24"/>
        </w:rPr>
        <w:t>岩性主要为灰色、灰紫色砂岩、砂砾岩，</w:t>
      </w:r>
      <w:r>
        <w:rPr>
          <w:rFonts w:hint="eastAsia" w:ascii="仿宋" w:hAnsi="仿宋" w:eastAsia="仿宋" w:cs="仿宋"/>
          <w:snapToGrid w:val="0"/>
          <w:kern w:val="0"/>
          <w:sz w:val="24"/>
          <w:szCs w:val="24"/>
          <w:lang w:val="zh-CN"/>
        </w:rPr>
        <w:t>较坚硬，表层风化破碎，裂隙发育，</w:t>
      </w:r>
      <w:r>
        <w:rPr>
          <w:rFonts w:hint="eastAsia" w:ascii="仿宋" w:hAnsi="仿宋" w:eastAsia="仿宋" w:cs="仿宋"/>
          <w:sz w:val="24"/>
          <w:szCs w:val="24"/>
        </w:rPr>
        <w:t>产状180-190°</w:t>
      </w:r>
      <w:r>
        <w:rPr>
          <w:rFonts w:hint="eastAsia" w:ascii="仿宋" w:hAnsi="仿宋" w:eastAsia="仿宋" w:cs="仿宋"/>
          <w:snapToGrid w:val="0"/>
          <w:kern w:val="0"/>
          <w:sz w:val="24"/>
          <w:szCs w:val="24"/>
          <w:lang w:val="zh-CN"/>
        </w:rPr>
        <w:t>∠40-50°。</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侏罗系</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主要分布在中、下游至出山口沟谷两侧山坡处。在下游至出山口段，西侧坡体上部大面积出露，局部覆盖薄层第四系粉土，东岸零星出露，主要在河道东岸半坡及沟底。其它区域多被第四系上更新统风积粉土覆盖，岩性主要为灰色、青色砂岩，红褐色泥岩，砂岩较坚硬，表层风化破碎，裂隙发育，产状170-190°∠40-55°，泥岩表层风化严重，呈松散状。</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第四系</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上更新统风积层（Q</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eol</w:t>
      </w:r>
      <w:r>
        <w:rPr>
          <w:rFonts w:hint="eastAsia" w:ascii="仿宋" w:hAnsi="仿宋" w:eastAsia="仿宋" w:cs="仿宋"/>
          <w:sz w:val="24"/>
          <w:szCs w:val="24"/>
        </w:rPr>
        <w:t>）：</w:t>
      </w:r>
      <w:r>
        <w:rPr>
          <w:rFonts w:hint="eastAsia" w:ascii="仿宋" w:hAnsi="仿宋" w:eastAsia="仿宋" w:cs="仿宋"/>
          <w:snapToGrid w:val="0"/>
          <w:kern w:val="0"/>
          <w:sz w:val="24"/>
          <w:szCs w:val="24"/>
          <w:lang w:val="zh-CN"/>
        </w:rPr>
        <w:t>在勘查区</w:t>
      </w:r>
      <w:r>
        <w:rPr>
          <w:rFonts w:hint="eastAsia" w:ascii="仿宋" w:hAnsi="仿宋" w:eastAsia="仿宋" w:cs="仿宋"/>
          <w:sz w:val="24"/>
          <w:szCs w:val="24"/>
        </w:rPr>
        <w:t>大面积分布于山坡缓坡处，岩性为土黄色风成粉土，结构松散—稍密，稍湿—湿，可塑。厚度一般1-10m；在下游东岸局部厚度较大，最厚可达41m。</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apl</w:t>
      </w:r>
      <w:r>
        <w:rPr>
          <w:rFonts w:hint="eastAsia" w:ascii="仿宋" w:hAnsi="仿宋" w:eastAsia="仿宋" w:cs="仿宋"/>
          <w:sz w:val="24"/>
          <w:szCs w:val="24"/>
        </w:rPr>
        <w:t>）：主要分布于泥石流沟底部（常年流水河流河谷及河漫滩）及出山口堆积区。岩性主要由土黄色粉土及青灰色漂石、卵石、砾石构成。</w:t>
      </w:r>
      <w:r>
        <w:rPr>
          <w:rFonts w:hint="eastAsia" w:ascii="仿宋" w:hAnsi="仿宋" w:eastAsia="仿宋" w:cs="仿宋"/>
          <w:kern w:val="0"/>
          <w:sz w:val="24"/>
          <w:szCs w:val="24"/>
        </w:rPr>
        <w:t>地层多具两层结构，上部岩性主要为粉土，厚度0.5-4.0米，表层10-50cm植物根系发育，腐殖质化，土壤呈黑褐色，结构松散—稍密，稍湿—很湿，可塑；下部多由青灰色的卵石、砾石构成，粒径一般20-100mm。从下游往上游粒径逐渐变大，由次圆状逐渐变为次棱角-次圆状，分选较好。厚度一般2-5米，出山口堆积区最厚，可达7.0m以上。</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全新统冲积层（Q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al</w:t>
      </w:r>
      <w:r>
        <w:rPr>
          <w:rFonts w:hint="eastAsia" w:ascii="仿宋" w:hAnsi="仿宋" w:eastAsia="仿宋" w:cs="仿宋"/>
          <w:sz w:val="24"/>
          <w:szCs w:val="24"/>
        </w:rPr>
        <w:t>）：位于出山口至喀什河之间的河谷阶地，</w:t>
      </w:r>
      <w:r>
        <w:rPr>
          <w:rFonts w:hint="eastAsia" w:ascii="仿宋" w:hAnsi="仿宋" w:eastAsia="仿宋" w:cs="仿宋"/>
          <w:kern w:val="0"/>
          <w:sz w:val="24"/>
          <w:szCs w:val="24"/>
        </w:rPr>
        <w:t>多由青灰色的卵石、砾石构成，粒径一般20-100mm。磨圆度较好，分选较好。出山口至村庄被</w:t>
      </w:r>
      <w:r>
        <w:rPr>
          <w:rFonts w:hint="eastAsia" w:ascii="仿宋" w:hAnsi="仿宋" w:eastAsia="仿宋" w:cs="仿宋"/>
          <w:sz w:val="24"/>
          <w:szCs w:val="24"/>
        </w:rPr>
        <w:t>泥石流堆积物覆盖。</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防治区可以划分为松散岩类孔隙潜水和碎屑岩类孔隙裂隙水两类。</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1.松散岩类孔隙潜水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于防治区河谷阶地和两侧山坡。河谷阶地含水层岩性为砂卵砾石，单井涌水量1000-1500m3/d；矿化度0.4g/L，水化学类型为HCO3·SO4—Ca·Mg。河谷两侧坡体含水岩性为粉土，单泉流量一般小于0.01L/s。该区地下水接受大气降水渗入及冰雪融水渗入补给，地下水从南向北径流，在被沟谷切割处，以泉的形式溢出，最终排泄至喀什河。</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2.碎屑岩类孔隙裂隙水</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分布于防治区低中山区，赋存于侏罗系及二叠系，含水层岩性为粗粒结构的碎屑岩，单泉流量0.1-1L/S；矿化度约0.9g/L，水化学类型为SO</w:t>
      </w:r>
      <w:r>
        <w:rPr>
          <w:rFonts w:hint="eastAsia" w:ascii="仿宋" w:hAnsi="仿宋" w:eastAsia="仿宋" w:cs="仿宋"/>
          <w:sz w:val="24"/>
          <w:szCs w:val="24"/>
          <w:vertAlign w:val="subscript"/>
        </w:rPr>
        <w:t>4</w:t>
      </w:r>
      <w:r>
        <w:rPr>
          <w:rFonts w:hint="eastAsia" w:ascii="仿宋" w:hAnsi="仿宋" w:eastAsia="仿宋" w:cs="仿宋"/>
          <w:sz w:val="24"/>
          <w:szCs w:val="24"/>
        </w:rPr>
        <w:t>·HCO</w:t>
      </w:r>
      <w:r>
        <w:rPr>
          <w:rFonts w:hint="eastAsia" w:ascii="仿宋" w:hAnsi="仿宋" w:eastAsia="仿宋" w:cs="仿宋"/>
          <w:sz w:val="24"/>
          <w:szCs w:val="24"/>
          <w:vertAlign w:val="subscript"/>
        </w:rPr>
        <w:t>3</w:t>
      </w:r>
      <w:r>
        <w:rPr>
          <w:rFonts w:hint="eastAsia" w:ascii="仿宋" w:hAnsi="仿宋" w:eastAsia="仿宋" w:cs="仿宋"/>
          <w:sz w:val="24"/>
          <w:szCs w:val="24"/>
        </w:rPr>
        <w:t>—Mg .Ca型。</w:t>
      </w:r>
      <w:r>
        <w:rPr>
          <w:rFonts w:hint="eastAsia" w:ascii="仿宋" w:hAnsi="仿宋" w:eastAsia="仿宋" w:cs="仿宋"/>
          <w:kern w:val="0"/>
          <w:sz w:val="24"/>
          <w:szCs w:val="24"/>
        </w:rPr>
        <w:t>该区地下水主要</w:t>
      </w:r>
      <w:r>
        <w:rPr>
          <w:rFonts w:hint="eastAsia" w:ascii="仿宋" w:hAnsi="仿宋" w:eastAsia="仿宋" w:cs="仿宋"/>
          <w:sz w:val="24"/>
          <w:szCs w:val="24"/>
        </w:rPr>
        <w:t>接受</w:t>
      </w:r>
      <w:r>
        <w:rPr>
          <w:rFonts w:hint="eastAsia" w:ascii="仿宋" w:hAnsi="仿宋" w:eastAsia="仿宋" w:cs="仿宋"/>
          <w:kern w:val="0"/>
          <w:sz w:val="24"/>
          <w:szCs w:val="24"/>
        </w:rPr>
        <w:t>大气降水渗入和冰雪融水渗入</w:t>
      </w:r>
      <w:r>
        <w:rPr>
          <w:rFonts w:hint="eastAsia" w:ascii="仿宋" w:hAnsi="仿宋" w:eastAsia="仿宋" w:cs="仿宋"/>
          <w:sz w:val="24"/>
          <w:szCs w:val="24"/>
        </w:rPr>
        <w:t>补给，地下水在深切的沟谷处多以潜流及泉的形式排泄。</w:t>
      </w:r>
    </w:p>
    <w:p>
      <w:pPr>
        <w:keepNext w:val="0"/>
        <w:keepLines w:val="0"/>
        <w:pageBreakBefore w:val="0"/>
        <w:widowControl w:val="0"/>
        <w:numPr>
          <w:ilvl w:val="0"/>
          <w:numId w:val="10"/>
        </w:numPr>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按照岩土体的组成岩性、结构类型、岩土强度等，将防治区内岩土体划分为三个工程地质岩组：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1.较坚硬的层状碎屑岩岩组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该类岩组在勘查区分布较广，以侏罗系、二叠系为主，地表多被第四系覆盖。为厚层较坚硬砂岩、砾岩，强风化层厚度约1-3m，承载力大于700千帕，工程地质条件好。</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2.软弱的层状碎屑岩岩组</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类岩组主要分布于泥石流沟下游，为侏罗系，位于砂岩之上，被第四系覆盖。岩性为红褐色泥岩。该岩组岩石一般为泥质胶结，亲水矿物含量较多，遇水变软或崩解，岩石强度低，滑坡滑动带的饱和抗剪强度为1.4kPa左右，总体工程地质条件较差。滑坡滑带基本由该岩组构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3.单层、多层土体</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（1）碎石土单层土体</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主要分布于沟谷底部河道，厚度大致在2-5m，岩性为青灰色、灰色的砂砾石、卵砾石、漂石，具水平层理，结构致密，地基承载力220-400千帕，该层土体整体工程地质条件较好。</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（2）粉土单层土体</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勘查区缓坡及河岸两侧处，土体成分以粉土为主，厚度0.5-41.0m，呈淡黄色、土黄色，疏松—稍密，具有大孔隙、均质性，垂直节理较发育，易软化崩解、湿陷，在暴雨或地震的诱发下，易形成滑坡。地基土承载力特征值100-140KPa，工程地质条件较差。</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（3）粉土、碎石土双层土体</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color w:val="000000"/>
          <w:sz w:val="24"/>
          <w:szCs w:val="24"/>
        </w:rPr>
        <w:t>主要分布于勘查区内的泥石流主沟，上部为粉土，厚度为0.5-4m，稍湿—湿，稍密，根据动力触探试验，地基承载力100-140千帕，大多具湿陷性和自重湿陷性；其下为松散的卵砾石，结构较松散，地基承载力220千帕，该层土体整体工程地质条件较好。</w:t>
      </w:r>
    </w:p>
    <w:p>
      <w:pPr>
        <w:keepNext w:val="0"/>
        <w:keepLines w:val="0"/>
        <w:pageBreakBefore w:val="0"/>
        <w:widowControl w:val="0"/>
        <w:numPr>
          <w:ilvl w:val="0"/>
          <w:numId w:val="10"/>
        </w:numPr>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研究程度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《新疆尼勒克县地质灾害调查与区划报告》</w:t>
      </w:r>
      <w:r>
        <w:rPr>
          <w:rFonts w:hint="eastAsia" w:ascii="仿宋" w:hAnsi="仿宋" w:eastAsia="仿宋" w:cs="仿宋"/>
          <w:color w:val="000000"/>
          <w:sz w:val="24"/>
          <w:szCs w:val="24"/>
        </w:rPr>
        <w:t>（2003年）；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《新疆尼勒克县地质灾害详细调查报告》</w:t>
      </w:r>
      <w:r>
        <w:rPr>
          <w:rFonts w:hint="eastAsia" w:ascii="仿宋" w:hAnsi="仿宋" w:eastAsia="仿宋" w:cs="仿宋"/>
          <w:color w:val="000000"/>
          <w:sz w:val="24"/>
          <w:szCs w:val="24"/>
        </w:rPr>
        <w:t>（2010年）；</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3.《新疆尼勒克县喀拉托别乡哈拉哈达沟口地质环境专项勘查报告》（2015年）。</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防治区内主要地质灾害为泥石流，其特征如下：</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泥石流沟贯穿于防治区南部低中山区，流向自南西向北东，全长17.2km，流域面积36.6km</w:t>
      </w:r>
      <w:r>
        <w:rPr>
          <w:rFonts w:hint="eastAsia" w:ascii="仿宋" w:hAnsi="仿宋" w:eastAsia="仿宋" w:cs="仿宋"/>
          <w:color w:val="000000"/>
          <w:sz w:val="24"/>
          <w:szCs w:val="24"/>
          <w:vertAlign w:val="superscript"/>
        </w:rPr>
        <w:t>2</w:t>
      </w:r>
      <w:r>
        <w:rPr>
          <w:rFonts w:hint="eastAsia" w:ascii="仿宋" w:hAnsi="仿宋" w:eastAsia="仿宋" w:cs="仿宋"/>
          <w:color w:val="000000"/>
          <w:sz w:val="24"/>
          <w:szCs w:val="24"/>
        </w:rPr>
        <w:t>，上游分水岭至下游与喀什河交汇处相对高差1090m，比降63.3‰。流域周界由山谷分水岭构成，水源及物源补给区广泛，堆积区位于出山口到喀什河之间，由于堆积物被当地农民清运，把堆积区改造成农田，堆积区内无明显堆积物。</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流域集水面积较大，为泥石流形成提供了水源条件。通过现场调查，泥石流沟沟底及沟岸两侧松散堆积物较丰富，为泥石流形成提供了物源基础。泥石流下游出口至喀什河地势开阔，地形平坦，泥石流在该处停滞堆积。</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新疆尼勒克县喀拉托别乡哈拉哈达沟口泥石流防治工程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喀拉托别乡哈拉哈达沟口周边居民</w:t>
      </w:r>
      <w:r>
        <w:rPr>
          <w:rFonts w:hint="eastAsia" w:ascii="仿宋" w:hAnsi="仿宋" w:eastAsia="仿宋" w:cs="仿宋"/>
          <w:sz w:val="24"/>
          <w:szCs w:val="24"/>
        </w:rPr>
        <w:t>遭受灾害的威胁，保障人民生命和财产安全。</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2.按照审批通过的防治工程设计，组织地质灾害防治工程施工。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1.《泥石流灾害防治工程设计规范》(DZ/T0239-2004)</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2.《滑坡防治工程设计与施工技术规范》（DZ/T0219-2006）；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3.《建筑抗震设计规范》（GB50011-2010）；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4.《工业建筑防腐蚀设计规范》（GB50046-2008）；</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8.《建筑边坡工程技术规范》（GB50330-2013）；</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9.《崩塌·滑坡·泥石流监测规范》（DZ/T0221-2006）；</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11.《工程测量标准》（GB50026-2020）；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12.《建设项目环境保护管理条例》；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13.《建设工程质量管理条例》；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14.《建设工程安全生产管理条例》；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其他有关规范、规程和技术要求。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本项目的目标和任务，结合防治区泥石流特征和环境现状，以基本消除或减轻地质灾害对当地居民的威胁为目的，本次泥石流灾害防治主要采取修建谷坊坝、拦砂坝、排倒渠、截排水沟、桩板式挡土墙、重力式挡土墙以及安全警示工程等综合防治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最终成果资料汇交应按《新疆维吾尔自治区地质灾害防治项目管理办法（试行）》要求执行。</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kern w:val="0"/>
          <w:sz w:val="24"/>
          <w:szCs w:val="24"/>
        </w:rPr>
        <w:br w:type="column"/>
      </w:r>
      <w:r>
        <w:rPr>
          <w:rFonts w:hint="eastAsia" w:ascii="仿宋" w:hAnsi="仿宋" w:eastAsia="仿宋" w:cs="Times New Roman"/>
          <w:b/>
          <w:bCs/>
          <w:kern w:val="2"/>
          <w:sz w:val="28"/>
          <w:szCs w:val="28"/>
          <w:lang w:val="en-US" w:eastAsia="zh-CN" w:bidi="ar-SA"/>
        </w:rPr>
        <w:t>标项六：新疆霍尔果斯市莫乎尔牧场牧业村甲朗阿西沟泥石流防治工程</w:t>
      </w:r>
    </w:p>
    <w:bookmarkEnd w:id="268"/>
    <w:bookmarkEnd w:id="269"/>
    <w:bookmarkEnd w:id="270"/>
    <w:bookmarkEnd w:id="271"/>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项目名称：新疆霍尔果斯市莫乎尔牧场牧业村</w:t>
      </w:r>
      <w:bookmarkStart w:id="276" w:name="_Hlk93353188"/>
      <w:r>
        <w:rPr>
          <w:rFonts w:hint="eastAsia" w:ascii="仿宋" w:hAnsi="仿宋" w:eastAsia="仿宋" w:cs="仿宋"/>
          <w:kern w:val="0"/>
          <w:sz w:val="24"/>
          <w:szCs w:val="24"/>
        </w:rPr>
        <w:t>甲朗阿西沟</w:t>
      </w:r>
      <w:bookmarkEnd w:id="276"/>
      <w:r>
        <w:rPr>
          <w:rFonts w:hint="eastAsia" w:ascii="仿宋" w:hAnsi="仿宋" w:eastAsia="仿宋" w:cs="仿宋"/>
          <w:kern w:val="0"/>
          <w:sz w:val="24"/>
          <w:szCs w:val="24"/>
        </w:rPr>
        <w:t>泥石流防治工程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b w:val="0"/>
          <w:bCs w:val="0"/>
          <w:kern w:val="0"/>
          <w:sz w:val="24"/>
          <w:szCs w:val="24"/>
          <w:lang w:val="en-US" w:eastAsia="zh-CN"/>
        </w:rPr>
        <w:t>386.50</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叁佰捌拾陆万五千元</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位于新疆伊犁哈萨克自治州霍尔果斯市莫乎尔牧场格干牧业村，距霍尔果斯市约25km，距格干沟牧场13km，行政区划属霍尔果斯市莫乎尔牧场管辖。防治区中心地理坐标：东经80°28′49.58″，北纬44°23′36.03″。工作范围涵盖整个</w:t>
      </w:r>
      <w:bookmarkStart w:id="277" w:name="_Hlk93358974"/>
      <w:r>
        <w:rPr>
          <w:rFonts w:hint="eastAsia" w:ascii="仿宋" w:hAnsi="仿宋" w:eastAsia="仿宋" w:cs="仿宋"/>
          <w:sz w:val="24"/>
          <w:szCs w:val="24"/>
        </w:rPr>
        <w:t>甲朗阿西沟发育的2条泥石流沟流域范围、N1泥石流沟下游西岸发育的1处滑坡</w:t>
      </w:r>
      <w:bookmarkEnd w:id="277"/>
      <w:r>
        <w:rPr>
          <w:rFonts w:hint="eastAsia" w:ascii="仿宋" w:hAnsi="仿宋" w:eastAsia="仿宋" w:cs="仿宋"/>
          <w:sz w:val="24"/>
          <w:szCs w:val="24"/>
        </w:rPr>
        <w:t>及沟口以下受泥石流影响地段，即北侧以分水岭为界，南边以格干牧业村为界，面积为2.1平方千米。</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rPr>
        <w:t>泥石流危害主要发生</w:t>
      </w:r>
      <w:r>
        <w:rPr>
          <w:rFonts w:hint="eastAsia" w:ascii="仿宋" w:hAnsi="仿宋" w:eastAsia="仿宋" w:cs="仿宋"/>
          <w:color w:val="0D0D0D"/>
          <w:sz w:val="24"/>
          <w:szCs w:val="24"/>
        </w:rPr>
        <w:t>在沟道内牧民定居点及沟口下游泥石流堆积区。其中，N1泥石流沟威胁对象为34户137名莫乎尔牧场牧业村牧民、2600平方米居民房屋、280亩农田、98亩林地，133匹马、738头牛、1887只羊、乡村道路及沟谷两侧牧场等，威胁财产约2100万元；N2泥石流沟威胁对象为</w:t>
      </w:r>
      <w:r>
        <w:rPr>
          <w:rFonts w:hint="eastAsia" w:ascii="仿宋" w:hAnsi="仿宋" w:eastAsia="仿宋" w:cs="仿宋"/>
          <w:kern w:val="0"/>
          <w:sz w:val="24"/>
          <w:szCs w:val="24"/>
        </w:rPr>
        <w:t>7户29名莫乎尔牧场牧业村牧民、390平方米居民房屋、15匹马、64头牛、212只羊，泥石流灾害潜在经济损失约190万元。</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kern w:val="0"/>
          <w:sz w:val="24"/>
          <w:szCs w:val="24"/>
        </w:rPr>
        <w:t>滑坡地质灾害位于N1泥石流</w:t>
      </w:r>
      <w:r>
        <w:rPr>
          <w:rFonts w:hint="eastAsia" w:ascii="仿宋" w:hAnsi="仿宋" w:eastAsia="仿宋" w:cs="仿宋"/>
          <w:sz w:val="24"/>
          <w:szCs w:val="24"/>
        </w:rPr>
        <w:t>下游西岸，威胁对象为滑坡体东侧1户居民、3间房屋、5位牧民以及20头牲畜，受威胁财产约70万元左右。</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napToGrid w:val="0"/>
          <w:kern w:val="0"/>
          <w:sz w:val="24"/>
          <w:szCs w:val="24"/>
        </w:rPr>
      </w:pPr>
      <w:r>
        <w:rPr>
          <w:rFonts w:hint="eastAsia" w:ascii="仿宋" w:hAnsi="仿宋" w:eastAsia="仿宋" w:cs="仿宋"/>
          <w:color w:val="000000"/>
          <w:sz w:val="24"/>
          <w:szCs w:val="24"/>
        </w:rPr>
        <w:t>防治区位于新疆伊犁哈萨克自治州霍尔果斯市莫乎尔牧场格干牧业村，距霍尔果斯市约25km，距格干沟牧场13km，行政区划属霍尔果斯市莫乎尔牧场管辖。中心地理坐标：东经80°28′49.58″，北纬44°23′36.03″。</w:t>
      </w:r>
      <w:r>
        <w:rPr>
          <w:rFonts w:hint="eastAsia" w:ascii="仿宋" w:hAnsi="仿宋" w:eastAsia="仿宋" w:cs="仿宋"/>
          <w:snapToGrid w:val="0"/>
          <w:kern w:val="0"/>
          <w:sz w:val="24"/>
          <w:szCs w:val="24"/>
        </w:rPr>
        <w:t>防治区与霍尔果斯市有</w:t>
      </w:r>
      <w:r>
        <w:rPr>
          <w:rFonts w:hint="eastAsia" w:ascii="仿宋" w:hAnsi="仿宋" w:eastAsia="仿宋" w:cs="仿宋"/>
          <w:sz w:val="24"/>
          <w:szCs w:val="24"/>
        </w:rPr>
        <w:t>果霍高速公路（312国道）</w:t>
      </w:r>
      <w:r>
        <w:rPr>
          <w:rFonts w:hint="eastAsia" w:ascii="仿宋" w:hAnsi="仿宋" w:eastAsia="仿宋" w:cs="仿宋"/>
          <w:snapToGrid w:val="0"/>
          <w:kern w:val="0"/>
          <w:sz w:val="24"/>
          <w:szCs w:val="24"/>
        </w:rPr>
        <w:t>、176乡道相通，与外界交通较为便利；区内泥石流沟道仅有简易牧道，且位于低中山区，地形起伏较大，大部分区域不能通车，交通条件较差。</w:t>
      </w:r>
    </w:p>
    <w:p>
      <w:pPr>
        <w:keepNext w:val="0"/>
        <w:keepLines w:val="0"/>
        <w:pageBreakBefore w:val="0"/>
        <w:widowControl w:val="0"/>
        <w:numPr>
          <w:ilvl w:val="0"/>
          <w:numId w:val="8"/>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霍尔果斯市经济结构以农牧业为主，近年来乡镇工业及旅游业亦有较大的发展。2019年，现生产总值193.46亿元，增长8.6%；公共财政预算收入26.22亿元；固定资产投资增长113.3%；社会零售品销售总额3.58亿元，外贸进口总额26.65亿美元；通关货运量529.39万吨。市区面积1908.55平方公里，辖1乡1片区2个团场4个街道和13个社区，总人口8.65万人，由汉、哈、维、回、蒙、锡伯、东乡等13个民族组成，是集边境区、口岸城、商贸型、国际化特点为一体的综合性城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霍尔果斯市莫乎尔牧场位于霍尔果斯市以东14km处，果霍高速公路（312国道）、精伊霍铁路贯穿全场境内，东与伊车乡，西与62团，南与63团、64团，北与61团相毗邻，全场边境线长达68.3km。全场总面积540km2，其中耕地面积4.5万亩，四季草场79.4万亩。下辖6个农田村和2个牧业村。总人口4050户13758人。2019年农牧民人均可支配收入14465元。</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其中防治区位于</w:t>
      </w:r>
      <w:bookmarkStart w:id="278" w:name="_Hlk93360867"/>
      <w:r>
        <w:rPr>
          <w:rFonts w:hint="eastAsia" w:ascii="仿宋" w:hAnsi="仿宋" w:eastAsia="仿宋" w:cs="仿宋"/>
          <w:color w:val="000000"/>
          <w:sz w:val="24"/>
          <w:szCs w:val="24"/>
        </w:rPr>
        <w:t>莫乎尔牧场牧业村三队</w:t>
      </w:r>
      <w:bookmarkEnd w:id="278"/>
      <w:r>
        <w:rPr>
          <w:rFonts w:hint="eastAsia" w:ascii="仿宋" w:hAnsi="仿宋" w:eastAsia="仿宋" w:cs="仿宋"/>
          <w:color w:val="000000"/>
          <w:sz w:val="24"/>
          <w:szCs w:val="24"/>
        </w:rPr>
        <w:t>常住人口166户631人，以哈萨克族为主，2019年末牲畜存栏数9900余头（只），草场面积3万余亩。由于近年来天然草场退化严重、加之牧民定居点北侧地形切割强烈，山体粉土覆盖层厚，每年春季融雪期都会产生泥石流，冲毁下游道路，威胁居民、房屋及牲畜安全。</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（一）地形地貌及人类工程活动</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防治区位于格干沟东侧侵蚀剥蚀中山区，总体地势北高南低，泥石流沟近乎呈南北向展布，形成东、北、西三面环山，中间为泥石流形成区和流通区，向南开口堆积的地形。按照地貌成因和形态特征，可划分为剥蚀构造中山区和</w:t>
      </w:r>
      <w:r>
        <w:rPr>
          <w:rFonts w:hint="eastAsia" w:ascii="仿宋" w:hAnsi="仿宋" w:eastAsia="仿宋" w:cs="仿宋"/>
          <w:sz w:val="24"/>
          <w:szCs w:val="24"/>
        </w:rPr>
        <w:t>冲洪积河谷平原两类地貌单元。出山口附近的堆积区地形平坦开阔，地形坡降为50‰-200‰。沟道内基本无植被发育，两侧山体植被发育茂盛，多为牧草，覆盖度＞80%。沟道西侧有大量民房、道路以及学校和卫生站，东侧为耕地及牧草地。沟岸两侧有少量洪积形成的漂石堆积</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b/>
          <w:sz w:val="24"/>
          <w:szCs w:val="24"/>
        </w:rPr>
      </w:pPr>
      <w:r>
        <w:rPr>
          <w:rFonts w:hint="eastAsia" w:ascii="仿宋" w:hAnsi="仿宋" w:eastAsia="仿宋" w:cs="仿宋"/>
          <w:kern w:val="0"/>
          <w:sz w:val="24"/>
          <w:szCs w:val="24"/>
        </w:rPr>
        <w:t>（二）</w:t>
      </w:r>
      <w:r>
        <w:rPr>
          <w:rFonts w:hint="eastAsia" w:ascii="仿宋" w:hAnsi="仿宋" w:eastAsia="仿宋" w:cs="仿宋"/>
          <w:b/>
          <w:sz w:val="24"/>
          <w:szCs w:val="24"/>
        </w:rPr>
        <w:t>地层岩性</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防治区出露的地层主要有：侵入岩及第四系，其分布特征如下：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napToGrid w:val="0"/>
          <w:kern w:val="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侵入岩</w:t>
      </w:r>
      <w:r>
        <w:rPr>
          <w:rFonts w:hint="eastAsia" w:ascii="仿宋" w:hAnsi="仿宋" w:eastAsia="仿宋" w:cs="仿宋"/>
          <w:snapToGrid w:val="0"/>
          <w:kern w:val="0"/>
          <w:sz w:val="24"/>
          <w:szCs w:val="24"/>
        </w:rPr>
        <w:t>（</w:t>
      </w:r>
      <w:r>
        <w:rPr>
          <w:rFonts w:hint="eastAsia" w:ascii="仿宋" w:hAnsi="仿宋" w:eastAsia="仿宋" w:cs="仿宋"/>
          <w:sz w:val="24"/>
          <w:szCs w:val="24"/>
        </w:rPr>
        <w:t>Cｒ</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侵入岩（Cｒ）：</w:t>
      </w:r>
      <w:r>
        <w:rPr>
          <w:rFonts w:hint="eastAsia" w:ascii="仿宋" w:hAnsi="仿宋" w:eastAsia="仿宋" w:cs="仿宋"/>
          <w:snapToGrid w:val="0"/>
          <w:kern w:val="0"/>
          <w:sz w:val="24"/>
          <w:szCs w:val="24"/>
        </w:rPr>
        <w:t>分布在勘查区北侧分水岭附近，基岩裸露（照片3-4），</w:t>
      </w:r>
      <w:r>
        <w:rPr>
          <w:rFonts w:hint="eastAsia" w:ascii="仿宋" w:hAnsi="仿宋" w:eastAsia="仿宋" w:cs="仿宋"/>
          <w:sz w:val="24"/>
          <w:szCs w:val="24"/>
        </w:rPr>
        <w:t>岩性主要为花岗岩，</w:t>
      </w:r>
      <w:r>
        <w:rPr>
          <w:rFonts w:hint="eastAsia" w:ascii="仿宋" w:hAnsi="仿宋" w:eastAsia="仿宋" w:cs="仿宋"/>
          <w:snapToGrid w:val="0"/>
          <w:kern w:val="0"/>
          <w:sz w:val="24"/>
          <w:szCs w:val="24"/>
          <w:lang w:val="zh-CN"/>
        </w:rPr>
        <w:t>青灰色、褐红色，较坚硬，表层覆盖小于10cm的风积粉土，部分地区基岩出露，表层风化破碎，裂隙发育，节理</w:t>
      </w:r>
      <w:r>
        <w:rPr>
          <w:rFonts w:hint="eastAsia" w:ascii="仿宋" w:hAnsi="仿宋" w:eastAsia="仿宋" w:cs="仿宋"/>
          <w:sz w:val="24"/>
          <w:szCs w:val="24"/>
        </w:rPr>
        <w:t>产状80°</w:t>
      </w:r>
      <w:r>
        <w:rPr>
          <w:rFonts w:hint="eastAsia" w:ascii="仿宋" w:hAnsi="仿宋" w:eastAsia="仿宋" w:cs="仿宋"/>
          <w:snapToGrid w:val="0"/>
          <w:kern w:val="0"/>
          <w:sz w:val="24"/>
          <w:szCs w:val="24"/>
          <w:lang w:val="zh-CN"/>
        </w:rPr>
        <w:t>∠37°。</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第四系（Q）</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上更新统-全新统风积层（Q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eol</w:t>
      </w:r>
      <w:r>
        <w:rPr>
          <w:rFonts w:hint="eastAsia" w:ascii="仿宋" w:hAnsi="仿宋" w:eastAsia="仿宋" w:cs="仿宋"/>
          <w:sz w:val="24"/>
          <w:szCs w:val="24"/>
        </w:rPr>
        <w:t>）：主要分布于勘查区沟道两岸山坡处，岩性为浅黄至灰黄色风成粉土，结构松散—稍密，干燥—稍湿，可塑。厚度在5-20m之间，大部分区域大于15m，由北至南呈现出逐步加厚的趋势。</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apl</w:t>
      </w:r>
      <w:r>
        <w:rPr>
          <w:rFonts w:hint="eastAsia" w:ascii="仿宋" w:hAnsi="仿宋" w:eastAsia="仿宋" w:cs="仿宋"/>
          <w:sz w:val="24"/>
          <w:szCs w:val="24"/>
        </w:rPr>
        <w:t>）：主要分布于河谷沟底及两岸阶地，为灰白色、青灰色的卵石、漂石、砾石，母岩多为凝灰岩、砂岩及花岗岩，呈次棱角-次圆状，粒径一般10-200mm，最大达800mm，分选性一般。冲洪积层在低山区的冲沟内厚度一般在6-20m，在出山口以外厚度较大，一般大于15m。</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防治区地下水类型主要有松散岩类孔隙潜水和基岩裂隙水两类。</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1.松散岩类孔隙潜水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河谷阶地，赋存于第四系松散地层中，含水层岩性为砂卵砾石，单井涌水量500-1500m3/L，矿化度0.2-0.8g/L，水化学类型为HCO3-Ca·Mg。河谷两侧坡体含水岩性为粉土，单泉流量一般小于0.01L/s。该区地下水接受大气降水渗入及冰雪融水渗入补给，地下水从北向南径流，以侧向径流、泉等方式排出防治区范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2.基岩裂隙水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主要分布在防治区北部低中山区，赋存于侵入岩，含水层岩性为花岗岩；单泉流量为0.1-1 L/s,矿化度约0.9g/L，水化学类型为HCO3·SO4-Na·Ca型。该区地下水主要接受大气降水渗入和冰雪融水渗入补给，由北向南径流，地下水在深切的沟谷处多以潜流及泉的形式排泄。</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防治区可分为三个工程地质岩组，分别为：</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1.块状坚硬侵入岩组</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该类岩组在勘查区北部分水岭附近出露，主要为块状坚硬侵入岩组，呈片状分布，由华力西中晚期侵入岩组成，岩性以花岗岩、细晶花岗岩类为主岩性均一，完整性好，坚硬、致密块状，工程地质性能良好。</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2.粉土单层土体</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勘查区缓坡处及沟谷阶地内，土体成分以粉土为主，呈淡黄色、浅黄色，疏松—稍密，具有大孔隙、均质性和直立性，垂直节理较发育，易软化崩解、湿陷，在暴雨或地震的诱发下，易形成滑坡。地基土承载力特征值100-140KPa，工程地质条件较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3.碎石土、粉土双层土体</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color w:val="000000"/>
          <w:sz w:val="24"/>
          <w:szCs w:val="24"/>
        </w:rPr>
        <w:t>该类土体主要分布于河道及两岸阶地，岩性为卵石、砾石、含砾粉土，呈青灰色，磨圆度一般，分选性较差，地基土承载力特征值200-250KPa，工程地质条件较好。</w:t>
      </w:r>
    </w:p>
    <w:p>
      <w:pPr>
        <w:keepNext w:val="0"/>
        <w:keepLines w:val="0"/>
        <w:pageBreakBefore w:val="0"/>
        <w:widowControl w:val="0"/>
        <w:numPr>
          <w:ilvl w:val="0"/>
          <w:numId w:val="10"/>
        </w:numPr>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研究程度</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1.1：50万《伊犁地区区域水文地质普查报告1:50万》，</w:t>
      </w:r>
      <w:r>
        <w:rPr>
          <w:rFonts w:hint="eastAsia" w:ascii="仿宋" w:hAnsi="仿宋" w:eastAsia="仿宋" w:cs="仿宋"/>
          <w:kern w:val="0"/>
          <w:sz w:val="24"/>
          <w:szCs w:val="24"/>
        </w:rPr>
        <w:t>新疆地质矿产局第一水文地质工程地质大队</w:t>
      </w:r>
      <w:r>
        <w:rPr>
          <w:rFonts w:hint="eastAsia" w:ascii="仿宋" w:hAnsi="仿宋" w:eastAsia="仿宋" w:cs="仿宋"/>
          <w:color w:val="000000"/>
          <w:sz w:val="24"/>
          <w:szCs w:val="24"/>
        </w:rPr>
        <w:t>（1985年）；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2.1：50万《新疆伊犁地区地质灾害调查报告》，</w:t>
      </w:r>
      <w:r>
        <w:rPr>
          <w:rFonts w:hint="eastAsia" w:ascii="仿宋" w:hAnsi="仿宋" w:eastAsia="仿宋" w:cs="仿宋"/>
          <w:sz w:val="24"/>
          <w:szCs w:val="18"/>
        </w:rPr>
        <w:t>新疆维吾尔自治区地质环境监测院</w:t>
      </w:r>
      <w:r>
        <w:rPr>
          <w:rFonts w:hint="eastAsia" w:ascii="仿宋" w:hAnsi="仿宋" w:eastAsia="仿宋" w:cs="仿宋"/>
          <w:color w:val="000000"/>
          <w:sz w:val="24"/>
          <w:szCs w:val="24"/>
        </w:rPr>
        <w:t>（2001年）；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3.《新疆伊犁州霍尔果斯市防洪规划报告》，新疆伊犁州水利电力勘测设计研究院（2016年）；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4.1:5万《新疆伊犁地区霍城县地质灾害详细调查报告》，</w:t>
      </w:r>
      <w:r>
        <w:rPr>
          <w:rFonts w:hint="eastAsia" w:ascii="仿宋" w:hAnsi="仿宋" w:eastAsia="仿宋" w:cs="仿宋"/>
          <w:sz w:val="24"/>
          <w:szCs w:val="18"/>
        </w:rPr>
        <w:t>新疆维吾尔自治区地质环境监测院，</w:t>
      </w:r>
      <w:r>
        <w:rPr>
          <w:rFonts w:hint="eastAsia" w:ascii="仿宋" w:hAnsi="仿宋" w:eastAsia="仿宋" w:cs="仿宋"/>
          <w:color w:val="000000"/>
          <w:sz w:val="24"/>
          <w:szCs w:val="24"/>
        </w:rPr>
        <w:t>（2011年）；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bookmarkStart w:id="279" w:name="_Hlk93360825"/>
      <w:r>
        <w:rPr>
          <w:rFonts w:hint="eastAsia" w:ascii="仿宋" w:hAnsi="仿宋" w:eastAsia="仿宋" w:cs="仿宋"/>
          <w:color w:val="000000"/>
          <w:sz w:val="24"/>
          <w:szCs w:val="24"/>
        </w:rPr>
        <w:t>新疆霍尔果斯市莫乎尔牧场牧业村甲朗阿西沟泥石流地质灾害</w:t>
      </w:r>
      <w:bookmarkEnd w:id="279"/>
      <w:r>
        <w:rPr>
          <w:rFonts w:hint="eastAsia" w:ascii="仿宋" w:hAnsi="仿宋" w:eastAsia="仿宋" w:cs="仿宋"/>
          <w:color w:val="000000"/>
          <w:sz w:val="24"/>
          <w:szCs w:val="24"/>
        </w:rPr>
        <w:t>专项勘查报告》，</w:t>
      </w:r>
      <w:r>
        <w:rPr>
          <w:rFonts w:hint="eastAsia" w:ascii="仿宋" w:hAnsi="仿宋" w:eastAsia="仿宋" w:cs="仿宋"/>
          <w:sz w:val="24"/>
          <w:szCs w:val="24"/>
        </w:rPr>
        <w:t>新疆华光地质勘察有限公司</w:t>
      </w:r>
      <w:r>
        <w:rPr>
          <w:rFonts w:hint="eastAsia" w:ascii="仿宋" w:hAnsi="仿宋" w:eastAsia="仿宋" w:cs="仿宋"/>
          <w:color w:val="000000"/>
          <w:sz w:val="24"/>
          <w:szCs w:val="24"/>
        </w:rPr>
        <w:t>（2020年）；</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N1泥石流沟呈南北向延伸，</w:t>
      </w:r>
      <w:r>
        <w:rPr>
          <w:rFonts w:hint="eastAsia" w:ascii="仿宋" w:hAnsi="仿宋" w:eastAsia="仿宋" w:cs="仿宋"/>
          <w:sz w:val="24"/>
          <w:szCs w:val="24"/>
        </w:rPr>
        <w:t>沟长11.15km，沟道由北向南逐渐加宽，宽度在3-75m之间，沟道整体呈“V”型，切深0.5-12m，沟内由大量冲洪积漂石、卵石；两侧山体相对高差较大，地形切割强烈，山顶浑圆，山体连续，山体坡度10°-35°，山体为风积粉土。沟道内基本无植被发育，两侧山体植被发育茂盛，多为牧草，覆盖度70-90%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N2泥石流主沟由北偏东向南偏西延伸，整体地势北高南低，</w:t>
      </w:r>
      <w:r>
        <w:rPr>
          <w:rFonts w:hint="eastAsia" w:ascii="仿宋" w:hAnsi="仿宋" w:eastAsia="仿宋" w:cs="仿宋"/>
          <w:sz w:val="24"/>
          <w:szCs w:val="24"/>
        </w:rPr>
        <w:t>沟长3.63km，</w:t>
      </w:r>
      <w:r>
        <w:rPr>
          <w:rFonts w:hint="eastAsia" w:ascii="仿宋" w:hAnsi="仿宋" w:eastAsia="仿宋" w:cs="仿宋"/>
          <w:kern w:val="0"/>
          <w:sz w:val="24"/>
          <w:szCs w:val="24"/>
        </w:rPr>
        <w:t>沟道由北向南逐渐加宽，宽度在2-30m之间，沟道整体呈“U”型，切深0.5-2m，沟内由大量冲洪积卵石；两侧山体相对高差较大，地形切割强烈，山体为风积粉土。沟道内基本无植被发育，两侧山体发育牧草、林地，覆盖度＞80%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泥石流出山口以下相对地形较为平坦开阔，整体地势北高南低，堆积区沟道由北向南延伸，宽5-30m，切深0.5-2m，沟道整体呈“U”型，主要岩性为冲洪积卵石、漂石；沟道两侧地形平坦，风积粉土。沟道内无植被，沟道西侧有大量民房、道路以及学校和卫生站，东侧为耕地及牧草地。沟岸两侧有少量洪积形成的漂石堆积。</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napToGrid w:val="0"/>
          <w:kern w:val="0"/>
          <w:sz w:val="24"/>
          <w:szCs w:val="24"/>
        </w:rPr>
        <w:t>沟口及沟内有大量村民居住点，</w:t>
      </w:r>
      <w:r>
        <w:rPr>
          <w:rFonts w:hint="eastAsia" w:ascii="仿宋" w:hAnsi="仿宋" w:eastAsia="仿宋" w:cs="仿宋"/>
          <w:sz w:val="24"/>
          <w:szCs w:val="24"/>
        </w:rPr>
        <w:t>人类工程活动主要是放牧，沟谷内植被相对丰富，部分牧民长期将牲畜留在沟谷内放养。随着牧区畜牧业的不断扩大，过度放牧加速了地质环境恶化，加剧了地质灾害发育与发生。同时，由于泥石流具有强烈的下切作用，其强大的侵蚀作用破坏沟源和沟谷两岸土体的稳定性，引起塌岸，加剧水土流失。根据野外勘查，沟内仅有少量人工切坡和开挖坡脚等现象。</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新疆霍尔果斯市莫乎尔牧场牧业村甲朗阿西沟泥石流地质灾害防治工程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莫乎尔牧场牧业村三队及其周边居民</w:t>
      </w:r>
      <w:r>
        <w:rPr>
          <w:rFonts w:hint="eastAsia" w:ascii="仿宋" w:hAnsi="仿宋" w:eastAsia="仿宋" w:cs="仿宋"/>
          <w:sz w:val="24"/>
          <w:szCs w:val="24"/>
        </w:rPr>
        <w:t>遭受灾害的威胁，保障人民生命和财产安全。</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2.按照审批通过的防治工程设计，组织地质灾害防治工程施工。</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1.《泥石流灾害防治工程设计规范》(DZ/T0239-2004)</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2.《滑坡防治工程设计与施工技术规范》（DZ/T0219-2006）；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3.《建筑抗震设计规范》（GB50011-2010）；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4.《工业建筑防腐蚀设计规范》（GB50046-2008）；</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8.《建筑边坡工程技术规范》（GB50330-2013）；</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9.《崩塌·滑坡·泥石流监测规范》（DZ/T0221-2006）；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10.《全球定位系统（GPS）测量规范》（GB/T18314-2009）；</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11.《工程测量标准》（GB50026-2020）；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12.《建设项目环境保护管理条例》；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13.《建设工程质量管理条例》；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14.《建设工程安全生产管理条例》；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其他有关规范、规程和技术要求。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根据本项目的目标和任务，结合防治区泥石流特征和环境现状，以减轻或化解泥石流的成灾因素为目的，本次泥石流灾害防治主要采取修建拦挡工程、谷坊工程、排导工程以及安全警示工程等综合防治方案。</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最终成果资料汇交应按《新疆维吾尔自治区地质灾害防治项目管理办法（试行）》要求执行。</w:t>
      </w:r>
    </w:p>
    <w:p>
      <w:pPr>
        <w:keepNext w:val="0"/>
        <w:keepLines w:val="0"/>
        <w:pageBreakBefore w:val="0"/>
        <w:widowControl w:val="0"/>
        <w:kinsoku/>
        <w:wordWrap/>
        <w:overflowPunct/>
        <w:topLinePunct w:val="0"/>
        <w:bidi w:val="0"/>
        <w:adjustRightInd w:val="0"/>
        <w:snapToGrid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0D0D0D"/>
          <w:sz w:val="24"/>
          <w:szCs w:val="24"/>
        </w:rPr>
      </w:pPr>
      <w:r>
        <w:rPr>
          <w:rFonts w:hint="eastAsia" w:ascii="仿宋" w:hAnsi="仿宋" w:eastAsia="仿宋" w:cs="仿宋"/>
          <w:color w:val="0D0D0D"/>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标项七：新疆昭苏县萨尔阔布乡木孜德萨依沟滑坡防治工程</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一、项目名称、编号及费用</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项目名称：新疆昭苏县萨尔阔布乡木孜德萨依沟滑坡防治工程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7</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b/>
          <w:bCs/>
          <w:kern w:val="0"/>
          <w:sz w:val="24"/>
          <w:szCs w:val="24"/>
          <w:lang w:eastAsia="zh-CN"/>
        </w:rPr>
      </w:pPr>
      <w:r>
        <w:rPr>
          <w:rFonts w:hint="eastAsia" w:ascii="仿宋" w:hAnsi="仿宋" w:eastAsia="仿宋" w:cs="仿宋"/>
          <w:kern w:val="0"/>
          <w:sz w:val="24"/>
          <w:szCs w:val="24"/>
        </w:rPr>
        <w:t>项目费用：</w:t>
      </w:r>
      <w:r>
        <w:rPr>
          <w:rFonts w:hint="eastAsia" w:ascii="仿宋" w:hAnsi="仿宋" w:eastAsia="仿宋" w:cs="仿宋"/>
          <w:b w:val="0"/>
          <w:bCs w:val="0"/>
          <w:kern w:val="0"/>
          <w:sz w:val="24"/>
          <w:szCs w:val="24"/>
          <w:lang w:val="en-US" w:eastAsia="zh-CN"/>
        </w:rPr>
        <w:t>483.50</w:t>
      </w:r>
      <w:r>
        <w:rPr>
          <w:rFonts w:hint="eastAsia" w:ascii="仿宋" w:hAnsi="仿宋" w:eastAsia="仿宋" w:cs="仿宋"/>
          <w:b w:val="0"/>
          <w:bCs w:val="0"/>
          <w:kern w:val="0"/>
          <w:sz w:val="24"/>
          <w:szCs w:val="24"/>
        </w:rPr>
        <w:t>万元</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肆佰捌拾叁万伍仟元</w:t>
      </w:r>
      <w:r>
        <w:rPr>
          <w:rFonts w:hint="eastAsia" w:ascii="仿宋" w:hAnsi="仿宋" w:eastAsia="仿宋" w:cs="仿宋"/>
          <w:b w:val="0"/>
          <w:bCs w:val="0"/>
          <w:kern w:val="0"/>
          <w:sz w:val="24"/>
          <w:szCs w:val="24"/>
          <w:lang w:eastAsia="zh-CN"/>
        </w:rPr>
        <w:t>）</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二、工作范围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sz w:val="24"/>
          <w:szCs w:val="24"/>
        </w:rPr>
        <w:t>防治区位于昭苏县萨尔阔布乡，中心地理坐标为：东经81°10′49″，北纬42°48′51″，工作区距昭苏县城48km。工作范围涵盖滑坡、潜在威胁对象及周围可能受威胁的区域，面积为0.96km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滑坡危害主要发生在滑坡坡脚处，威胁对象为居住在坡脚下受滑坡威胁的27户97人的生命财产，约3835m</w:t>
      </w:r>
      <w:r>
        <w:rPr>
          <w:rFonts w:hint="eastAsia" w:ascii="仿宋" w:hAnsi="仿宋" w:eastAsia="仿宋" w:cs="仿宋"/>
          <w:color w:val="0D0D0D"/>
          <w:sz w:val="24"/>
          <w:szCs w:val="24"/>
          <w:vertAlign w:val="superscript"/>
        </w:rPr>
        <w:t>2</w:t>
      </w:r>
      <w:r>
        <w:rPr>
          <w:rFonts w:hint="eastAsia" w:ascii="仿宋" w:hAnsi="仿宋" w:eastAsia="仿宋" w:cs="仿宋"/>
          <w:color w:val="0D0D0D"/>
          <w:sz w:val="24"/>
          <w:szCs w:val="24"/>
        </w:rPr>
        <w:t xml:space="preserve">房屋，牛、羊牲畜约1927头，乡村道路700m,柏油路700m，受威胁财产约690万元。 </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三、自然经济地理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（一）交通位置</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防治区距昭苏县48km，有乡村公路及758县道相通，与外界交通较为便利。防治区地貌属中山区，区内山坡坡度较陡，坡面植被发育，有便道可至坡脚，交通较为便利。</w:t>
      </w:r>
    </w:p>
    <w:p>
      <w:pPr>
        <w:keepNext w:val="0"/>
        <w:keepLines w:val="0"/>
        <w:pageBreakBefore w:val="0"/>
        <w:widowControl w:val="0"/>
        <w:numPr>
          <w:ilvl w:val="0"/>
          <w:numId w:val="8"/>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社会经济概况</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萨尔阔布乡总面积987.55平方千米，以哈萨克为主要的聚居民族，东与特克斯毗邻，西与本县喀夏加尔乡接壤，是一个群山环抱的高位山间盆地，全乡总面积468平方公里，居住着哈、汉、维、回等六个民族，全乡总人口11084人（其中哈族占97%）。萨尔阔布乡辖7个行政村（萨尔阔布村、克尔托干村、阔尔敦村、莫因仓村、莫因台村、库尔库德克村、阔尔布拉克村）。</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全乡草场总面积65万亩，发展畜牧业有着天然独厚的优势，是昭苏县的牧业大乡之一；全乡耕地面积2.7万亩，农作物有小麦、大麦、油菜籽、马铃薯等，是一个以牧为主，农牧结合的畜牧业大乡。</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萨尔阔布乡自然资源丰富，森林覆盖面积大，尤其野生中草药种类多、量大。主要有贝母、雪莲、冬麦、黄芪、柴胡等。</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四、地质环境条件和工作程度</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（一）地形地貌</w:t>
      </w:r>
    </w:p>
    <w:p>
      <w:pPr>
        <w:keepNext w:val="0"/>
        <w:keepLines w:val="0"/>
        <w:pageBreakBefore w:val="0"/>
        <w:widowControl w:val="0"/>
        <w:kinsoku/>
        <w:wordWrap/>
        <w:overflowPunct/>
        <w:topLinePunct w:val="0"/>
        <w:bidi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位于昭苏县南部，山体呈南北向展布，总体地势东、南高，西、北低，海拔高程1860-1960m相对高差约100m，地形坡度20-52°左右，地形起伏较大，切割强烈。按照地貌成因和形态特征，可划分为构造-剥蚀中山及河谷两类地貌单元</w:t>
      </w:r>
      <w:r>
        <w:rPr>
          <w:rFonts w:hint="eastAsia" w:ascii="仿宋" w:hAnsi="仿宋" w:eastAsia="仿宋" w:cs="仿宋"/>
          <w:sz w:val="24"/>
          <w:szCs w:val="24"/>
        </w:rPr>
        <w:t>。</w:t>
      </w:r>
    </w:p>
    <w:p>
      <w:pPr>
        <w:keepNext w:val="0"/>
        <w:keepLines w:val="0"/>
        <w:pageBreakBefore w:val="0"/>
        <w:widowControl w:val="0"/>
        <w:numPr>
          <w:ilvl w:val="0"/>
          <w:numId w:val="9"/>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地层岩性</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防治区出露的地层主要有：石炭系及第四系，其分布特征如下：</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1.石炭系（C）</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石炭系下石炭统阿克沙克组（</w:t>
      </w:r>
      <w:r>
        <w:rPr>
          <w:rFonts w:hint="eastAsia" w:ascii="仿宋" w:hAnsi="仿宋" w:eastAsia="仿宋" w:cs="仿宋"/>
          <w:sz w:val="24"/>
          <w:szCs w:val="24"/>
        </w:rPr>
        <w:t>C</w:t>
      </w:r>
      <w:r>
        <w:rPr>
          <w:rFonts w:hint="eastAsia" w:ascii="仿宋" w:hAnsi="仿宋" w:eastAsia="仿宋" w:cs="仿宋"/>
          <w:sz w:val="24"/>
          <w:szCs w:val="24"/>
          <w:vertAlign w:val="subscript"/>
        </w:rPr>
        <w:t>1</w:t>
      </w:r>
      <w:r>
        <w:rPr>
          <w:rFonts w:hint="eastAsia" w:ascii="仿宋" w:hAnsi="仿宋" w:eastAsia="仿宋" w:cs="仿宋"/>
          <w:sz w:val="24"/>
          <w:szCs w:val="24"/>
        </w:rPr>
        <w:t>a</w:t>
      </w:r>
      <w:r>
        <w:rPr>
          <w:rFonts w:hint="eastAsia" w:ascii="仿宋" w:hAnsi="仿宋" w:eastAsia="仿宋" w:cs="仿宋"/>
          <w:color w:val="000000"/>
          <w:sz w:val="24"/>
          <w:szCs w:val="24"/>
        </w:rPr>
        <w:t>）：主要分布于萨尔阔布河东岸，在滑坡南侧沟谷中有少量出露，为一套火山-火山碎屑岩构成。岩性为：灰白色的凝灰岩，主要矿物成分为火山灰、石英，凝灰质胶结，较致密，中厚层状构造。地层总厚485m，岩层产状330-345°∠30-45°，节理发育。</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上更新统-全新统洪积层（Q</w:t>
      </w:r>
      <w:r>
        <w:rPr>
          <w:rFonts w:hint="eastAsia" w:ascii="仿宋" w:hAnsi="仿宋" w:eastAsia="仿宋" w:cs="仿宋"/>
          <w:sz w:val="24"/>
          <w:szCs w:val="24"/>
          <w:vertAlign w:val="subscript"/>
        </w:rPr>
        <w:t>3-4</w:t>
      </w:r>
      <w:r>
        <w:rPr>
          <w:rFonts w:hint="eastAsia" w:ascii="仿宋" w:hAnsi="仿宋" w:eastAsia="仿宋" w:cs="仿宋"/>
          <w:sz w:val="24"/>
          <w:szCs w:val="24"/>
          <w:vertAlign w:val="superscript"/>
        </w:rPr>
        <w:t>pl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主要</w:t>
      </w:r>
      <w:r>
        <w:rPr>
          <w:rFonts w:hint="eastAsia" w:ascii="仿宋" w:hAnsi="仿宋" w:eastAsia="仿宋" w:cs="仿宋"/>
          <w:sz w:val="24"/>
          <w:szCs w:val="24"/>
        </w:rPr>
        <w:t>分布于萨尔阔布河西岸坡脚，岩性为：灰白色，青灰色，圆砾，粒径以2-25mm为主，最大可达300mm，磨圆度较好，呈次圆-浑圆状，级配不良，以粉土及细砂充填，充填良好，母岩以砂岩，凝灰岩为主，主要矿物成分为石英，坡脚出露厚度在1.0-2.5m。</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全新统风积层（Q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eol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rPr>
        <w:t>主要分布在</w:t>
      </w:r>
      <w:r>
        <w:rPr>
          <w:rFonts w:hint="eastAsia" w:ascii="仿宋" w:hAnsi="仿宋" w:eastAsia="仿宋" w:cs="仿宋"/>
          <w:sz w:val="24"/>
          <w:szCs w:val="24"/>
        </w:rPr>
        <w:t>南侧的斜坡上，其余部位以透镜体的形式出露。主要岩性为粉土，土黄色，干燥-稍湿，土层表面被植被覆盖，根系及虫孔发育，无胶结或微胶结，多具弱-中等湿陷性，切面有粗糙感，干土易碎，下部含水量逐渐增大，局部夹薄层粉质粘土。</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全新统冲洪积层（Q</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al+pl</w:t>
      </w:r>
      <w:r>
        <w:rPr>
          <w:rFonts w:hint="eastAsia" w:ascii="仿宋" w:hAnsi="仿宋" w:eastAsia="仿宋" w:cs="仿宋"/>
          <w:sz w:val="24"/>
          <w:szCs w:val="24"/>
        </w:rPr>
        <w:t>）</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主要分布于</w:t>
      </w:r>
      <w:r>
        <w:rPr>
          <w:rFonts w:hint="eastAsia" w:ascii="仿宋" w:hAnsi="仿宋" w:eastAsia="仿宋" w:cs="仿宋"/>
          <w:sz w:val="24"/>
          <w:szCs w:val="24"/>
        </w:rPr>
        <w:t>萨尔阔布河两岸，青灰色，颗粒磨圆度一般，粒径一般以2-60mm为主，大者可达300mm，母岩以砂岩、凝灰岩为主，充填物主要为中粗砂，局部含较多卵石，厚度较大。</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水文地质条件</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防治区可以划分为基岩裂隙水及第四系松散岩类孔隙潜水两类。</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1.基岩裂隙水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主要分布在防治区的南部山区，主要为石炭系地层区，根据区域水文地质资料知单井涌水量小于100m</w:t>
      </w:r>
      <w:r>
        <w:rPr>
          <w:rFonts w:hint="eastAsia" w:ascii="仿宋" w:hAnsi="仿宋" w:eastAsia="仿宋" w:cs="仿宋"/>
          <w:sz w:val="24"/>
          <w:szCs w:val="24"/>
          <w:vertAlign w:val="superscript"/>
        </w:rPr>
        <w:t>3</w:t>
      </w:r>
      <w:r>
        <w:rPr>
          <w:rFonts w:hint="eastAsia" w:ascii="仿宋" w:hAnsi="仿宋" w:eastAsia="仿宋" w:cs="仿宋"/>
          <w:sz w:val="24"/>
          <w:szCs w:val="24"/>
        </w:rPr>
        <w:t>/d。水化学类型HCO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—Ca型，矿化度一般大于1g/L。主要接受南部山区大气降水入渗补给，沿地形由南向北径流，以侧向径流及泉的方式排泄。</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2.第四系松散岩类孔隙潜水</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主要分布在沟谷及地势低洼处，含水层岩性主要为卵砾石、砂砾石等，地下水埋深大于5米。单井涌水量一般在100-1000m</w:t>
      </w:r>
      <w:r>
        <w:rPr>
          <w:rFonts w:hint="eastAsia" w:ascii="仿宋" w:hAnsi="仿宋" w:eastAsia="仿宋" w:cs="仿宋"/>
          <w:sz w:val="24"/>
          <w:szCs w:val="24"/>
          <w:vertAlign w:val="superscript"/>
        </w:rPr>
        <w:t>3</w:t>
      </w:r>
      <w:r>
        <w:rPr>
          <w:rFonts w:hint="eastAsia" w:ascii="仿宋" w:hAnsi="仿宋" w:eastAsia="仿宋" w:cs="仿宋"/>
          <w:sz w:val="24"/>
          <w:szCs w:val="24"/>
        </w:rPr>
        <w:t>/d，水化学类型主要为HCO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rPr>
        <w:t>—Ca型，矿化度小于1g/L，主要接受大气降水、融化雪水水流补给，渗透系数K在0.448-0.496m/d左右，以向下游的侧向径流排泄为主。</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工程地质条件</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防治区工程地质岩土体包括凝灰岩、粉土、圆砾、卵石。</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1.凝灰岩</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主要分布在防治区南部及东部斜坡处。岩体结构类型以块状结构为主，单轴抗压强度150-250MPa,工程地质条件较好。</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2.粉土</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该层在防治区内广泛分布，是组成滑坡的主要地层，表层呈深褐色，干燥，结构松散，含较多植物根系及腐殖质，虫孔发育；下部粉土呈土黄色，稍湿，结构稍密-中密，随深度增大土体密实度增大。多具湿陷性及自重湿陷性，地基土承载力特征值120kPa左右，工程地质条件较差。</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3.圆砾</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青灰色，中密-密实，粗粒间充填物主要为中粗砂，呈椭圆状-次圆状，磨圆度较好，母岩以弱-微风化砂岩为主，地基土承载力特征值280kPa，工程地质条件良好。</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4.卵石</w:t>
      </w:r>
    </w:p>
    <w:p>
      <w:pPr>
        <w:keepNext w:val="0"/>
        <w:keepLines w:val="0"/>
        <w:pageBreakBefore w:val="0"/>
        <w:widowControl w:val="0"/>
        <w:kinsoku/>
        <w:wordWrap/>
        <w:overflowPunct/>
        <w:topLinePunct w:val="0"/>
        <w:bidi w:val="0"/>
        <w:adjustRightIn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主要分布在萨尔阔布河河道及两岸，青灰色，中密-密实，粗粒间充填物主要为中粗砂，磨圆度一般，母岩以弱-微风化砂岩为主，地基土承载力特征值300kPa，工程地质条件良好。</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防治区地震基本烈度为</w:t>
      </w:r>
      <w:r>
        <w:rPr>
          <w:rFonts w:hint="eastAsia" w:ascii="仿宋" w:hAnsi="仿宋" w:eastAsia="仿宋" w:cs="仿宋"/>
          <w:sz w:val="24"/>
          <w:szCs w:val="24"/>
        </w:rPr>
        <w:t>Ⅷ度，动峰值加速度0.3g，</w:t>
      </w:r>
      <w:r>
        <w:rPr>
          <w:rFonts w:hint="eastAsia" w:ascii="仿宋" w:hAnsi="仿宋" w:eastAsia="仿宋" w:cs="仿宋"/>
          <w:color w:val="000000"/>
          <w:sz w:val="24"/>
          <w:szCs w:val="24"/>
        </w:rPr>
        <w:t>地壳稳定性为</w:t>
      </w:r>
      <w:r>
        <w:rPr>
          <w:rFonts w:hint="eastAsia" w:ascii="仿宋" w:hAnsi="仿宋" w:eastAsia="仿宋" w:cs="仿宋"/>
          <w:color w:val="000000"/>
          <w:spacing w:val="-20"/>
          <w:sz w:val="24"/>
          <w:szCs w:val="24"/>
        </w:rPr>
        <w:t>次不</w:t>
      </w:r>
      <w:r>
        <w:rPr>
          <w:rFonts w:hint="eastAsia" w:ascii="仿宋" w:hAnsi="仿宋" w:eastAsia="仿宋" w:cs="仿宋"/>
          <w:color w:val="000000"/>
          <w:sz w:val="24"/>
          <w:szCs w:val="24"/>
        </w:rPr>
        <w:t>稳定区。</w:t>
      </w:r>
    </w:p>
    <w:p>
      <w:pPr>
        <w:keepNext w:val="0"/>
        <w:keepLines w:val="0"/>
        <w:pageBreakBefore w:val="0"/>
        <w:widowControl w:val="0"/>
        <w:numPr>
          <w:ilvl w:val="0"/>
          <w:numId w:val="10"/>
        </w:numPr>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研究程度</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1.《新疆伊犁地区昭苏县地质灾害详细调查报告》新疆维吾尔自治区地质环境监测院（2011年）；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2.《新疆维吾尔自治区地质灾害防治规划（2011-2015）》新疆维吾尔自治区国土资源厅（2012年）；</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3.《新疆昭苏县萨尔阔布乡木孜得萨依滑坡地质灾害专项勘查》由新疆华光地质勘察有限公司于2020年编制完成。</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五、主要地质灾害</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防治区内主要地质灾害为滑坡灾害，共发育三处滑坡，主要分布于防治区中部山体东西两侧的斜坡上，其中HP1滑坡位于山体西侧的斜坡上，HP2、HP3滑坡位于山体西侧斜坡上，其特征如下：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1.HP1滑坡</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HP1滑坡位于山体西侧南部斜坡上，外形整体呈半圆状，面积约30239m</w:t>
      </w:r>
      <w:r>
        <w:rPr>
          <w:rFonts w:hint="eastAsia" w:ascii="仿宋" w:hAnsi="仿宋" w:eastAsia="仿宋" w:cs="仿宋"/>
          <w:sz w:val="24"/>
          <w:szCs w:val="24"/>
          <w:vertAlign w:val="superscript"/>
        </w:rPr>
        <w:t>2</w:t>
      </w:r>
      <w:r>
        <w:rPr>
          <w:rFonts w:hint="eastAsia" w:ascii="仿宋" w:hAnsi="仿宋" w:eastAsia="仿宋" w:cs="仿宋"/>
          <w:sz w:val="24"/>
          <w:szCs w:val="24"/>
        </w:rPr>
        <w:t>，滑坡前缘高程1891m，后缘高程1938m，滑体主要由粉土组成，坡度约25-37°，坡向269°。滑坡东西向最长约140m，前缘及后缘均为自然斜坡平台，中部稍陡。滑坡南北向长度约237m，剖面呈凸形，呈上部较陡，中间有一小平台，下部较陡的形态。</w:t>
      </w:r>
      <w:r>
        <w:rPr>
          <w:rFonts w:hint="eastAsia" w:ascii="仿宋" w:hAnsi="仿宋" w:eastAsia="仿宋" w:cs="仿宋"/>
          <w:color w:val="000000"/>
          <w:sz w:val="24"/>
          <w:szCs w:val="24"/>
        </w:rPr>
        <w:t>潜在滑动面呈圆弧状，滑动面最大埋深约7.5m，滑坡体积约4.89万m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，规模等级为小型。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2.HP2滑坡</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HP2滑坡位于山体东侧，斜坡北部，整体外形呈半圆形，面积约24100m</w:t>
      </w:r>
      <w:r>
        <w:rPr>
          <w:rFonts w:hint="eastAsia" w:ascii="仿宋" w:hAnsi="仿宋" w:eastAsia="仿宋" w:cs="仿宋"/>
          <w:sz w:val="24"/>
          <w:szCs w:val="24"/>
          <w:vertAlign w:val="superscript"/>
        </w:rPr>
        <w:t>2</w:t>
      </w:r>
      <w:r>
        <w:rPr>
          <w:rFonts w:hint="eastAsia" w:ascii="仿宋" w:hAnsi="仿宋" w:eastAsia="仿宋" w:cs="仿宋"/>
          <w:sz w:val="24"/>
          <w:szCs w:val="24"/>
        </w:rPr>
        <w:t>，前缘高程1880m，后缘高程1912m，滑体主要由粉土组成，斜坡坡度约20-24°，坡向85°。东西向最长约84m，后缘有裂缝及落水洞发育。南北向最长约307m，剖面呈凸形，两侧低中间凸起，潜在滑动面呈圆弧状，最大埋深约11.8m，滑坡体积约11.62万m</w:t>
      </w:r>
      <w:r>
        <w:rPr>
          <w:rFonts w:hint="eastAsia" w:ascii="仿宋" w:hAnsi="仿宋" w:eastAsia="仿宋" w:cs="仿宋"/>
          <w:sz w:val="24"/>
          <w:szCs w:val="24"/>
          <w:vertAlign w:val="superscript"/>
        </w:rPr>
        <w:t>3</w:t>
      </w:r>
      <w:r>
        <w:rPr>
          <w:rFonts w:hint="eastAsia" w:ascii="仿宋" w:hAnsi="仿宋" w:eastAsia="仿宋" w:cs="仿宋"/>
          <w:sz w:val="24"/>
          <w:szCs w:val="24"/>
        </w:rPr>
        <w:t>，规模等级为中型。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3.HP3滑坡</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HP3滑坡整体外形呈半圆形，面积约34060m</w:t>
      </w:r>
      <w:r>
        <w:rPr>
          <w:rFonts w:hint="eastAsia" w:ascii="仿宋" w:hAnsi="仿宋" w:eastAsia="仿宋" w:cs="仿宋"/>
          <w:sz w:val="24"/>
          <w:szCs w:val="24"/>
          <w:vertAlign w:val="superscript"/>
        </w:rPr>
        <w:t>2</w:t>
      </w:r>
      <w:r>
        <w:rPr>
          <w:rFonts w:hint="eastAsia" w:ascii="仿宋" w:hAnsi="仿宋" w:eastAsia="仿宋" w:cs="仿宋"/>
          <w:sz w:val="24"/>
          <w:szCs w:val="24"/>
        </w:rPr>
        <w:t>，前缘高程1886m，后缘高程1936m，滑体主要由粉土组成，斜坡坡度约20-23°，坡向87°。滑坡东西向最长约148m，后缘为自然斜坡平台，前缘为人工切坡形成的陡坎，中部较陡。滑坡南北向长度约230m，剖面呈直线型，潜在滑动面呈圆弧状，最大埋深约15m，滑坡体积约25.87万m</w:t>
      </w:r>
      <w:r>
        <w:rPr>
          <w:rFonts w:hint="eastAsia" w:ascii="仿宋" w:hAnsi="仿宋" w:eastAsia="仿宋" w:cs="仿宋"/>
          <w:sz w:val="24"/>
          <w:szCs w:val="24"/>
          <w:vertAlign w:val="superscript"/>
        </w:rPr>
        <w:t>3</w:t>
      </w:r>
      <w:r>
        <w:rPr>
          <w:rFonts w:hint="eastAsia" w:ascii="仿宋" w:hAnsi="仿宋" w:eastAsia="仿宋" w:cs="仿宋"/>
          <w:sz w:val="24"/>
          <w:szCs w:val="24"/>
        </w:rPr>
        <w:t>，规模等级为中型。</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防治区居民房屋紧邻斜坡坡脚，两侧坡脚向东、向西150m范围划定为滑坡的影响区，滑坡灾害威胁影响区内的居民 27户97人，房屋约3835m</w:t>
      </w:r>
      <w:r>
        <w:rPr>
          <w:rFonts w:hint="eastAsia" w:ascii="仿宋" w:hAnsi="仿宋" w:eastAsia="仿宋" w:cs="仿宋"/>
          <w:sz w:val="24"/>
          <w:szCs w:val="24"/>
          <w:vertAlign w:val="superscript"/>
        </w:rPr>
        <w:t>2</w:t>
      </w:r>
      <w:r>
        <w:rPr>
          <w:rFonts w:hint="eastAsia" w:ascii="仿宋" w:hAnsi="仿宋" w:eastAsia="仿宋" w:cs="仿宋"/>
          <w:sz w:val="24"/>
          <w:szCs w:val="24"/>
        </w:rPr>
        <w:t>，牛、羊牲畜约1927头，村民工牧业生产资料等设施，潜在经济损失约690万元。</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六、目标任务</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（一）目标</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通过对</w:t>
      </w:r>
      <w:r>
        <w:rPr>
          <w:rFonts w:hint="eastAsia" w:ascii="仿宋" w:hAnsi="仿宋" w:eastAsia="仿宋" w:cs="仿宋"/>
          <w:kern w:val="0"/>
          <w:sz w:val="24"/>
          <w:szCs w:val="24"/>
        </w:rPr>
        <w:t>新疆昭苏县萨尔阔布乡木孜德萨依沟滑坡防治工程</w:t>
      </w:r>
      <w:r>
        <w:rPr>
          <w:rFonts w:hint="eastAsia" w:ascii="仿宋" w:hAnsi="仿宋" w:eastAsia="仿宋" w:cs="仿宋"/>
          <w:sz w:val="24"/>
          <w:szCs w:val="24"/>
        </w:rPr>
        <w:t>的设计与实施，减轻或消除</w:t>
      </w:r>
      <w:r>
        <w:rPr>
          <w:rFonts w:hint="eastAsia" w:ascii="仿宋" w:hAnsi="仿宋" w:eastAsia="仿宋" w:cs="仿宋"/>
          <w:kern w:val="0"/>
          <w:sz w:val="24"/>
          <w:szCs w:val="24"/>
        </w:rPr>
        <w:t>萨尔阔布乡木孜德萨依沟周边居民</w:t>
      </w:r>
      <w:r>
        <w:rPr>
          <w:rFonts w:hint="eastAsia" w:ascii="仿宋" w:hAnsi="仿宋" w:eastAsia="仿宋" w:cs="仿宋"/>
          <w:sz w:val="24"/>
          <w:szCs w:val="24"/>
        </w:rPr>
        <w:t>遭受灾害的威胁，保障人民生命和财产安全。</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color w:val="0D0D0D"/>
          <w:sz w:val="24"/>
          <w:szCs w:val="24"/>
        </w:rPr>
      </w:pPr>
      <w:r>
        <w:rPr>
          <w:rFonts w:hint="eastAsia" w:ascii="仿宋" w:hAnsi="仿宋" w:eastAsia="仿宋" w:cs="仿宋"/>
          <w:b/>
          <w:color w:val="0D0D0D"/>
          <w:sz w:val="24"/>
          <w:szCs w:val="24"/>
        </w:rPr>
        <w:t>（二）任务</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1.</w:t>
      </w:r>
      <w:r>
        <w:rPr>
          <w:rFonts w:hint="eastAsia" w:ascii="仿宋" w:hAnsi="仿宋" w:eastAsia="仿宋" w:cs="仿宋"/>
          <w:color w:val="0D0D0D"/>
          <w:sz w:val="24"/>
          <w:szCs w:val="24"/>
        </w:rPr>
        <w:t>根据实地踏勘成果和勘查报告</w:t>
      </w:r>
      <w:r>
        <w:rPr>
          <w:rFonts w:hint="eastAsia" w:ascii="仿宋" w:hAnsi="仿宋" w:eastAsia="仿宋" w:cs="仿宋"/>
          <w:color w:val="0D0D0D"/>
          <w:kern w:val="0"/>
          <w:sz w:val="24"/>
          <w:szCs w:val="24"/>
        </w:rPr>
        <w:t>以及相关标准规范</w:t>
      </w:r>
      <w:r>
        <w:rPr>
          <w:rFonts w:hint="eastAsia" w:ascii="仿宋" w:hAnsi="仿宋" w:eastAsia="仿宋" w:cs="仿宋"/>
          <w:color w:val="0D0D0D"/>
          <w:sz w:val="24"/>
          <w:szCs w:val="24"/>
        </w:rPr>
        <w:t>编制地质灾害防治工程设计和施工组织设计</w:t>
      </w:r>
      <w:r>
        <w:rPr>
          <w:rFonts w:hint="eastAsia" w:ascii="仿宋" w:hAnsi="仿宋" w:eastAsia="仿宋" w:cs="仿宋"/>
          <w:color w:val="0D0D0D"/>
          <w:kern w:val="0"/>
          <w:sz w:val="24"/>
          <w:szCs w:val="24"/>
        </w:rPr>
        <w:t xml:space="preserve">； </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2.按照审批通过的防治工程设计，组织地质灾害防治工程施工。</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3.</w:t>
      </w:r>
      <w:r>
        <w:rPr>
          <w:rFonts w:hint="eastAsia" w:ascii="仿宋" w:hAnsi="仿宋" w:eastAsia="仿宋" w:cs="仿宋"/>
          <w:color w:val="0D0D0D"/>
          <w:sz w:val="24"/>
          <w:szCs w:val="24"/>
        </w:rPr>
        <w:t>减轻或消除</w:t>
      </w:r>
      <w:r>
        <w:rPr>
          <w:rFonts w:hint="eastAsia" w:ascii="仿宋" w:hAnsi="仿宋" w:eastAsia="仿宋" w:cs="仿宋"/>
          <w:kern w:val="0"/>
          <w:sz w:val="24"/>
          <w:szCs w:val="24"/>
        </w:rPr>
        <w:t>工作区及其周边居民</w:t>
      </w:r>
      <w:r>
        <w:rPr>
          <w:rFonts w:hint="eastAsia" w:ascii="仿宋" w:hAnsi="仿宋" w:eastAsia="仿宋" w:cs="仿宋"/>
          <w:color w:val="0D0D0D"/>
          <w:sz w:val="24"/>
          <w:szCs w:val="24"/>
        </w:rPr>
        <w:t>遭受灾害的威胁</w:t>
      </w:r>
      <w:r>
        <w:rPr>
          <w:rFonts w:hint="eastAsia" w:ascii="仿宋" w:hAnsi="仿宋" w:eastAsia="仿宋" w:cs="仿宋"/>
          <w:color w:val="0D0D0D"/>
          <w:kern w:val="0"/>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kern w:val="0"/>
          <w:sz w:val="24"/>
          <w:szCs w:val="24"/>
        </w:rPr>
      </w:pPr>
      <w:r>
        <w:rPr>
          <w:rFonts w:hint="eastAsia" w:ascii="仿宋" w:hAnsi="仿宋" w:eastAsia="仿宋" w:cs="仿宋"/>
          <w:color w:val="0D0D0D"/>
          <w:kern w:val="0"/>
          <w:sz w:val="24"/>
          <w:szCs w:val="24"/>
        </w:rPr>
        <w:t>4.防治工程完成后，制作永久性工程说明碑。</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七、主要技术要求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1.《泥石流灾害防治工程设计规范》(DZ/T0239-2004)</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2.《滑坡防治工程设计与施工技术规范》（DZ/T0219-2006）；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3.《建筑抗震设计规范》（GB50011-2010）；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4.《工业建筑防腐蚀设计规范》（GB50046-2008）；</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5.《砌体结构设计规范》（GB50003-2011）；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6.《混凝土结构设计规范》（GB50010-2010）；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7.《建筑地基基础设计规范》（GB50007-2011）；</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8.《建筑边坡工程技术规范》（GB50330-2013）；</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9.《崩塌·滑坡·泥石流监测规范》（DZ/T0221-2006）；</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10.《全球定位系统（GPS）测量规范》（GB/T18314-2009）；</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11.《工程测量标准》（GB50026-2020）；</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12.《建设项目环境保护管理条例》；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13.《建设工程质量管理条例》；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14.《建设工程安全生产管理条例》；</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kern w:val="0"/>
          <w:sz w:val="24"/>
          <w:szCs w:val="24"/>
        </w:rPr>
        <w:t>其他有关规范、规程和技术要求。</w:t>
      </w:r>
    </w:p>
    <w:p>
      <w:pPr>
        <w:keepNext w:val="0"/>
        <w:keepLines w:val="0"/>
        <w:pageBreakBefore w:val="0"/>
        <w:widowControl w:val="0"/>
        <w:kinsoku/>
        <w:wordWrap/>
        <w:overflowPunct/>
        <w:topLinePunct w:val="0"/>
        <w:bidi w:val="0"/>
        <w:adjustRightInd w:val="0"/>
        <w:snapToGrid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同时满足招标文件、设计书及其审批意见书和有关规定的要求。</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八、主要实物工作量</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本项目的目标和任务，结合防治区滑坡特征和环境现状，以基本消除或减轻地质灾害对当地居民的威胁为目的，本次滑坡灾害防治主要采取修建截排水沟、桩板式挡土墙、重力式挡土墙以及安全警示工程等综合防治方案。</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color w:val="0D0D0D"/>
          <w:sz w:val="24"/>
          <w:szCs w:val="24"/>
        </w:rPr>
      </w:pPr>
      <w:r>
        <w:rPr>
          <w:rFonts w:hint="eastAsia" w:ascii="仿宋" w:hAnsi="仿宋" w:eastAsia="仿宋" w:cs="仿宋"/>
          <w:color w:val="0D0D0D"/>
          <w:sz w:val="24"/>
          <w:szCs w:val="24"/>
        </w:rPr>
        <w:t>投标单位在现场踏勘后提出投标设计方案。</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最终设计方案及工作量以审批后的防治工程项目设计书为准。</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九、预期提交成果</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最终成果资料汇交应按《新疆维吾尔自治区地质灾害防治项目管理办法（试行）》要求执行。</w:t>
      </w:r>
    </w:p>
    <w:p>
      <w:pPr>
        <w:keepNext w:val="0"/>
        <w:keepLines w:val="0"/>
        <w:pageBreakBefore w:val="0"/>
        <w:widowControl w:val="0"/>
        <w:kinsoku/>
        <w:wordWrap/>
        <w:overflowPunct/>
        <w:topLinePunct w:val="0"/>
        <w:bidi w:val="0"/>
        <w:spacing w:line="440" w:lineRule="exact"/>
        <w:ind w:firstLine="482" w:firstLineChars="200"/>
        <w:textAlignment w:val="auto"/>
        <w:outlineLvl w:val="9"/>
        <w:rPr>
          <w:rFonts w:hint="eastAsia" w:ascii="仿宋" w:hAnsi="仿宋" w:eastAsia="仿宋" w:cs="仿宋"/>
          <w:b/>
          <w:sz w:val="24"/>
          <w:szCs w:val="24"/>
        </w:rPr>
      </w:pPr>
      <w:r>
        <w:rPr>
          <w:rFonts w:hint="eastAsia" w:ascii="仿宋" w:hAnsi="仿宋" w:eastAsia="仿宋" w:cs="仿宋"/>
          <w:b/>
          <w:sz w:val="24"/>
          <w:szCs w:val="24"/>
        </w:rPr>
        <w:t>十、工作周期</w:t>
      </w:r>
    </w:p>
    <w:p>
      <w:pPr>
        <w:keepNext w:val="0"/>
        <w:keepLines w:val="0"/>
        <w:pageBreakBefore w:val="0"/>
        <w:widowControl w:val="0"/>
        <w:kinsoku/>
        <w:wordWrap/>
        <w:overflowPunct/>
        <w:topLinePunct w:val="0"/>
        <w:bidi w:val="0"/>
        <w:spacing w:line="44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标项八：伊犁州2022年自然灾害防治体系建设项目监理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项目名称和编号</w:t>
      </w:r>
    </w:p>
    <w:p>
      <w:pPr>
        <w:keepNext w:val="0"/>
        <w:keepLines w:val="0"/>
        <w:pageBreakBefore w:val="0"/>
        <w:widowControl w:val="0"/>
        <w:kinsoku/>
        <w:wordWrap/>
        <w:overflowPunct/>
        <w:topLinePunct w:val="0"/>
        <w:autoSpaceDE/>
        <w:autoSpaceDN/>
        <w:bidi w:val="0"/>
        <w:adjustRightInd/>
        <w:snapToGrid/>
        <w:spacing w:line="440" w:lineRule="exact"/>
        <w:ind w:left="1733" w:leftChars="254" w:hanging="1200" w:hangingChars="500"/>
        <w:textAlignment w:val="auto"/>
        <w:rPr>
          <w:rFonts w:hint="eastAsia" w:ascii="仿宋" w:hAnsi="仿宋" w:eastAsia="仿宋" w:cs="仿宋"/>
          <w:color w:val="auto"/>
          <w:kern w:val="0"/>
          <w:sz w:val="24"/>
          <w:szCs w:val="24"/>
          <w:lang w:val="en-US" w:eastAsia="en-US"/>
        </w:rPr>
      </w:pPr>
      <w:r>
        <w:rPr>
          <w:rFonts w:hint="eastAsia" w:ascii="仿宋" w:hAnsi="仿宋" w:eastAsia="仿宋" w:cs="仿宋"/>
          <w:color w:val="auto"/>
          <w:kern w:val="0"/>
          <w:sz w:val="24"/>
          <w:szCs w:val="24"/>
          <w:lang w:val="en-US" w:eastAsia="en-US"/>
        </w:rPr>
        <w:t>项目名称：</w:t>
      </w:r>
      <w:bookmarkStart w:id="280" w:name="项目编号：YLZFZJL"/>
      <w:bookmarkEnd w:id="280"/>
      <w:r>
        <w:rPr>
          <w:rFonts w:hint="eastAsia" w:ascii="仿宋" w:hAnsi="仿宋" w:eastAsia="仿宋" w:cs="仿宋"/>
          <w:color w:val="auto"/>
          <w:sz w:val="24"/>
          <w:szCs w:val="24"/>
          <w:lang w:val="en-US" w:eastAsia="zh-CN"/>
        </w:rPr>
        <w:t>伊犁州2022年自然灾害防治体系建设项目监理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en-US"/>
        </w:rPr>
        <w:t>项目编号：</w:t>
      </w:r>
      <w:r>
        <w:rPr>
          <w:rFonts w:hint="eastAsia" w:ascii="仿宋" w:hAnsi="仿宋" w:eastAsia="仿宋" w:cs="仿宋"/>
          <w:color w:val="auto"/>
          <w:sz w:val="24"/>
          <w:szCs w:val="24"/>
          <w:lang w:val="en-US" w:eastAsia="zh-CN"/>
        </w:rPr>
        <w:t>YLZ-</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rPr>
        <w:t>项目费用：</w:t>
      </w:r>
      <w:r>
        <w:rPr>
          <w:rFonts w:hint="eastAsia" w:ascii="仿宋" w:hAnsi="仿宋" w:eastAsia="仿宋" w:cs="仿宋"/>
          <w:color w:val="auto"/>
          <w:sz w:val="24"/>
          <w:szCs w:val="24"/>
          <w:lang w:val="en-US" w:eastAsia="zh-CN"/>
        </w:rPr>
        <w:t>88.82万元（捌拾捌万捌仟贰佰元）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二、监理项目概况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sz w:val="24"/>
          <w:szCs w:val="24"/>
          <w:lang w:val="en-US" w:eastAsia="zh-CN"/>
        </w:rPr>
        <w:t>新疆喀什地区群专结合监测预警点建设项目（2022年度）项目：工作区涉及涉及到的县市有伊宁市、伊宁县、霍城县、霍尔果斯市、昭苏县、尼勒克县、新源县、巩留县和特克斯等9个县市。地理坐标：东经80°9′42″---91°01′45，北纬40°14′16″---49°10′45″，总面积4.38万平方千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sz w:val="24"/>
          <w:szCs w:val="24"/>
          <w:lang w:val="en-US" w:eastAsia="zh-CN"/>
        </w:rPr>
        <w:t>新疆尼勒克县喀拉托别乡哈拉哈达沟口泥石流防治工程：工作区位于尼勒克县喀拉托别乡，中心地理坐标为：东经83°13′19″，北纬43°43′20″。距尼勒克县城以东75km，西距79团2km。工作范围涵盖泥石流、潜在威胁对象及周围可能受威胁的区域，面积为4.36km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新疆霍尔果斯市莫乎尔牧场牧业村甲朗阿西沟泥石流防治工程：工作区位于新疆伊犁哈萨克自治州霍尔果斯市莫乎尔牧场格干牧业村，距霍尔果斯市约25km，距格干沟牧场13km，行政区划属霍尔果斯市莫乎尔牧场管辖。防治区中心地理坐标：东经80°28′49.58″，北纬44°23′36.03″。工作范围涵盖整个甲朗阿西沟发育的2条泥石流沟流域范围、N1泥石流沟下游西岸发育的1处滑坡及沟口以下受泥石流影响地段，即北侧以分水岭为界，南边以格干牧业村为界，面积为2.1平方千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新疆昭苏县萨尔阔布乡木孜德萨依沟滑坡防治工程：工作区位于昭苏县萨尔阔布乡，中心地理坐标为：东经81°10′49″，北纬42°48′51″，工作区距昭苏县城48km。工作范围涵盖滑坡、潜在威胁对象及周围可能受威胁的区域，面积为0.96km2。</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lang w:eastAsia="zh-CN"/>
        </w:rPr>
        <w:t>监理项目</w:t>
      </w:r>
      <w:r>
        <w:rPr>
          <w:rFonts w:hint="eastAsia" w:ascii="仿宋" w:hAnsi="仿宋" w:eastAsia="仿宋" w:cs="仿宋"/>
          <w:b/>
          <w:color w:val="auto"/>
          <w:sz w:val="24"/>
          <w:szCs w:val="24"/>
          <w:u w:val="single"/>
        </w:rPr>
        <w:t>以批准的监理规划</w:t>
      </w:r>
      <w:r>
        <w:rPr>
          <w:rFonts w:hint="eastAsia" w:ascii="仿宋" w:hAnsi="仿宋" w:eastAsia="仿宋" w:cs="仿宋"/>
          <w:b/>
          <w:color w:val="auto"/>
          <w:sz w:val="24"/>
          <w:szCs w:val="24"/>
          <w:u w:val="single"/>
          <w:lang w:eastAsia="zh-CN"/>
        </w:rPr>
        <w:t>、监理实施细则</w:t>
      </w:r>
      <w:r>
        <w:rPr>
          <w:rFonts w:hint="eastAsia" w:ascii="仿宋" w:hAnsi="仿宋" w:eastAsia="仿宋" w:cs="仿宋"/>
          <w:b/>
          <w:color w:val="auto"/>
          <w:sz w:val="24"/>
          <w:szCs w:val="24"/>
          <w:u w:val="single"/>
        </w:rPr>
        <w:t>确定的为准。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三、监理主要内容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bookmarkStart w:id="281" w:name="（一）目标"/>
      <w:bookmarkEnd w:id="281"/>
      <w:r>
        <w:rPr>
          <w:rFonts w:hint="eastAsia" w:ascii="仿宋" w:hAnsi="仿宋" w:eastAsia="仿宋" w:cs="仿宋"/>
          <w:b w:val="0"/>
          <w:bCs w:val="0"/>
          <w:color w:val="auto"/>
          <w:sz w:val="24"/>
          <w:szCs w:val="24"/>
        </w:rPr>
        <w:t xml:space="preserve">（一）目标 </w:t>
      </w:r>
      <w:bookmarkStart w:id="282" w:name="通过项目监理工作的实施，达到项目的工期目标、质量目标及安全目标。"/>
      <w:bookmarkEnd w:id="28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通过监理工作的实施，达到项目工期目标、质量目标及安全目标。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sz w:val="24"/>
          <w:szCs w:val="24"/>
        </w:rPr>
      </w:pPr>
      <w:bookmarkStart w:id="283" w:name="（二）任务"/>
      <w:bookmarkEnd w:id="283"/>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bookmarkStart w:id="284" w:name="（三）工作方法和主要技术要求"/>
      <w:bookmarkEnd w:id="284"/>
      <w:r>
        <w:rPr>
          <w:rFonts w:hint="eastAsia" w:ascii="仿宋" w:hAnsi="仿宋" w:eastAsia="仿宋" w:cs="仿宋"/>
          <w:color w:val="auto"/>
          <w:sz w:val="24"/>
          <w:szCs w:val="24"/>
          <w:lang w:val="en-US" w:eastAsia="zh-CN"/>
        </w:rPr>
        <w:t>1.监测预警点建设项目：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专业预警点建设监</w:t>
      </w:r>
      <w:r>
        <w:rPr>
          <w:rFonts w:hint="eastAsia" w:ascii="仿宋" w:hAnsi="仿宋" w:eastAsia="仿宋" w:cs="仿宋"/>
          <w:color w:val="auto"/>
          <w:sz w:val="24"/>
          <w:szCs w:val="24"/>
          <w:lang w:eastAsia="zh-CN"/>
        </w:rPr>
        <w:t>理</w:t>
      </w:r>
      <w:r>
        <w:rPr>
          <w:rFonts w:hint="eastAsia" w:ascii="仿宋" w:hAnsi="仿宋" w:eastAsia="仿宋" w:cs="仿宋"/>
          <w:color w:val="auto"/>
          <w:sz w:val="24"/>
          <w:szCs w:val="24"/>
        </w:rPr>
        <w:t>主要内容包括对专业预警点建设项目</w:t>
      </w:r>
      <w:r>
        <w:rPr>
          <w:rFonts w:hint="eastAsia" w:ascii="仿宋" w:hAnsi="仿宋" w:eastAsia="仿宋" w:cs="仿宋"/>
          <w:color w:val="auto"/>
          <w:sz w:val="24"/>
          <w:szCs w:val="24"/>
          <w:lang w:eastAsia="zh-CN"/>
        </w:rPr>
        <w:t>基础施工、监测对象基础资料录入、预警模型初设、并网运行、初验、终验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资料整理归档等监督检查，做好项目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2.防治工程项目：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,防治工程监理主要内容包括对防治项目基础工程、主体工程、警示工程、隐蔽工程、材料抽检试验</w:t>
      </w:r>
      <w:r>
        <w:rPr>
          <w:rFonts w:hint="eastAsia" w:ascii="仿宋" w:hAnsi="仿宋" w:eastAsia="仿宋" w:cs="仿宋"/>
          <w:color w:val="auto"/>
          <w:sz w:val="24"/>
          <w:szCs w:val="24"/>
          <w:lang w:eastAsia="zh-CN"/>
        </w:rPr>
        <w:t>、初验、终验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w:t>
      </w:r>
      <w:r>
        <w:rPr>
          <w:rFonts w:hint="eastAsia" w:ascii="仿宋" w:hAnsi="仿宋" w:eastAsia="仿宋" w:cs="仿宋"/>
          <w:color w:val="auto"/>
          <w:sz w:val="24"/>
          <w:szCs w:val="24"/>
          <w:lang w:val="en-US" w:eastAsia="zh-CN"/>
        </w:rPr>
        <w:t>监督检查</w:t>
      </w:r>
      <w:r>
        <w:rPr>
          <w:rFonts w:hint="eastAsia" w:ascii="仿宋" w:hAnsi="仿宋" w:eastAsia="仿宋" w:cs="仿宋"/>
          <w:color w:val="auto"/>
          <w:sz w:val="24"/>
          <w:szCs w:val="24"/>
          <w:lang w:eastAsia="zh-CN"/>
        </w:rPr>
        <w:t>，做好项目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3.协助州自然资源局与县自然资源局按时完成项目进度汇总上报工作。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4.协助县自然资源局完成项目初验工作。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）工作方法和主要技术要求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285" w:name="1.工作方法"/>
      <w:bookmarkEnd w:id="285"/>
      <w:r>
        <w:rPr>
          <w:rFonts w:hint="eastAsia" w:ascii="仿宋" w:hAnsi="仿宋" w:eastAsia="仿宋" w:cs="仿宋"/>
          <w:color w:val="auto"/>
          <w:sz w:val="24"/>
          <w:szCs w:val="24"/>
        </w:rPr>
        <w:t>1.工作方法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采用监理巡查、旁站、测量和计量、指令性文件、抽查、现场记录、工序控制、协调及验收签证等工作方法，对建设项目质量、进度、安全及工作量进行控制。</w:t>
      </w:r>
      <w:r>
        <w:rPr>
          <w:rFonts w:hint="eastAsia" w:ascii="仿宋" w:hAnsi="仿宋" w:eastAsia="仿宋" w:cs="仿宋"/>
          <w:color w:val="auto"/>
          <w:sz w:val="24"/>
          <w:szCs w:val="24"/>
          <w:lang w:eastAsia="zh-CN"/>
        </w:rPr>
        <w:t>监测预警点建设项目应根据项目承担单位工作组情况派驻现场监理人员，每个工作组不少于</w:t>
      </w:r>
      <w:r>
        <w:rPr>
          <w:rFonts w:hint="eastAsia" w:ascii="仿宋" w:hAnsi="仿宋" w:eastAsia="仿宋" w:cs="仿宋"/>
          <w:color w:val="auto"/>
          <w:sz w:val="24"/>
          <w:szCs w:val="24"/>
          <w:lang w:val="en-US" w:eastAsia="zh-CN"/>
        </w:rPr>
        <w:t>1人，</w:t>
      </w:r>
      <w:r>
        <w:rPr>
          <w:rFonts w:hint="eastAsia" w:ascii="仿宋" w:hAnsi="仿宋" w:eastAsia="仿宋" w:cs="仿宋"/>
          <w:color w:val="auto"/>
          <w:sz w:val="24"/>
          <w:szCs w:val="24"/>
          <w:lang w:eastAsia="zh-CN"/>
        </w:rPr>
        <w:t>防治工程</w:t>
      </w:r>
      <w:r>
        <w:rPr>
          <w:rFonts w:hint="eastAsia" w:ascii="仿宋" w:hAnsi="仿宋" w:eastAsia="仿宋" w:cs="仿宋"/>
          <w:color w:val="auto"/>
          <w:sz w:val="24"/>
          <w:szCs w:val="24"/>
        </w:rPr>
        <w:t>项目派驻现场监理人数</w:t>
      </w:r>
      <w:r>
        <w:rPr>
          <w:rFonts w:hint="eastAsia" w:ascii="仿宋" w:hAnsi="仿宋" w:eastAsia="仿宋" w:cs="仿宋"/>
          <w:color w:val="auto"/>
          <w:sz w:val="24"/>
          <w:szCs w:val="24"/>
          <w:lang w:eastAsia="zh-CN"/>
        </w:rPr>
        <w:t>，应保证每个项目</w:t>
      </w:r>
      <w:r>
        <w:rPr>
          <w:rFonts w:hint="eastAsia" w:ascii="仿宋" w:hAnsi="仿宋" w:eastAsia="仿宋" w:cs="仿宋"/>
          <w:color w:val="auto"/>
          <w:sz w:val="24"/>
          <w:szCs w:val="24"/>
        </w:rPr>
        <w:t>不少于 1 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rPr>
      </w:pPr>
      <w:bookmarkStart w:id="286" w:name="2.主要技术要求"/>
      <w:bookmarkEnd w:id="286"/>
      <w:r>
        <w:rPr>
          <w:rFonts w:hint="eastAsia" w:ascii="仿宋" w:hAnsi="仿宋" w:eastAsia="仿宋" w:cs="仿宋"/>
          <w:color w:val="auto"/>
          <w:sz w:val="24"/>
          <w:szCs w:val="24"/>
        </w:rPr>
        <w:t>2.主要技术要求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（1）《地质灾害防治工程监理规范》（DZ/T 0222-2006）；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（2）《建设工程监理规范》（GB/T 50319-2013）；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（3）《地质灾害监测预警通讯技术要求》；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（4）《地质灾害专群结合监测预警技术规范》；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（5）《泥石流灾害防治工程勘查规范》（DZ/T 0220-2006）；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泥 石 流 防 治 工 程 施 工 技 术 规 范 （ 试 行 ）》（ T/CAGHP 061-2019）；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（7）《建筑机械使用安全技术规程》（JGJ 33-2012）；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（8）《建设工程施工现场供用电安全规范》（GB50194-2014）；</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（9）《地质灾害防治工程监理预算标准》（T/CAGHP 015-2018）；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（10）其他有关规范、规程和技术要求。</w:t>
      </w:r>
      <w:bookmarkStart w:id="287" w:name="四、地质灾害专项勘查预期提交的监理文件"/>
      <w:bookmarkEnd w:id="287"/>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、预期提交的监理文件</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（一）监理设计成果文件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1.《监理规划》；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2.《监理实施细则》。</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（二）监理成果总结性文件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1.《监理工作总结》；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2.《监理质量评估报告》；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3.《监理工作照片集》。</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（三）实施过程中形成的文件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项目监理日志、监理月报、工地例会纪要、监理工程师通知单及回复单、工程报审表、工程验收文件等。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五、监理汇交资料目录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监理资料整理应按照相关规范进行。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（一）监理规划、项目监理实施细则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监理工作总结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监理工作照片集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工程质量评估报告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项目监理日志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监理月报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第一次工地例会、工地例会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监理工程师通知单、监理工程师回复单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工程报审表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1.工程开工报审（开工报告报审表、开工报告、施工单位资 质、人员资质证书、特种作业人员管理制度、特种作业人员花名册、 特种作业人员证件、施工现场管理检查记录）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2.工程进度计划报审（总进度报审表、总进度计划、月进度 报审表 月进度计划、旬进度计划报审表、旬进度计划）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（十）工程验收文件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1.工程竣工验收报验表 （竣工报验申请表、单位工程质量验收文件目录、单位工程质量控制资料记录、单位工程观感质量检查记录、单位质量竣工验收记录）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2.工程竣工报审（自检报告、工程竣工报告）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3.监理单位初验意见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4.局竣工验收意见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监理资料整理归档严格按照《地质资料汇交规范》DZ/T0273及相关管理办法规定执行。最终成果资料应按地质资料汇交要求向伊犁州自然资源局与相关县市自然资源局汇交纸介质和电子版。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六、工作周期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val="en-US" w:eastAsia="zh-CN"/>
        </w:rPr>
      </w:pPr>
      <w:r>
        <w:rPr>
          <w:rStyle w:val="71"/>
          <w:rFonts w:hint="eastAsia" w:ascii="仿宋" w:hAnsi="仿宋" w:eastAsia="仿宋" w:cs="仿宋"/>
          <w:color w:val="auto"/>
          <w:sz w:val="24"/>
          <w:szCs w:val="24"/>
          <w:lang w:val="en-US" w:eastAsia="zh-CN"/>
        </w:rPr>
        <w:t>（一）监测预警点建设项目监理周期：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lang w:eastAsia="zh-CN"/>
        </w:rPr>
        <w:t>月-2022年</w:t>
      </w:r>
      <w:r>
        <w:rPr>
          <w:rStyle w:val="71"/>
          <w:rFonts w:hint="eastAsia" w:ascii="仿宋" w:hAnsi="仿宋" w:eastAsia="仿宋" w:cs="仿宋"/>
          <w:color w:val="auto"/>
          <w:sz w:val="24"/>
          <w:szCs w:val="24"/>
          <w:lang w:val="en-US" w:eastAsia="zh-CN"/>
        </w:rPr>
        <w:t>10</w:t>
      </w:r>
      <w:r>
        <w:rPr>
          <w:rStyle w:val="71"/>
          <w:rFonts w:hint="eastAsia" w:ascii="仿宋" w:hAnsi="仿宋" w:eastAsia="仿宋" w:cs="仿宋"/>
          <w:color w:val="auto"/>
          <w:sz w:val="24"/>
          <w:szCs w:val="24"/>
          <w:lang w:eastAsia="zh-CN"/>
        </w:rPr>
        <w:t>月。2022年3月30日前实施单位进驻现场开始基础施工，并同步启动设备安装；5月10日前完成基础施和设备安装及试运行；5月15日前，完成项目野外工作初验；2022年5月20日前，各项目全面完成监测对象基础资料录入、预警模型初设等工作，正式并网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1"/>
          <w:rFonts w:hint="eastAsia" w:ascii="仿宋" w:hAnsi="仿宋" w:eastAsia="仿宋" w:cs="仿宋"/>
          <w:color w:val="auto"/>
          <w:sz w:val="24"/>
          <w:szCs w:val="24"/>
          <w:lang w:val="en-US" w:eastAsia="zh-CN"/>
        </w:rPr>
      </w:pPr>
      <w:r>
        <w:rPr>
          <w:rStyle w:val="71"/>
          <w:rFonts w:hint="eastAsia" w:ascii="仿宋" w:hAnsi="仿宋" w:eastAsia="仿宋" w:cs="仿宋"/>
          <w:color w:val="auto"/>
          <w:sz w:val="24"/>
          <w:szCs w:val="24"/>
          <w:lang w:val="en-US" w:eastAsia="zh-CN"/>
        </w:rPr>
        <w:t>（二）防治工程项目监理周期：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lang w:eastAsia="zh-CN"/>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lang w:eastAsia="zh-CN"/>
        </w:rPr>
        <w:t>月。8月31日前完成野外施工，</w:t>
      </w:r>
      <w:r>
        <w:rPr>
          <w:rStyle w:val="71"/>
          <w:rFonts w:hint="eastAsia" w:ascii="仿宋" w:hAnsi="仿宋" w:eastAsia="仿宋" w:cs="仿宋"/>
          <w:color w:val="auto"/>
          <w:sz w:val="24"/>
          <w:szCs w:val="24"/>
          <w:lang w:val="en-US" w:eastAsia="zh-CN"/>
        </w:rPr>
        <w:t>9月30日前完成项目初验，</w:t>
      </w:r>
      <w:r>
        <w:rPr>
          <w:rStyle w:val="71"/>
          <w:rFonts w:hint="eastAsia" w:ascii="仿宋" w:hAnsi="仿宋" w:eastAsia="仿宋" w:cs="仿宋"/>
          <w:color w:val="auto"/>
          <w:sz w:val="24"/>
          <w:szCs w:val="24"/>
          <w:lang w:eastAsia="zh-CN"/>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lang w:eastAsia="zh-CN"/>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lang w:eastAsia="zh-CN"/>
        </w:rPr>
        <w:t>日前完成竣工验收，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Fonts w:hint="eastAsia" w:ascii="仿宋" w:hAnsi="仿宋" w:eastAsia="仿宋" w:cs="仿宋"/>
          <w:color w:val="auto"/>
          <w:sz w:val="24"/>
          <w:szCs w:val="24"/>
        </w:rPr>
        <w:t>全套竣工资料</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ascii="仿宋" w:hAnsi="仿宋" w:eastAsia="仿宋" w:cs="仿宋"/>
          <w:color w:val="auto"/>
          <w:sz w:val="24"/>
          <w:szCs w:val="24"/>
        </w:rPr>
        <w:t>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日前完成工程复验。</w:t>
      </w:r>
    </w:p>
    <w:p>
      <w:pPr>
        <w:spacing w:line="240" w:lineRule="atLeast"/>
        <w:rPr>
          <w:rFonts w:hint="eastAsia"/>
        </w:rPr>
      </w:pPr>
      <w:r>
        <w:rPr>
          <w:rFonts w:hint="eastAsia" w:ascii="仿宋" w:hAnsi="仿宋" w:eastAsia="仿宋" w:cs="仿宋"/>
          <w:b/>
          <w:bCs/>
          <w:sz w:val="28"/>
          <w:szCs w:val="28"/>
        </w:rPr>
        <w:t xml:space="preserve">      </w:t>
      </w:r>
    </w:p>
    <w:p>
      <w:pPr>
        <w:pStyle w:val="2"/>
        <w:rPr>
          <w:rFonts w:hint="eastAsia"/>
        </w:rPr>
      </w:pPr>
    </w:p>
    <w:p>
      <w:pPr>
        <w:spacing w:line="240" w:lineRule="atLeast"/>
        <w:rPr>
          <w:rFonts w:hint="eastAsia"/>
        </w:rPr>
      </w:pP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288" w:name="_Toc10220"/>
      <w:bookmarkStart w:id="289" w:name="_Toc518923127"/>
      <w:bookmarkStart w:id="290" w:name="_Toc507399907"/>
      <w:r>
        <w:rPr>
          <w:rFonts w:hint="eastAsia" w:ascii="仿宋" w:hAnsi="仿宋" w:eastAsia="仿宋" w:cs="仿宋"/>
          <w:b/>
          <w:bCs/>
          <w:sz w:val="28"/>
          <w:szCs w:val="28"/>
        </w:rPr>
        <w:t>评标方法和标准</w:t>
      </w:r>
      <w:bookmarkEnd w:id="265"/>
      <w:bookmarkEnd w:id="266"/>
      <w:bookmarkEnd w:id="267"/>
      <w:bookmarkEnd w:id="288"/>
      <w:bookmarkEnd w:id="289"/>
      <w:bookmarkEnd w:id="290"/>
    </w:p>
    <w:p>
      <w:pPr>
        <w:pStyle w:val="11"/>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本项目将按照招标文件第一章投标人须知中“五 开标及评标”、“六 确定中标”及本章的规定评标。</w:t>
      </w:r>
    </w:p>
    <w:p>
      <w:pPr>
        <w:pStyle w:val="11"/>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7人组成，从自然资源厅专家库中随机抽取后在政府采购网按3：1比例自行组建并随机抽取）</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评标工作应遵循公平、公正、科学及择优的原则，并以相同的评标程序和标准对待所有的投标人。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评标委员会按照招标文件规定的评标方法和标准进行评标，并独立履行下列职责：</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（一）审查、评价投标文件是否符合招标文件的商务、技术等实质性要求；</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（二）要求投标人对投标文件有关事项作出澄清或者说明；</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（三）对投标文件进行比较和评价；</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（四）确定中标候选人名单，以及根据采购人委托直接确定中标人；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（五）向采购人、采购代理机构或者有关部门报告评标中发现的违法行为。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（六）法律、法规和规章规定的其他职责。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评标过程独立、保密。投标人非法干预评标过程的行为将导致其投标文件作为无效处理。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1.6评标委员会评价投标文件的响应性，对于投标人而言，除评标委员会要求其澄清、说明或者更正而提供的资料外，仅依据投标文件本身的内容，不寻求其他外部证据。</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（三）公布投标人名单，告知评审专家应当回避的情形；</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（六）根据评标委员会的要求介绍政府采购相关政策法规、招标文件；</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（七）维护评标秩序，监督评标委员会依照招标文件规定的评标程序、方法和标准进行独立评审，及时制止和纠正采购人代表、评审专家的倾向性言论或者违法违规行为；</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采购人可以在评标前说明项目背景和采购需求，说明内容不得含有歧视性、倾向性意见，不得超出招标文件所述范围。说明应当提交书面材料，并随采购文件一并存档。</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7"/>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 评标结果按评审后得分由高到低顺序排列。得分相同的，按投标报价由低到高顺序排列。得分且投标报价相同的并列。投标文件满足招标文件全部实质性要求，且按照评审因素的量化指标评审得分最高的投标单位为排名第一的中标候选人。 </w:t>
      </w:r>
    </w:p>
    <w:p>
      <w:pPr>
        <w:pStyle w:val="11"/>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 评标程序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3.1熟悉和理解招标文件和停止评标。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3.1.1评标委员会正式评标前，应当对招标文件进行熟悉和理解，内容主要包括招标文件中采购项目技术、规格型号和商务要求、评标方法和标准以及可能涉及签订政府采购合同的内容等。</w:t>
      </w:r>
    </w:p>
    <w:p>
      <w:pPr>
        <w:pStyle w:val="11"/>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3.3.1评标委员会依据本招标文件的实质性要求，对符合资格的投标文件进行审查，以确定其是否满足本招标文件的实质性要求。</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3.4比较与评价。按招标文件中规定的评标方法和标准，对未作无效投标处理的投标文件进行技术、型号、商务等方面评估，综合比较与评价。</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评审完毕，评标委员会根据汇总各投标单位的综合得分，按照得分高低进行排序，取前三名作为中标候选人推荐给招标委员会。如果两投标人的得分相同，投标价格低者排在前。</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本项目参数要求、评审内容如有指向性，仅作为招标参考，投标服务不应低于招标要求，如有不符合要求，视为不响应招标文件规定。</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（四）开标记录和评标情况及说明，包括无效投标人名单及原因；</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（六）其他需要说明的情况，包括评标过程中投标人根据评标委员会要求进行的澄清、说明或者补正，评标委员会成员的更换等。</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3.9.3评标委员会要求供应商澄清、说明或者更正，不得超出招标文件的范围，不得以此让供应商实质改变投标文件的内容，不得影响供应商公平竞争。本项目下列内容不得澄清：</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5、废标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废标后，采购代理机构应在网上公告。投标人需要知晓导致废标情形的具体原因和理由的，可以通过书面形式询问招标采购单位。</w:t>
      </w:r>
    </w:p>
    <w:p>
      <w:pPr>
        <w:pStyle w:val="11"/>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对于评标过程中废标的采购项目，评标委员会应当对招标文件是否存在倾向性和歧</w:t>
      </w:r>
      <w:r>
        <w:rPr>
          <w:rFonts w:hint="eastAsia" w:ascii="仿宋" w:hAnsi="仿宋" w:eastAsia="仿宋" w:cs="仿宋"/>
          <w:b/>
          <w:bCs/>
          <w:kern w:val="0"/>
          <w:sz w:val="24"/>
          <w:szCs w:val="24"/>
          <w:lang w:val="en-US" w:eastAsia="zh-CN" w:bidi="ar"/>
        </w:rPr>
        <w:t>视性、是否存在不合理条款进行论证，并出具书面论证意见。</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1.未按招标文件规定的形式和金额提交投标保证金的；</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2.未按照招标文件规定要求签署、盖章的；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3.未满足招标文件中技术条款的实质性要求；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4.与其他投标人串通投标，或者与招标人串通投标；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5.属于招标文件规定的其他投标无效情形；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6.评标委员会认为投标人的报价明显低于其他通过符合性检查投标人的报价，有可能影响履约的，且投标人未按照规定证明其报价合理性的；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7.投标文件含有采购人不能接受的附加条件的；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8.不符合法规和招标文件中规定的其他实质性要求的。</w:t>
      </w:r>
    </w:p>
    <w:p>
      <w:pPr>
        <w:rPr>
          <w:rFonts w:hint="eastAsia" w:ascii="仿宋" w:hAnsi="仿宋" w:eastAsia="仿宋" w:cs="仿宋"/>
          <w:kern w:val="0"/>
          <w:sz w:val="24"/>
          <w:szCs w:val="24"/>
          <w:lang w:val="en-US" w:eastAsia="zh-CN" w:bidi="ar"/>
        </w:rPr>
      </w:pP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6、定标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6.1. 定标原则：由采购人根据评标委员会的推荐意见确定中标供应商。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 定标程序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6.2.1 评标委员会将评标情况写出书面报告，推荐中标候选供应商。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6.2.2 采购代理机构在评标结束后2个工作日内将评标报告送采购人。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6.2.4 根据采购人确定的中标供应商，采购代理机构在新疆政府采购网上发布中标公告，并自采购人确定中标之日起3个工作日内向中标供应商发出中标通知书。</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6.2.5 招标采购单位不退回投标人投标文件和其他投标资料。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7、详细的评标标准：（具体内容详见综合评分表）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各供应商的价格得分的计算公式：采用低价优先法计算，即满足招标文件要求且投标价格最低的投标报价为评标基准价，其价格分为满分。其他投标人的价格分统一按照下列公式计算：</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计算分数时四舍五入取小数点后两位,标项一、二、三、四、五、六、七、八分数最高不超过10分。由监标人员负责核准每个合格供应商的价格得分。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注：若为中小企业，其投标报价扣除 6 %后参与评审，提供相关证明资料，否则无效。</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标项一、二、三、四、五、六、七技术占70%，商务20%；标项八技术占80%，商务占10%。</w:t>
      </w:r>
    </w:p>
    <w:p>
      <w:pPr>
        <w:pStyle w:val="12"/>
        <w:rPr>
          <w:rFonts w:hint="eastAsia"/>
        </w:rPr>
      </w:pPr>
      <w:r>
        <w:rPr>
          <w:rFonts w:hint="eastAsia" w:ascii="仿宋" w:hAnsi="仿宋" w:eastAsia="仿宋" w:cs="仿宋"/>
          <w:kern w:val="0"/>
          <w:sz w:val="24"/>
          <w:szCs w:val="24"/>
          <w:lang w:val="en-US" w:eastAsia="zh-CN" w:bidi="ar"/>
        </w:rPr>
        <w:br w:type="page"/>
      </w:r>
    </w:p>
    <w:p>
      <w:pPr>
        <w:pStyle w:val="27"/>
        <w:jc w:val="center"/>
        <w:outlineLvl w:val="2"/>
        <w:rPr>
          <w:rFonts w:hint="eastAsia" w:ascii="仿宋" w:hAnsi="仿宋" w:eastAsia="仿宋" w:cs="仿宋"/>
          <w:b/>
          <w:bCs/>
          <w:kern w:val="2"/>
          <w:sz w:val="28"/>
          <w:szCs w:val="28"/>
          <w:lang w:val="en-US" w:eastAsia="zh-CN" w:bidi="ar-SA"/>
        </w:rPr>
      </w:pPr>
      <w:bookmarkStart w:id="291" w:name="_Toc507399904"/>
      <w:r>
        <w:rPr>
          <w:rFonts w:hint="eastAsia" w:ascii="仿宋" w:hAnsi="仿宋" w:eastAsia="仿宋" w:cs="仿宋"/>
          <w:b/>
          <w:bCs/>
          <w:kern w:val="2"/>
          <w:sz w:val="28"/>
          <w:szCs w:val="28"/>
          <w:lang w:val="en-US" w:eastAsia="zh-CN" w:bidi="ar-SA"/>
        </w:rPr>
        <w:t>商务符合性审查表</w:t>
      </w:r>
    </w:p>
    <w:p>
      <w:pPr>
        <w:bidi w:val="0"/>
        <w:rPr>
          <w:rFonts w:hint="eastAsia"/>
          <w:lang w:val="en-US" w:eastAsia="zh-CN"/>
        </w:rPr>
      </w:pPr>
    </w:p>
    <w:tbl>
      <w:tblPr>
        <w:tblStyle w:val="4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Layout w:type="fixed"/>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审查事项</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投标人名称及审查情况</w:t>
            </w: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审查标准</w:t>
            </w:r>
          </w:p>
        </w:tc>
        <w:tc>
          <w:tcPr>
            <w:tcW w:w="4137"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本项目要求</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中小企业投标要求（1.4）</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本项目适用</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联合体投标规定</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本项目接受联合体投标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投标人的关联性</w:t>
            </w:r>
          </w:p>
          <w:p>
            <w:pPr>
              <w:pStyle w:val="27"/>
              <w:rPr>
                <w:rFonts w:hint="eastAsia" w:ascii="仿宋" w:hAnsi="仿宋" w:eastAsia="仿宋" w:cs="仿宋"/>
                <w:kern w:val="2"/>
                <w:sz w:val="24"/>
                <w:szCs w:val="24"/>
                <w:highlight w:val="none"/>
                <w:lang w:val="en-US" w:eastAsia="zh-CN" w:bidi="ar-SA"/>
              </w:rPr>
            </w:pP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未发现影响采购人决策行为</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满足投标范围的完整性要求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投标人对所投分包招标文件中所列的所有内容进行投标。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投标保证金</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符合招标文件要求</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自提交投标文件截止之日起 90  日历日内</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投标文件的装订方式</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所有投标文件采用不可拆装的胶订方式装订</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投标文件的签署和盖章符合要求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按照招标文件规定要求签署、盖章。</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未发现串通投标</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未与其他投标人串通投标，或者与招标人串通投标。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无采购人不能接受的附加条件</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投标文件未含有采购人不能接受的附加条件。</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结论：出现偏差的标记“×”，没有出现偏差的标记“√” 。</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bl>
    <w:p>
      <w:pPr>
        <w:spacing w:line="240" w:lineRule="atLeast"/>
        <w:jc w:val="both"/>
        <w:rPr>
          <w:rFonts w:hint="eastAsia" w:ascii="仿宋" w:hAnsi="仿宋" w:eastAsia="仿宋" w:cs="仿宋"/>
        </w:rPr>
      </w:pPr>
    </w:p>
    <w:p>
      <w:pPr>
        <w:widowControl/>
        <w:jc w:val="center"/>
        <w:rPr>
          <w:rFonts w:hint="eastAsia" w:ascii="仿宋" w:hAnsi="仿宋" w:eastAsia="仿宋" w:cs="仿宋"/>
          <w:b/>
          <w:bCs/>
          <w:kern w:val="0"/>
          <w:sz w:val="32"/>
          <w:szCs w:val="32"/>
        </w:rPr>
      </w:pPr>
    </w:p>
    <w:p>
      <w:pPr>
        <w:pStyle w:val="12"/>
        <w:rPr>
          <w:rFonts w:hint="eastAsia" w:ascii="仿宋" w:hAnsi="仿宋" w:eastAsia="仿宋" w:cs="仿宋"/>
          <w:b/>
          <w:bCs/>
          <w:kern w:val="0"/>
          <w:sz w:val="32"/>
          <w:szCs w:val="32"/>
        </w:rPr>
      </w:pPr>
    </w:p>
    <w:p>
      <w:pPr>
        <w:pStyle w:val="10"/>
        <w:rPr>
          <w:rFonts w:hint="eastAsia" w:ascii="仿宋" w:hAnsi="仿宋" w:eastAsia="仿宋" w:cs="仿宋"/>
          <w:b/>
          <w:bCs/>
          <w:kern w:val="0"/>
          <w:sz w:val="32"/>
          <w:szCs w:val="32"/>
        </w:rPr>
      </w:pPr>
    </w:p>
    <w:p>
      <w:pPr>
        <w:pStyle w:val="12"/>
        <w:rPr>
          <w:rFonts w:hint="eastAsia"/>
        </w:rPr>
      </w:pPr>
    </w:p>
    <w:p>
      <w:pPr>
        <w:widowControl/>
        <w:jc w:val="center"/>
        <w:rPr>
          <w:rFonts w:hint="eastAsia" w:ascii="仿宋" w:hAnsi="仿宋" w:eastAsia="仿宋" w:cs="仿宋"/>
          <w:b/>
          <w:bCs/>
          <w:kern w:val="0"/>
          <w:sz w:val="32"/>
          <w:szCs w:val="32"/>
        </w:rPr>
      </w:pPr>
    </w:p>
    <w:p>
      <w:pPr>
        <w:widowControl/>
        <w:jc w:val="center"/>
        <w:rPr>
          <w:rFonts w:hint="eastAsia" w:ascii="仿宋" w:hAnsi="仿宋" w:eastAsia="仿宋" w:cs="仿宋"/>
          <w:b/>
          <w:bCs/>
          <w:kern w:val="0"/>
          <w:sz w:val="32"/>
          <w:szCs w:val="32"/>
        </w:r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4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5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81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投标人名称</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按照招标文件格式完整提供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对招标文件实质性条款作出响应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8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1"/>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360" w:lineRule="auto"/>
        <w:ind w:left="210" w:leftChars="0"/>
        <w:jc w:val="center"/>
        <w:textAlignment w:val="auto"/>
        <w:outlineLvl w:val="0"/>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楷体" w:hAnsi="楷体" w:eastAsia="楷体" w:cs="楷体"/>
          <w:b/>
          <w:color w:val="000000"/>
          <w:sz w:val="24"/>
        </w:rPr>
      </w:pPr>
      <w:r>
        <w:rPr>
          <w:rFonts w:hint="eastAsia" w:ascii="楷体" w:hAnsi="楷体" w:eastAsia="楷体" w:cs="楷体"/>
          <w:b/>
          <w:color w:val="000000"/>
          <w:sz w:val="24"/>
          <w:lang w:eastAsia="zh-CN"/>
        </w:rPr>
        <w:t>标项一、标项二</w:t>
      </w:r>
      <w:r>
        <w:rPr>
          <w:rFonts w:hint="eastAsia" w:ascii="楷体" w:hAnsi="楷体" w:eastAsia="楷体" w:cs="楷体"/>
          <w:b/>
          <w:color w:val="000000"/>
          <w:sz w:val="24"/>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92" w:name="_Toc27405"/>
      <w:bookmarkStart w:id="293" w:name="_Toc21584"/>
      <w:bookmarkStart w:id="294" w:name="_Toc17812"/>
      <w:r>
        <w:rPr>
          <w:rFonts w:hint="eastAsia" w:ascii="仿宋" w:hAnsi="仿宋" w:eastAsia="仿宋" w:cs="仿宋"/>
          <w:b/>
          <w:kern w:val="2"/>
          <w:sz w:val="24"/>
          <w:szCs w:val="20"/>
          <w:lang w:val="en-US" w:eastAsia="zh-CN" w:bidi="ar-SA"/>
        </w:rPr>
        <w:t>商务评分表</w:t>
      </w:r>
      <w:bookmarkEnd w:id="292"/>
      <w:bookmarkEnd w:id="293"/>
      <w:bookmarkEnd w:id="294"/>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表式正确且齐全8分；相应表号、项目名称、计量单位、技术条件等每缺一项扣1分，单表最大扣分2分。本项分值扣完为止。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折算得分（实际得分）＝V×20％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r>
    </w:tbl>
    <w:p>
      <w:pPr>
        <w:pStyle w:val="27"/>
        <w:numPr>
          <w:ilvl w:val="0"/>
          <w:numId w:val="0"/>
        </w:numPr>
        <w:rPr>
          <w:rFonts w:hint="eastAsia"/>
        </w:rPr>
      </w:pPr>
    </w:p>
    <w:p>
      <w:pPr>
        <w:spacing w:line="440" w:lineRule="exact"/>
        <w:jc w:val="center"/>
        <w:rPr>
          <w:rFonts w:hint="eastAsia" w:ascii="仿宋" w:hAnsi="仿宋" w:eastAsia="仿宋" w:cs="仿宋"/>
          <w:sz w:val="24"/>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95" w:name="_Toc22692"/>
      <w:bookmarkStart w:id="296" w:name="_Toc24632"/>
      <w:bookmarkStart w:id="297" w:name="_Toc21762"/>
      <w:r>
        <w:rPr>
          <w:rFonts w:hint="eastAsia" w:ascii="仿宋" w:hAnsi="仿宋" w:eastAsia="仿宋" w:cs="仿宋"/>
          <w:b/>
          <w:kern w:val="2"/>
          <w:sz w:val="24"/>
          <w:szCs w:val="20"/>
          <w:lang w:val="en-US" w:eastAsia="zh-CN" w:bidi="ar-SA"/>
        </w:rPr>
        <w:t>技术评分表</w:t>
      </w:r>
      <w:bookmarkEnd w:id="295"/>
      <w:bookmarkEnd w:id="296"/>
      <w:bookmarkEnd w:id="297"/>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895"/>
        <w:gridCol w:w="319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b/>
                <w:bCs/>
                <w:i w:val="0"/>
                <w:iCs w:val="0"/>
                <w:color w:val="000000"/>
                <w:sz w:val="24"/>
                <w:szCs w:val="24"/>
                <w:u w:val="none"/>
              </w:rPr>
            </w:pPr>
          </w:p>
        </w:tc>
        <w:tc>
          <w:tcPr>
            <w:tcW w:w="3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资料收集完整、内容全面8-10分；资料收集基本完整、内容基本全面1-7分；无资料收集和阐述内容0分。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工作思路、工作部署、工作量布置、进度安排明确清晰。主要内容包括：</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调查、评价和预测滑坡、崩塌、泥石流发展趋势，进行环境工程地质条件区划；</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调查潜在和已发生滑坡、崩塌、泥石流等地质灾害点并评估复活性、危险性、危害性，提出防治措施建议；</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部署重大单体地质灾害初步勘查，工作部署和量科学合理；</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开展地质灾害信息系统建设；</w:t>
            </w:r>
          </w:p>
          <w:p>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内容全面、合理30分，每缺1项扣5分，内容不合理或不完整的每处扣2分。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工作方法具有针对性，符合技术规范要求，适宜明确20-15分；针对性较好、基本符合规范要求8-5分；无针对性、不符合规范要求0分。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绩效目标明确合理。</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预期成果与招标任务书要求完全一致8分，基本一致4-7分，完全不一致0分。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预期成果与招标任务书要求完全一致10分，基本一致5-9分，完全不一致0分。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7</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zh-CN" w:eastAsia="zh-CN" w:bidi="ar"/>
              </w:rPr>
              <w:t>组织管理机构</w:t>
            </w:r>
            <w:r>
              <w:rPr>
                <w:rFonts w:hint="eastAsia" w:ascii="仿宋" w:hAnsi="仿宋" w:eastAsia="仿宋" w:cs="仿宋"/>
                <w:i w:val="0"/>
                <w:iCs w:val="0"/>
                <w:color w:val="000000"/>
                <w:kern w:val="0"/>
                <w:sz w:val="20"/>
                <w:szCs w:val="20"/>
                <w:u w:val="none"/>
                <w:lang w:val="en-US" w:eastAsia="zh-CN" w:bidi="ar"/>
              </w:rPr>
              <w:t>和</w:t>
            </w:r>
            <w:r>
              <w:rPr>
                <w:rFonts w:hint="eastAsia" w:ascii="仿宋" w:hAnsi="仿宋" w:eastAsia="仿宋" w:cs="仿宋"/>
                <w:i w:val="0"/>
                <w:iCs w:val="0"/>
                <w:color w:val="000000"/>
                <w:kern w:val="0"/>
                <w:sz w:val="20"/>
                <w:szCs w:val="20"/>
                <w:u w:val="none"/>
                <w:lang w:val="zh-CN" w:eastAsia="zh-CN" w:bidi="ar"/>
              </w:rPr>
              <w:t>主要技术人员配备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管理机构健全明确、项目人员专业组成全面、分工合理5分，基本健全明确、基本全面、合理、基本满足1-4分，无内容0分.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8</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主要设备配置应齐备。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符合项目技术要求、齐备5分，基本符合2-4分，不符合0分。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健全明确7分，基本健全明确3-6分，无内容0分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w:t>
            </w:r>
          </w:p>
        </w:tc>
      </w:tr>
    </w:tbl>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98" w:name="_Toc32741"/>
      <w:bookmarkStart w:id="299" w:name="_Toc18406"/>
      <w:bookmarkStart w:id="300" w:name="_Toc32388"/>
      <w:bookmarkStart w:id="301" w:name="_Toc4943"/>
      <w:bookmarkStart w:id="302" w:name="_Toc1538"/>
      <w:r>
        <w:rPr>
          <w:rFonts w:hint="eastAsia" w:ascii="仿宋" w:hAnsi="仿宋" w:eastAsia="仿宋" w:cs="仿宋"/>
          <w:b/>
          <w:kern w:val="2"/>
          <w:sz w:val="24"/>
          <w:szCs w:val="20"/>
          <w:lang w:val="en-US" w:eastAsia="zh-CN" w:bidi="ar-SA"/>
        </w:rPr>
        <w:t>报价评分表</w:t>
      </w:r>
      <w:bookmarkEnd w:id="298"/>
      <w:bookmarkEnd w:id="299"/>
      <w:bookmarkEnd w:id="300"/>
      <w:bookmarkEnd w:id="301"/>
      <w:bookmarkEnd w:id="302"/>
    </w:p>
    <w:p>
      <w:pPr>
        <w:pStyle w:val="2"/>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spacing w:line="240" w:lineRule="atLeast"/>
        <w:jc w:val="center"/>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仿宋" w:hAnsi="仿宋" w:eastAsia="仿宋" w:cs="仿宋"/>
          <w:b/>
          <w:bCs/>
          <w:sz w:val="28"/>
          <w:szCs w:val="28"/>
        </w:rPr>
      </w:pPr>
      <w:r>
        <w:rPr>
          <w:rFonts w:hint="eastAsia" w:ascii="楷体" w:hAnsi="楷体" w:eastAsia="楷体" w:cs="楷体"/>
          <w:b/>
          <w:color w:val="000000"/>
          <w:sz w:val="24"/>
          <w:lang w:eastAsia="zh-CN"/>
        </w:rPr>
        <w:br w:type="page"/>
      </w: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三、四</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303" w:name="_Toc20946"/>
      <w:r>
        <w:rPr>
          <w:rFonts w:hint="eastAsia" w:ascii="仿宋" w:hAnsi="仿宋" w:eastAsia="仿宋" w:cs="仿宋"/>
          <w:b/>
          <w:kern w:val="2"/>
          <w:sz w:val="24"/>
          <w:szCs w:val="20"/>
          <w:lang w:val="en-US" w:eastAsia="zh-CN" w:bidi="ar-SA"/>
        </w:rPr>
        <w:t>商务评分表</w:t>
      </w:r>
      <w:bookmarkEnd w:id="303"/>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504"/>
        <w:gridCol w:w="60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6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6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送审材料</w:t>
            </w:r>
          </w:p>
        </w:tc>
        <w:tc>
          <w:tcPr>
            <w:tcW w:w="6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适用表式</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表式正确且齐全8分；相应表号、项目名称、计量单位、技术条件等每缺一项扣1分，单表最大扣分2分。本项分值扣完为止。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编制方法</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预算标准</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预算内容设置不重复、不扩大、不遗漏的得满分，每重复、扩大或遗漏1处扣2分，本项分值扣完为止。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计算和勾稽关系</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预算表内、表间数据勾稽关系完全正确得满分，每错1处扣2分，本项分值扣完为止。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与技术方案工作量平衡</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预警点建设工作方法、工作量等，设备购置的型号（参数）、数量及其他相关技术指标等与技术方案完全一致得满分，每错1处扣2分，本项分值扣完为止。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预算编制说明</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sz w:val="20"/>
                <w:szCs w:val="20"/>
                <w:u w:val="none"/>
                <w:lang w:val="en-US" w:eastAsia="zh-CN"/>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主要工作业绩</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kern w:val="2"/>
                <w:sz w:val="20"/>
                <w:szCs w:val="20"/>
                <w:u w:val="none"/>
                <w:lang w:val="en-US" w:eastAsia="zh-CN" w:bidi="ar-SA"/>
              </w:rPr>
              <w:t>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相关承诺</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总得分V</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折算得分（实际得分）＝V×20％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w:t>
            </w:r>
          </w:p>
        </w:tc>
      </w:tr>
    </w:tbl>
    <w:p>
      <w:pPr>
        <w:pStyle w:val="27"/>
        <w:numPr>
          <w:ilvl w:val="0"/>
          <w:numId w:val="0"/>
        </w:numPr>
        <w:rPr>
          <w:rFonts w:hint="eastAsia"/>
          <w:color w:val="auto"/>
        </w:rPr>
      </w:pP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4" w:name="_Toc32103"/>
      <w:r>
        <w:rPr>
          <w:rFonts w:hint="eastAsia" w:ascii="仿宋" w:hAnsi="仿宋" w:eastAsia="仿宋" w:cs="仿宋"/>
          <w:b/>
          <w:kern w:val="2"/>
          <w:sz w:val="24"/>
          <w:szCs w:val="20"/>
          <w:lang w:val="en-US" w:eastAsia="zh-CN" w:bidi="ar-SA"/>
        </w:rPr>
        <w:t>技术评分表</w:t>
      </w:r>
      <w:bookmarkEnd w:id="304"/>
    </w:p>
    <w:tbl>
      <w:tblPr>
        <w:tblStyle w:val="40"/>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224"/>
        <w:gridCol w:w="3858"/>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3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42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3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编制依据说明清晰,且目标任务明确。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技术方案的规范性、完整性，对本项目设计目标和原则的响应程度。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完全响应8-10分，部分响应要求1-7分，不响应0分。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供应设备的技术条款、技术参数、技术指标、设备质保及其他指标完全满足本项目任务书要求。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适宜监测对象5分，技术参数、指标和条款完全满足任务书要求15-20分，质保及其他指标完全满足5分；设备基本适宜监测对象2-4分，技术参数、指标和条款基本满足任务书要求5-14分，质保及其他指标基本满足2-4分；设备不适宜监测对象0-1分，技术参数、指标和条款完全满足任务书要求0-4分，质保及其他指标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基础施工、设备安装及设备管理完全满足本项目任务书要求。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完全满足8-10分，部分满足1-7分，不满足0分。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设备安装完成后，是否对安装的所有监测仪器支架、防护网等进行接地电阻测试，达到防雷设计规范。并及时清理安装现场残余垃圾，保护环境。</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完全符合设计规范5分，部分符合1-4分，不符合0分。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绩效目标明确合理。</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绩效目标与任务书完全一致，量化指标不低于75%，8-10分；绩效目标与任务书基本一致，量化指标低于75%，1-7分；绩效目标与任务书不一致，0分。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预期成果应对提交的监测设备安装、调试记录表；各种野外工作照片；其他原始资料，包括设备清单、设备合格证、交接记录等予以明确。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预期成果与招标任务书要求完全一致5分，基本一致1-4分，完全不一致0分。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zh-CN" w:eastAsia="zh-CN" w:bidi="ar"/>
              </w:rPr>
              <w:t>组织管理机构、主要技术人员配备。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主要设备配置应齐备。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符合项目技术要求、齐备10分，基本符合5-9分，不符合0分。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10</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工程实施计划、培训计划、售后服务计划的合理性和售后服务要求的响应程度。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完全响应4-5分，部分响应1-3分，不响应0分。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质量、进度、安全的保障体系应健全，主要措施应明确。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70%</w:t>
            </w:r>
          </w:p>
        </w:tc>
      </w:tr>
    </w:tbl>
    <w:p>
      <w:pPr>
        <w:tabs>
          <w:tab w:val="right" w:pos="9213"/>
        </w:tabs>
        <w:bidi w:val="0"/>
        <w:jc w:val="left"/>
        <w:rPr>
          <w:rFonts w:hint="eastAsia"/>
          <w:color w:val="auto"/>
          <w:lang w:val="en-US" w:eastAsia="zh-CN"/>
        </w:rPr>
      </w:pPr>
      <w:r>
        <w:rPr>
          <w:rFonts w:hint="eastAsia"/>
          <w:color w:val="auto"/>
          <w:lang w:val="en-US" w:eastAsia="zh-CN"/>
        </w:rPr>
        <w:tab/>
      </w:r>
    </w:p>
    <w:p>
      <w:pPr>
        <w:tabs>
          <w:tab w:val="right" w:pos="9213"/>
        </w:tabs>
        <w:bidi w:val="0"/>
        <w:jc w:val="both"/>
        <w:rPr>
          <w:rFonts w:hint="eastAsia"/>
          <w:color w:val="auto"/>
          <w:lang w:val="en-US" w:eastAsia="zh-CN"/>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5" w:name="_Toc14508"/>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报价评分表</w:t>
      </w:r>
      <w:bookmarkEnd w:id="305"/>
    </w:p>
    <w:p>
      <w:pPr>
        <w:pStyle w:val="2"/>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spacing w:line="240" w:lineRule="atLeast"/>
        <w:jc w:val="left"/>
        <w:rPr>
          <w:rFonts w:hint="eastAsia" w:ascii="楷体" w:hAnsi="楷体" w:eastAsia="楷体" w:cs="楷体"/>
          <w:b/>
          <w:color w:val="000000"/>
          <w:sz w:val="24"/>
          <w:lang w:eastAsia="zh-CN"/>
        </w:rPr>
      </w:pPr>
    </w:p>
    <w:p>
      <w:pPr>
        <w:spacing w:line="240" w:lineRule="atLeast"/>
        <w:jc w:val="left"/>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五、六、七</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306" w:name="_Toc17358"/>
      <w:bookmarkStart w:id="307" w:name="_Toc26151"/>
      <w:bookmarkStart w:id="308" w:name="_Toc1728"/>
      <w:r>
        <w:rPr>
          <w:rFonts w:hint="eastAsia" w:ascii="仿宋" w:hAnsi="仿宋" w:eastAsia="仿宋" w:cs="仿宋"/>
          <w:b/>
          <w:kern w:val="2"/>
          <w:sz w:val="24"/>
          <w:szCs w:val="20"/>
          <w:lang w:val="en-US" w:eastAsia="zh-CN" w:bidi="ar-SA"/>
        </w:rPr>
        <w:t>商务评分表</w:t>
      </w:r>
      <w:bookmarkEnd w:id="306"/>
      <w:bookmarkEnd w:id="307"/>
      <w:bookmarkEnd w:id="308"/>
    </w:p>
    <w:p>
      <w:pPr>
        <w:pStyle w:val="27"/>
        <w:numPr>
          <w:ilvl w:val="0"/>
          <w:numId w:val="0"/>
        </w:numPr>
        <w:rPr>
          <w:rFonts w:hint="eastAsia"/>
          <w:color w:val="auto"/>
        </w:rPr>
      </w:pPr>
    </w:p>
    <w:tbl>
      <w:tblPr>
        <w:tblStyle w:val="40"/>
        <w:tblW w:w="9336" w:type="dxa"/>
        <w:tblInd w:w="0" w:type="dxa"/>
        <w:tblLayout w:type="fixed"/>
        <w:tblCellMar>
          <w:top w:w="0" w:type="dxa"/>
          <w:left w:w="0" w:type="dxa"/>
          <w:bottom w:w="0" w:type="dxa"/>
          <w:right w:w="0" w:type="dxa"/>
        </w:tblCellMar>
      </w:tblPr>
      <w:tblGrid>
        <w:gridCol w:w="516"/>
        <w:gridCol w:w="1071"/>
        <w:gridCol w:w="7029"/>
        <w:gridCol w:w="720"/>
      </w:tblGrid>
      <w:tr>
        <w:tblPrEx>
          <w:tblLayout w:type="fixed"/>
          <w:tblCellMar>
            <w:top w:w="0" w:type="dxa"/>
            <w:left w:w="0" w:type="dxa"/>
            <w:bottom w:w="0" w:type="dxa"/>
            <w:right w:w="0"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70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0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送审材料</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独立的按要求编制的商务标，得5分；有独立的商务标标书，但部分预算内容或资料混入其中标中但可审，扣1分；未单独编制商务标而在技术标中作为独立章节且可审，扣2分；没有商务标或实质性内容的为0分，且以下各项均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适用表式</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表式正确且齐全12分；缺表1扣3分，缺表2得0分，且以下各项不得分；表式不正确为0分；缺少相应的表号、项目名称、计量单位、技术条件等每缺一项扣0.5分，单表最大扣分2分。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编制方法</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选用正确的工作项目、费用项目按规定顺序进行编制，及逐级汇总全部正确得8分，每错（漏）一处扣2分。表1标准分2分，表2标准分6分，每表扣分不能超过标准分。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预算标准</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每错用预算标准1处扣2分，错用地区调整系数每错用一处扣2分，最大扣分6分。采用预算指定标准以外的标准又未作相应说明或使用标准明显不合理的，每处扣2分。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16</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预算内容</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工作手段或成本内容设置不重复、不扩大、不遗漏的得满分，每重复、扩大或遗漏1处扣2分。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20</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计算和勾稽关系</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主要审查预算各表中及表间数据计算和勾稽关系的正确性。完全正确者满分，每错1处扣2分扣完为止。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与技术方案工作量平衡</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工作方法、具体工作量及相关技术条件的采用与技术方案的部署完全一致得满分，每错1处扣2分，扣完为止。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w:t>
            </w:r>
          </w:p>
        </w:tc>
      </w:tr>
      <w:tr>
        <w:tblPrEx>
          <w:tblLayout w:type="fixed"/>
          <w:tblCellMar>
            <w:top w:w="0" w:type="dxa"/>
            <w:left w:w="0" w:type="dxa"/>
            <w:bottom w:w="0" w:type="dxa"/>
            <w:right w:w="0" w:type="dxa"/>
          </w:tblCellMar>
        </w:tblPrEx>
        <w:trPr>
          <w:trHeight w:val="176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预算编制说明</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目投标报价及承诺、项目概况、项目设计预算编制依据、工程方案内容及工作量情况、采用的费用标准和计算方法、工程技术指标分析及需要说明的问题等方面完整15分。其中：缺少项目投标报价及承诺扣4分；项目概况和工作区基本情况、工程方案内容及工作量情况、项目设计预算编制依据、采用的费用标准和计算方法、工程技术指标分析及需要说明的问题，每缺一方面内容扣2分。每个方面内容不详细、不全面或不正确者扣1—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15</w:t>
            </w:r>
          </w:p>
        </w:tc>
      </w:tr>
      <w:tr>
        <w:tblPrEx>
          <w:tblLayout w:type="fixed"/>
          <w:tblCellMar>
            <w:top w:w="0" w:type="dxa"/>
            <w:left w:w="0" w:type="dxa"/>
            <w:bottom w:w="0" w:type="dxa"/>
            <w:right w:w="0" w:type="dxa"/>
          </w:tblCellMar>
        </w:tblPrEx>
        <w:trPr>
          <w:trHeight w:val="711"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业绩</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08"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承诺</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8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总得分V</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w:t>
            </w:r>
          </w:p>
        </w:tc>
      </w:tr>
      <w:tr>
        <w:tblPrEx>
          <w:tblLayout w:type="fixed"/>
          <w:tblCellMar>
            <w:top w:w="0" w:type="dxa"/>
            <w:left w:w="0" w:type="dxa"/>
            <w:bottom w:w="0" w:type="dxa"/>
            <w:right w:w="0" w:type="dxa"/>
          </w:tblCellMar>
        </w:tblPrEx>
        <w:trPr>
          <w:trHeight w:val="54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折算得分（实际得分）＝V×20％</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20%</w:t>
            </w:r>
          </w:p>
        </w:tc>
      </w:tr>
    </w:tbl>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09" w:name="_Toc17451"/>
      <w:bookmarkStart w:id="310" w:name="_Toc19788"/>
      <w:bookmarkStart w:id="311" w:name="_Toc8799"/>
      <w:r>
        <w:rPr>
          <w:rFonts w:hint="eastAsia" w:ascii="仿宋" w:hAnsi="仿宋" w:eastAsia="仿宋" w:cs="仿宋"/>
          <w:b/>
          <w:kern w:val="2"/>
          <w:sz w:val="24"/>
          <w:szCs w:val="20"/>
          <w:lang w:val="en-US" w:eastAsia="zh-CN" w:bidi="ar-SA"/>
        </w:rPr>
        <w:t>技术评分表</w:t>
      </w:r>
      <w:bookmarkEnd w:id="309"/>
      <w:bookmarkEnd w:id="310"/>
      <w:bookmarkEnd w:id="311"/>
    </w:p>
    <w:tbl>
      <w:tblPr>
        <w:tblStyle w:val="40"/>
        <w:tblW w:w="9237" w:type="dxa"/>
        <w:tblInd w:w="0" w:type="dxa"/>
        <w:tblLayout w:type="fixed"/>
        <w:tblCellMar>
          <w:top w:w="0" w:type="dxa"/>
          <w:left w:w="0" w:type="dxa"/>
          <w:bottom w:w="0" w:type="dxa"/>
          <w:right w:w="0" w:type="dxa"/>
        </w:tblCellMar>
      </w:tblPr>
      <w:tblGrid>
        <w:gridCol w:w="576"/>
        <w:gridCol w:w="3766"/>
        <w:gridCol w:w="3760"/>
        <w:gridCol w:w="1135"/>
      </w:tblGrid>
      <w:tr>
        <w:tblPrEx>
          <w:tblLayout w:type="fixed"/>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标书的完整性及与招标文件的响应性。</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完全响应和完整4-5分；部分未响应或不完整2-3分；未响应部分份额较大且不完整≤1分。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施工设计目标任务、工作内容、工程布置、施工方案、工程量、进度安排的明确清晰程度及合理性；工作方法的可行性、技术要求的明确程度。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明确合理0—10分；施工图设计齐全0－5分；设计指标明确，技术要求全面、明确0—5分；设计工作量与招标文件响应0－5分；设计图规范、图面美观，设计参数标注齐全完整0－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30</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施工组织设计内容齐全完整0－5分；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工作方法可行、技术要求明确，工作方法与施工图设计衔接0－10分；技术要求符合项目治理方案和实际，满足相关标准、规范，施工组织严密，并附施工平面图0－10分，安全施工0-2分，环保施工0-3分。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30 </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预期成果的全面程度。</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预期成果包括治理效果和提交的成果资料全面4—5分；基本全面3—4分；不全面≤3分。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 xml:space="preserve"> 5</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保障体系齐全、措施有效9-10分；保障体系基本齐全、措施基本有效7—8分；保障体系不健全≤6分。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人员数量情况0—4分；工种搭配情况0—3分；专业结构情况0—3分。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仪器、设备配置</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设备齐全且符合要求5分；设备较齐全3-4分；其他情况≤3分。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健全明确5分，基本健全明确1-4分，无内容0分。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总得分V</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0"/>
                <w:szCs w:val="20"/>
                <w:u w:val="none"/>
                <w:lang w:val="en-US"/>
              </w:rPr>
            </w:pPr>
            <w:r>
              <w:rPr>
                <w:rFonts w:hint="eastAsia" w:ascii="仿宋" w:hAnsi="仿宋" w:eastAsia="仿宋" w:cs="仿宋"/>
                <w:b/>
                <w:i w:val="0"/>
                <w:color w:val="auto"/>
                <w:kern w:val="0"/>
                <w:sz w:val="20"/>
                <w:szCs w:val="20"/>
                <w:u w:val="none"/>
                <w:lang w:val="en-US" w:eastAsia="zh-CN" w:bidi="ar"/>
              </w:rPr>
              <w:t>100</w:t>
            </w:r>
          </w:p>
        </w:tc>
      </w:tr>
      <w:tr>
        <w:tblPrEx>
          <w:tblLayout w:type="fixed"/>
          <w:tblCellMar>
            <w:top w:w="0" w:type="dxa"/>
            <w:left w:w="0" w:type="dxa"/>
            <w:bottom w:w="0" w:type="dxa"/>
            <w:right w:w="0" w:type="dxa"/>
          </w:tblCellMar>
        </w:tblPrEx>
        <w:trPr>
          <w:trHeight w:val="50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折算得分（实际得分）＝V×70％</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70%</w:t>
            </w:r>
          </w:p>
        </w:tc>
      </w:tr>
    </w:tbl>
    <w:p>
      <w:pPr>
        <w:pStyle w:val="2"/>
        <w:rPr>
          <w:rFonts w:hint="default" w:ascii="仿宋" w:hAnsi="仿宋" w:eastAsia="仿宋" w:cs="仿宋"/>
          <w:color w:val="auto"/>
          <w:sz w:val="24"/>
          <w:lang w:val="en-US" w:eastAsia="zh-CN"/>
        </w:rPr>
      </w:pPr>
    </w:p>
    <w:p>
      <w:pPr>
        <w:bidi w:val="0"/>
        <w:rPr>
          <w:rFonts w:hint="default"/>
          <w:color w:val="auto"/>
          <w:lang w:val="en-US" w:eastAsia="zh-CN"/>
        </w:rPr>
      </w:pPr>
    </w:p>
    <w:p>
      <w:pPr>
        <w:bidi w:val="0"/>
        <w:rPr>
          <w:rFonts w:hint="default"/>
          <w:color w:val="auto"/>
          <w:lang w:val="en-US" w:eastAsia="zh-CN"/>
        </w:rPr>
      </w:pPr>
    </w:p>
    <w:p>
      <w:pPr>
        <w:tabs>
          <w:tab w:val="right" w:pos="9213"/>
        </w:tabs>
        <w:bidi w:val="0"/>
        <w:jc w:val="center"/>
        <w:rPr>
          <w:rFonts w:hint="eastAsia"/>
          <w:color w:val="auto"/>
          <w:lang w:val="en-US" w:eastAsia="zh-CN"/>
        </w:rPr>
      </w:pPr>
      <w:r>
        <w:rPr>
          <w:rFonts w:hint="eastAsia"/>
          <w:color w:val="auto"/>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312" w:name="_Toc20213"/>
      <w:r>
        <w:rPr>
          <w:rFonts w:hint="eastAsia" w:ascii="仿宋" w:hAnsi="仿宋" w:eastAsia="仿宋" w:cs="仿宋"/>
          <w:b/>
          <w:kern w:val="2"/>
          <w:sz w:val="24"/>
          <w:szCs w:val="20"/>
          <w:lang w:val="en-US" w:eastAsia="zh-CN" w:bidi="ar-SA"/>
        </w:rPr>
        <w:t>报价评分表</w:t>
      </w:r>
      <w:bookmarkEnd w:id="312"/>
    </w:p>
    <w:p>
      <w:pPr>
        <w:pStyle w:val="2"/>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pStyle w:val="2"/>
        <w:keepNext w:val="0"/>
        <w:keepLines w:val="0"/>
        <w:pageBreakBefore w:val="0"/>
        <w:widowControl w:val="0"/>
        <w:kinsoku/>
        <w:wordWrap/>
        <w:overflowPunct/>
        <w:topLinePunct w:val="0"/>
        <w:autoSpaceDE/>
        <w:autoSpaceDN/>
        <w:bidi w:val="0"/>
        <w:adjustRightInd/>
        <w:snapToGrid/>
        <w:ind w:left="420" w:hanging="420"/>
        <w:textAlignment w:val="auto"/>
        <w:outlineLvl w:val="1"/>
        <w:rPr>
          <w:rFonts w:hint="eastAsia" w:ascii="楷体" w:hAnsi="楷体" w:eastAsia="楷体" w:cs="楷体"/>
          <w:b/>
          <w:color w:val="000000"/>
          <w:kern w:val="2"/>
          <w:sz w:val="24"/>
          <w:szCs w:val="24"/>
          <w:lang w:val="en-US" w:eastAsia="zh-CN" w:bidi="ar-SA"/>
        </w:rPr>
      </w:pPr>
      <w:r>
        <w:rPr>
          <w:rFonts w:hint="default"/>
          <w:color w:val="auto"/>
          <w:lang w:val="en-US" w:eastAsia="zh-CN"/>
        </w:rPr>
        <w:br w:type="page"/>
      </w:r>
      <w:r>
        <w:rPr>
          <w:rFonts w:hint="eastAsia" w:ascii="楷体" w:hAnsi="楷体" w:eastAsia="楷体" w:cs="楷体"/>
          <w:b/>
          <w:color w:val="000000"/>
          <w:kern w:val="2"/>
          <w:sz w:val="24"/>
          <w:szCs w:val="24"/>
          <w:lang w:val="en-US" w:eastAsia="zh-CN" w:bidi="ar-SA"/>
        </w:rPr>
        <w:t>标项八评分标准：</w:t>
      </w:r>
    </w:p>
    <w:p>
      <w:pPr>
        <w:pStyle w:val="2"/>
        <w:rPr>
          <w:rFonts w:hint="eastAsia" w:ascii="楷体" w:hAnsi="楷体" w:eastAsia="楷体" w:cs="楷体"/>
          <w:b/>
          <w:color w:val="000000"/>
          <w:kern w:val="2"/>
          <w:sz w:val="24"/>
          <w:szCs w:val="24"/>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商务评分表</w:t>
      </w:r>
    </w:p>
    <w:tbl>
      <w:tblPr>
        <w:tblStyle w:val="40"/>
        <w:tblpPr w:leftFromText="180" w:rightFromText="180" w:vertAnchor="text" w:horzAnchor="page" w:tblpX="1411" w:tblpY="191"/>
        <w:tblOverlap w:val="never"/>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left" w:pos="1381"/>
              </w:tabs>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对招标文件及合同条款的确认。</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具有明确的确认说明10分，无说明不得分。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投入项目人员数量满足要求，工种齐全，人员专业结构配备合理。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人员数量情况0—5分；工种搭配情况0—5分；专业结构情况0—5分。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仪器、设备配置。</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设备齐全且满足需求10分；设备较齐全5-9分；其他情况≤4分。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rPr>
              <w:t>近三年资产状况</w:t>
            </w:r>
            <w:r>
              <w:rPr>
                <w:rFonts w:hint="eastAsia" w:ascii="仿宋" w:hAnsi="仿宋" w:eastAsia="仿宋" w:cs="仿宋"/>
                <w:i w:val="0"/>
                <w:color w:val="000000"/>
                <w:sz w:val="22"/>
                <w:szCs w:val="22"/>
                <w:u w:val="none"/>
                <w:lang w:eastAsia="zh-CN"/>
              </w:rPr>
              <w:t>。</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资产状况良级及以上10分，良级以下不得分。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kern w:val="0"/>
                <w:sz w:val="20"/>
                <w:szCs w:val="20"/>
                <w:u w:val="none"/>
                <w:lang w:val="en-US" w:eastAsia="zh-CN" w:bidi="ar"/>
              </w:rPr>
              <w:t>组织管理、质量、进度、安全的保障体系及主要措施。</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保障体系齐全、措施有效15分；保障体系基本齐全、措施基本有效8-14分；保障体系不健全≤7分。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组织管理机构应健全，应建立领导小组。</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健全明确10分，基本健全明确5-9分，无内容≤4分。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7</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拟派出的总监、总监代表人的职称。</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0"/>
                <w:szCs w:val="20"/>
                <w:u w:val="none"/>
                <w:lang w:val="en-US" w:eastAsia="zh-CN" w:bidi="ar"/>
              </w:rPr>
              <w:t>总监、总监代表人具有全国地质灾害治理工程培训证书10分，没有不得分。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8</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主要业绩。</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每提供近三年一项类似业绩并提供证明材料得3分，未提供证明材料不得分，本项最高得15分。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相关承诺。</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折算得分（实际得分）＝V×10％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r>
    </w:tbl>
    <w:p>
      <w:pPr>
        <w:pStyle w:val="27"/>
        <w:numPr>
          <w:ilvl w:val="0"/>
          <w:numId w:val="0"/>
        </w:numPr>
        <w:rPr>
          <w:rFonts w:hint="eastAsi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技术评分表</w:t>
      </w:r>
    </w:p>
    <w:tbl>
      <w:tblPr>
        <w:tblStyle w:val="40"/>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标书与招标文件的响应性或完整性。</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完全响应和完整10分；部分响应或部分完整7-9分；未响应部分分额较大且不完整≤6分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监理工作范围、内容、目标及依据，监理机构和组织形式健全。</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合理26-30分；较合理21-25分；其他情况≤20分（一项不合理扣2分）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30</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监理工作程序的合理性，技术要求的可行性。技术要求应符合相关地质灾害工程监理规范</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合理21-25分；较合理16-20分；其他情况≤15分（一项不合理扣3分）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25</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监理工作方法、措施和制度，工程质量控制方法及措施全面合理。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全面20分；较全面12-19分；其他情况≤11分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预期成果应包括：监理规划、项目监理实施细则；监理工作总结、质量评估报告；监理工作照片集、监理日志、月报、通知单及相关记录，其他原始资料等</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齐全有效10分；基本齐全有效5-10分；其他情况≤4分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项目负责人及主要技术人员的配备应全面，人员结构应合理。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人员配置合理5分，较合理≤3分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折算得分（实际得分）＝V×80％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80%</w:t>
            </w:r>
          </w:p>
        </w:tc>
      </w:tr>
    </w:tbl>
    <w:p>
      <w:pPr>
        <w:pStyle w:val="2"/>
        <w:rPr>
          <w:rFonts w:hint="default" w:ascii="仿宋" w:hAnsi="仿宋" w:eastAsia="仿宋" w:cs="仿宋"/>
          <w:sz w:val="24"/>
          <w:lang w:val="en-US" w:eastAsia="zh-CN"/>
        </w:rPr>
      </w:pPr>
    </w:p>
    <w:p>
      <w:pPr>
        <w:bidi w:val="0"/>
        <w:rPr>
          <w:rFonts w:hint="default"/>
          <w:lang w:val="en-US" w:eastAsia="zh-CN"/>
        </w:rPr>
      </w:pPr>
    </w:p>
    <w:p>
      <w:pPr>
        <w:bidi w:val="0"/>
        <w:rPr>
          <w:rFonts w:hint="default"/>
          <w:lang w:val="en-US" w:eastAsia="zh-CN"/>
        </w:rPr>
      </w:pPr>
    </w:p>
    <w:p>
      <w:pPr>
        <w:tabs>
          <w:tab w:val="right" w:pos="9213"/>
        </w:tabs>
        <w:bidi w:val="0"/>
        <w:jc w:val="center"/>
        <w:rPr>
          <w:rFonts w:hint="eastAsia"/>
          <w:lang w:val="en-US" w:eastAsia="zh-CN"/>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lang w:val="en-US" w:eastAsia="zh-CN"/>
        </w:rPr>
      </w:pPr>
      <w:bookmarkStart w:id="313" w:name="_Toc24923"/>
      <w:r>
        <w:rPr>
          <w:rFonts w:hint="eastAsia" w:ascii="仿宋" w:hAnsi="仿宋" w:eastAsia="仿宋" w:cs="仿宋"/>
          <w:b/>
          <w:kern w:val="2"/>
          <w:sz w:val="24"/>
          <w:szCs w:val="20"/>
          <w:lang w:val="en-US" w:eastAsia="zh-CN" w:bidi="ar-SA"/>
        </w:rPr>
        <w:t>报价评分表</w:t>
      </w:r>
      <w:bookmarkEnd w:id="313"/>
    </w:p>
    <w:p>
      <w:pPr>
        <w:pStyle w:val="2"/>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pStyle w:val="2"/>
        <w:rPr>
          <w:rFonts w:hint="default" w:ascii="楷体" w:hAnsi="楷体" w:eastAsia="楷体" w:cs="楷体"/>
          <w:b/>
          <w:color w:val="000000"/>
          <w:kern w:val="2"/>
          <w:sz w:val="24"/>
          <w:szCs w:val="24"/>
          <w:lang w:val="en-US" w:eastAsia="zh-CN" w:bidi="ar-SA"/>
        </w:rPr>
        <w:sectPr>
          <w:footerReference r:id="rId12" w:type="default"/>
          <w:pgSz w:w="11906" w:h="16838"/>
          <w:pgMar w:top="680" w:right="1276" w:bottom="1712" w:left="1417" w:header="703" w:footer="850" w:gutter="0"/>
          <w:cols w:space="720" w:num="1"/>
          <w:docGrid w:type="lines" w:linePitch="314" w:charSpace="0"/>
        </w:sectPr>
      </w:pP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伊犁州2022年自然灾害防治体系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YLZ-</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2-01至08</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伊犁哈萨克自治州自然资源局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pStyle w:val="12"/>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3"/>
        <w:tabs>
          <w:tab w:val="left" w:pos="0"/>
        </w:tabs>
        <w:spacing w:before="0" w:after="0" w:line="240" w:lineRule="atLeast"/>
        <w:ind w:firstLine="2249" w:firstLineChars="700"/>
        <w:jc w:val="both"/>
        <w:rPr>
          <w:rFonts w:hint="eastAsia" w:ascii="仿宋" w:hAnsi="仿宋" w:eastAsia="仿宋" w:cs="仿宋"/>
        </w:rPr>
      </w:pPr>
      <w:bookmarkStart w:id="314" w:name="_Toc518923128"/>
      <w:bookmarkStart w:id="315" w:name="_Toc23018"/>
      <w:r>
        <w:rPr>
          <w:rFonts w:hint="eastAsia" w:ascii="仿宋" w:hAnsi="仿宋" w:eastAsia="仿宋" w:cs="仿宋"/>
        </w:rPr>
        <w:t>第</w:t>
      </w:r>
      <w:r>
        <w:rPr>
          <w:rFonts w:hint="eastAsia" w:ascii="仿宋" w:hAnsi="仿宋" w:eastAsia="仿宋" w:cs="仿宋"/>
          <w:lang w:val="en-US" w:eastAsia="zh-CN"/>
        </w:rPr>
        <w:t>7</w:t>
      </w:r>
      <w:r>
        <w:rPr>
          <w:rFonts w:hint="eastAsia" w:ascii="仿宋" w:hAnsi="仿宋" w:eastAsia="仿宋" w:cs="仿宋"/>
        </w:rPr>
        <w:t>章  政府采购合同</w:t>
      </w:r>
      <w:bookmarkEnd w:id="291"/>
      <w:bookmarkEnd w:id="314"/>
      <w:bookmarkEnd w:id="315"/>
      <w:bookmarkStart w:id="316" w:name="_Hlt487972895"/>
      <w:bookmarkEnd w:id="316"/>
      <w:bookmarkStart w:id="317" w:name="_Toc487900382"/>
      <w:bookmarkStart w:id="318" w:name="_Toc216513788"/>
    </w:p>
    <w:bookmarkEnd w:id="317"/>
    <w:bookmarkEnd w:id="318"/>
    <w:p>
      <w:pPr>
        <w:pStyle w:val="14"/>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伊犁州</w:t>
      </w:r>
      <w:r>
        <w:rPr>
          <w:rFonts w:hint="eastAsia" w:ascii="仿宋" w:hAnsi="仿宋" w:eastAsia="仿宋" w:cs="仿宋"/>
          <w:b/>
          <w:bCs/>
          <w:sz w:val="28"/>
          <w:szCs w:val="28"/>
        </w:rPr>
        <w:t>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8"/>
        <w:spacing w:before="120" w:line="22" w:lineRule="atLeast"/>
        <w:rPr>
          <w:rFonts w:hint="eastAsia" w:ascii="仿宋" w:hAnsi="仿宋" w:eastAsia="仿宋" w:cs="仿宋"/>
          <w:sz w:val="24"/>
          <w:szCs w:val="24"/>
        </w:rPr>
      </w:pPr>
    </w:p>
    <w:p>
      <w:pPr>
        <w:pStyle w:val="48"/>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13" w:type="default"/>
          <w:footerReference r:id="rId14"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伊犁哈萨克自治州自然资源局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319" w:name="_Toc15367"/>
      <w:bookmarkStart w:id="320" w:name="_Toc19273"/>
      <w:bookmarkStart w:id="321" w:name="_Toc20421"/>
      <w:bookmarkStart w:id="322" w:name="_Toc22967"/>
      <w:bookmarkStart w:id="323" w:name="_Toc28855"/>
      <w:r>
        <w:rPr>
          <w:rFonts w:hint="eastAsia" w:ascii="仿宋" w:hAnsi="仿宋" w:eastAsia="仿宋" w:cs="仿宋"/>
          <w:b/>
          <w:bCs/>
          <w:sz w:val="24"/>
          <w:szCs w:val="24"/>
        </w:rPr>
        <w:t>1.1 合同组成部分</w:t>
      </w:r>
      <w:bookmarkEnd w:id="319"/>
      <w:bookmarkEnd w:id="320"/>
      <w:bookmarkEnd w:id="321"/>
      <w:bookmarkEnd w:id="322"/>
      <w:bookmarkEnd w:id="32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324" w:name="_Toc2918"/>
      <w:bookmarkStart w:id="325" w:name="_Toc6773"/>
      <w:bookmarkStart w:id="326" w:name="_Toc18585"/>
      <w:bookmarkStart w:id="327" w:name="_Toc6311"/>
      <w:bookmarkStart w:id="328" w:name="_Toc22185"/>
      <w:r>
        <w:rPr>
          <w:rFonts w:hint="eastAsia" w:ascii="仿宋" w:hAnsi="仿宋" w:eastAsia="仿宋" w:cs="仿宋"/>
          <w:b/>
          <w:bCs/>
          <w:sz w:val="24"/>
          <w:szCs w:val="24"/>
        </w:rPr>
        <w:t>1.2 标的</w:t>
      </w:r>
      <w:bookmarkEnd w:id="324"/>
      <w:bookmarkEnd w:id="325"/>
      <w:bookmarkEnd w:id="326"/>
      <w:bookmarkEnd w:id="327"/>
      <w:bookmarkEnd w:id="328"/>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按招标文件要求（详见清单）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按招标文件要求和投标文件的实际填写。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329" w:name="_Toc13918"/>
      <w:bookmarkStart w:id="330" w:name="_Toc4929"/>
      <w:bookmarkStart w:id="331" w:name="_Toc5635"/>
      <w:bookmarkStart w:id="332" w:name="_Toc21124"/>
      <w:bookmarkStart w:id="333" w:name="_Toc1386"/>
      <w:r>
        <w:rPr>
          <w:rFonts w:hint="eastAsia" w:ascii="仿宋" w:hAnsi="仿宋" w:eastAsia="仿宋" w:cs="仿宋"/>
          <w:b/>
          <w:bCs/>
          <w:sz w:val="24"/>
          <w:szCs w:val="24"/>
        </w:rPr>
        <w:t>1.3 价款</w:t>
      </w:r>
      <w:bookmarkEnd w:id="329"/>
      <w:bookmarkEnd w:id="330"/>
      <w:bookmarkEnd w:id="331"/>
      <w:bookmarkEnd w:id="332"/>
      <w:bookmarkEnd w:id="33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40"/>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334" w:name="_Toc30506"/>
      <w:bookmarkStart w:id="335" w:name="_Toc30158"/>
      <w:bookmarkStart w:id="336" w:name="_Toc26916"/>
      <w:bookmarkStart w:id="337" w:name="_Toc3654"/>
      <w:bookmarkStart w:id="338" w:name="_Toc14993"/>
      <w:r>
        <w:rPr>
          <w:rFonts w:hint="eastAsia" w:ascii="仿宋" w:hAnsi="仿宋" w:eastAsia="仿宋" w:cs="仿宋"/>
          <w:b/>
          <w:bCs/>
          <w:sz w:val="24"/>
          <w:szCs w:val="24"/>
        </w:rPr>
        <w:t>1.4 付款方式和发票开具方式</w:t>
      </w:r>
      <w:bookmarkEnd w:id="334"/>
      <w:bookmarkEnd w:id="335"/>
      <w:bookmarkEnd w:id="336"/>
      <w:bookmarkEnd w:id="337"/>
      <w:bookmarkEnd w:id="338"/>
    </w:p>
    <w:p>
      <w:pPr>
        <w:pStyle w:val="17"/>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详见招标文件要求。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339" w:name="_Toc31421"/>
      <w:bookmarkStart w:id="340" w:name="_Toc11108"/>
      <w:bookmarkStart w:id="341" w:name="_Toc4760"/>
      <w:bookmarkStart w:id="342" w:name="_Toc8772"/>
      <w:bookmarkStart w:id="343" w:name="_Toc3625"/>
      <w:r>
        <w:rPr>
          <w:rFonts w:hint="eastAsia" w:ascii="仿宋" w:hAnsi="仿宋" w:eastAsia="仿宋" w:cs="仿宋"/>
          <w:b/>
          <w:bCs/>
          <w:sz w:val="24"/>
          <w:szCs w:val="24"/>
        </w:rPr>
        <w:t>1.5 履行期限、地点和方式</w:t>
      </w:r>
      <w:bookmarkEnd w:id="339"/>
      <w:bookmarkEnd w:id="340"/>
      <w:bookmarkEnd w:id="341"/>
      <w:bookmarkEnd w:id="342"/>
      <w:bookmarkEnd w:id="343"/>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按投标文件要求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344" w:name="_Toc24662"/>
      <w:bookmarkStart w:id="345" w:name="_Toc8586"/>
      <w:bookmarkStart w:id="346" w:name="_Toc3079"/>
      <w:bookmarkStart w:id="347" w:name="_Toc2375"/>
      <w:bookmarkStart w:id="348" w:name="_Toc5698"/>
      <w:r>
        <w:rPr>
          <w:rFonts w:hint="eastAsia" w:ascii="仿宋" w:hAnsi="仿宋" w:eastAsia="仿宋" w:cs="仿宋"/>
          <w:b/>
          <w:bCs/>
          <w:sz w:val="24"/>
          <w:szCs w:val="24"/>
        </w:rPr>
        <w:t>1.6 违约责任</w:t>
      </w:r>
      <w:bookmarkEnd w:id="344"/>
      <w:bookmarkEnd w:id="345"/>
      <w:bookmarkEnd w:id="346"/>
      <w:bookmarkEnd w:id="347"/>
      <w:bookmarkEnd w:id="34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349" w:name="_Toc18683"/>
      <w:bookmarkStart w:id="350" w:name="_Toc9497"/>
      <w:bookmarkStart w:id="351" w:name="_Toc26807"/>
      <w:bookmarkStart w:id="352" w:name="_Toc32454"/>
      <w:bookmarkStart w:id="353" w:name="_Toc30329"/>
      <w:r>
        <w:rPr>
          <w:rFonts w:hint="eastAsia" w:ascii="仿宋" w:hAnsi="仿宋" w:eastAsia="仿宋" w:cs="仿宋"/>
          <w:b/>
          <w:bCs/>
          <w:sz w:val="24"/>
          <w:szCs w:val="24"/>
        </w:rPr>
        <w:t>1.7 合同争议的解决</w:t>
      </w:r>
      <w:bookmarkEnd w:id="349"/>
      <w:bookmarkEnd w:id="350"/>
      <w:bookmarkEnd w:id="351"/>
      <w:bookmarkEnd w:id="352"/>
      <w:bookmarkEnd w:id="35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喀什市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354" w:name="_Toc23784"/>
      <w:bookmarkStart w:id="355" w:name="_Toc16417"/>
      <w:bookmarkStart w:id="356" w:name="_Toc26227"/>
      <w:bookmarkStart w:id="357" w:name="_Toc15827"/>
      <w:bookmarkStart w:id="358" w:name="_Toc12273"/>
      <w:r>
        <w:rPr>
          <w:rFonts w:hint="eastAsia" w:ascii="仿宋" w:hAnsi="仿宋" w:eastAsia="仿宋" w:cs="仿宋"/>
          <w:b/>
          <w:bCs/>
          <w:sz w:val="24"/>
          <w:szCs w:val="24"/>
        </w:rPr>
        <w:t>1.8 合同生效</w:t>
      </w:r>
      <w:bookmarkEnd w:id="354"/>
      <w:bookmarkEnd w:id="355"/>
      <w:bookmarkEnd w:id="356"/>
      <w:bookmarkEnd w:id="357"/>
      <w:bookmarkEnd w:id="358"/>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359" w:name="_Toc25079"/>
      <w:bookmarkStart w:id="360" w:name="_Toc19680"/>
      <w:bookmarkStart w:id="361" w:name="_Toc5228"/>
      <w:bookmarkStart w:id="362" w:name="_Toc31297"/>
      <w:bookmarkStart w:id="363" w:name="_Toc14021"/>
      <w:r>
        <w:rPr>
          <w:rFonts w:hint="eastAsia" w:ascii="仿宋" w:hAnsi="仿宋" w:eastAsia="仿宋" w:cs="仿宋"/>
          <w:b/>
          <w:bCs/>
          <w:sz w:val="24"/>
          <w:szCs w:val="24"/>
        </w:rPr>
        <w:t>2.1 定义</w:t>
      </w:r>
      <w:bookmarkEnd w:id="359"/>
      <w:bookmarkEnd w:id="360"/>
      <w:bookmarkEnd w:id="361"/>
      <w:bookmarkEnd w:id="362"/>
      <w:bookmarkEnd w:id="36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364" w:name="_Toc16752"/>
      <w:bookmarkStart w:id="365" w:name="_Toc23289"/>
      <w:bookmarkStart w:id="366" w:name="_Toc3769"/>
      <w:bookmarkStart w:id="367" w:name="_Toc19539"/>
      <w:bookmarkStart w:id="368" w:name="_Toc31402"/>
      <w:r>
        <w:rPr>
          <w:rFonts w:hint="eastAsia" w:ascii="仿宋" w:hAnsi="仿宋" w:eastAsia="仿宋" w:cs="仿宋"/>
          <w:b/>
          <w:bCs/>
          <w:sz w:val="24"/>
          <w:szCs w:val="24"/>
        </w:rPr>
        <w:t>2.2 技术规范</w:t>
      </w:r>
      <w:bookmarkEnd w:id="364"/>
      <w:bookmarkEnd w:id="365"/>
      <w:bookmarkEnd w:id="366"/>
      <w:bookmarkEnd w:id="367"/>
      <w:bookmarkEnd w:id="36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369" w:name="_Toc12412"/>
      <w:bookmarkStart w:id="370" w:name="_Toc9161"/>
      <w:bookmarkStart w:id="371" w:name="_Toc13673"/>
      <w:bookmarkStart w:id="372" w:name="_Toc4133"/>
      <w:bookmarkStart w:id="373" w:name="_Toc27945"/>
      <w:r>
        <w:rPr>
          <w:rFonts w:hint="eastAsia" w:ascii="仿宋" w:hAnsi="仿宋" w:eastAsia="仿宋" w:cs="仿宋"/>
          <w:b/>
          <w:bCs/>
          <w:sz w:val="24"/>
          <w:szCs w:val="24"/>
        </w:rPr>
        <w:t>2.3 知识产权</w:t>
      </w:r>
      <w:bookmarkEnd w:id="369"/>
      <w:bookmarkEnd w:id="370"/>
      <w:bookmarkEnd w:id="371"/>
      <w:bookmarkEnd w:id="372"/>
      <w:bookmarkEnd w:id="37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374" w:name="_Toc16163"/>
      <w:bookmarkStart w:id="375" w:name="_Toc30507"/>
      <w:bookmarkStart w:id="376" w:name="_Toc18990"/>
      <w:bookmarkStart w:id="377" w:name="_Toc13467"/>
      <w:bookmarkStart w:id="378" w:name="_Toc13154"/>
      <w:r>
        <w:rPr>
          <w:rFonts w:hint="eastAsia" w:ascii="仿宋" w:hAnsi="仿宋" w:eastAsia="仿宋" w:cs="仿宋"/>
          <w:b/>
          <w:bCs/>
          <w:sz w:val="24"/>
          <w:szCs w:val="24"/>
        </w:rPr>
        <w:t>2.5 技术资料和保密义务</w:t>
      </w:r>
      <w:bookmarkEnd w:id="374"/>
      <w:bookmarkEnd w:id="375"/>
      <w:bookmarkEnd w:id="376"/>
      <w:bookmarkEnd w:id="377"/>
      <w:bookmarkEnd w:id="37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379" w:name="_Toc19069"/>
      <w:r>
        <w:rPr>
          <w:rFonts w:hint="eastAsia" w:ascii="仿宋" w:hAnsi="仿宋" w:eastAsia="仿宋" w:cs="仿宋"/>
          <w:b/>
          <w:bCs/>
          <w:sz w:val="24"/>
          <w:szCs w:val="24"/>
        </w:rPr>
        <w:t>2.6 质量保证</w:t>
      </w:r>
      <w:bookmarkEnd w:id="37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380" w:name="_Toc22267"/>
      <w:r>
        <w:rPr>
          <w:rFonts w:hint="eastAsia" w:ascii="仿宋" w:hAnsi="仿宋" w:eastAsia="仿宋" w:cs="仿宋"/>
          <w:b/>
          <w:bCs/>
          <w:sz w:val="24"/>
          <w:szCs w:val="24"/>
        </w:rPr>
        <w:t>2.7 延迟履行</w:t>
      </w:r>
      <w:bookmarkEnd w:id="380"/>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381" w:name="_Toc10611"/>
      <w:r>
        <w:rPr>
          <w:rFonts w:hint="eastAsia" w:ascii="仿宋" w:hAnsi="仿宋" w:eastAsia="仿宋" w:cs="仿宋"/>
          <w:b/>
          <w:bCs/>
          <w:sz w:val="24"/>
          <w:szCs w:val="24"/>
        </w:rPr>
        <w:t>2.8 合同变更</w:t>
      </w:r>
      <w:bookmarkEnd w:id="38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82" w:name="_Toc26689"/>
      <w:bookmarkStart w:id="383" w:name="_Toc23368"/>
      <w:bookmarkStart w:id="384" w:name="_Toc10663"/>
      <w:bookmarkStart w:id="385" w:name="_Toc21830"/>
      <w:bookmarkStart w:id="386" w:name="_Toc42"/>
      <w:r>
        <w:rPr>
          <w:rFonts w:hint="eastAsia" w:ascii="仿宋" w:hAnsi="仿宋" w:eastAsia="仿宋" w:cs="仿宋"/>
          <w:b/>
          <w:bCs/>
          <w:sz w:val="24"/>
          <w:szCs w:val="24"/>
        </w:rPr>
        <w:t>2.9 合同转让和分包</w:t>
      </w:r>
      <w:bookmarkEnd w:id="382"/>
      <w:bookmarkEnd w:id="383"/>
      <w:bookmarkEnd w:id="384"/>
      <w:bookmarkEnd w:id="385"/>
      <w:bookmarkEnd w:id="38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387" w:name="_Toc4720"/>
      <w:bookmarkStart w:id="388" w:name="_Toc25571"/>
      <w:bookmarkStart w:id="389" w:name="_Toc14371"/>
      <w:bookmarkStart w:id="390" w:name="_Toc32494"/>
      <w:bookmarkStart w:id="391" w:name="_Toc26633"/>
      <w:r>
        <w:rPr>
          <w:rFonts w:hint="eastAsia" w:ascii="仿宋" w:hAnsi="仿宋" w:eastAsia="仿宋" w:cs="仿宋"/>
          <w:b/>
          <w:bCs/>
          <w:sz w:val="24"/>
          <w:szCs w:val="24"/>
        </w:rPr>
        <w:t>2.10 不可抗力</w:t>
      </w:r>
      <w:bookmarkEnd w:id="387"/>
      <w:bookmarkEnd w:id="388"/>
      <w:bookmarkEnd w:id="389"/>
      <w:bookmarkEnd w:id="390"/>
      <w:bookmarkEnd w:id="39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392" w:name="_Toc25783"/>
      <w:bookmarkStart w:id="393" w:name="_Toc24465"/>
      <w:bookmarkStart w:id="394" w:name="_Toc14115"/>
      <w:bookmarkStart w:id="395" w:name="_Toc23854"/>
      <w:bookmarkStart w:id="396" w:name="_Toc3638"/>
      <w:r>
        <w:rPr>
          <w:rFonts w:hint="eastAsia" w:ascii="仿宋" w:hAnsi="仿宋" w:eastAsia="仿宋" w:cs="仿宋"/>
          <w:b/>
          <w:bCs/>
          <w:sz w:val="24"/>
          <w:szCs w:val="24"/>
        </w:rPr>
        <w:t>2.11 税费</w:t>
      </w:r>
      <w:bookmarkEnd w:id="392"/>
      <w:bookmarkEnd w:id="393"/>
      <w:bookmarkEnd w:id="394"/>
      <w:bookmarkEnd w:id="395"/>
      <w:bookmarkEnd w:id="39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397" w:name="_Toc25525"/>
      <w:bookmarkStart w:id="398" w:name="_Toc30105"/>
      <w:bookmarkStart w:id="399" w:name="_Toc7315"/>
      <w:bookmarkStart w:id="400" w:name="_Toc26883"/>
      <w:bookmarkStart w:id="401" w:name="_Toc14814"/>
      <w:r>
        <w:rPr>
          <w:rFonts w:hint="eastAsia" w:ascii="仿宋" w:hAnsi="仿宋" w:eastAsia="仿宋" w:cs="仿宋"/>
          <w:b/>
          <w:bCs/>
          <w:sz w:val="24"/>
          <w:szCs w:val="24"/>
        </w:rPr>
        <w:t>2.12 乙方破产</w:t>
      </w:r>
      <w:bookmarkEnd w:id="397"/>
      <w:bookmarkEnd w:id="398"/>
      <w:bookmarkEnd w:id="399"/>
      <w:bookmarkEnd w:id="400"/>
      <w:bookmarkEnd w:id="40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402" w:name="_Toc2016"/>
      <w:bookmarkStart w:id="403" w:name="_Toc1123"/>
      <w:bookmarkStart w:id="404" w:name="_Toc23323"/>
      <w:r>
        <w:rPr>
          <w:rFonts w:hint="eastAsia" w:ascii="仿宋" w:hAnsi="仿宋" w:eastAsia="仿宋" w:cs="仿宋"/>
          <w:b/>
          <w:bCs/>
          <w:sz w:val="24"/>
          <w:szCs w:val="24"/>
        </w:rPr>
        <w:t>2.13 合同中止、终止</w:t>
      </w:r>
      <w:bookmarkEnd w:id="402"/>
      <w:bookmarkEnd w:id="403"/>
      <w:bookmarkEnd w:id="40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405" w:name="_Toc17363"/>
      <w:bookmarkStart w:id="406" w:name="_Toc14525"/>
      <w:bookmarkStart w:id="407" w:name="_Toc1969"/>
      <w:r>
        <w:rPr>
          <w:rFonts w:hint="eastAsia" w:ascii="仿宋" w:hAnsi="仿宋" w:eastAsia="仿宋" w:cs="仿宋"/>
          <w:b/>
          <w:bCs/>
          <w:sz w:val="24"/>
          <w:szCs w:val="24"/>
        </w:rPr>
        <w:t>2.14 检验和验收</w:t>
      </w:r>
      <w:bookmarkEnd w:id="405"/>
      <w:bookmarkEnd w:id="406"/>
      <w:bookmarkEnd w:id="407"/>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408" w:name="_Toc12666"/>
      <w:bookmarkStart w:id="409" w:name="_Toc2308"/>
      <w:bookmarkStart w:id="410" w:name="_Toc9808"/>
      <w:bookmarkStart w:id="411" w:name="_Toc31892"/>
      <w:bookmarkStart w:id="412" w:name="_Toc25198"/>
      <w:r>
        <w:rPr>
          <w:rFonts w:hint="eastAsia" w:ascii="仿宋" w:hAnsi="仿宋" w:eastAsia="仿宋" w:cs="仿宋"/>
          <w:b/>
          <w:bCs/>
          <w:sz w:val="24"/>
          <w:szCs w:val="24"/>
        </w:rPr>
        <w:t>2.15 通知和送达</w:t>
      </w:r>
      <w:bookmarkEnd w:id="408"/>
      <w:bookmarkEnd w:id="409"/>
      <w:bookmarkEnd w:id="410"/>
      <w:bookmarkEnd w:id="411"/>
      <w:bookmarkEnd w:id="412"/>
    </w:p>
    <w:p>
      <w:pPr>
        <w:spacing w:line="560" w:lineRule="exact"/>
        <w:ind w:firstLine="480" w:firstLineChars="200"/>
        <w:rPr>
          <w:rFonts w:hint="eastAsia" w:ascii="仿宋" w:hAnsi="仿宋" w:eastAsia="仿宋" w:cs="仿宋"/>
          <w:sz w:val="24"/>
          <w:szCs w:val="24"/>
        </w:rPr>
      </w:pPr>
      <w:bookmarkStart w:id="413" w:name="_Toc29220"/>
      <w:bookmarkStart w:id="414" w:name="_Toc7073"/>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13"/>
      <w:bookmarkEnd w:id="414"/>
    </w:p>
    <w:p>
      <w:pPr>
        <w:spacing w:line="560" w:lineRule="exact"/>
        <w:ind w:firstLine="480" w:firstLineChars="200"/>
        <w:rPr>
          <w:rFonts w:hint="eastAsia" w:ascii="仿宋" w:hAnsi="仿宋" w:eastAsia="仿宋" w:cs="仿宋"/>
          <w:sz w:val="24"/>
          <w:szCs w:val="24"/>
        </w:rPr>
      </w:pPr>
      <w:bookmarkStart w:id="415" w:name="_Toc18401"/>
      <w:bookmarkStart w:id="416" w:name="_Toc27674"/>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15"/>
      <w:bookmarkEnd w:id="416"/>
    </w:p>
    <w:p>
      <w:pPr>
        <w:spacing w:line="560" w:lineRule="exact"/>
        <w:ind w:firstLine="482" w:firstLineChars="200"/>
        <w:outlineLvl w:val="0"/>
        <w:rPr>
          <w:rFonts w:hint="eastAsia" w:ascii="仿宋" w:hAnsi="仿宋" w:eastAsia="仿宋" w:cs="仿宋"/>
          <w:b/>
          <w:bCs/>
          <w:sz w:val="24"/>
          <w:szCs w:val="24"/>
        </w:rPr>
      </w:pPr>
      <w:bookmarkStart w:id="417" w:name="_Toc27644"/>
      <w:bookmarkStart w:id="418" w:name="_Toc20808"/>
      <w:bookmarkStart w:id="419" w:name="_Toc28906"/>
      <w:bookmarkStart w:id="420" w:name="_Toc5063"/>
      <w:bookmarkStart w:id="421" w:name="_Toc12254"/>
      <w:r>
        <w:rPr>
          <w:rFonts w:hint="eastAsia" w:ascii="仿宋" w:hAnsi="仿宋" w:eastAsia="仿宋" w:cs="仿宋"/>
          <w:b/>
          <w:bCs/>
          <w:sz w:val="24"/>
          <w:szCs w:val="24"/>
        </w:rPr>
        <w:t>2.16 合同使用的文字和适用的法律</w:t>
      </w:r>
      <w:bookmarkEnd w:id="417"/>
      <w:bookmarkEnd w:id="418"/>
      <w:bookmarkEnd w:id="419"/>
      <w:bookmarkEnd w:id="420"/>
      <w:bookmarkEnd w:id="42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422" w:name="_Toc27127"/>
      <w:bookmarkStart w:id="423" w:name="_Toc1492"/>
      <w:bookmarkStart w:id="424" w:name="_Toc22266"/>
      <w:bookmarkStart w:id="425" w:name="_Toc27403"/>
      <w:bookmarkStart w:id="426" w:name="_Toc30096"/>
      <w:r>
        <w:rPr>
          <w:rFonts w:hint="eastAsia" w:ascii="仿宋" w:hAnsi="仿宋" w:eastAsia="仿宋" w:cs="仿宋"/>
          <w:b/>
          <w:bCs/>
          <w:sz w:val="24"/>
          <w:szCs w:val="24"/>
        </w:rPr>
        <w:t>2.17 履约保证金</w:t>
      </w:r>
      <w:bookmarkEnd w:id="422"/>
      <w:bookmarkEnd w:id="423"/>
      <w:bookmarkEnd w:id="424"/>
      <w:bookmarkEnd w:id="425"/>
      <w:bookmarkEnd w:id="426"/>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14"/>
        <w:rPr>
          <w:rFonts w:hint="eastAsia" w:ascii="仿宋" w:hAnsi="仿宋" w:eastAsia="仿宋" w:cs="仿宋"/>
          <w:sz w:val="28"/>
          <w:szCs w:val="21"/>
          <w:highlight w:val="red"/>
        </w:rPr>
      </w:pPr>
    </w:p>
    <w:p>
      <w:pPr>
        <w:pStyle w:val="14"/>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4"/>
        <w:spacing w:before="0" w:line="240" w:lineRule="atLeast"/>
        <w:jc w:val="both"/>
        <w:rPr>
          <w:rFonts w:hint="eastAsia" w:ascii="仿宋" w:hAnsi="仿宋" w:eastAsia="仿宋" w:cs="仿宋"/>
          <w:sz w:val="24"/>
        </w:rPr>
      </w:pPr>
    </w:p>
    <w:sectPr>
      <w:headerReference r:id="rId15" w:type="default"/>
      <w:footerReference r:id="rId16"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MTv&#10;caO0AQAASQMAAA4AAAAAAAAAAQAgAAAAIAEAAGRycy9lMm9Eb2MueG1sUEsFBgAAAAAGAAYAWQEA&#10;AEYFA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p>
  <w:p>
    <w:pPr>
      <w:pStyle w:val="2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6370" cy="139700"/>
              <wp:effectExtent l="0" t="0" r="0" b="0"/>
              <wp:wrapNone/>
              <wp:docPr id="13" name="Text Box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wps:txbx>
                    <wps:bodyPr lIns="0" tIns="0" rIns="0" bIns="0" upright="1"/>
                  </wps:wsp>
                </a:graphicData>
              </a:graphic>
            </wp:anchor>
          </w:drawing>
        </mc:Choice>
        <mc:Fallback>
          <w:pict>
            <v:shape id="Text Box 3" o:spid="_x0000_s1026" o:spt="202" type="#_x0000_t202" style="position:absolute;left:0pt;margin-top:0pt;height:11pt;width:13.1pt;mso-position-horizontal:center;mso-position-horizontal-relative:margin;z-index:25166540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CfSswbSAAAAAwEAAA8AAAAAAAAAAQAgAAAAIgAAAGRycy9kb3ducmV2Lnht&#10;bFBLAQIUABQAAAAIAIdO4kCCM8p/jQEAACMDAAAOAAAAAAAAAAEAIAAAACEBAABkcnMvZTJvRG9j&#10;LnhtbFBLBQYAAAAABgAGAFkBAAAgBQAAAAA=&#10;">
              <v:fill on="f" focussize="0,0"/>
              <v:stroke on="f"/>
              <v:imagedata o:title=""/>
              <o:lock v:ext="edit" aspectratio="f"/>
              <v:textbox inset="0mm,0mm,0mm,0mm">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2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87A84"/>
    <w:multiLevelType w:val="singleLevel"/>
    <w:tmpl w:val="93B87A84"/>
    <w:lvl w:ilvl="0" w:tentative="0">
      <w:start w:val="2"/>
      <w:numFmt w:val="decimal"/>
      <w:suff w:val="nothing"/>
      <w:lvlText w:val="%1、"/>
      <w:lvlJc w:val="left"/>
      <w:pPr>
        <w:ind w:left="-688"/>
      </w:pPr>
    </w:lvl>
  </w:abstractNum>
  <w:abstractNum w:abstractNumId="1">
    <w:nsid w:val="B9AFFFA1"/>
    <w:multiLevelType w:val="singleLevel"/>
    <w:tmpl w:val="B9AFFFA1"/>
    <w:lvl w:ilvl="0" w:tentative="0">
      <w:start w:val="2"/>
      <w:numFmt w:val="decimal"/>
      <w:suff w:val="space"/>
      <w:lvlText w:val="第%1章"/>
      <w:lvlJc w:val="left"/>
    </w:lvl>
  </w:abstractNum>
  <w:abstractNum w:abstractNumId="2">
    <w:nsid w:val="E086BF3E"/>
    <w:multiLevelType w:val="singleLevel"/>
    <w:tmpl w:val="E086BF3E"/>
    <w:lvl w:ilvl="0" w:tentative="0">
      <w:start w:val="6"/>
      <w:numFmt w:val="decimal"/>
      <w:suff w:val="nothing"/>
      <w:lvlText w:val="%1、"/>
      <w:lvlJc w:val="left"/>
    </w:lvl>
  </w:abstractNum>
  <w:abstractNum w:abstractNumId="3">
    <w:nsid w:val="E9C3715F"/>
    <w:multiLevelType w:val="singleLevel"/>
    <w:tmpl w:val="E9C3715F"/>
    <w:lvl w:ilvl="0" w:tentative="0">
      <w:start w:val="1"/>
      <w:numFmt w:val="decimal"/>
      <w:lvlText w:val="%1."/>
      <w:lvlJc w:val="left"/>
      <w:pPr>
        <w:tabs>
          <w:tab w:val="left" w:pos="312"/>
        </w:tabs>
      </w:pPr>
    </w:lvl>
  </w:abstractNum>
  <w:abstractNum w:abstractNumId="4">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53F81B44"/>
    <w:multiLevelType w:val="singleLevel"/>
    <w:tmpl w:val="53F81B44"/>
    <w:lvl w:ilvl="0" w:tentative="0">
      <w:start w:val="3"/>
      <w:numFmt w:val="chineseCounting"/>
      <w:suff w:val="nothing"/>
      <w:lvlText w:val="（%1）"/>
      <w:lvlJc w:val="left"/>
    </w:lvl>
  </w:abstractNum>
  <w:abstractNum w:abstractNumId="7">
    <w:nsid w:val="53F98D9B"/>
    <w:multiLevelType w:val="singleLevel"/>
    <w:tmpl w:val="53F98D9B"/>
    <w:lvl w:ilvl="0" w:tentative="0">
      <w:start w:val="2"/>
      <w:numFmt w:val="chineseCounting"/>
      <w:suff w:val="nothing"/>
      <w:lvlText w:val="（%1）"/>
      <w:lvlJc w:val="left"/>
    </w:lvl>
  </w:abstractNum>
  <w:abstractNum w:abstractNumId="8">
    <w:nsid w:val="53F98F85"/>
    <w:multiLevelType w:val="singleLevel"/>
    <w:tmpl w:val="53F98F85"/>
    <w:lvl w:ilvl="0" w:tentative="0">
      <w:start w:val="2"/>
      <w:numFmt w:val="chineseCounting"/>
      <w:suff w:val="nothing"/>
      <w:lvlText w:val="（%1）"/>
      <w:lvlJc w:val="left"/>
    </w:lvl>
  </w:abstractNum>
  <w:abstractNum w:abstractNumId="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6B02DAB2"/>
    <w:multiLevelType w:val="singleLevel"/>
    <w:tmpl w:val="6B02DAB2"/>
    <w:lvl w:ilvl="0" w:tentative="0">
      <w:start w:val="3"/>
      <w:numFmt w:val="chineseCounting"/>
      <w:pStyle w:val="47"/>
      <w:suff w:val="nothing"/>
      <w:lvlText w:val="%1、"/>
      <w:lvlJc w:val="left"/>
      <w:rPr>
        <w:rFonts w:hint="eastAsia"/>
      </w:rPr>
    </w:lvl>
  </w:abstractNum>
  <w:num w:numId="1">
    <w:abstractNumId w:val="10"/>
  </w:num>
  <w:num w:numId="2">
    <w:abstractNumId w:val="5"/>
  </w:num>
  <w:num w:numId="3">
    <w:abstractNumId w:val="9"/>
  </w:num>
  <w:num w:numId="4">
    <w:abstractNumId w:val="4"/>
  </w:num>
  <w:num w:numId="5">
    <w:abstractNumId w:val="1"/>
  </w:num>
  <w:num w:numId="6">
    <w:abstractNumId w:val="0"/>
  </w:num>
  <w:num w:numId="7">
    <w:abstractNumId w:val="2"/>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8F054B"/>
    <w:rsid w:val="024B26CE"/>
    <w:rsid w:val="02AB0B8E"/>
    <w:rsid w:val="03433819"/>
    <w:rsid w:val="03822C68"/>
    <w:rsid w:val="03CB50B5"/>
    <w:rsid w:val="04B22E9E"/>
    <w:rsid w:val="05DF46DF"/>
    <w:rsid w:val="06225B6E"/>
    <w:rsid w:val="06667684"/>
    <w:rsid w:val="07C1731B"/>
    <w:rsid w:val="09A37CB3"/>
    <w:rsid w:val="09BD6E8E"/>
    <w:rsid w:val="0A6D7B49"/>
    <w:rsid w:val="0A774A1C"/>
    <w:rsid w:val="0A9C1B06"/>
    <w:rsid w:val="0AA8018E"/>
    <w:rsid w:val="0B1873A5"/>
    <w:rsid w:val="0B450737"/>
    <w:rsid w:val="0BC03108"/>
    <w:rsid w:val="0C054382"/>
    <w:rsid w:val="0C9A104D"/>
    <w:rsid w:val="0CDC6CA4"/>
    <w:rsid w:val="0DB74BA1"/>
    <w:rsid w:val="0EB16EFF"/>
    <w:rsid w:val="0F0136F4"/>
    <w:rsid w:val="0F7A70CC"/>
    <w:rsid w:val="0FC50D8F"/>
    <w:rsid w:val="10451C7D"/>
    <w:rsid w:val="10A3646A"/>
    <w:rsid w:val="118848CF"/>
    <w:rsid w:val="13172843"/>
    <w:rsid w:val="132451DE"/>
    <w:rsid w:val="14377EC4"/>
    <w:rsid w:val="14675B7E"/>
    <w:rsid w:val="15EC5AC1"/>
    <w:rsid w:val="168A6CDE"/>
    <w:rsid w:val="168E2D78"/>
    <w:rsid w:val="16C04C56"/>
    <w:rsid w:val="16EB2471"/>
    <w:rsid w:val="18003993"/>
    <w:rsid w:val="18196A06"/>
    <w:rsid w:val="182D3D5F"/>
    <w:rsid w:val="18434A76"/>
    <w:rsid w:val="18A272E6"/>
    <w:rsid w:val="18BA600F"/>
    <w:rsid w:val="1956552E"/>
    <w:rsid w:val="197D7D40"/>
    <w:rsid w:val="1A3426E3"/>
    <w:rsid w:val="1AEC041D"/>
    <w:rsid w:val="1AEC419B"/>
    <w:rsid w:val="1AF6583C"/>
    <w:rsid w:val="1C085136"/>
    <w:rsid w:val="1D242FC2"/>
    <w:rsid w:val="1DC01C11"/>
    <w:rsid w:val="1E054C48"/>
    <w:rsid w:val="1E1B3173"/>
    <w:rsid w:val="1FCF77B6"/>
    <w:rsid w:val="20572949"/>
    <w:rsid w:val="21115699"/>
    <w:rsid w:val="2133411B"/>
    <w:rsid w:val="214B4697"/>
    <w:rsid w:val="223A00A8"/>
    <w:rsid w:val="23447637"/>
    <w:rsid w:val="23F5768F"/>
    <w:rsid w:val="246529A6"/>
    <w:rsid w:val="25997426"/>
    <w:rsid w:val="25BF62B8"/>
    <w:rsid w:val="25CF59CB"/>
    <w:rsid w:val="260C39F2"/>
    <w:rsid w:val="261A0491"/>
    <w:rsid w:val="26C66E06"/>
    <w:rsid w:val="26D259BC"/>
    <w:rsid w:val="270246D4"/>
    <w:rsid w:val="271257BE"/>
    <w:rsid w:val="27645745"/>
    <w:rsid w:val="28855A7D"/>
    <w:rsid w:val="28E40298"/>
    <w:rsid w:val="299C178C"/>
    <w:rsid w:val="29A21E55"/>
    <w:rsid w:val="2A0A2D83"/>
    <w:rsid w:val="2A472991"/>
    <w:rsid w:val="2AAB0BA0"/>
    <w:rsid w:val="2AFB4D94"/>
    <w:rsid w:val="2B755F4B"/>
    <w:rsid w:val="2BA67271"/>
    <w:rsid w:val="2BE0319D"/>
    <w:rsid w:val="2BE95450"/>
    <w:rsid w:val="2C6544D8"/>
    <w:rsid w:val="2CD52E61"/>
    <w:rsid w:val="2CF2533C"/>
    <w:rsid w:val="2D632394"/>
    <w:rsid w:val="2EB22755"/>
    <w:rsid w:val="2EB65D97"/>
    <w:rsid w:val="2EC64046"/>
    <w:rsid w:val="2F434FDE"/>
    <w:rsid w:val="30561E3F"/>
    <w:rsid w:val="306150E4"/>
    <w:rsid w:val="30735F9F"/>
    <w:rsid w:val="30A06F64"/>
    <w:rsid w:val="30CC197B"/>
    <w:rsid w:val="31B91D72"/>
    <w:rsid w:val="31E22C88"/>
    <w:rsid w:val="322C3A43"/>
    <w:rsid w:val="328205D3"/>
    <w:rsid w:val="32C9667D"/>
    <w:rsid w:val="33760457"/>
    <w:rsid w:val="33EB1895"/>
    <w:rsid w:val="350D4388"/>
    <w:rsid w:val="353A46B7"/>
    <w:rsid w:val="356F73C9"/>
    <w:rsid w:val="35B6520A"/>
    <w:rsid w:val="36035BCB"/>
    <w:rsid w:val="36524D5F"/>
    <w:rsid w:val="36593EB8"/>
    <w:rsid w:val="365E0BEC"/>
    <w:rsid w:val="3680580C"/>
    <w:rsid w:val="369B0D16"/>
    <w:rsid w:val="3799633A"/>
    <w:rsid w:val="37C07E80"/>
    <w:rsid w:val="38520B8E"/>
    <w:rsid w:val="39070852"/>
    <w:rsid w:val="3929383F"/>
    <w:rsid w:val="399B1DB8"/>
    <w:rsid w:val="3A12743D"/>
    <w:rsid w:val="3BC978A7"/>
    <w:rsid w:val="3C183F80"/>
    <w:rsid w:val="3C18466D"/>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4086C32"/>
    <w:rsid w:val="44EF1B82"/>
    <w:rsid w:val="45E77C31"/>
    <w:rsid w:val="45FD1FD2"/>
    <w:rsid w:val="461B2714"/>
    <w:rsid w:val="465855D4"/>
    <w:rsid w:val="469B2720"/>
    <w:rsid w:val="473D2DF8"/>
    <w:rsid w:val="491B7D4D"/>
    <w:rsid w:val="4A226C77"/>
    <w:rsid w:val="4AF01045"/>
    <w:rsid w:val="4B307AE9"/>
    <w:rsid w:val="4B717BA7"/>
    <w:rsid w:val="4B862CAD"/>
    <w:rsid w:val="4BDA5CFE"/>
    <w:rsid w:val="4CFA39CE"/>
    <w:rsid w:val="4D282CB4"/>
    <w:rsid w:val="4D3B1AB9"/>
    <w:rsid w:val="4DC1760D"/>
    <w:rsid w:val="4E6B322B"/>
    <w:rsid w:val="4EC56C2F"/>
    <w:rsid w:val="4EEE449A"/>
    <w:rsid w:val="4F231585"/>
    <w:rsid w:val="4F7E6A86"/>
    <w:rsid w:val="502D02BC"/>
    <w:rsid w:val="51423F3F"/>
    <w:rsid w:val="516914A3"/>
    <w:rsid w:val="5176537C"/>
    <w:rsid w:val="517944E3"/>
    <w:rsid w:val="51933661"/>
    <w:rsid w:val="52D32AFD"/>
    <w:rsid w:val="52E16C74"/>
    <w:rsid w:val="53240C30"/>
    <w:rsid w:val="535D0F42"/>
    <w:rsid w:val="55314071"/>
    <w:rsid w:val="556E1D75"/>
    <w:rsid w:val="572A1B2D"/>
    <w:rsid w:val="578E58A0"/>
    <w:rsid w:val="57B53639"/>
    <w:rsid w:val="58881554"/>
    <w:rsid w:val="59280DC4"/>
    <w:rsid w:val="59E11BC5"/>
    <w:rsid w:val="5AF56077"/>
    <w:rsid w:val="5B001520"/>
    <w:rsid w:val="5B9E0C30"/>
    <w:rsid w:val="5C223BC9"/>
    <w:rsid w:val="5C7C6396"/>
    <w:rsid w:val="5C9A03FD"/>
    <w:rsid w:val="5D8D419C"/>
    <w:rsid w:val="5DC155E2"/>
    <w:rsid w:val="5DD51960"/>
    <w:rsid w:val="5DED6DA2"/>
    <w:rsid w:val="5E3B443B"/>
    <w:rsid w:val="5EC42D73"/>
    <w:rsid w:val="5F197194"/>
    <w:rsid w:val="5F3D2878"/>
    <w:rsid w:val="5F55219B"/>
    <w:rsid w:val="5F944D2C"/>
    <w:rsid w:val="5FED68F6"/>
    <w:rsid w:val="5FF95CF0"/>
    <w:rsid w:val="60384F4A"/>
    <w:rsid w:val="60C648E5"/>
    <w:rsid w:val="60C66115"/>
    <w:rsid w:val="60CD4825"/>
    <w:rsid w:val="61800D2B"/>
    <w:rsid w:val="61BC2A15"/>
    <w:rsid w:val="61D86AC2"/>
    <w:rsid w:val="62337EF3"/>
    <w:rsid w:val="627E7A26"/>
    <w:rsid w:val="639F78D1"/>
    <w:rsid w:val="63B63F59"/>
    <w:rsid w:val="65117867"/>
    <w:rsid w:val="654639B4"/>
    <w:rsid w:val="66700908"/>
    <w:rsid w:val="668D28D9"/>
    <w:rsid w:val="66A40EC3"/>
    <w:rsid w:val="67375276"/>
    <w:rsid w:val="67A535E2"/>
    <w:rsid w:val="67A80762"/>
    <w:rsid w:val="688C19B0"/>
    <w:rsid w:val="6917469A"/>
    <w:rsid w:val="697E2311"/>
    <w:rsid w:val="69B33D58"/>
    <w:rsid w:val="69F50936"/>
    <w:rsid w:val="6A0368D7"/>
    <w:rsid w:val="6A472730"/>
    <w:rsid w:val="6AA628DF"/>
    <w:rsid w:val="6B94314E"/>
    <w:rsid w:val="6B974B12"/>
    <w:rsid w:val="6BAB7017"/>
    <w:rsid w:val="6BD4551A"/>
    <w:rsid w:val="6BDD4FB2"/>
    <w:rsid w:val="6BEF2BAB"/>
    <w:rsid w:val="6C283CF7"/>
    <w:rsid w:val="6CC0101E"/>
    <w:rsid w:val="6D8816C8"/>
    <w:rsid w:val="6E505373"/>
    <w:rsid w:val="6EA16987"/>
    <w:rsid w:val="6EA25DF9"/>
    <w:rsid w:val="6F8D1FC2"/>
    <w:rsid w:val="6F8D5C1A"/>
    <w:rsid w:val="6FD27139"/>
    <w:rsid w:val="7010208F"/>
    <w:rsid w:val="703B6854"/>
    <w:rsid w:val="704A44DC"/>
    <w:rsid w:val="71326C39"/>
    <w:rsid w:val="716147BD"/>
    <w:rsid w:val="72611DE4"/>
    <w:rsid w:val="726E545D"/>
    <w:rsid w:val="72B73FF5"/>
    <w:rsid w:val="74A165CC"/>
    <w:rsid w:val="75776E8F"/>
    <w:rsid w:val="761728C2"/>
    <w:rsid w:val="775D10FB"/>
    <w:rsid w:val="77695595"/>
    <w:rsid w:val="791D4BEA"/>
    <w:rsid w:val="7987697C"/>
    <w:rsid w:val="7A9F47F8"/>
    <w:rsid w:val="7B602F54"/>
    <w:rsid w:val="7C1C6325"/>
    <w:rsid w:val="7C520C2F"/>
    <w:rsid w:val="7CC067C4"/>
    <w:rsid w:val="7D622872"/>
    <w:rsid w:val="7DD74FBC"/>
    <w:rsid w:val="7E462371"/>
    <w:rsid w:val="7F083EE0"/>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uiPriority w:val="0"/>
  </w:style>
  <w:style w:type="table" w:default="1" w:styleId="40">
    <w:name w:val="Normal Table"/>
    <w:semiHidden/>
    <w:uiPriority w:val="0"/>
    <w:tblPr>
      <w:tblLayout w:type="fixed"/>
      <w:tblCellMar>
        <w:top w:w="0" w:type="dxa"/>
        <w:left w:w="108" w:type="dxa"/>
        <w:bottom w:w="0" w:type="dxa"/>
        <w:right w:w="108" w:type="dxa"/>
      </w:tblCellMar>
    </w:tblPr>
  </w:style>
  <w:style w:type="paragraph" w:styleId="2">
    <w:name w:val="List"/>
    <w:basedOn w:val="1"/>
    <w:qFormat/>
    <w:uiPriority w:val="0"/>
    <w:pPr>
      <w:ind w:left="420" w:hanging="420"/>
    </w:pPr>
    <w:rPr>
      <w:sz w:val="24"/>
      <w:szCs w:val="20"/>
    </w:rPr>
  </w:style>
  <w:style w:type="paragraph" w:styleId="7">
    <w:name w:val="annotation subject"/>
    <w:basedOn w:val="8"/>
    <w:next w:val="8"/>
    <w:link w:val="60"/>
    <w:qFormat/>
    <w:uiPriority w:val="0"/>
    <w:rPr>
      <w:b/>
      <w:bCs/>
    </w:rPr>
  </w:style>
  <w:style w:type="paragraph" w:styleId="8">
    <w:name w:val="annotation text"/>
    <w:basedOn w:val="1"/>
    <w:link w:val="57"/>
    <w:qFormat/>
    <w:uiPriority w:val="99"/>
    <w:pPr>
      <w:jc w:val="left"/>
    </w:pPr>
  </w:style>
  <w:style w:type="paragraph" w:styleId="9">
    <w:name w:val="toc 7"/>
    <w:basedOn w:val="1"/>
    <w:next w:val="1"/>
    <w:qFormat/>
    <w:uiPriority w:val="39"/>
    <w:pPr>
      <w:ind w:left="2520" w:leftChars="1200"/>
    </w:pPr>
  </w:style>
  <w:style w:type="paragraph" w:styleId="10">
    <w:name w:val="Body Text First Indent"/>
    <w:basedOn w:val="11"/>
    <w:next w:val="12"/>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11">
    <w:name w:val="Body Text"/>
    <w:basedOn w:val="1"/>
    <w:next w:val="1"/>
    <w:link w:val="63"/>
    <w:qFormat/>
    <w:uiPriority w:val="0"/>
    <w:pPr>
      <w:tabs>
        <w:tab w:val="left" w:pos="567"/>
      </w:tabs>
      <w:spacing w:before="120" w:line="22" w:lineRule="atLeast"/>
    </w:pPr>
    <w:rPr>
      <w:rFonts w:ascii="宋体" w:hAnsi="宋体"/>
      <w:sz w:val="24"/>
    </w:rPr>
  </w:style>
  <w:style w:type="paragraph" w:styleId="12">
    <w:name w:val="Body Text First Indent 2"/>
    <w:basedOn w:val="13"/>
    <w:next w:val="10"/>
    <w:unhideWhenUsed/>
    <w:qFormat/>
    <w:uiPriority w:val="99"/>
    <w:pPr>
      <w:ind w:firstLine="420" w:firstLineChars="200"/>
    </w:pPr>
  </w:style>
  <w:style w:type="paragraph" w:styleId="13">
    <w:name w:val="Body Text Indent"/>
    <w:basedOn w:val="1"/>
    <w:next w:val="6"/>
    <w:qFormat/>
    <w:uiPriority w:val="0"/>
    <w:pPr>
      <w:spacing w:line="360" w:lineRule="auto"/>
      <w:ind w:firstLine="570"/>
    </w:pPr>
    <w:rPr>
      <w:sz w:val="24"/>
    </w:rPr>
  </w:style>
  <w:style w:type="paragraph" w:styleId="1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61"/>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66"/>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9"/>
    <w:qFormat/>
    <w:uiPriority w:val="0"/>
    <w:rPr>
      <w:sz w:val="18"/>
      <w:szCs w:val="18"/>
    </w:rPr>
  </w:style>
  <w:style w:type="paragraph" w:styleId="22">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spacing w:after="120" w:line="480" w:lineRule="auto"/>
    </w:pPr>
    <w:rPr>
      <w:rFonts w:ascii="Arial" w:hAnsi="Arial"/>
      <w:sz w:val="24"/>
    </w:rPr>
  </w:style>
  <w:style w:type="paragraph" w:styleId="33">
    <w:name w:val="Normal (Web)"/>
    <w:basedOn w:val="1"/>
    <w:qFormat/>
    <w:uiPriority w:val="0"/>
    <w:pPr>
      <w:widowControl/>
      <w:jc w:val="left"/>
    </w:pPr>
    <w:rPr>
      <w:rFonts w:ascii="宋体" w:hAnsi="宋体" w:cs="宋体"/>
      <w:kern w:val="0"/>
      <w:sz w:val="24"/>
    </w:rPr>
  </w:style>
  <w:style w:type="paragraph" w:styleId="34">
    <w:name w:val="index 1"/>
    <w:basedOn w:val="1"/>
    <w:next w:val="1"/>
    <w:semiHidden/>
    <w:qFormat/>
    <w:uiPriority w:val="0"/>
    <w:rPr>
      <w:szCs w:val="20"/>
    </w:rPr>
  </w:style>
  <w:style w:type="character" w:styleId="36">
    <w:name w:val="Strong"/>
    <w:basedOn w:val="35"/>
    <w:qFormat/>
    <w:uiPriority w:val="0"/>
    <w:rPr>
      <w:rFonts w:ascii="Arial" w:hAnsi="Arial" w:eastAsia="Times New Roman" w:cs="Verdana"/>
      <w:b/>
      <w:bCs/>
      <w:kern w:val="0"/>
      <w:sz w:val="24"/>
      <w:lang w:eastAsia="en-U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table" w:styleId="41">
    <w:name w:val="Table Grid"/>
    <w:basedOn w:val="4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样式1"/>
    <w:basedOn w:val="1"/>
    <w:qFormat/>
    <w:uiPriority w:val="0"/>
    <w:pPr>
      <w:adjustRightInd w:val="0"/>
      <w:textAlignment w:val="baseline"/>
    </w:pPr>
    <w:rPr>
      <w:rFonts w:ascii="宋体" w:hAnsi="宋体"/>
      <w:kern w:val="0"/>
      <w:szCs w:val="21"/>
    </w:rPr>
  </w:style>
  <w:style w:type="paragraph" w:customStyle="1" w:styleId="43">
    <w:name w:val="列出段落1"/>
    <w:basedOn w:val="1"/>
    <w:qFormat/>
    <w:uiPriority w:val="99"/>
    <w:pPr>
      <w:ind w:firstLine="420" w:firstLineChars="200"/>
    </w:pPr>
  </w:style>
  <w:style w:type="paragraph" w:customStyle="1" w:styleId="44">
    <w:name w:val="正文1"/>
    <w:basedOn w:val="1"/>
    <w:qFormat/>
    <w:uiPriority w:val="0"/>
    <w:pPr>
      <w:ind w:firstLine="420" w:firstLineChars="200"/>
    </w:pPr>
    <w:rPr>
      <w:rFonts w:ascii="宋体" w:hAnsi="宋体"/>
    </w:rPr>
  </w:style>
  <w:style w:type="paragraph" w:styleId="45">
    <w:name w:val="List Paragraph"/>
    <w:basedOn w:val="1"/>
    <w:qFormat/>
    <w:uiPriority w:val="34"/>
    <w:pPr>
      <w:widowControl/>
      <w:ind w:firstLine="420" w:firstLineChars="200"/>
      <w:jc w:val="left"/>
    </w:pPr>
    <w:rPr>
      <w:kern w:val="0"/>
      <w:sz w:val="24"/>
    </w:rPr>
  </w:style>
  <w:style w:type="paragraph" w:customStyle="1" w:styleId="46">
    <w:name w:val="Char"/>
    <w:basedOn w:val="1"/>
    <w:uiPriority w:val="0"/>
    <w:pPr>
      <w:tabs>
        <w:tab w:val="left" w:pos="360"/>
      </w:tabs>
    </w:pPr>
    <w:rPr>
      <w:sz w:val="24"/>
    </w:rPr>
  </w:style>
  <w:style w:type="paragraph" w:customStyle="1" w:styleId="47">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link w:val="55"/>
    <w:qFormat/>
    <w:uiPriority w:val="0"/>
    <w:rPr>
      <w:rFonts w:ascii="宋体" w:hAnsi="Courier New"/>
      <w:kern w:val="0"/>
      <w:sz w:val="20"/>
      <w:szCs w:val="20"/>
    </w:rPr>
  </w:style>
  <w:style w:type="paragraph" w:customStyle="1" w:styleId="5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4"/>
    <w:qFormat/>
    <w:uiPriority w:val="0"/>
    <w:rPr>
      <w:rFonts w:ascii="Arial" w:hAnsi="Arial" w:eastAsia="黑体"/>
      <w:b/>
      <w:sz w:val="30"/>
    </w:rPr>
  </w:style>
  <w:style w:type="character" w:customStyle="1" w:styleId="54">
    <w:name w:val="页脚 Char"/>
    <w:link w:val="22"/>
    <w:qFormat/>
    <w:uiPriority w:val="99"/>
    <w:rPr>
      <w:rFonts w:ascii="宋体"/>
      <w:sz w:val="18"/>
    </w:rPr>
  </w:style>
  <w:style w:type="character" w:customStyle="1" w:styleId="55">
    <w:name w:val="纯文本 Char1"/>
    <w:link w:val="49"/>
    <w:qFormat/>
    <w:uiPriority w:val="0"/>
    <w:rPr>
      <w:rFonts w:ascii="宋体" w:hAnsi="Courier New"/>
    </w:rPr>
  </w:style>
  <w:style w:type="character" w:customStyle="1" w:styleId="56">
    <w:name w:val="NormalCharacter"/>
    <w:qFormat/>
    <w:uiPriority w:val="0"/>
  </w:style>
  <w:style w:type="character" w:customStyle="1" w:styleId="57">
    <w:name w:val="批注文字 Char"/>
    <w:link w:val="8"/>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21"/>
    <w:qFormat/>
    <w:uiPriority w:val="0"/>
    <w:rPr>
      <w:kern w:val="2"/>
      <w:sz w:val="18"/>
      <w:szCs w:val="18"/>
    </w:rPr>
  </w:style>
  <w:style w:type="character" w:customStyle="1" w:styleId="60">
    <w:name w:val="批注主题 Char"/>
    <w:link w:val="7"/>
    <w:qFormat/>
    <w:uiPriority w:val="0"/>
    <w:rPr>
      <w:b/>
      <w:bCs/>
      <w:kern w:val="2"/>
      <w:sz w:val="21"/>
      <w:szCs w:val="24"/>
    </w:rPr>
  </w:style>
  <w:style w:type="character" w:customStyle="1" w:styleId="61">
    <w:name w:val="纯文本 Char"/>
    <w:link w:val="17"/>
    <w:qFormat/>
    <w:uiPriority w:val="0"/>
    <w:rPr>
      <w:rFonts w:ascii="宋体" w:hAnsi="Courier New"/>
      <w:kern w:val="2"/>
      <w:sz w:val="21"/>
    </w:rPr>
  </w:style>
  <w:style w:type="character" w:customStyle="1" w:styleId="62">
    <w:name w:val="标题 3 Char"/>
    <w:link w:val="5"/>
    <w:qFormat/>
    <w:uiPriority w:val="0"/>
    <w:rPr>
      <w:rFonts w:ascii="宋体"/>
      <w:b/>
      <w:sz w:val="24"/>
      <w:u w:val="single"/>
    </w:rPr>
  </w:style>
  <w:style w:type="character" w:customStyle="1" w:styleId="63">
    <w:name w:val="正文文本 Char"/>
    <w:link w:val="11"/>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9"/>
    <w:qFormat/>
    <w:uiPriority w:val="0"/>
    <w:rPr>
      <w:rFonts w:ascii="仿宋_GB2312" w:hAnsi="宋体" w:eastAsia="仿宋_GB2312"/>
      <w:color w:val="000000"/>
      <w:kern w:val="2"/>
      <w:sz w:val="24"/>
      <w:szCs w:val="24"/>
    </w:rPr>
  </w:style>
  <w:style w:type="character" w:customStyle="1" w:styleId="67">
    <w:name w:val="页眉 Char"/>
    <w:link w:val="24"/>
    <w:qFormat/>
    <w:uiPriority w:val="0"/>
    <w:rPr>
      <w:kern w:val="2"/>
      <w:sz w:val="18"/>
      <w:szCs w:val="18"/>
    </w:rPr>
  </w:style>
  <w:style w:type="character" w:customStyle="1" w:styleId="68">
    <w:name w:val="标题 1 Char"/>
    <w:link w:val="3"/>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Layout w:type="fixed"/>
      <w:tblCellMar>
        <w:top w:w="0" w:type="dxa"/>
        <w:left w:w="0" w:type="dxa"/>
        <w:bottom w:w="0" w:type="dxa"/>
        <w:right w:w="0" w:type="dxa"/>
      </w:tblCellMar>
    </w:tblPr>
  </w:style>
  <w:style w:type="character" w:customStyle="1" w:styleId="71">
    <w:name w:val="fontstyle01"/>
    <w:basedOn w:val="35"/>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4"/>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6221</Words>
  <Characters>35460</Characters>
  <Lines>295</Lines>
  <Paragraphs>83</Paragraphs>
  <TotalTime>1</TotalTime>
  <ScaleCrop>false</ScaleCrop>
  <LinksUpToDate>false</LinksUpToDate>
  <CharactersWithSpaces>41598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2022-01-22T05:29:07Z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5EFB228C9E2A4080B272436066F5AA9F</vt:lpwstr>
  </property>
</Properties>
</file>