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 w:hAnsi="仿宋" w:eastAsia="仿宋" w:cs="仿宋"/>
          <w:b/>
          <w:sz w:val="52"/>
          <w:szCs w:val="52"/>
        </w:rPr>
      </w:pPr>
      <w:r>
        <w:rPr>
          <w:rFonts w:hint="eastAsia" w:ascii="仿宋" w:hAnsi="仿宋" w:eastAsia="仿宋" w:cs="仿宋"/>
          <w:bCs/>
          <w:sz w:val="28"/>
          <w:szCs w:val="28"/>
        </w:rPr>
        <w:t xml:space="preserve">                   </w:t>
      </w:r>
    </w:p>
    <w:p>
      <w:pPr>
        <w:widowControl/>
        <w:jc w:val="center"/>
        <w:outlineLvl w:val="0"/>
        <w:rPr>
          <w:rFonts w:hint="eastAsia" w:ascii="仿宋" w:hAnsi="仿宋" w:eastAsia="仿宋" w:cs="仿宋"/>
          <w:b/>
          <w:sz w:val="48"/>
          <w:szCs w:val="48"/>
        </w:rPr>
      </w:pPr>
      <w:bookmarkStart w:id="0" w:name="_Toc21793"/>
      <w:bookmarkStart w:id="1" w:name="_Toc6857"/>
      <w:bookmarkStart w:id="2" w:name="_Toc3653"/>
      <w:bookmarkStart w:id="3" w:name="_Toc22583"/>
      <w:r>
        <w:rPr>
          <w:rFonts w:hint="eastAsia" w:ascii="仿宋" w:hAnsi="仿宋" w:eastAsia="仿宋" w:cs="仿宋"/>
          <w:b/>
          <w:sz w:val="48"/>
          <w:szCs w:val="48"/>
        </w:rPr>
        <w:t>吐鲁番市2023年中央自然灾害防治</w:t>
      </w:r>
      <w:bookmarkEnd w:id="0"/>
      <w:bookmarkEnd w:id="1"/>
      <w:bookmarkEnd w:id="2"/>
      <w:bookmarkEnd w:id="3"/>
    </w:p>
    <w:p>
      <w:pPr>
        <w:widowControl/>
        <w:jc w:val="center"/>
        <w:outlineLvl w:val="0"/>
        <w:rPr>
          <w:rFonts w:ascii="仿宋" w:hAnsi="仿宋" w:eastAsia="仿宋" w:cs="仿宋"/>
        </w:rPr>
      </w:pPr>
      <w:bookmarkStart w:id="4" w:name="_Toc10920"/>
      <w:bookmarkStart w:id="5" w:name="_Toc22270"/>
      <w:bookmarkStart w:id="6" w:name="_Toc11905"/>
      <w:bookmarkStart w:id="7" w:name="_Toc20792"/>
      <w:r>
        <w:rPr>
          <w:rFonts w:hint="eastAsia" w:ascii="仿宋" w:hAnsi="仿宋" w:eastAsia="仿宋" w:cs="仿宋"/>
          <w:b/>
          <w:sz w:val="48"/>
          <w:szCs w:val="48"/>
        </w:rPr>
        <w:t>体系建设项目</w:t>
      </w:r>
      <w:bookmarkEnd w:id="4"/>
      <w:bookmarkEnd w:id="5"/>
      <w:bookmarkEnd w:id="6"/>
      <w:bookmarkEnd w:id="7"/>
    </w:p>
    <w:p>
      <w:pPr>
        <w:widowControl/>
        <w:jc w:val="left"/>
        <w:rPr>
          <w:rFonts w:ascii="仿宋" w:hAnsi="仿宋" w:eastAsia="仿宋" w:cs="仿宋"/>
        </w:rPr>
      </w:pPr>
    </w:p>
    <w:p>
      <w:pPr>
        <w:widowControl/>
        <w:jc w:val="left"/>
        <w:rPr>
          <w:rFonts w:ascii="仿宋" w:hAnsi="仿宋" w:eastAsia="仿宋" w:cs="仿宋"/>
        </w:rPr>
      </w:pPr>
    </w:p>
    <w:p>
      <w:pPr>
        <w:pStyle w:val="11"/>
      </w:pPr>
    </w:p>
    <w:p>
      <w:pPr>
        <w:pStyle w:val="4"/>
        <w:ind w:firstLine="480"/>
      </w:pPr>
    </w:p>
    <w:p>
      <w:pPr>
        <w:spacing w:line="240" w:lineRule="atLeast"/>
        <w:jc w:val="center"/>
        <w:rPr>
          <w:rFonts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采购文件</w:t>
      </w:r>
    </w:p>
    <w:p>
      <w:pPr>
        <w:spacing w:line="240" w:lineRule="atLeast"/>
        <w:ind w:left="1080" w:leftChars="257" w:hanging="540"/>
        <w:jc w:val="center"/>
        <w:rPr>
          <w:rFonts w:ascii="仿宋" w:hAnsi="仿宋" w:eastAsia="仿宋" w:cs="仿宋"/>
          <w:bCs/>
          <w:sz w:val="52"/>
          <w:szCs w:val="52"/>
        </w:rPr>
      </w:pPr>
    </w:p>
    <w:p>
      <w:pPr>
        <w:spacing w:line="240" w:lineRule="atLeast"/>
        <w:ind w:left="1080" w:leftChars="257" w:hanging="540"/>
        <w:jc w:val="center"/>
        <w:rPr>
          <w:rFonts w:ascii="仿宋" w:hAnsi="仿宋" w:eastAsia="仿宋" w:cs="仿宋"/>
          <w:bCs/>
          <w:sz w:val="32"/>
          <w:szCs w:val="32"/>
        </w:rPr>
      </w:pPr>
      <w:r>
        <w:rPr>
          <w:rFonts w:hint="eastAsia" w:ascii="仿宋" w:hAnsi="仿宋" w:eastAsia="仿宋" w:cs="仿宋"/>
          <w:bCs/>
          <w:sz w:val="32"/>
          <w:szCs w:val="32"/>
        </w:rPr>
        <w:t>（项目编号：GYZB-TLFDZFZ2023）</w:t>
      </w:r>
    </w:p>
    <w:p>
      <w:pPr>
        <w:spacing w:line="240" w:lineRule="atLeast"/>
        <w:ind w:left="1080" w:leftChars="257" w:hanging="540"/>
        <w:jc w:val="center"/>
        <w:rPr>
          <w:rFonts w:ascii="仿宋" w:hAnsi="仿宋" w:eastAsia="仿宋" w:cs="仿宋"/>
          <w:b/>
          <w:sz w:val="32"/>
          <w:szCs w:val="32"/>
        </w:rPr>
      </w:pPr>
    </w:p>
    <w:p>
      <w:pPr>
        <w:spacing w:line="240" w:lineRule="atLeast"/>
        <w:ind w:left="1079" w:leftChars="257" w:hanging="539"/>
        <w:jc w:val="center"/>
        <w:outlineLvl w:val="0"/>
        <w:rPr>
          <w:rFonts w:ascii="仿宋" w:hAnsi="仿宋" w:eastAsia="仿宋" w:cs="仿宋"/>
          <w:b/>
          <w:sz w:val="36"/>
          <w:szCs w:val="36"/>
        </w:rPr>
      </w:pPr>
      <w:bookmarkStart w:id="8" w:name="_Toc21682"/>
      <w:bookmarkStart w:id="9" w:name="_Toc1410"/>
      <w:bookmarkStart w:id="10" w:name="_Toc874"/>
      <w:bookmarkStart w:id="11" w:name="_Toc2092"/>
      <w:r>
        <w:rPr>
          <w:rFonts w:hint="eastAsia" w:ascii="仿宋" w:hAnsi="仿宋" w:eastAsia="仿宋" w:cs="仿宋"/>
          <w:b/>
          <w:sz w:val="36"/>
          <w:szCs w:val="36"/>
        </w:rPr>
        <w:t>第一册</w:t>
      </w:r>
      <w:bookmarkEnd w:id="8"/>
      <w:bookmarkEnd w:id="9"/>
      <w:bookmarkEnd w:id="10"/>
      <w:bookmarkEnd w:id="11"/>
    </w:p>
    <w:p>
      <w:pPr>
        <w:spacing w:line="240" w:lineRule="atLeast"/>
        <w:ind w:left="1080" w:leftChars="257" w:hanging="540"/>
        <w:jc w:val="center"/>
        <w:rPr>
          <w:rFonts w:ascii="仿宋" w:hAnsi="仿宋" w:eastAsia="仿宋" w:cs="仿宋"/>
          <w:b/>
          <w:sz w:val="52"/>
        </w:rPr>
      </w:pPr>
    </w:p>
    <w:p>
      <w:pPr>
        <w:pStyle w:val="43"/>
        <w:rPr>
          <w:rFonts w:ascii="仿宋" w:hAnsi="仿宋" w:eastAsia="仿宋" w:cs="仿宋"/>
          <w:b/>
          <w:sz w:val="52"/>
        </w:rPr>
      </w:pPr>
    </w:p>
    <w:p/>
    <w:p>
      <w:pPr>
        <w:spacing w:line="360" w:lineRule="auto"/>
        <w:ind w:firstLine="837" w:firstLineChars="299"/>
        <w:jc w:val="left"/>
        <w:rPr>
          <w:rFonts w:ascii="仿宋" w:hAnsi="仿宋" w:eastAsia="仿宋" w:cs="仿宋"/>
          <w:sz w:val="28"/>
          <w:szCs w:val="28"/>
          <w:u w:val="single"/>
        </w:rPr>
      </w:pPr>
      <w:r>
        <w:rPr>
          <w:rFonts w:hint="eastAsia" w:ascii="仿宋" w:hAnsi="仿宋" w:eastAsia="仿宋" w:cs="仿宋"/>
          <w:sz w:val="28"/>
          <w:szCs w:val="28"/>
        </w:rPr>
        <w:t>采 购 人：</w:t>
      </w:r>
      <w:r>
        <w:rPr>
          <w:rFonts w:hint="eastAsia" w:ascii="仿宋" w:hAnsi="仿宋" w:eastAsia="仿宋" w:cs="仿宋"/>
          <w:sz w:val="28"/>
          <w:szCs w:val="28"/>
          <w:u w:val="single"/>
        </w:rPr>
        <w:t>吐鲁番市自然资源局</w:t>
      </w:r>
    </w:p>
    <w:p>
      <w:pPr>
        <w:spacing w:line="600" w:lineRule="exact"/>
        <w:ind w:firstLine="837" w:firstLineChars="299"/>
        <w:rPr>
          <w:rFonts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新疆国源土地矿产资源交易中心（有限公司）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ascii="仿宋" w:hAnsi="仿宋" w:eastAsia="仿宋" w:cs="仿宋"/>
          <w:b/>
          <w:sz w:val="28"/>
          <w:szCs w:val="28"/>
        </w:rPr>
      </w:pPr>
      <w:r>
        <w:rPr>
          <w:rFonts w:hint="eastAsia" w:ascii="仿宋" w:hAnsi="仿宋" w:eastAsia="仿宋" w:cs="仿宋"/>
          <w:sz w:val="28"/>
          <w:szCs w:val="28"/>
        </w:rPr>
        <w:t>发出日期：</w:t>
      </w:r>
      <w:r>
        <w:rPr>
          <w:rFonts w:hint="eastAsia" w:ascii="仿宋" w:hAnsi="仿宋" w:eastAsia="仿宋" w:cs="仿宋"/>
          <w:sz w:val="28"/>
          <w:szCs w:val="28"/>
          <w:u w:val="single"/>
        </w:rPr>
        <w:t>2023年2月</w:t>
      </w:r>
    </w:p>
    <w:p>
      <w:pPr>
        <w:spacing w:line="240" w:lineRule="atLeast"/>
        <w:ind w:left="1080" w:leftChars="257" w:hanging="540"/>
        <w:rPr>
          <w:rFonts w:ascii="仿宋" w:hAnsi="仿宋" w:eastAsia="仿宋" w:cs="仿宋"/>
          <w:b/>
          <w:szCs w:val="21"/>
        </w:rPr>
      </w:pPr>
    </w:p>
    <w:p/>
    <w:p>
      <w:pPr>
        <w:pStyle w:val="7"/>
        <w:tabs>
          <w:tab w:val="left" w:pos="0"/>
        </w:tabs>
        <w:spacing w:before="0" w:after="0" w:line="240" w:lineRule="atLeast"/>
        <w:outlineLvl w:val="9"/>
        <w:rPr>
          <w:rFonts w:hint="eastAsia" w:ascii="仿宋" w:hAnsi="仿宋" w:eastAsia="仿宋" w:cs="仿宋"/>
          <w:b/>
          <w:sz w:val="52"/>
        </w:rPr>
      </w:pPr>
      <w:r>
        <w:rPr>
          <w:rFonts w:hint="eastAsia" w:ascii="仿宋" w:hAnsi="仿宋" w:eastAsia="仿宋" w:cs="仿宋"/>
          <w:b/>
          <w:sz w:val="52"/>
        </w:rPr>
        <w:br w:type="page"/>
      </w:r>
    </w:p>
    <w:sdt>
      <w:sdtPr>
        <w:rPr>
          <w:rFonts w:ascii="宋体" w:hAnsi="宋体" w:eastAsia="宋体" w:cs="Times New Roman"/>
          <w:b w:val="0"/>
          <w:bCs w:val="0"/>
          <w:kern w:val="2"/>
          <w:sz w:val="36"/>
          <w:szCs w:val="44"/>
          <w:lang w:val="en-US" w:eastAsia="zh-CN" w:bidi="ar-SA"/>
        </w:rPr>
        <w:id w:val="147480987"/>
        <w15:color w:val="DBDBDB"/>
        <w:docPartObj>
          <w:docPartGallery w:val="Table of Contents"/>
          <w:docPartUnique/>
        </w:docPartObj>
      </w:sdtPr>
      <w:sdtEndPr>
        <w:rPr>
          <w:rFonts w:hint="eastAsia" w:ascii="仿宋" w:hAnsi="仿宋" w:eastAsia="仿宋" w:cs="仿宋"/>
          <w:b/>
          <w:bCs w:val="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b w:val="0"/>
              <w:bCs w:val="0"/>
              <w:sz w:val="36"/>
              <w:szCs w:val="44"/>
            </w:rPr>
          </w:pPr>
          <w:r>
            <w:rPr>
              <w:rFonts w:ascii="宋体" w:hAnsi="宋体" w:eastAsia="宋体"/>
              <w:b w:val="0"/>
              <w:bCs w:val="0"/>
              <w:sz w:val="36"/>
              <w:szCs w:val="44"/>
            </w:rPr>
            <w:t>目录</w:t>
          </w:r>
        </w:p>
        <w:p>
          <w:pPr>
            <w:pStyle w:val="24"/>
            <w:tabs>
              <w:tab w:val="right" w:leader="dot" w:pos="8312"/>
            </w:tabs>
            <w:rPr>
              <w:rFonts w:hint="eastAsia" w:ascii="仿宋" w:hAnsi="仿宋" w:eastAsia="仿宋" w:cs="仿宋"/>
              <w:sz w:val="24"/>
              <w:szCs w:val="24"/>
            </w:rPr>
          </w:pPr>
          <w:r>
            <w:rPr>
              <w:rFonts w:hint="eastAsia" w:ascii="仿宋" w:hAnsi="仿宋" w:eastAsia="仿宋" w:cs="仿宋"/>
              <w:b w:val="0"/>
              <w:bCs w:val="0"/>
              <w:kern w:val="2"/>
              <w:sz w:val="24"/>
              <w:szCs w:val="24"/>
              <w:lang w:val="en-US" w:eastAsia="zh-CN" w:bidi="ar-SA"/>
            </w:rPr>
            <w:fldChar w:fldCharType="begin"/>
          </w:r>
          <w:r>
            <w:rPr>
              <w:rFonts w:hint="eastAsia" w:ascii="仿宋" w:hAnsi="仿宋" w:eastAsia="仿宋" w:cs="仿宋"/>
              <w:b w:val="0"/>
              <w:bCs w:val="0"/>
              <w:kern w:val="2"/>
              <w:sz w:val="24"/>
              <w:szCs w:val="24"/>
              <w:lang w:val="en-US" w:eastAsia="zh-CN" w:bidi="ar-SA"/>
            </w:rPr>
            <w:instrText xml:space="preserve">TOC \o "1-2" \h \u </w:instrText>
          </w:r>
          <w:r>
            <w:rPr>
              <w:rFonts w:hint="eastAsia" w:ascii="仿宋" w:hAnsi="仿宋" w:eastAsia="仿宋" w:cs="仿宋"/>
              <w:b w:val="0"/>
              <w:bCs w:val="0"/>
              <w:kern w:val="2"/>
              <w:sz w:val="24"/>
              <w:szCs w:val="24"/>
              <w:lang w:val="en-US" w:eastAsia="zh-CN" w:bidi="ar-SA"/>
            </w:rPr>
            <w:fldChar w:fldCharType="separate"/>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_Toc15894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kern w:val="44"/>
              <w:sz w:val="24"/>
              <w:szCs w:val="24"/>
            </w:rPr>
            <w:t>第</w:t>
          </w:r>
          <w:r>
            <w:rPr>
              <w:rFonts w:hint="eastAsia" w:ascii="仿宋" w:hAnsi="仿宋" w:eastAsia="仿宋" w:cs="仿宋"/>
              <w:kern w:val="44"/>
              <w:sz w:val="24"/>
              <w:szCs w:val="24"/>
              <w:lang w:val="en-US" w:eastAsia="zh-CN"/>
            </w:rPr>
            <w:t>1</w:t>
          </w:r>
          <w:r>
            <w:rPr>
              <w:rFonts w:hint="eastAsia" w:ascii="仿宋" w:hAnsi="仿宋" w:eastAsia="仿宋" w:cs="仿宋"/>
              <w:kern w:val="44"/>
              <w:sz w:val="24"/>
              <w:szCs w:val="24"/>
            </w:rPr>
            <w:t>章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_Toc15894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_Toc1019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2</w:t>
          </w:r>
          <w:r>
            <w:rPr>
              <w:rFonts w:hint="eastAsia" w:ascii="仿宋" w:hAnsi="仿宋" w:eastAsia="仿宋" w:cs="仿宋"/>
              <w:sz w:val="24"/>
              <w:szCs w:val="24"/>
            </w:rPr>
            <w:t>章  供应商须知资料表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_Toc31798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3</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_Toc31798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_Toc32076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_Toc32076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_Toc30015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二   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_Toc30015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_Toc17097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_Toc17097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_Toc14057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四   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_Toc14057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_Toc14987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五   开标及评标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_Toc14987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_Toc14559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_Toc4367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kern w:val="44"/>
              <w:sz w:val="24"/>
              <w:szCs w:val="24"/>
              <w:lang w:val="en-US" w:eastAsia="zh-CN"/>
            </w:rPr>
            <w:t xml:space="preserve">第4章 </w:t>
          </w:r>
          <w:r>
            <w:rPr>
              <w:rFonts w:hint="eastAsia" w:ascii="仿宋" w:hAnsi="仿宋" w:eastAsia="仿宋" w:cs="仿宋"/>
              <w:kern w:val="44"/>
              <w:sz w:val="24"/>
              <w:szCs w:val="24"/>
            </w:rPr>
            <w:t>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_Toc4367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_Toc17433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第一部分 各部分封面格式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_Toc17433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_Toc18552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第二部分 报价单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_Toc18552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_Toc7889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第三部分  商务资信投标文件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_Toc7889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_Toc31802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第四部分  技术投标方案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_Toc31802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_Toc17326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第5章   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_Toc17326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_Toc19421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标项一：新疆托克逊县地质灾害风险调查评价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_Toc19421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_Toc30124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标项二：新疆鄯善县地质灾害风险调查评价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_Toc30124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_Toc14154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标项三：新疆吐鲁番市高昌区七泉湖煤窑沟左岸居民点崩塌灾害防治工程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_Toc14154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_Toc28883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标项四：吐鲁番市2023年中央自然灾害防治体系建设项目监理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_Toc28883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_Toc32557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第6章</w:t>
          </w:r>
          <w:r>
            <w:rPr>
              <w:rFonts w:hint="eastAsia" w:ascii="仿宋" w:hAnsi="仿宋" w:eastAsia="仿宋" w:cs="仿宋"/>
              <w:sz w:val="24"/>
              <w:szCs w:val="24"/>
            </w:rPr>
            <w:t xml:space="preserve"> </w:t>
          </w:r>
          <w:r>
            <w:rPr>
              <w:rFonts w:hint="eastAsia" w:ascii="仿宋" w:hAnsi="仿宋" w:eastAsia="仿宋" w:cs="仿宋"/>
              <w:bCs/>
              <w:sz w:val="24"/>
              <w:szCs w:val="24"/>
            </w:rPr>
            <w:t xml:space="preserve">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_Toc32557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_Toc20937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iCs/>
              <w:sz w:val="24"/>
              <w:szCs w:val="24"/>
            </w:rPr>
            <w:t>（内容包括投标无效界定和详细评标标准）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_Toc20937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_Toc12174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kern w:val="0"/>
              <w:sz w:val="24"/>
              <w:szCs w:val="24"/>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_Toc12174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_Toc28769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2.评标方法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_Toc28769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_Toc20147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3.评标程序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_Toc20147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_Toc975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_Toc975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_Toc7412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5.定标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_Toc7412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_Toc28171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6.详细的评标标准：（具体内容详见综合评分表）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_Toc28171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ind w:firstLine="480" w:firstLineChars="200"/>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_Toc4964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kern w:val="0"/>
              <w:sz w:val="24"/>
              <w:szCs w:val="24"/>
            </w:rPr>
            <w:t>综合评分表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_Toc4964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_Toc20204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详细评审表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_Toc20204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_Toc31049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标项一、二评分标准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_Toc31049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_Toc1094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标项三评分标准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_Toc1094 \h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_Toc8767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标项四评分标准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_Toc8767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24"/>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_Toc666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sz w:val="24"/>
              <w:szCs w:val="24"/>
            </w:rPr>
            <w:t>第7章  政府采购合同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_Toc666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_Toc29640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第一部分 合同书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_Toc29640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pStyle w:val="30"/>
            <w:tabs>
              <w:tab w:val="right" w:leader="dot" w:pos="8312"/>
            </w:tabs>
            <w:rPr>
              <w:rFonts w:hint="eastAsia" w:ascii="仿宋" w:hAnsi="仿宋" w:eastAsia="仿宋" w:cs="仿宋"/>
              <w:sz w:val="24"/>
              <w:szCs w:val="24"/>
            </w:rPr>
          </w:pPr>
          <w:r>
            <w:rPr>
              <w:rFonts w:hint="eastAsia" w:ascii="仿宋" w:hAnsi="仿宋" w:eastAsia="仿宋" w:cs="仿宋"/>
              <w:bCs w:val="0"/>
              <w:kern w:val="2"/>
              <w:sz w:val="24"/>
              <w:szCs w:val="24"/>
              <w:lang w:val="en-US" w:eastAsia="zh-CN" w:bidi="ar-SA"/>
            </w:rPr>
            <w:fldChar w:fldCharType="begin"/>
          </w:r>
          <w:r>
            <w:rPr>
              <w:rFonts w:hint="eastAsia" w:ascii="仿宋" w:hAnsi="仿宋" w:eastAsia="仿宋" w:cs="仿宋"/>
              <w:bCs w:val="0"/>
              <w:kern w:val="2"/>
              <w:sz w:val="24"/>
              <w:szCs w:val="24"/>
              <w:lang w:val="en-US" w:eastAsia="zh-CN" w:bidi="ar-SA"/>
            </w:rPr>
            <w:instrText xml:space="preserve"> HYPERLINK \l _Toc5620 </w:instrText>
          </w:r>
          <w:r>
            <w:rPr>
              <w:rFonts w:hint="eastAsia" w:ascii="仿宋" w:hAnsi="仿宋" w:eastAsia="仿宋" w:cs="仿宋"/>
              <w:bCs w:val="0"/>
              <w:kern w:val="2"/>
              <w:sz w:val="24"/>
              <w:szCs w:val="24"/>
              <w:lang w:val="en-US" w:eastAsia="zh-CN" w:bidi="ar-SA"/>
            </w:rPr>
            <w:fldChar w:fldCharType="separate"/>
          </w:r>
          <w:r>
            <w:rPr>
              <w:rFonts w:hint="eastAsia" w:ascii="仿宋" w:hAnsi="仿宋" w:eastAsia="仿宋" w:cs="仿宋"/>
              <w:bCs/>
              <w:sz w:val="24"/>
              <w:szCs w:val="24"/>
            </w:rPr>
            <w:t>第二部分 合同一般条款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_Toc5620 \h </w:instrText>
          </w:r>
          <w:r>
            <w:rPr>
              <w:rFonts w:hint="eastAsia" w:ascii="仿宋" w:hAnsi="仿宋" w:eastAsia="仿宋" w:cs="仿宋"/>
              <w:sz w:val="24"/>
              <w:szCs w:val="24"/>
            </w:rPr>
            <w:fldChar w:fldCharType="separate"/>
          </w:r>
          <w:r>
            <w:rPr>
              <w:rFonts w:hint="eastAsia" w:ascii="仿宋" w:hAnsi="仿宋" w:eastAsia="仿宋" w:cs="仿宋"/>
              <w:sz w:val="24"/>
              <w:szCs w:val="24"/>
            </w:rPr>
            <w:t>74</w:t>
          </w:r>
          <w:r>
            <w:rPr>
              <w:rFonts w:hint="eastAsia" w:ascii="仿宋" w:hAnsi="仿宋" w:eastAsia="仿宋" w:cs="仿宋"/>
              <w:sz w:val="24"/>
              <w:szCs w:val="24"/>
            </w:rPr>
            <w:fldChar w:fldCharType="end"/>
          </w:r>
          <w:r>
            <w:rPr>
              <w:rFonts w:hint="eastAsia" w:ascii="仿宋" w:hAnsi="仿宋" w:eastAsia="仿宋" w:cs="仿宋"/>
              <w:bCs w:val="0"/>
              <w:kern w:val="2"/>
              <w:sz w:val="24"/>
              <w:szCs w:val="24"/>
              <w:lang w:val="en-US" w:eastAsia="zh-CN" w:bidi="ar-SA"/>
            </w:rPr>
            <w:fldChar w:fldCharType="end"/>
          </w:r>
        </w:p>
        <w:p>
          <w:pPr>
            <w:rPr>
              <w:rFonts w:hint="eastAsia" w:ascii="仿宋" w:hAnsi="仿宋" w:eastAsia="仿宋" w:cs="仿宋"/>
              <w:sz w:val="24"/>
              <w:szCs w:val="24"/>
              <w:lang w:val="en-US" w:eastAsia="zh-CN"/>
            </w:rPr>
            <w:sectPr>
              <w:headerReference r:id="rId3" w:type="default"/>
              <w:pgSz w:w="11906" w:h="16838"/>
              <w:pgMar w:top="1440" w:right="1797" w:bottom="1440" w:left="1797" w:header="851" w:footer="992" w:gutter="0"/>
              <w:cols w:space="720" w:num="1"/>
              <w:docGrid w:linePitch="312" w:charSpace="0"/>
            </w:sectPr>
          </w:pPr>
          <w:r>
            <w:rPr>
              <w:rFonts w:hint="eastAsia" w:ascii="仿宋" w:hAnsi="仿宋" w:eastAsia="仿宋" w:cs="仿宋"/>
              <w:bCs w:val="0"/>
              <w:kern w:val="2"/>
              <w:sz w:val="24"/>
              <w:szCs w:val="24"/>
              <w:lang w:val="en-US" w:eastAsia="zh-CN" w:bidi="ar-SA"/>
            </w:rPr>
            <w:fldChar w:fldCharType="end"/>
          </w:r>
          <w:bookmarkStart w:id="864" w:name="_GoBack"/>
          <w:bookmarkEnd w:id="864"/>
        </w:p>
      </w:sdtContent>
    </w:sdt>
    <w:p>
      <w:pPr>
        <w:spacing w:line="600" w:lineRule="exact"/>
        <w:jc w:val="center"/>
        <w:outlineLvl w:val="0"/>
        <w:rPr>
          <w:rFonts w:ascii="仿宋" w:hAnsi="仿宋" w:eastAsia="仿宋" w:cs="仿宋"/>
        </w:rPr>
      </w:pPr>
      <w:bookmarkStart w:id="12" w:name="_Toc218935350"/>
      <w:bookmarkStart w:id="13" w:name="_Toc9913"/>
      <w:bookmarkStart w:id="14" w:name="_Toc507399902"/>
      <w:bookmarkStart w:id="15" w:name="_Toc518923124"/>
      <w:bookmarkStart w:id="16" w:name="_Toc216582822"/>
      <w:bookmarkStart w:id="17" w:name="_Toc219175634"/>
      <w:bookmarkStart w:id="18" w:name="_Toc5069"/>
      <w:bookmarkStart w:id="19" w:name="_Toc3913"/>
      <w:bookmarkStart w:id="20" w:name="_Toc15894"/>
      <w:bookmarkStart w:id="21" w:name="_Toc18066"/>
      <w:bookmarkStart w:id="22" w:name="_Toc518923059"/>
      <w:bookmarkStart w:id="23" w:name="_Toc11276"/>
      <w:r>
        <w:rPr>
          <w:rFonts w:hint="eastAsia" w:ascii="仿宋" w:hAnsi="仿宋" w:eastAsia="仿宋" w:cs="仿宋"/>
          <w:b/>
          <w:kern w:val="44"/>
          <w:sz w:val="32"/>
          <w:szCs w:val="20"/>
        </w:rPr>
        <w:t>第</w:t>
      </w:r>
      <w:r>
        <w:rPr>
          <w:rFonts w:hint="eastAsia" w:ascii="仿宋" w:hAnsi="仿宋" w:eastAsia="仿宋" w:cs="仿宋"/>
          <w:b/>
          <w:kern w:val="44"/>
          <w:sz w:val="32"/>
          <w:szCs w:val="20"/>
          <w:lang w:val="en-US" w:eastAsia="zh-CN"/>
        </w:rPr>
        <w:t>1</w:t>
      </w:r>
      <w:r>
        <w:rPr>
          <w:rFonts w:hint="eastAsia" w:ascii="仿宋" w:hAnsi="仿宋" w:eastAsia="仿宋" w:cs="仿宋"/>
          <w:b/>
          <w:kern w:val="44"/>
          <w:sz w:val="32"/>
          <w:szCs w:val="20"/>
        </w:rPr>
        <w:t xml:space="preserve">章  </w:t>
      </w:r>
      <w:bookmarkEnd w:id="12"/>
      <w:bookmarkEnd w:id="13"/>
      <w:bookmarkEnd w:id="14"/>
      <w:bookmarkEnd w:id="15"/>
      <w:bookmarkEnd w:id="16"/>
      <w:bookmarkEnd w:id="17"/>
      <w:r>
        <w:rPr>
          <w:rFonts w:hint="eastAsia" w:ascii="仿宋" w:hAnsi="仿宋" w:eastAsia="仿宋" w:cs="仿宋"/>
          <w:b/>
          <w:kern w:val="44"/>
          <w:sz w:val="32"/>
          <w:szCs w:val="20"/>
        </w:rPr>
        <w:t>招标公告</w:t>
      </w:r>
      <w:bookmarkEnd w:id="18"/>
      <w:bookmarkEnd w:id="19"/>
      <w:bookmarkEnd w:id="20"/>
    </w:p>
    <w:p>
      <w:pPr>
        <w:rPr>
          <w:rFonts w:ascii="仿宋" w:hAnsi="仿宋" w:eastAsia="仿宋" w:cs="仿宋"/>
          <w:color w:val="auto"/>
        </w:rPr>
      </w:pPr>
    </w:p>
    <w:p>
      <w:pPr>
        <w:pStyle w:val="11"/>
        <w:ind w:firstLine="480" w:firstLineChars="200"/>
        <w:rPr>
          <w:rFonts w:ascii="仿宋" w:hAnsi="仿宋" w:eastAsia="仿宋" w:cs="仿宋"/>
          <w:color w:val="auto"/>
        </w:rPr>
      </w:pPr>
      <w:bookmarkStart w:id="24" w:name="_Toc512937850"/>
      <w:r>
        <w:rPr>
          <w:rFonts w:hint="eastAsia" w:ascii="仿宋" w:hAnsi="仿宋" w:eastAsia="仿宋" w:cs="仿宋"/>
          <w:color w:val="auto"/>
        </w:rPr>
        <w:t>项目概况</w:t>
      </w:r>
    </w:p>
    <w:tbl>
      <w:tblPr>
        <w:tblStyle w:val="37"/>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80" w:type="dxa"/>
          </w:tcPr>
          <w:p>
            <w:pPr>
              <w:pStyle w:val="11"/>
              <w:ind w:firstLine="480" w:firstLineChars="200"/>
              <w:rPr>
                <w:rFonts w:ascii="仿宋" w:hAnsi="仿宋" w:eastAsia="仿宋" w:cs="仿宋"/>
                <w:color w:val="auto"/>
              </w:rPr>
            </w:pPr>
            <w:r>
              <w:rPr>
                <w:rFonts w:hint="eastAsia" w:ascii="仿宋" w:hAnsi="仿宋" w:eastAsia="仿宋"/>
                <w:color w:val="auto"/>
                <w:kern w:val="2"/>
                <w:szCs w:val="24"/>
              </w:rPr>
              <w:t>吐鲁番市2023年中央自然灾害防治体系建设项目招标项目的潜在供应商应在新疆政府采购网自行下载获取采购文件，并于2023年</w:t>
            </w:r>
            <w:r>
              <w:rPr>
                <w:rFonts w:hint="eastAsia" w:ascii="仿宋" w:hAnsi="仿宋" w:eastAsia="仿宋"/>
                <w:color w:val="auto"/>
                <w:kern w:val="2"/>
                <w:szCs w:val="24"/>
                <w:lang w:val="en-US" w:eastAsia="zh-CN"/>
              </w:rPr>
              <w:t>3</w:t>
            </w:r>
            <w:r>
              <w:rPr>
                <w:rFonts w:hint="eastAsia" w:ascii="仿宋" w:hAnsi="仿宋" w:eastAsia="仿宋"/>
                <w:color w:val="auto"/>
                <w:kern w:val="2"/>
                <w:szCs w:val="24"/>
              </w:rPr>
              <w:t>月</w:t>
            </w:r>
            <w:r>
              <w:rPr>
                <w:rFonts w:hint="eastAsia" w:ascii="仿宋" w:hAnsi="仿宋" w:eastAsia="仿宋"/>
                <w:color w:val="auto"/>
                <w:kern w:val="2"/>
                <w:szCs w:val="24"/>
                <w:lang w:val="en-US" w:eastAsia="zh-CN"/>
              </w:rPr>
              <w:t>15</w:t>
            </w:r>
            <w:r>
              <w:rPr>
                <w:rFonts w:hint="eastAsia" w:ascii="仿宋" w:hAnsi="仿宋" w:eastAsia="仿宋"/>
                <w:color w:val="auto"/>
                <w:kern w:val="2"/>
                <w:szCs w:val="24"/>
              </w:rPr>
              <w:t>日11:00（北京时间）前递交投标文件。</w:t>
            </w:r>
          </w:p>
        </w:tc>
      </w:tr>
    </w:tbl>
    <w:p>
      <w:pPr>
        <w:spacing w:line="360" w:lineRule="auto"/>
        <w:ind w:firstLine="482" w:firstLineChars="200"/>
        <w:outlineLvl w:val="1"/>
        <w:rPr>
          <w:rFonts w:ascii="仿宋" w:hAnsi="仿宋" w:eastAsia="仿宋"/>
          <w:b/>
          <w:bCs/>
          <w:color w:val="auto"/>
          <w:sz w:val="24"/>
        </w:rPr>
      </w:pPr>
      <w:bookmarkStart w:id="25" w:name="_Toc19952"/>
      <w:bookmarkStart w:id="26" w:name="_Toc15195"/>
      <w:bookmarkStart w:id="27" w:name="_Toc2093"/>
      <w:bookmarkStart w:id="28" w:name="_Toc2547"/>
      <w:r>
        <w:rPr>
          <w:rFonts w:hint="eastAsia" w:ascii="仿宋" w:hAnsi="仿宋" w:eastAsia="仿宋"/>
          <w:b/>
          <w:bCs/>
          <w:color w:val="auto"/>
          <w:sz w:val="24"/>
        </w:rPr>
        <w:t>一、项目基本情况</w:t>
      </w:r>
      <w:bookmarkEnd w:id="25"/>
      <w:bookmarkEnd w:id="26"/>
      <w:bookmarkEnd w:id="27"/>
      <w:bookmarkEnd w:id="28"/>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项目编号：GYZB-TLFDZFZ2023</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项目名称：吐鲁番市2023年中央自然灾害防治体系建设项目</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采购方式：公开招标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预算金额（元）：5800000.00</w:t>
      </w:r>
    </w:p>
    <w:p>
      <w:pPr>
        <w:spacing w:line="36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rPr>
        <w:t>最高限价（元）：</w:t>
      </w:r>
      <w:r>
        <w:rPr>
          <w:rFonts w:hint="eastAsia" w:ascii="仿宋" w:hAnsi="仿宋" w:eastAsia="仿宋"/>
          <w:color w:val="auto"/>
          <w:sz w:val="24"/>
          <w:lang w:val="en-US" w:eastAsia="zh-CN"/>
        </w:rPr>
        <w:t>1200000.00，1200000.00，3283000.00，117000.00</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采购需求：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标项一：GYZB-TLFDZFZ2023-01</w:t>
      </w:r>
      <w:r>
        <w:rPr>
          <w:rFonts w:hint="eastAsia" w:ascii="仿宋" w:hAnsi="仿宋" w:eastAsia="仿宋"/>
          <w:color w:val="auto"/>
          <w:sz w:val="24"/>
          <w:lang w:eastAsia="zh-CN"/>
        </w:rPr>
        <w:t>，</w:t>
      </w:r>
      <w:r>
        <w:rPr>
          <w:rFonts w:hint="eastAsia" w:ascii="仿宋" w:hAnsi="仿宋" w:eastAsia="仿宋"/>
          <w:color w:val="auto"/>
          <w:sz w:val="24"/>
        </w:rPr>
        <w:t>新疆托克逊县地质灾害风险调查评价；</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数量：1</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预算金额：</w:t>
      </w:r>
      <w:r>
        <w:rPr>
          <w:rFonts w:hint="eastAsia" w:ascii="仿宋" w:hAnsi="仿宋" w:eastAsia="仿宋"/>
          <w:color w:val="auto"/>
          <w:sz w:val="24"/>
          <w:lang w:val="en-US" w:eastAsia="zh-CN"/>
        </w:rPr>
        <w:t>1200000.00</w:t>
      </w:r>
      <w:r>
        <w:rPr>
          <w:rFonts w:hint="eastAsia" w:ascii="仿宋" w:hAnsi="仿宋" w:eastAsia="仿宋"/>
          <w:color w:val="auto"/>
          <w:sz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简要规格描述或项目基本概况介绍、用途：以孕灾主控地质条件和地质灾害隐患判识为主开展托克逊县地质灾害风险调查评价，深化地质灾害早期识别、形成机理和规律认识，总结成灾模式，开展不同层次地质灾害风险区划，提出综合防治对策建议，为地质灾害防治管理提供基础依据。</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标项二：GYZB-TLFDZFZ2023-02</w:t>
      </w:r>
      <w:r>
        <w:rPr>
          <w:rFonts w:hint="eastAsia" w:ascii="仿宋" w:hAnsi="仿宋" w:eastAsia="仿宋"/>
          <w:color w:val="auto"/>
          <w:sz w:val="24"/>
          <w:lang w:eastAsia="zh-CN"/>
        </w:rPr>
        <w:t>，</w:t>
      </w:r>
      <w:r>
        <w:rPr>
          <w:rFonts w:hint="eastAsia" w:ascii="仿宋" w:hAnsi="仿宋" w:eastAsia="仿宋"/>
          <w:color w:val="auto"/>
          <w:sz w:val="24"/>
        </w:rPr>
        <w:t>新疆鄯善县地质灾害风险调查评价；</w:t>
      </w:r>
    </w:p>
    <w:p>
      <w:pPr>
        <w:spacing w:line="36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数量：1</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预算金额：</w:t>
      </w:r>
      <w:r>
        <w:rPr>
          <w:rFonts w:hint="eastAsia" w:ascii="仿宋" w:hAnsi="仿宋" w:eastAsia="仿宋"/>
          <w:color w:val="auto"/>
          <w:sz w:val="24"/>
          <w:lang w:val="en-US" w:eastAsia="zh-CN"/>
        </w:rPr>
        <w:t>1200000.00</w:t>
      </w:r>
      <w:r>
        <w:rPr>
          <w:rFonts w:hint="eastAsia" w:ascii="仿宋" w:hAnsi="仿宋" w:eastAsia="仿宋"/>
          <w:color w:val="auto"/>
          <w:sz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简要规格描述或项目基本概况介绍、用途：以孕灾主控地质条件和地质灾害隐患判识为主开展鄯善县地质灾害风险调查评价，深化地质灾害早期识别、形成机理和规律认识，总结成灾模式，开展不同层次地质灾害风险区划，提出综合防治对策建议，为地质灾害防治管理提供基础依据。</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标项三：GYZB-TLFDZFZ2023-03</w:t>
      </w:r>
      <w:r>
        <w:rPr>
          <w:rFonts w:hint="eastAsia" w:ascii="仿宋" w:hAnsi="仿宋" w:eastAsia="仿宋"/>
          <w:color w:val="auto"/>
          <w:sz w:val="24"/>
          <w:lang w:eastAsia="zh-CN"/>
        </w:rPr>
        <w:t>，</w:t>
      </w:r>
      <w:r>
        <w:rPr>
          <w:rFonts w:hint="eastAsia" w:ascii="仿宋" w:hAnsi="仿宋" w:eastAsia="仿宋"/>
          <w:color w:val="auto"/>
          <w:sz w:val="24"/>
        </w:rPr>
        <w:t>新疆吐鲁番市高昌区七泉湖镇煤窑沟左岸居民点崩塌防治工程；</w:t>
      </w:r>
    </w:p>
    <w:p>
      <w:pPr>
        <w:spacing w:line="360" w:lineRule="auto"/>
        <w:ind w:firstLine="480" w:firstLineChars="20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数量：1</w:t>
      </w:r>
    </w:p>
    <w:p>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预算金额：</w:t>
      </w:r>
      <w:r>
        <w:rPr>
          <w:rFonts w:hint="eastAsia" w:ascii="仿宋" w:hAnsi="仿宋" w:eastAsia="仿宋"/>
          <w:color w:val="auto"/>
          <w:sz w:val="24"/>
          <w:lang w:val="en-US" w:eastAsia="zh-CN"/>
        </w:rPr>
        <w:t>3283000.00</w:t>
      </w:r>
      <w:r>
        <w:rPr>
          <w:rFonts w:hint="eastAsia" w:ascii="仿宋" w:hAnsi="仿宋" w:eastAsia="仿宋" w:cs="Times New Roman"/>
          <w:color w:val="auto"/>
          <w:sz w:val="24"/>
        </w:rPr>
        <w:t>元；</w:t>
      </w:r>
    </w:p>
    <w:p>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lang w:val="en-US" w:eastAsia="zh-CN"/>
        </w:rPr>
        <w:t>简要规格描述或项目基本概况介绍、用途：</w:t>
      </w:r>
      <w:r>
        <w:rPr>
          <w:rFonts w:hint="eastAsia" w:ascii="仿宋" w:hAnsi="仿宋" w:eastAsia="仿宋" w:cs="Times New Roman"/>
          <w:color w:val="auto"/>
          <w:sz w:val="24"/>
        </w:rPr>
        <w:t>通过对新疆吐鲁番市高昌区七泉湖煤窑沟左岸居民点崩塌灾害防治工程的设计与实施，减轻或消除崩塌隐患对坡下房屋、居民、通讯输电线路及道路等威胁，保障人民生命和财产安全。</w:t>
      </w:r>
    </w:p>
    <w:p>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本项目（是）接受联合体投标。</w:t>
      </w:r>
    </w:p>
    <w:p>
      <w:pPr>
        <w:spacing w:line="360" w:lineRule="auto"/>
        <w:ind w:firstLine="480" w:firstLineChars="200"/>
        <w:rPr>
          <w:rFonts w:hint="eastAsia" w:ascii="仿宋" w:hAnsi="仿宋" w:eastAsia="仿宋" w:cs="Times New Roman"/>
          <w:color w:val="auto"/>
          <w:sz w:val="24"/>
        </w:rPr>
      </w:pPr>
      <w:r>
        <w:rPr>
          <w:rFonts w:hint="eastAsia" w:ascii="仿宋" w:hAnsi="仿宋" w:eastAsia="仿宋" w:cs="Times New Roman"/>
          <w:color w:val="auto"/>
          <w:sz w:val="24"/>
        </w:rPr>
        <w:t>标项四：GYZB-TLFDZFZ2023-04</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吐鲁番市2023年中央自然灾害防治体系建设项目监理；</w:t>
      </w:r>
    </w:p>
    <w:p>
      <w:pPr>
        <w:spacing w:line="360" w:lineRule="auto"/>
        <w:ind w:firstLine="480" w:firstLineChars="20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数量：1</w:t>
      </w:r>
    </w:p>
    <w:p>
      <w:pPr>
        <w:spacing w:line="360" w:lineRule="auto"/>
        <w:ind w:firstLine="480" w:firstLineChars="200"/>
        <w:rPr>
          <w:rFonts w:ascii="仿宋" w:hAnsi="仿宋" w:eastAsia="仿宋"/>
          <w:color w:val="auto"/>
          <w:sz w:val="24"/>
        </w:rPr>
      </w:pPr>
      <w:r>
        <w:rPr>
          <w:rFonts w:hint="eastAsia" w:ascii="仿宋" w:hAnsi="仿宋" w:eastAsia="仿宋" w:cs="Times New Roman"/>
          <w:color w:val="auto"/>
          <w:sz w:val="24"/>
        </w:rPr>
        <w:t>预算金额：</w:t>
      </w:r>
      <w:r>
        <w:rPr>
          <w:rFonts w:hint="eastAsia" w:ascii="仿宋" w:hAnsi="仿宋" w:eastAsia="仿宋"/>
          <w:color w:val="auto"/>
          <w:sz w:val="24"/>
          <w:lang w:val="en-US" w:eastAsia="zh-CN"/>
        </w:rPr>
        <w:t>117000.00</w:t>
      </w:r>
      <w:r>
        <w:rPr>
          <w:rFonts w:hint="eastAsia" w:ascii="仿宋" w:hAnsi="仿宋" w:eastAsia="仿宋"/>
          <w:color w:val="auto"/>
          <w:sz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lang w:val="en-US" w:eastAsia="zh-CN"/>
        </w:rPr>
        <w:t>简要规格描述或项目基本概况介绍、用途：</w:t>
      </w:r>
      <w:r>
        <w:rPr>
          <w:rFonts w:hint="eastAsia" w:ascii="仿宋" w:hAnsi="仿宋" w:eastAsia="仿宋" w:cs="Times New Roman"/>
          <w:color w:val="auto"/>
          <w:kern w:val="2"/>
          <w:sz w:val="24"/>
          <w:szCs w:val="24"/>
          <w:lang w:val="en-US" w:eastAsia="zh-CN" w:bidi="ar-SA"/>
        </w:rPr>
        <w:t>通过监理工作的实施，达到项目工期目标、质量目标及安全目标。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合同履行期限：详见采购文件。</w:t>
      </w:r>
    </w:p>
    <w:p>
      <w:pPr>
        <w:spacing w:line="360" w:lineRule="auto"/>
        <w:ind w:firstLine="482" w:firstLineChars="200"/>
        <w:outlineLvl w:val="1"/>
        <w:rPr>
          <w:rFonts w:ascii="仿宋" w:hAnsi="仿宋" w:eastAsia="仿宋"/>
          <w:b/>
          <w:bCs/>
          <w:color w:val="auto"/>
          <w:sz w:val="24"/>
        </w:rPr>
      </w:pPr>
      <w:bookmarkStart w:id="29" w:name="_Toc2263"/>
      <w:bookmarkStart w:id="30" w:name="_Toc1560"/>
      <w:bookmarkStart w:id="31" w:name="_Toc27793"/>
      <w:bookmarkStart w:id="32" w:name="_Toc9145"/>
      <w:r>
        <w:rPr>
          <w:rFonts w:hint="eastAsia" w:ascii="仿宋" w:hAnsi="仿宋" w:eastAsia="仿宋"/>
          <w:b/>
          <w:bCs/>
          <w:color w:val="auto"/>
          <w:sz w:val="24"/>
        </w:rPr>
        <w:t>二、申请人的资格要求：</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2.落实政府采购政策需满足的资格要求：标项1、2、3：供应商为中小企业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标项一和二提供地质灾害治理工程勘查乙级（含乙级）以上资质；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标项三提供地质灾害治理工程设计和施工乙级（含乙级）以上资质;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olor w:val="auto"/>
          <w:sz w:val="24"/>
          <w:lang w:val="en-US" w:eastAsia="zh-CN"/>
        </w:rPr>
      </w:pPr>
      <w:r>
        <w:rPr>
          <w:rFonts w:hint="eastAsia" w:ascii="仿宋" w:hAnsi="仿宋" w:eastAsia="仿宋" w:cs="Times New Roman"/>
          <w:color w:val="auto"/>
          <w:kern w:val="2"/>
          <w:sz w:val="24"/>
          <w:szCs w:val="24"/>
          <w:lang w:val="en-US" w:eastAsia="zh-CN" w:bidi="ar-SA"/>
        </w:rPr>
        <w:t>标项四提供地质灾害防治工程监理乙级（含乙级）以上资质；</w:t>
      </w:r>
    </w:p>
    <w:p>
      <w:pPr>
        <w:spacing w:line="360" w:lineRule="auto"/>
        <w:ind w:firstLine="482" w:firstLineChars="200"/>
        <w:outlineLvl w:val="1"/>
        <w:rPr>
          <w:rFonts w:ascii="仿宋" w:hAnsi="仿宋" w:eastAsia="仿宋"/>
          <w:b/>
          <w:bCs/>
          <w:color w:val="auto"/>
          <w:sz w:val="24"/>
        </w:rPr>
      </w:pPr>
      <w:bookmarkStart w:id="33" w:name="_Toc16825"/>
      <w:bookmarkStart w:id="34" w:name="_Toc31779"/>
      <w:bookmarkStart w:id="35" w:name="_Toc17355"/>
      <w:bookmarkStart w:id="36" w:name="_Toc19395"/>
      <w:r>
        <w:rPr>
          <w:rFonts w:hint="eastAsia" w:ascii="仿宋" w:hAnsi="仿宋" w:eastAsia="仿宋"/>
          <w:b/>
          <w:bCs/>
          <w:color w:val="auto"/>
          <w:sz w:val="24"/>
        </w:rPr>
        <w:t>三、获取采购文件</w:t>
      </w:r>
      <w:bookmarkEnd w:id="33"/>
      <w:bookmarkEnd w:id="34"/>
      <w:bookmarkEnd w:id="35"/>
      <w:bookmarkEnd w:id="36"/>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时间：2023年2月</w:t>
      </w:r>
      <w:r>
        <w:rPr>
          <w:rFonts w:hint="eastAsia" w:ascii="仿宋" w:hAnsi="仿宋" w:eastAsia="仿宋"/>
          <w:color w:val="auto"/>
          <w:sz w:val="24"/>
          <w:lang w:val="en-US" w:eastAsia="zh-CN"/>
        </w:rPr>
        <w:t>23</w:t>
      </w:r>
      <w:r>
        <w:rPr>
          <w:rFonts w:hint="eastAsia" w:ascii="仿宋" w:hAnsi="仿宋" w:eastAsia="仿宋"/>
          <w:color w:val="auto"/>
          <w:sz w:val="24"/>
        </w:rPr>
        <w:t>日至2023年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2</w:t>
      </w:r>
      <w:r>
        <w:rPr>
          <w:rFonts w:hint="eastAsia" w:ascii="仿宋" w:hAnsi="仿宋" w:eastAsia="仿宋"/>
          <w:color w:val="auto"/>
          <w:sz w:val="24"/>
        </w:rPr>
        <w:t>日，每天上午10:</w:t>
      </w:r>
      <w:r>
        <w:rPr>
          <w:rFonts w:hint="eastAsia" w:ascii="仿宋" w:hAnsi="仿宋" w:eastAsia="仿宋"/>
          <w:color w:val="auto"/>
          <w:sz w:val="24"/>
          <w:lang w:val="en-US" w:eastAsia="zh-CN"/>
        </w:rPr>
        <w:t>0</w:t>
      </w:r>
      <w:r>
        <w:rPr>
          <w:rFonts w:hint="eastAsia" w:ascii="仿宋" w:hAnsi="仿宋" w:eastAsia="仿宋"/>
          <w:color w:val="auto"/>
          <w:sz w:val="24"/>
        </w:rPr>
        <w:t>0至13:30，下午15:30至19:</w:t>
      </w:r>
      <w:r>
        <w:rPr>
          <w:rFonts w:hint="eastAsia" w:ascii="仿宋" w:hAnsi="仿宋" w:eastAsia="仿宋"/>
          <w:color w:val="auto"/>
          <w:sz w:val="24"/>
          <w:lang w:val="en-US" w:eastAsia="zh-CN"/>
        </w:rPr>
        <w:t>3</w:t>
      </w:r>
      <w:r>
        <w:rPr>
          <w:rFonts w:hint="eastAsia" w:ascii="仿宋" w:hAnsi="仿宋" w:eastAsia="仿宋"/>
          <w:color w:val="auto"/>
          <w:sz w:val="24"/>
        </w:rPr>
        <w:t>0（北京时间，法定节假日除外）.</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地点：新疆政府采购网自行下载</w:t>
      </w:r>
    </w:p>
    <w:p>
      <w:pPr>
        <w:spacing w:line="360" w:lineRule="auto"/>
        <w:ind w:firstLine="482" w:firstLineChars="200"/>
        <w:outlineLvl w:val="1"/>
        <w:rPr>
          <w:rFonts w:ascii="仿宋" w:hAnsi="仿宋" w:eastAsia="仿宋"/>
          <w:b/>
          <w:bCs/>
          <w:color w:val="auto"/>
          <w:sz w:val="24"/>
        </w:rPr>
      </w:pPr>
      <w:bookmarkStart w:id="37" w:name="_Toc12223"/>
      <w:bookmarkStart w:id="38" w:name="_Toc20025"/>
      <w:bookmarkStart w:id="39" w:name="_Toc1994"/>
      <w:bookmarkStart w:id="40" w:name="_Toc27462"/>
      <w:r>
        <w:rPr>
          <w:rFonts w:hint="eastAsia" w:ascii="仿宋" w:hAnsi="仿宋" w:eastAsia="仿宋"/>
          <w:b/>
          <w:bCs/>
          <w:color w:val="auto"/>
          <w:sz w:val="24"/>
        </w:rPr>
        <w:t>四、提交投标文件截止时间、开标时间和地点</w:t>
      </w:r>
      <w:bookmarkEnd w:id="37"/>
      <w:bookmarkEnd w:id="38"/>
      <w:bookmarkEnd w:id="39"/>
      <w:bookmarkEnd w:id="40"/>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提交投标文件截止时间：2023年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15</w:t>
      </w:r>
      <w:r>
        <w:rPr>
          <w:rFonts w:hint="eastAsia" w:ascii="仿宋" w:hAnsi="仿宋" w:eastAsia="仿宋"/>
          <w:color w:val="auto"/>
          <w:sz w:val="24"/>
        </w:rPr>
        <w:t>日 11:00（北京时间）</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投标地点：</w:t>
      </w:r>
      <w:r>
        <w:rPr>
          <w:rFonts w:hint="eastAsia" w:ascii="仿宋" w:hAnsi="仿宋" w:eastAsia="仿宋" w:cs="仿宋"/>
          <w:color w:val="auto"/>
          <w:kern w:val="0"/>
          <w:sz w:val="24"/>
        </w:rPr>
        <w:t>政采云投标客户端投标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开标时间：2023年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15</w:t>
      </w:r>
      <w:r>
        <w:rPr>
          <w:rFonts w:hint="eastAsia" w:ascii="仿宋" w:hAnsi="仿宋" w:eastAsia="仿宋"/>
          <w:color w:val="auto"/>
          <w:sz w:val="24"/>
        </w:rPr>
        <w:t>日 11:</w:t>
      </w:r>
      <w:r>
        <w:rPr>
          <w:rFonts w:hint="eastAsia" w:ascii="仿宋" w:hAnsi="仿宋" w:eastAsia="仿宋"/>
          <w:color w:val="auto"/>
          <w:sz w:val="24"/>
          <w:lang w:val="en-US" w:eastAsia="zh-CN"/>
        </w:rPr>
        <w:t>3</w:t>
      </w:r>
      <w:r>
        <w:rPr>
          <w:rFonts w:hint="eastAsia" w:ascii="仿宋" w:hAnsi="仿宋" w:eastAsia="仿宋"/>
          <w:color w:val="auto"/>
          <w:sz w:val="24"/>
        </w:rPr>
        <w:t>0（北京时间）</w:t>
      </w:r>
    </w:p>
    <w:p>
      <w:pPr>
        <w:spacing w:line="36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rPr>
        <w:t>开标地点：吐鲁番市高昌区丝绸大道4100号吐鲁番市行政服务中心（市公共资源交易中心）</w:t>
      </w:r>
    </w:p>
    <w:p>
      <w:pPr>
        <w:spacing w:line="360" w:lineRule="auto"/>
        <w:ind w:firstLine="482" w:firstLineChars="200"/>
        <w:outlineLvl w:val="1"/>
        <w:rPr>
          <w:rFonts w:ascii="仿宋" w:hAnsi="仿宋" w:eastAsia="仿宋"/>
          <w:b/>
          <w:bCs/>
          <w:color w:val="auto"/>
          <w:sz w:val="24"/>
        </w:rPr>
      </w:pPr>
      <w:bookmarkStart w:id="41" w:name="_Toc9198"/>
      <w:bookmarkStart w:id="42" w:name="_Toc19598"/>
      <w:bookmarkStart w:id="43" w:name="_Toc23384"/>
      <w:bookmarkStart w:id="44" w:name="_Toc7880"/>
      <w:r>
        <w:rPr>
          <w:rFonts w:hint="eastAsia" w:ascii="仿宋" w:hAnsi="仿宋" w:eastAsia="仿宋"/>
          <w:b/>
          <w:bCs/>
          <w:color w:val="auto"/>
          <w:sz w:val="24"/>
        </w:rPr>
        <w:t>五、公告期限</w:t>
      </w:r>
      <w:bookmarkEnd w:id="41"/>
      <w:bookmarkEnd w:id="42"/>
      <w:bookmarkEnd w:id="43"/>
      <w:bookmarkEnd w:id="44"/>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自本公告发布之日起5个工作日。</w:t>
      </w:r>
    </w:p>
    <w:p>
      <w:pPr>
        <w:spacing w:line="360" w:lineRule="auto"/>
        <w:ind w:firstLine="482" w:firstLineChars="200"/>
        <w:outlineLvl w:val="1"/>
        <w:rPr>
          <w:rFonts w:ascii="仿宋" w:hAnsi="仿宋" w:eastAsia="仿宋"/>
          <w:b/>
          <w:bCs/>
          <w:color w:val="auto"/>
          <w:sz w:val="24"/>
        </w:rPr>
      </w:pPr>
      <w:bookmarkStart w:id="45" w:name="_Toc30843"/>
      <w:bookmarkStart w:id="46" w:name="_Toc14564"/>
      <w:bookmarkStart w:id="47" w:name="_Toc20193"/>
      <w:bookmarkStart w:id="48" w:name="_Toc847"/>
      <w:r>
        <w:rPr>
          <w:rFonts w:hint="eastAsia" w:ascii="仿宋" w:hAnsi="仿宋" w:eastAsia="仿宋"/>
          <w:b/>
          <w:bCs/>
          <w:color w:val="auto"/>
          <w:sz w:val="24"/>
        </w:rPr>
        <w:t>六、其他补充事宜</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bookmarkStart w:id="49" w:name="_Toc32380"/>
      <w:bookmarkStart w:id="50" w:name="_Toc3430"/>
      <w:bookmarkStart w:id="51" w:name="_Toc2508"/>
      <w:r>
        <w:rPr>
          <w:rFonts w:hint="eastAsia" w:ascii="仿宋" w:hAnsi="仿宋" w:eastAsia="仿宋" w:cs="Times New Roman"/>
          <w:color w:val="auto"/>
          <w:kern w:val="2"/>
          <w:sz w:val="24"/>
          <w:szCs w:val="24"/>
          <w:lang w:val="en-US" w:eastAsia="zh-CN" w:bidi="ar-SA"/>
        </w:rPr>
        <w:t>1.财政部、国家发展改革委《关于印发《节能产品政府采购实施意见》的通知》（财库[2004]185号）；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3.财政部、工业和信息化部《关于印发《政府采购促进中小企业发展管理办法》的通知》（财库[2020]46号）；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olor w:val="auto"/>
          <w:sz w:val="24"/>
        </w:rPr>
      </w:pPr>
      <w:r>
        <w:rPr>
          <w:rFonts w:hint="eastAsia" w:ascii="仿宋" w:hAnsi="仿宋" w:eastAsia="仿宋" w:cs="Times New Roman"/>
          <w:color w:val="auto"/>
          <w:kern w:val="2"/>
          <w:sz w:val="24"/>
          <w:szCs w:val="24"/>
          <w:lang w:val="en-US" w:eastAsia="zh-CN" w:bidi="ar-SA"/>
        </w:rPr>
        <w:t>5.财政部、司法部《关于政府采购支持监狱企业发展有关问题的通知》（财库[2014]68号）。</w:t>
      </w:r>
    </w:p>
    <w:p>
      <w:pPr>
        <w:spacing w:line="360" w:lineRule="auto"/>
        <w:ind w:firstLine="480" w:firstLineChars="200"/>
        <w:outlineLvl w:val="1"/>
        <w:rPr>
          <w:rFonts w:hint="eastAsia" w:ascii="仿宋" w:hAnsi="仿宋" w:eastAsia="仿宋"/>
          <w:color w:val="auto"/>
          <w:sz w:val="24"/>
        </w:rPr>
      </w:pPr>
      <w:bookmarkStart w:id="52" w:name="_Toc30979"/>
      <w:r>
        <w:rPr>
          <w:rFonts w:hint="eastAsia" w:ascii="仿宋" w:hAnsi="仿宋" w:eastAsia="仿宋"/>
          <w:color w:val="auto"/>
          <w:sz w:val="24"/>
          <w:lang w:val="en-US" w:eastAsia="zh-CN"/>
        </w:rPr>
        <w:t>6</w:t>
      </w:r>
      <w:r>
        <w:rPr>
          <w:rFonts w:hint="eastAsia" w:ascii="仿宋" w:hAnsi="仿宋" w:eastAsia="仿宋"/>
          <w:color w:val="auto"/>
          <w:sz w:val="24"/>
        </w:rPr>
        <w:t>.本项目实行网上投标，采用电子投标文件。若供应商参与投标，自行承担投标一切费用。</w:t>
      </w:r>
      <w:bookmarkEnd w:id="52"/>
    </w:p>
    <w:p>
      <w:pPr>
        <w:spacing w:line="360" w:lineRule="auto"/>
        <w:ind w:firstLine="480" w:firstLineChars="200"/>
        <w:outlineLvl w:val="1"/>
        <w:rPr>
          <w:rFonts w:hint="eastAsia" w:ascii="仿宋" w:hAnsi="仿宋" w:eastAsia="仿宋"/>
          <w:color w:val="auto"/>
          <w:sz w:val="24"/>
        </w:rPr>
      </w:pPr>
      <w:bookmarkStart w:id="53" w:name="_Toc3262"/>
      <w:r>
        <w:rPr>
          <w:rFonts w:hint="eastAsia" w:ascii="仿宋" w:hAnsi="仿宋" w:eastAsia="仿宋"/>
          <w:color w:val="auto"/>
          <w:sz w:val="24"/>
          <w:lang w:val="en-US" w:eastAsia="zh-CN"/>
        </w:rPr>
        <w:t>7</w:t>
      </w:r>
      <w:r>
        <w:rPr>
          <w:rFonts w:hint="eastAsia" w:ascii="仿宋" w:hAnsi="仿宋" w:eastAsia="仿宋"/>
          <w:color w:val="auto"/>
          <w:sz w:val="24"/>
        </w:rPr>
        <w:t>.各供应商应在开标前应确保成为新疆维吾尔自治区政府采购网正式注册入库供应商，并完成CA数字证书申领。因未注册入库、未办理CA数字证书等原因造成无法投标或投标失败等后果由供应商自行承担。</w:t>
      </w:r>
      <w:bookmarkEnd w:id="53"/>
    </w:p>
    <w:p>
      <w:pPr>
        <w:spacing w:line="360" w:lineRule="auto"/>
        <w:ind w:firstLine="480" w:firstLineChars="200"/>
        <w:outlineLvl w:val="1"/>
        <w:rPr>
          <w:rFonts w:hint="eastAsia" w:ascii="仿宋" w:hAnsi="仿宋" w:eastAsia="仿宋"/>
          <w:color w:val="auto"/>
          <w:sz w:val="24"/>
        </w:rPr>
      </w:pPr>
      <w:bookmarkStart w:id="54" w:name="_Toc5877"/>
      <w:r>
        <w:rPr>
          <w:rFonts w:hint="eastAsia" w:ascii="仿宋" w:hAnsi="仿宋" w:eastAsia="仿宋"/>
          <w:color w:val="auto"/>
          <w:sz w:val="24"/>
          <w:lang w:val="en-US" w:eastAsia="zh-CN"/>
        </w:rPr>
        <w:t>8</w:t>
      </w:r>
      <w:r>
        <w:rPr>
          <w:rFonts w:hint="eastAsia" w:ascii="仿宋" w:hAnsi="仿宋" w:eastAsia="仿宋"/>
          <w:color w:val="auto"/>
          <w:sz w:val="24"/>
        </w:rPr>
        <w:t>.本项目为电子招投标，供应商需要使用CA加密设备，有意向参与新疆区域电子开评标的供应商，请访问新疆数字证书认证中心官方网站（https://www.xjca.com.cn/）或下载 新疆政务通APP自行进行申领。如需咨询，请联系新疆CA服务热线0991-2819290。</w:t>
      </w:r>
      <w:bookmarkEnd w:id="54"/>
    </w:p>
    <w:p>
      <w:pPr>
        <w:spacing w:line="360" w:lineRule="auto"/>
        <w:ind w:firstLine="480" w:firstLineChars="200"/>
        <w:outlineLvl w:val="1"/>
        <w:rPr>
          <w:rFonts w:hint="eastAsia" w:ascii="仿宋" w:hAnsi="仿宋" w:eastAsia="仿宋"/>
          <w:color w:val="auto"/>
          <w:sz w:val="24"/>
        </w:rPr>
      </w:pPr>
      <w:bookmarkStart w:id="55" w:name="_Toc31818"/>
      <w:r>
        <w:rPr>
          <w:rFonts w:hint="eastAsia" w:ascii="仿宋" w:hAnsi="仿宋" w:eastAsia="仿宋"/>
          <w:color w:val="auto"/>
          <w:sz w:val="24"/>
          <w:lang w:val="en-US" w:eastAsia="zh-CN"/>
        </w:rPr>
        <w:t>9</w:t>
      </w:r>
      <w:r>
        <w:rPr>
          <w:rFonts w:hint="eastAsia" w:ascii="仿宋" w:hAnsi="仿宋" w:eastAsia="仿宋"/>
          <w:color w:val="auto"/>
          <w:sz w:val="24"/>
        </w:rPr>
        <w:t>.供应商将政采云电子交易客户端下载、安装完成后，可通过账号密码或CA登录客户端进行投标文件制作。在使用政采云投标客户端时，建议使用WIN7及以上操作系统。客户端请至新疆政府采购（http://www.ccgp-xinjiang.gov.cn/）下载专区查看，如有问题可拨打政采云客户服务热线95763进行咨询。</w:t>
      </w:r>
      <w:bookmarkEnd w:id="55"/>
    </w:p>
    <w:p>
      <w:pPr>
        <w:spacing w:line="360" w:lineRule="auto"/>
        <w:ind w:firstLine="482" w:firstLineChars="200"/>
        <w:outlineLvl w:val="1"/>
        <w:rPr>
          <w:rFonts w:ascii="仿宋" w:hAnsi="仿宋" w:eastAsia="仿宋"/>
          <w:b/>
          <w:bCs/>
          <w:color w:val="auto"/>
          <w:sz w:val="24"/>
        </w:rPr>
      </w:pPr>
      <w:bookmarkStart w:id="56" w:name="_Toc973"/>
      <w:r>
        <w:rPr>
          <w:rFonts w:hint="eastAsia" w:ascii="仿宋" w:hAnsi="仿宋" w:eastAsia="仿宋"/>
          <w:b/>
          <w:bCs/>
          <w:color w:val="auto"/>
          <w:sz w:val="24"/>
        </w:rPr>
        <w:t>七、对本次采购提出询问，请按以下方式联系</w:t>
      </w:r>
      <w:bookmarkEnd w:id="49"/>
      <w:bookmarkEnd w:id="50"/>
      <w:bookmarkEnd w:id="51"/>
      <w:bookmarkEnd w:id="56"/>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1.采购人信息</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名称：吐鲁番市自然资源局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地址：吐鲁番市高昌区东环路1969号</w:t>
      </w:r>
    </w:p>
    <w:p>
      <w:pPr>
        <w:spacing w:line="360" w:lineRule="auto"/>
        <w:ind w:firstLine="480" w:firstLineChars="200"/>
        <w:rPr>
          <w:rFonts w:ascii="仿宋" w:hAnsi="仿宋" w:eastAsia="仿宋"/>
          <w:color w:val="auto"/>
          <w:sz w:val="24"/>
        </w:rPr>
      </w:pPr>
      <w:bookmarkStart w:id="57" w:name="_Toc28359086"/>
      <w:bookmarkStart w:id="58" w:name="_Toc28359009"/>
      <w:r>
        <w:rPr>
          <w:rFonts w:hint="eastAsia" w:ascii="仿宋" w:hAnsi="仿宋" w:eastAsia="仿宋"/>
          <w:color w:val="auto"/>
          <w:sz w:val="24"/>
        </w:rPr>
        <w:t xml:space="preserve">联系人：布玛丽娅     联系电话：0995-8621063 </w:t>
      </w:r>
    </w:p>
    <w:p>
      <w:pPr>
        <w:spacing w:line="360" w:lineRule="auto"/>
        <w:ind w:firstLine="480" w:firstLineChars="200"/>
        <w:rPr>
          <w:rFonts w:ascii="仿宋" w:hAnsi="仿宋" w:eastAsia="仿宋"/>
          <w:color w:val="auto"/>
          <w:sz w:val="24"/>
        </w:rPr>
      </w:pPr>
      <w:bookmarkStart w:id="59" w:name="_Toc472"/>
      <w:r>
        <w:rPr>
          <w:rFonts w:hint="eastAsia" w:ascii="仿宋" w:hAnsi="仿宋" w:eastAsia="仿宋"/>
          <w:color w:val="auto"/>
          <w:sz w:val="24"/>
        </w:rPr>
        <w:t>2.采购代理机构信息</w:t>
      </w:r>
      <w:bookmarkEnd w:id="57"/>
      <w:bookmarkEnd w:id="58"/>
      <w:bookmarkEnd w:id="59"/>
    </w:p>
    <w:p>
      <w:pPr>
        <w:spacing w:line="360" w:lineRule="auto"/>
        <w:ind w:firstLine="480" w:firstLineChars="200"/>
        <w:outlineLvl w:val="0"/>
        <w:rPr>
          <w:rFonts w:ascii="仿宋" w:hAnsi="仿宋" w:eastAsia="仿宋"/>
          <w:color w:val="auto"/>
          <w:sz w:val="24"/>
        </w:rPr>
      </w:pPr>
      <w:bookmarkStart w:id="60" w:name="_Toc23730"/>
      <w:bookmarkStart w:id="61" w:name="_Toc17385"/>
      <w:bookmarkStart w:id="62" w:name="_Toc2316"/>
      <w:bookmarkStart w:id="63" w:name="_Toc15470"/>
      <w:r>
        <w:rPr>
          <w:rFonts w:hint="eastAsia" w:ascii="仿宋" w:hAnsi="仿宋" w:eastAsia="仿宋"/>
          <w:color w:val="auto"/>
          <w:sz w:val="24"/>
        </w:rPr>
        <w:t>名称：新疆国源土地矿产资源交易中心</w:t>
      </w:r>
      <w:bookmarkEnd w:id="60"/>
      <w:bookmarkEnd w:id="61"/>
      <w:r>
        <w:rPr>
          <w:rFonts w:hint="eastAsia" w:ascii="仿宋" w:hAnsi="仿宋" w:eastAsia="仿宋"/>
          <w:color w:val="auto"/>
          <w:sz w:val="24"/>
          <w:lang w:eastAsia="zh-CN"/>
        </w:rPr>
        <w:t>（</w:t>
      </w:r>
      <w:r>
        <w:rPr>
          <w:rFonts w:hint="eastAsia" w:ascii="仿宋" w:hAnsi="仿宋" w:eastAsia="仿宋"/>
          <w:color w:val="auto"/>
          <w:sz w:val="24"/>
          <w:lang w:val="en-US" w:eastAsia="zh-CN"/>
        </w:rPr>
        <w:t>有限公司）</w:t>
      </w:r>
      <w:bookmarkEnd w:id="62"/>
      <w:bookmarkEnd w:id="63"/>
      <w:r>
        <w:rPr>
          <w:rFonts w:hint="eastAsia" w:ascii="仿宋" w:hAnsi="仿宋" w:eastAsia="仿宋"/>
          <w:color w:val="auto"/>
          <w:sz w:val="24"/>
        </w:rPr>
        <w:t>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地址：乌鲁木齐市新市区阜新街1号2号楼3楼　</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联系方式：</w:t>
      </w:r>
      <w:bookmarkStart w:id="64" w:name="_Toc28359087"/>
      <w:bookmarkStart w:id="65" w:name="_Toc28359010"/>
      <w:r>
        <w:rPr>
          <w:rFonts w:hint="eastAsia" w:ascii="仿宋" w:hAnsi="仿宋" w:eastAsia="仿宋"/>
          <w:color w:val="auto"/>
          <w:sz w:val="24"/>
        </w:rPr>
        <w:t xml:space="preserve"> 0991-4846078 </w:t>
      </w:r>
      <w:r>
        <w:rPr>
          <w:rFonts w:hint="eastAsia" w:ascii="仿宋" w:hAnsi="仿宋" w:eastAsia="仿宋"/>
          <w:color w:val="auto"/>
          <w:sz w:val="24"/>
          <w:lang w:val="en-US" w:eastAsia="zh-CN"/>
        </w:rPr>
        <w:t xml:space="preserve"> </w:t>
      </w:r>
    </w:p>
    <w:p>
      <w:pPr>
        <w:spacing w:line="360" w:lineRule="auto"/>
        <w:ind w:firstLine="480" w:firstLineChars="200"/>
        <w:rPr>
          <w:rFonts w:hint="eastAsia" w:ascii="仿宋" w:hAnsi="仿宋" w:eastAsia="仿宋"/>
          <w:sz w:val="24"/>
          <w:lang w:val="en-US" w:eastAsia="zh-CN"/>
        </w:rPr>
      </w:pPr>
      <w:r>
        <w:rPr>
          <w:rFonts w:hint="eastAsia" w:ascii="仿宋" w:hAnsi="仿宋" w:eastAsia="仿宋"/>
          <w:color w:val="auto"/>
          <w:sz w:val="24"/>
          <w:lang w:val="en-US" w:eastAsia="zh-CN"/>
        </w:rPr>
        <w:t>联系人：孙丽</w:t>
      </w:r>
      <w:r>
        <w:rPr>
          <w:rFonts w:hint="eastAsia" w:ascii="仿宋" w:hAnsi="仿宋" w:eastAsia="仿宋"/>
          <w:color w:val="auto"/>
          <w:sz w:val="24"/>
        </w:rPr>
        <w:t xml:space="preserve"> 15160883519</w:t>
      </w:r>
      <w:r>
        <w:rPr>
          <w:rFonts w:hint="eastAsia" w:ascii="仿宋" w:hAnsi="仿宋" w:eastAsia="仿宋"/>
          <w:color w:val="auto"/>
          <w:sz w:val="24"/>
          <w:lang w:val="en-US" w:eastAsia="zh-CN"/>
        </w:rPr>
        <w:t xml:space="preserve">  </w:t>
      </w:r>
      <w:r>
        <w:rPr>
          <w:rFonts w:hint="eastAsia" w:ascii="仿宋" w:hAnsi="仿宋" w:eastAsia="仿宋" w:cs="Times New Roman"/>
          <w:color w:val="auto"/>
          <w:kern w:val="2"/>
          <w:sz w:val="24"/>
          <w:szCs w:val="24"/>
          <w:highlight w:val="none"/>
          <w:lang w:val="en-US" w:eastAsia="zh-CN" w:bidi="ar-SA"/>
        </w:rPr>
        <w:t>王选问 13579890451</w:t>
      </w:r>
      <w:bookmarkEnd w:id="64"/>
      <w:bookmarkEnd w:id="65"/>
    </w:p>
    <w:p>
      <w:pPr>
        <w:rPr>
          <w:rFonts w:ascii="仿宋" w:hAnsi="仿宋" w:eastAsia="仿宋" w:cs="仿宋"/>
        </w:rPr>
      </w:pPr>
    </w:p>
    <w:p>
      <w:pPr>
        <w:pStyle w:val="7"/>
        <w:tabs>
          <w:tab w:val="left" w:pos="0"/>
        </w:tabs>
        <w:spacing w:before="0" w:after="0" w:line="240" w:lineRule="atLeast"/>
        <w:rPr>
          <w:rFonts w:ascii="仿宋" w:hAnsi="仿宋" w:eastAsia="仿宋" w:cs="仿宋"/>
          <w:b w:val="0"/>
          <w:szCs w:val="32"/>
        </w:rPr>
      </w:pPr>
      <w:r>
        <w:rPr>
          <w:rFonts w:hint="eastAsia" w:ascii="仿宋" w:hAnsi="仿宋" w:eastAsia="仿宋" w:cs="仿宋"/>
          <w:sz w:val="24"/>
        </w:rPr>
        <w:br w:type="page"/>
      </w:r>
      <w:bookmarkStart w:id="66" w:name="_Toc14981"/>
      <w:bookmarkStart w:id="67" w:name="_Toc507399903"/>
      <w:bookmarkStart w:id="68" w:name="_Toc6160"/>
      <w:bookmarkStart w:id="69" w:name="_Toc216582823"/>
      <w:bookmarkStart w:id="70" w:name="_Toc518923125"/>
      <w:bookmarkStart w:id="71" w:name="_Toc28647"/>
      <w:bookmarkStart w:id="72" w:name="_Toc1019"/>
      <w:r>
        <w:rPr>
          <w:rFonts w:hint="eastAsia" w:ascii="仿宋" w:hAnsi="仿宋" w:eastAsia="仿宋" w:cs="仿宋"/>
        </w:rPr>
        <w:t>第</w:t>
      </w:r>
      <w:r>
        <w:rPr>
          <w:rFonts w:hint="eastAsia" w:ascii="仿宋" w:hAnsi="仿宋" w:eastAsia="仿宋" w:cs="仿宋"/>
          <w:lang w:val="en-US" w:eastAsia="zh-CN"/>
        </w:rPr>
        <w:t>2</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rPr>
        <w:t>供应商须知资料表</w:t>
      </w:r>
      <w:bookmarkEnd w:id="66"/>
      <w:bookmarkEnd w:id="67"/>
      <w:bookmarkEnd w:id="68"/>
      <w:bookmarkEnd w:id="69"/>
      <w:bookmarkEnd w:id="70"/>
      <w:bookmarkEnd w:id="71"/>
      <w:bookmarkEnd w:id="72"/>
    </w:p>
    <w:bookmarkEnd w:id="24"/>
    <w:p>
      <w:pPr>
        <w:spacing w:line="240" w:lineRule="atLeast"/>
        <w:ind w:left="1080" w:leftChars="257" w:hanging="540"/>
        <w:rPr>
          <w:rFonts w:ascii="仿宋" w:hAnsi="仿宋" w:eastAsia="仿宋" w:cs="仿宋"/>
          <w:sz w:val="24"/>
        </w:rPr>
      </w:pPr>
    </w:p>
    <w:p>
      <w:pPr>
        <w:spacing w:line="240" w:lineRule="atLeast"/>
        <w:ind w:firstLine="360" w:firstLineChars="150"/>
        <w:rPr>
          <w:rFonts w:ascii="仿宋" w:hAnsi="仿宋" w:eastAsia="仿宋" w:cs="仿宋"/>
          <w:sz w:val="24"/>
        </w:rPr>
      </w:pPr>
      <w:r>
        <w:rPr>
          <w:rFonts w:hint="eastAsia" w:ascii="仿宋" w:hAnsi="仿宋" w:eastAsia="仿宋" w:cs="仿宋"/>
          <w:sz w:val="24"/>
        </w:rPr>
        <w:t xml:space="preserve"> 本表是本招标项目的具体资料，是对供应商须知的具体补充和修改，如有矛盾，应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36"/>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条款号</w:t>
            </w:r>
          </w:p>
        </w:tc>
        <w:tc>
          <w:tcPr>
            <w:tcW w:w="6840" w:type="dxa"/>
            <w:vAlign w:val="center"/>
          </w:tcPr>
          <w:p>
            <w:pPr>
              <w:spacing w:line="240" w:lineRule="atLeast"/>
              <w:ind w:left="1080" w:leftChars="257" w:hanging="540"/>
              <w:rPr>
                <w:rFonts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1.1</w:t>
            </w:r>
          </w:p>
        </w:tc>
        <w:tc>
          <w:tcPr>
            <w:tcW w:w="6840" w:type="dxa"/>
            <w:vAlign w:val="center"/>
          </w:tcPr>
          <w:p>
            <w:pPr>
              <w:rPr>
                <w:rFonts w:ascii="仿宋" w:hAnsi="仿宋" w:eastAsia="仿宋" w:cs="仿宋"/>
                <w:sz w:val="24"/>
                <w:szCs w:val="24"/>
              </w:rPr>
            </w:pPr>
            <w:r>
              <w:rPr>
                <w:rFonts w:hint="eastAsia" w:ascii="仿宋" w:hAnsi="仿宋" w:eastAsia="仿宋" w:cs="仿宋"/>
                <w:sz w:val="24"/>
                <w:szCs w:val="24"/>
              </w:rPr>
              <w:t>采购人：吐鲁番市自然资源局</w:t>
            </w:r>
          </w:p>
          <w:p>
            <w:pPr>
              <w:rPr>
                <w:rFonts w:ascii="仿宋" w:hAnsi="仿宋" w:eastAsia="仿宋" w:cs="仿宋"/>
                <w:sz w:val="24"/>
                <w:szCs w:val="24"/>
              </w:rPr>
            </w:pPr>
            <w:r>
              <w:rPr>
                <w:rFonts w:hint="eastAsia" w:ascii="仿宋" w:hAnsi="仿宋" w:eastAsia="仿宋" w:cs="仿宋"/>
                <w:sz w:val="24"/>
                <w:szCs w:val="24"/>
              </w:rPr>
              <w:t xml:space="preserve">联系人：布玛丽娅     </w:t>
            </w:r>
          </w:p>
          <w:p>
            <w:pPr>
              <w:rPr>
                <w:rFonts w:ascii="仿宋" w:hAnsi="仿宋" w:eastAsia="仿宋" w:cs="仿宋"/>
                <w:sz w:val="24"/>
                <w:szCs w:val="24"/>
              </w:rPr>
            </w:pPr>
            <w:r>
              <w:rPr>
                <w:rFonts w:hint="eastAsia" w:ascii="仿宋" w:hAnsi="仿宋" w:eastAsia="仿宋" w:cs="仿宋"/>
                <w:sz w:val="24"/>
                <w:szCs w:val="24"/>
              </w:rPr>
              <w:t xml:space="preserve">联系电话：0995-8621063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1.2</w:t>
            </w:r>
          </w:p>
        </w:tc>
        <w:tc>
          <w:tcPr>
            <w:tcW w:w="6840" w:type="dxa"/>
            <w:vAlign w:val="center"/>
          </w:tcPr>
          <w:p>
            <w:pPr>
              <w:rPr>
                <w:rFonts w:ascii="仿宋" w:hAnsi="仿宋" w:eastAsia="仿宋" w:cs="仿宋"/>
                <w:sz w:val="24"/>
                <w:szCs w:val="24"/>
              </w:rPr>
            </w:pPr>
            <w:r>
              <w:rPr>
                <w:rFonts w:hint="eastAsia" w:ascii="仿宋" w:hAnsi="仿宋" w:eastAsia="仿宋" w:cs="仿宋"/>
                <w:sz w:val="24"/>
                <w:szCs w:val="24"/>
              </w:rPr>
              <w:t>采购代理机构： 新疆国源土地矿产资源交易中心（有限公司）</w:t>
            </w:r>
          </w:p>
          <w:p>
            <w:pPr>
              <w:rPr>
                <w:rFonts w:ascii="仿宋" w:hAnsi="仿宋" w:eastAsia="仿宋" w:cs="仿宋"/>
                <w:sz w:val="24"/>
                <w:szCs w:val="24"/>
              </w:rPr>
            </w:pPr>
            <w:r>
              <w:rPr>
                <w:rFonts w:hint="eastAsia" w:ascii="仿宋" w:hAnsi="仿宋" w:eastAsia="仿宋" w:cs="仿宋"/>
                <w:sz w:val="24"/>
                <w:szCs w:val="24"/>
              </w:rPr>
              <w:t>地址：乌鲁木齐市新市区阜新街1号2号楼3楼</w:t>
            </w:r>
          </w:p>
          <w:p>
            <w:pPr>
              <w:rPr>
                <w:rFonts w:ascii="仿宋" w:hAnsi="仿宋" w:eastAsia="仿宋" w:cs="仿宋"/>
                <w:sz w:val="24"/>
                <w:szCs w:val="24"/>
              </w:rPr>
            </w:pPr>
            <w:r>
              <w:rPr>
                <w:rFonts w:hint="eastAsia" w:ascii="仿宋" w:hAnsi="仿宋" w:eastAsia="仿宋" w:cs="仿宋"/>
                <w:sz w:val="24"/>
                <w:szCs w:val="24"/>
              </w:rPr>
              <w:t xml:space="preserve">业务联系人：孙  丽   0991-4846078  15160883519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jc w:val="center"/>
              <w:rPr>
                <w:rFonts w:ascii="仿宋" w:hAnsi="仿宋" w:eastAsia="仿宋" w:cs="仿宋"/>
                <w:sz w:val="24"/>
                <w:szCs w:val="24"/>
              </w:rPr>
            </w:pPr>
            <w:r>
              <w:rPr>
                <w:rFonts w:hint="eastAsia" w:ascii="仿宋" w:hAnsi="仿宋" w:eastAsia="仿宋" w:cs="仿宋"/>
                <w:sz w:val="24"/>
                <w:szCs w:val="24"/>
              </w:rPr>
              <w:t>1.3.4</w:t>
            </w:r>
          </w:p>
        </w:tc>
        <w:tc>
          <w:tcPr>
            <w:tcW w:w="6840" w:type="dxa"/>
            <w:vAlign w:val="center"/>
          </w:tcPr>
          <w:p>
            <w:pPr>
              <w:rPr>
                <w:rFonts w:hint="eastAsia" w:ascii="仿宋" w:hAnsi="仿宋" w:eastAsia="仿宋" w:cs="仿宋"/>
                <w:sz w:val="24"/>
                <w:szCs w:val="24"/>
              </w:rPr>
            </w:pPr>
            <w:r>
              <w:rPr>
                <w:rFonts w:hint="eastAsia" w:ascii="仿宋" w:hAnsi="仿宋" w:eastAsia="仿宋" w:cs="仿宋"/>
                <w:sz w:val="24"/>
                <w:szCs w:val="24"/>
              </w:rPr>
              <w:t>申请人的资格要求：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(1)财政部、国家发展改革委《关于印发《节能产品政府采购实施意见》的通知》（财库[2004]185号）；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(2)《财政部、环保总局关于环境标志产品政府采购实施的意见》（财库[2006]90号）；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(3)财政部、工业和信息化部《关于印发《政府采购促进中小企业发展管理办法》的通知》（财库[2020]46号）；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(4)财政部、民政部、中国残疾人联合会《关于促进残疾人就业政府采购政策的通知》（财库[2017]141号）；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(5)财政部、司法部《关于政府采购支持监狱企业发展有关问题的通知》（财库[2014]68号）。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3.合格投标人的其他资格要求：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 </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(2)有效的营业执照正本或副本；</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(3)提供依法缴纳社会保障资金的良好记录；（需提供近期3个月社保部门出具的投标单位的缴纳社保证明)；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(4)提供税务部门出具近3个月依法缴纳税收的完税证明原件（依法免缴的，应提供依法免缴的相关证明文件）；</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(5)提供针对本次项目的反商业贿赂承诺书；</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(6)参加政府采购活动前三年内，在经营活动中没有重大违法记录承诺书；</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(7)联合体协议书（如有）。</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4.本项目的特定资格要求：</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投标单位投标标项一和二提供地质灾害治理工程勘查乙级（含乙级）以上资质；标项三地质灾害治理工程设计和施工乙级（含乙级）以上资质;标项四地质灾害防治工程监理乙级（含乙级）以上资质；</w:t>
            </w:r>
          </w:p>
          <w:p>
            <w:pPr>
              <w:rPr>
                <w:rFonts w:ascii="仿宋" w:hAnsi="仿宋" w:eastAsia="仿宋" w:cs="仿宋"/>
                <w:sz w:val="24"/>
                <w:szCs w:val="24"/>
              </w:rPr>
            </w:pPr>
            <w:r>
              <w:rPr>
                <w:rFonts w:hint="eastAsia" w:ascii="仿宋" w:hAnsi="仿宋" w:eastAsia="仿宋" w:cs="仿宋"/>
                <w:sz w:val="24"/>
                <w:szCs w:val="24"/>
                <w:lang w:val="en-US" w:eastAsia="zh-CN"/>
              </w:rPr>
              <w:t>5.投标保证金缴纳凭证。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1.3.5</w:t>
            </w:r>
          </w:p>
        </w:tc>
        <w:tc>
          <w:tcPr>
            <w:tcW w:w="6840" w:type="dxa"/>
            <w:vAlign w:val="center"/>
          </w:tcPr>
          <w:p>
            <w:pPr>
              <w:rPr>
                <w:rFonts w:hint="default"/>
                <w:sz w:val="24"/>
                <w:szCs w:val="24"/>
                <w:lang w:val="en-US" w:eastAsia="zh-CN"/>
              </w:rPr>
            </w:pPr>
            <w:r>
              <w:rPr>
                <w:rFonts w:hint="eastAsia" w:ascii="仿宋" w:hAnsi="仿宋" w:eastAsia="仿宋" w:cs="仿宋"/>
                <w:sz w:val="24"/>
                <w:szCs w:val="24"/>
              </w:rPr>
              <w:t>是否为专门面向中小企业采购：</w:t>
            </w:r>
            <w:r>
              <w:rPr>
                <w:rFonts w:hint="eastAsia" w:ascii="仿宋" w:hAnsi="仿宋" w:eastAsia="仿宋" w:cs="仿宋"/>
                <w:sz w:val="24"/>
                <w:szCs w:val="24"/>
                <w:u w:val="single"/>
              </w:rPr>
              <w:t>标项一、二、</w:t>
            </w:r>
            <w:r>
              <w:rPr>
                <w:rFonts w:hint="eastAsia" w:ascii="仿宋" w:hAnsi="仿宋" w:eastAsia="仿宋" w:cs="仿宋"/>
                <w:sz w:val="24"/>
                <w:szCs w:val="24"/>
                <w:u w:val="single"/>
                <w:lang w:val="en-US" w:eastAsia="zh-CN"/>
              </w:rPr>
              <w:t>三专门面向中小企业采购，标项四不专门面向中小企业采购。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1.4</w:t>
            </w:r>
          </w:p>
        </w:tc>
        <w:tc>
          <w:tcPr>
            <w:tcW w:w="6840" w:type="dxa"/>
            <w:vAlign w:val="center"/>
          </w:tcPr>
          <w:p>
            <w:pPr>
              <w:rPr>
                <w:rFonts w:ascii="仿宋" w:hAnsi="仿宋" w:eastAsia="仿宋" w:cs="仿宋"/>
                <w:sz w:val="24"/>
                <w:szCs w:val="24"/>
              </w:rPr>
            </w:pPr>
            <w:r>
              <w:rPr>
                <w:rFonts w:hint="eastAsia" w:ascii="仿宋" w:hAnsi="仿宋" w:eastAsia="仿宋" w:cs="仿宋"/>
                <w:sz w:val="24"/>
                <w:szCs w:val="24"/>
              </w:rPr>
              <w:t>是否允许联合体投标：</w:t>
            </w:r>
          </w:p>
          <w:p>
            <w:pPr>
              <w:rPr>
                <w:rFonts w:ascii="仿宋" w:hAnsi="仿宋" w:eastAsia="仿宋" w:cs="仿宋"/>
                <w:sz w:val="24"/>
                <w:szCs w:val="24"/>
              </w:rPr>
            </w:pPr>
            <w:r>
              <w:rPr>
                <w:rFonts w:hint="eastAsia" w:ascii="仿宋" w:hAnsi="仿宋" w:eastAsia="仿宋" w:cs="仿宋"/>
                <w:sz w:val="24"/>
                <w:szCs w:val="24"/>
              </w:rPr>
              <w:t>标项一、二、四</w:t>
            </w:r>
            <w:r>
              <w:rPr>
                <w:rFonts w:hint="eastAsia" w:ascii="仿宋" w:hAnsi="仿宋" w:eastAsia="仿宋" w:cs="仿宋"/>
                <w:sz w:val="24"/>
                <w:szCs w:val="24"/>
                <w:u w:val="single"/>
              </w:rPr>
              <w:t>否</w:t>
            </w:r>
            <w:r>
              <w:rPr>
                <w:rFonts w:hint="eastAsia" w:ascii="仿宋" w:hAnsi="仿宋" w:eastAsia="仿宋" w:cs="仿宋"/>
                <w:sz w:val="24"/>
                <w:szCs w:val="24"/>
              </w:rPr>
              <w:t>联合体投标，标项三</w:t>
            </w:r>
            <w:r>
              <w:rPr>
                <w:rFonts w:hint="eastAsia" w:ascii="仿宋" w:hAnsi="仿宋" w:eastAsia="仿宋" w:cs="仿宋"/>
                <w:sz w:val="24"/>
                <w:szCs w:val="24"/>
                <w:u w:val="single"/>
              </w:rPr>
              <w:t>是</w:t>
            </w:r>
            <w:r>
              <w:rPr>
                <w:rFonts w:hint="eastAsia" w:ascii="仿宋" w:hAnsi="仿宋" w:eastAsia="仿宋" w:cs="仿宋"/>
                <w:sz w:val="24"/>
                <w:szCs w:val="24"/>
              </w:rPr>
              <w:t>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1.4.8</w:t>
            </w:r>
          </w:p>
        </w:tc>
        <w:tc>
          <w:tcPr>
            <w:tcW w:w="684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联合体的其他资格要求：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1.联合体投标的，应签订联合体投标协议书，确定联合牵头人并确定各方的权利和义务；项目牵头供应商为专业地质类单位；</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3.联合体成员签订联合体协议书后，不得再以自己的名义单独投标，也不得组成新的联合体或参加其他联合体在本项目中投标。</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4.组成联合体或者接受分包合同的中小企业与联合体内其他企业、分包企业之间不得存在直接控股、管理关系。</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5.以联合体形式参加政府采购活动，联合体各方均为中小企业的，联合体视同中小企业。其中联合体各方均为小微企业的，联合体视同小微企业。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2.2</w:t>
            </w:r>
          </w:p>
        </w:tc>
        <w:tc>
          <w:tcPr>
            <w:tcW w:w="6840" w:type="dxa"/>
            <w:vAlign w:val="center"/>
          </w:tcPr>
          <w:p>
            <w:pPr>
              <w:rPr>
                <w:rFonts w:ascii="仿宋" w:hAnsi="仿宋" w:eastAsia="仿宋" w:cs="仿宋"/>
                <w:sz w:val="24"/>
                <w:szCs w:val="24"/>
              </w:rPr>
            </w:pPr>
            <w:r>
              <w:rPr>
                <w:rFonts w:hint="eastAsia" w:ascii="仿宋" w:hAnsi="仿宋" w:eastAsia="仿宋" w:cs="仿宋"/>
                <w:sz w:val="24"/>
                <w:szCs w:val="24"/>
              </w:rPr>
              <w:t>项目总预算金额人民币：580万元；</w:t>
            </w:r>
          </w:p>
          <w:p>
            <w:pPr>
              <w:rPr>
                <w:rFonts w:ascii="仿宋" w:hAnsi="仿宋" w:eastAsia="仿宋" w:cs="仿宋"/>
                <w:sz w:val="24"/>
                <w:szCs w:val="24"/>
              </w:rPr>
            </w:pPr>
            <w:r>
              <w:rPr>
                <w:rFonts w:hint="eastAsia" w:ascii="仿宋" w:hAnsi="仿宋" w:eastAsia="仿宋" w:cs="仿宋"/>
                <w:sz w:val="24"/>
                <w:szCs w:val="24"/>
              </w:rPr>
              <w:t>标项一：预算金额人民币：120万元；最高限价人民币：120万元</w:t>
            </w:r>
          </w:p>
          <w:p>
            <w:pPr>
              <w:rPr>
                <w:rFonts w:ascii="仿宋" w:hAnsi="仿宋" w:eastAsia="仿宋" w:cs="仿宋"/>
                <w:sz w:val="24"/>
                <w:szCs w:val="24"/>
              </w:rPr>
            </w:pPr>
            <w:r>
              <w:rPr>
                <w:rFonts w:hint="eastAsia" w:ascii="仿宋" w:hAnsi="仿宋" w:eastAsia="仿宋" w:cs="仿宋"/>
                <w:sz w:val="24"/>
                <w:szCs w:val="24"/>
              </w:rPr>
              <w:t>标项二：预算金额人民币：120万元；最高限价人民币：120万元</w:t>
            </w:r>
          </w:p>
          <w:p>
            <w:pPr>
              <w:rPr>
                <w:rFonts w:ascii="仿宋" w:hAnsi="仿宋" w:eastAsia="仿宋" w:cs="仿宋"/>
                <w:sz w:val="24"/>
                <w:szCs w:val="24"/>
              </w:rPr>
            </w:pPr>
            <w:r>
              <w:rPr>
                <w:rFonts w:hint="eastAsia" w:ascii="仿宋" w:hAnsi="仿宋" w:eastAsia="仿宋" w:cs="仿宋"/>
                <w:sz w:val="24"/>
                <w:szCs w:val="24"/>
              </w:rPr>
              <w:t>标项三：预算金额人民币：328.3万元；最高限价人民币：328.3万元</w:t>
            </w:r>
          </w:p>
          <w:p>
            <w:pPr>
              <w:rPr>
                <w:rFonts w:ascii="仿宋" w:hAnsi="仿宋" w:eastAsia="仿宋" w:cs="仿宋"/>
                <w:sz w:val="24"/>
                <w:szCs w:val="24"/>
              </w:rPr>
            </w:pPr>
            <w:r>
              <w:rPr>
                <w:rFonts w:hint="eastAsia" w:ascii="仿宋" w:hAnsi="仿宋" w:eastAsia="仿宋" w:cs="仿宋"/>
                <w:sz w:val="24"/>
                <w:szCs w:val="24"/>
              </w:rPr>
              <w:t>标项四：预算金额人民币：11.7万元；最高限价人民币：11.7万元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12</w:t>
            </w:r>
          </w:p>
        </w:tc>
        <w:tc>
          <w:tcPr>
            <w:tcW w:w="6840" w:type="dxa"/>
            <w:vAlign w:val="center"/>
          </w:tcPr>
          <w:p>
            <w:pPr>
              <w:pStyle w:val="11"/>
              <w:ind w:firstLine="0"/>
              <w:rPr>
                <w:rFonts w:ascii="仿宋" w:hAnsi="仿宋" w:eastAsia="仿宋" w:cs="仿宋"/>
                <w:kern w:val="2"/>
                <w:sz w:val="24"/>
                <w:szCs w:val="24"/>
              </w:rPr>
            </w:pPr>
            <w:r>
              <w:rPr>
                <w:rFonts w:hint="eastAsia" w:ascii="仿宋" w:hAnsi="仿宋" w:eastAsia="仿宋" w:cs="仿宋"/>
                <w:kern w:val="2"/>
                <w:sz w:val="24"/>
                <w:szCs w:val="24"/>
              </w:rPr>
              <w:t>投标保证金形式：☑对公转账☑保函  ☑保单☑电汇</w:t>
            </w:r>
          </w:p>
          <w:p>
            <w:pPr>
              <w:rPr>
                <w:rFonts w:ascii="仿宋" w:hAnsi="仿宋" w:eastAsia="仿宋" w:cs="仿宋"/>
                <w:sz w:val="24"/>
                <w:szCs w:val="24"/>
              </w:rPr>
            </w:pPr>
            <w:r>
              <w:rPr>
                <w:rFonts w:hint="eastAsia" w:ascii="仿宋" w:hAnsi="仿宋" w:eastAsia="仿宋" w:cs="仿宋"/>
                <w:sz w:val="24"/>
                <w:szCs w:val="24"/>
              </w:rPr>
              <w:t>保证金数额：标项一人民币：2.0万元；标项二人民币：2.0万元；标项三人民币：6.0万元；标项四人民币：0.2万元。</w:t>
            </w:r>
          </w:p>
          <w:p>
            <w:pPr>
              <w:rPr>
                <w:rFonts w:ascii="仿宋" w:hAnsi="仿宋" w:eastAsia="仿宋" w:cs="仿宋"/>
                <w:sz w:val="24"/>
                <w:szCs w:val="24"/>
              </w:rPr>
            </w:pPr>
            <w:r>
              <w:rPr>
                <w:rFonts w:hint="eastAsia" w:ascii="仿宋" w:hAnsi="仿宋" w:eastAsia="仿宋" w:cs="仿宋"/>
                <w:sz w:val="24"/>
                <w:szCs w:val="24"/>
              </w:rPr>
              <w:t xml:space="preserve">投标保证金收款人：新疆国源土地矿产资源交易中心（有限公司）            </w:t>
            </w:r>
          </w:p>
          <w:p>
            <w:pPr>
              <w:spacing w:line="240" w:lineRule="atLeast"/>
              <w:rPr>
                <w:rFonts w:ascii="仿宋" w:hAnsi="仿宋" w:eastAsia="仿宋" w:cs="仿宋"/>
                <w:sz w:val="24"/>
                <w:szCs w:val="24"/>
              </w:rPr>
            </w:pPr>
            <w:r>
              <w:rPr>
                <w:rFonts w:hint="eastAsia" w:ascii="仿宋" w:hAnsi="仿宋" w:eastAsia="仿宋" w:cs="仿宋"/>
                <w:sz w:val="24"/>
                <w:szCs w:val="24"/>
              </w:rPr>
              <w:t>开 户 行：兴业银行股份有限公司乌鲁木齐友好路支行</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账    号：512050100100003684 </w:t>
            </w:r>
          </w:p>
          <w:p>
            <w:pPr>
              <w:spacing w:line="240" w:lineRule="atLeast"/>
              <w:rPr>
                <w:rFonts w:ascii="仿宋" w:hAnsi="仿宋" w:eastAsia="仿宋" w:cs="仿宋"/>
                <w:sz w:val="24"/>
                <w:szCs w:val="24"/>
              </w:rPr>
            </w:pPr>
            <w:r>
              <w:rPr>
                <w:rFonts w:hint="eastAsia" w:ascii="仿宋" w:hAnsi="仿宋" w:eastAsia="仿宋" w:cs="仿宋"/>
                <w:sz w:val="24"/>
                <w:szCs w:val="24"/>
              </w:rPr>
              <w:t>★保证金缴纳要求：保证金须在开标前从投标供应商的基本账户一次性汇入指定账户，不接受现金、支票及任何个人、分公司汇款。若没有在规定时间内汇入指定账户，视为自动放弃本项目投标。打款时注明投标保证金项目名称、包号。</w:t>
            </w:r>
          </w:p>
          <w:p>
            <w:pPr>
              <w:rPr>
                <w:rFonts w:ascii="仿宋" w:hAnsi="仿宋" w:eastAsia="仿宋" w:cs="仿宋"/>
                <w:sz w:val="24"/>
                <w:szCs w:val="24"/>
              </w:rPr>
            </w:pPr>
            <w:r>
              <w:rPr>
                <w:rFonts w:hint="eastAsia" w:ascii="仿宋" w:hAnsi="仿宋" w:eastAsia="仿宋" w:cs="仿宋"/>
                <w:sz w:val="24"/>
                <w:szCs w:val="24"/>
              </w:rPr>
              <w:t>投标保证金的退还：</w:t>
            </w:r>
          </w:p>
          <w:p>
            <w:pPr>
              <w:rPr>
                <w:rFonts w:ascii="仿宋" w:hAnsi="仿宋" w:eastAsia="仿宋" w:cs="仿宋"/>
                <w:sz w:val="24"/>
                <w:szCs w:val="24"/>
              </w:rPr>
            </w:pPr>
            <w:r>
              <w:rPr>
                <w:rFonts w:hint="eastAsia" w:ascii="仿宋" w:hAnsi="仿宋" w:eastAsia="仿宋" w:cs="仿宋"/>
                <w:sz w:val="24"/>
                <w:szCs w:val="24"/>
              </w:rPr>
              <w:t>中标通知书发出之日起5个工作日内退还未中标人的投标保证金，中标单位投标保证金在与采购单位签订合同后，5个工作日内，无息退还保证金。中标人退还保证金需提交保证金收据（请注明：今收到新疆国源土地矿产资源交易中心（有限公司）退还  ×××项目  投标保证金</w:t>
            </w:r>
            <w:r>
              <w:rPr>
                <w:rFonts w:hint="eastAsia" w:ascii="仿宋" w:hAnsi="仿宋" w:eastAsia="仿宋" w:cs="仿宋"/>
                <w:sz w:val="24"/>
                <w:szCs w:val="24"/>
                <w:u w:val="single"/>
              </w:rPr>
              <w:t xml:space="preserve">       </w:t>
            </w:r>
            <w:r>
              <w:rPr>
                <w:rFonts w:hint="eastAsia" w:ascii="仿宋" w:hAnsi="仿宋" w:eastAsia="仿宋" w:cs="仿宋"/>
                <w:sz w:val="24"/>
                <w:szCs w:val="24"/>
              </w:rPr>
              <w:t>元），收据需加盖财务专用章。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13.1</w:t>
            </w:r>
          </w:p>
        </w:tc>
        <w:tc>
          <w:tcPr>
            <w:tcW w:w="6840" w:type="dxa"/>
            <w:vAlign w:val="center"/>
          </w:tcPr>
          <w:p>
            <w:pPr>
              <w:spacing w:line="240" w:lineRule="atLeast"/>
              <w:rPr>
                <w:rFonts w:ascii="仿宋" w:hAnsi="仿宋" w:eastAsia="仿宋" w:cs="仿宋"/>
                <w:sz w:val="24"/>
                <w:szCs w:val="24"/>
                <w:u w:val="single"/>
              </w:rPr>
            </w:pPr>
            <w:r>
              <w:rPr>
                <w:rFonts w:hint="eastAsia" w:ascii="仿宋" w:hAnsi="仿宋" w:eastAsia="仿宋" w:cs="仿宋"/>
                <w:sz w:val="24"/>
                <w:szCs w:val="24"/>
              </w:rPr>
              <w:t>投标有效期：</w:t>
            </w:r>
            <w:r>
              <w:rPr>
                <w:rFonts w:hint="eastAsia" w:ascii="仿宋" w:hAnsi="仿宋" w:eastAsia="仿宋" w:cs="仿宋"/>
                <w:sz w:val="24"/>
                <w:szCs w:val="24"/>
                <w:u w:val="single"/>
              </w:rPr>
              <w:t>　90</w:t>
            </w:r>
            <w:r>
              <w:rPr>
                <w:rFonts w:hint="eastAsia" w:ascii="仿宋" w:hAnsi="仿宋" w:eastAsia="仿宋" w:cs="仿宋"/>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14.1</w:t>
            </w:r>
          </w:p>
        </w:tc>
        <w:tc>
          <w:tcPr>
            <w:tcW w:w="6840" w:type="dxa"/>
            <w:vAlign w:val="center"/>
          </w:tcPr>
          <w:p>
            <w:pPr>
              <w:rPr>
                <w:rFonts w:hint="eastAsia" w:ascii="仿宋" w:hAnsi="仿宋" w:eastAsia="仿宋" w:cs="仿宋"/>
                <w:sz w:val="24"/>
                <w:szCs w:val="24"/>
              </w:rPr>
            </w:pPr>
            <w:r>
              <w:rPr>
                <w:rFonts w:hint="eastAsia" w:ascii="仿宋" w:hAnsi="仿宋" w:eastAsia="仿宋" w:cs="仿宋"/>
                <w:sz w:val="24"/>
                <w:szCs w:val="24"/>
              </w:rPr>
              <w:t>投标文件包括“报价单”、“商务资信投标文件”和“技术投标方案”三部分。</w:t>
            </w:r>
          </w:p>
          <w:p>
            <w:pPr>
              <w:rPr>
                <w:rFonts w:hint="eastAsia" w:ascii="仿宋" w:hAnsi="仿宋" w:eastAsia="仿宋" w:cs="仿宋"/>
                <w:sz w:val="24"/>
                <w:szCs w:val="24"/>
              </w:rPr>
            </w:pPr>
            <w:r>
              <w:rPr>
                <w:rFonts w:hint="eastAsia" w:ascii="仿宋" w:hAnsi="仿宋" w:eastAsia="仿宋" w:cs="仿宋"/>
                <w:sz w:val="24"/>
                <w:szCs w:val="24"/>
              </w:rPr>
              <w:t>投标文件的签署及规定：</w:t>
            </w:r>
          </w:p>
          <w:p>
            <w:pPr>
              <w:rPr>
                <w:rFonts w:hint="eastAsia" w:ascii="仿宋" w:hAnsi="仿宋" w:eastAsia="仿宋" w:cs="仿宋"/>
                <w:sz w:val="24"/>
                <w:szCs w:val="24"/>
              </w:rPr>
            </w:pPr>
            <w:r>
              <w:rPr>
                <w:rFonts w:hint="eastAsia" w:ascii="仿宋" w:hAnsi="仿宋" w:eastAsia="仿宋" w:cs="仿宋"/>
                <w:sz w:val="24"/>
                <w:szCs w:val="24"/>
              </w:rPr>
              <w:t>供应商应按供应商须知资料表中的规定，准备和上传投标文件。</w:t>
            </w:r>
          </w:p>
          <w:p>
            <w:pPr>
              <w:rPr>
                <w:rFonts w:hint="eastAsia" w:ascii="仿宋" w:hAnsi="仿宋" w:eastAsia="仿宋" w:cs="仿宋"/>
                <w:sz w:val="24"/>
                <w:szCs w:val="24"/>
              </w:rPr>
            </w:pPr>
            <w:r>
              <w:rPr>
                <w:rFonts w:hint="eastAsia" w:ascii="仿宋" w:hAnsi="仿宋" w:eastAsia="仿宋" w:cs="仿宋"/>
                <w:sz w:val="24"/>
                <w:szCs w:val="24"/>
              </w:rPr>
              <w:t>投标文件由供应商的法定代表人或委托代理人按采购文件规定在投标文件上签字并加盖单位印章。</w:t>
            </w:r>
          </w:p>
          <w:p>
            <w:pPr>
              <w:rPr>
                <w:sz w:val="24"/>
                <w:szCs w:val="24"/>
              </w:rPr>
            </w:pPr>
            <w:r>
              <w:rPr>
                <w:rFonts w:hint="eastAsia" w:ascii="仿宋" w:hAnsi="仿宋" w:eastAsia="仿宋" w:cs="仿宋"/>
                <w:sz w:val="24"/>
                <w:szCs w:val="24"/>
              </w:rPr>
              <w:t>供应商无论中标与否，开标后三天内向代理机构提交纸质版胶装成册的投标文件壹份，（须与招标文件中编制电子投标文件的格式一致）。（地址：乌鲁木齐市新市区阜新街1号智慧城2号楼3楼，收件人：孙丽  15160883519）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16．1</w:t>
            </w:r>
          </w:p>
        </w:tc>
        <w:tc>
          <w:tcPr>
            <w:tcW w:w="6840" w:type="dxa"/>
            <w:vAlign w:val="center"/>
          </w:tcPr>
          <w:p>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投标截止时间：</w:t>
            </w:r>
            <w:r>
              <w:rPr>
                <w:rFonts w:hint="eastAsia" w:ascii="仿宋" w:hAnsi="仿宋" w:eastAsia="仿宋"/>
                <w:color w:val="auto"/>
                <w:sz w:val="24"/>
                <w:szCs w:val="24"/>
              </w:rPr>
              <w:t>2023年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18.1</w:t>
            </w:r>
          </w:p>
        </w:tc>
        <w:tc>
          <w:tcPr>
            <w:tcW w:w="6840" w:type="dxa"/>
            <w:vAlign w:val="center"/>
          </w:tcPr>
          <w:p>
            <w:pPr>
              <w:spacing w:line="240" w:lineRule="atLeast"/>
              <w:rPr>
                <w:rFonts w:ascii="仿宋" w:hAnsi="仿宋" w:eastAsia="仿宋" w:cs="仿宋"/>
                <w:color w:val="auto"/>
                <w:sz w:val="24"/>
                <w:szCs w:val="24"/>
                <w:highlight w:val="red"/>
                <w:u w:val="single"/>
              </w:rPr>
            </w:pPr>
            <w:r>
              <w:rPr>
                <w:rFonts w:hint="eastAsia" w:ascii="仿宋" w:hAnsi="仿宋" w:eastAsia="仿宋" w:cs="仿宋"/>
                <w:color w:val="auto"/>
                <w:sz w:val="24"/>
                <w:szCs w:val="24"/>
              </w:rPr>
              <w:t>开标时间：</w:t>
            </w:r>
            <w:r>
              <w:rPr>
                <w:rFonts w:hint="eastAsia" w:ascii="仿宋" w:hAnsi="仿宋" w:eastAsia="仿宋"/>
                <w:color w:val="auto"/>
                <w:sz w:val="24"/>
                <w:szCs w:val="24"/>
              </w:rPr>
              <w:t>2023年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日 11:00（北京时间）</w:t>
            </w:r>
          </w:p>
          <w:p>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olor w:val="auto"/>
                <w:sz w:val="24"/>
                <w:szCs w:val="24"/>
              </w:rPr>
              <w:t>吐鲁番市高昌区丝绸大道4100号吐鲁番市行政服务中心（市公共资源交易中心）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23.2</w:t>
            </w:r>
          </w:p>
        </w:tc>
        <w:tc>
          <w:tcPr>
            <w:tcW w:w="6840" w:type="dxa"/>
            <w:vAlign w:val="center"/>
          </w:tcPr>
          <w:p>
            <w:pPr>
              <w:spacing w:line="240" w:lineRule="atLeast"/>
              <w:rPr>
                <w:rFonts w:ascii="仿宋" w:hAnsi="仿宋" w:eastAsia="仿宋" w:cs="仿宋"/>
                <w:i/>
                <w:color w:val="auto"/>
                <w:sz w:val="24"/>
                <w:szCs w:val="24"/>
              </w:rPr>
            </w:pPr>
            <w:r>
              <w:rPr>
                <w:rFonts w:hint="eastAsia" w:ascii="仿宋" w:hAnsi="仿宋" w:eastAsia="仿宋" w:cs="仿宋"/>
                <w:color w:val="auto"/>
                <w:sz w:val="24"/>
                <w:szCs w:val="24"/>
              </w:rPr>
              <w:t>评标方法：适用</w:t>
            </w:r>
            <w:r>
              <w:rPr>
                <w:rFonts w:hint="eastAsia" w:ascii="仿宋" w:hAnsi="仿宋" w:eastAsia="仿宋" w:cs="仿宋"/>
                <w:color w:val="auto"/>
                <w:sz w:val="24"/>
                <w:szCs w:val="24"/>
                <w:u w:val="single"/>
              </w:rPr>
              <w:t>综合评分法</w:t>
            </w:r>
            <w:r>
              <w:rPr>
                <w:rFonts w:hint="eastAsia" w:ascii="仿宋" w:hAnsi="仿宋" w:eastAsia="仿宋" w:cs="仿宋"/>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27</w:t>
            </w:r>
          </w:p>
        </w:tc>
        <w:tc>
          <w:tcPr>
            <w:tcW w:w="6840"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推荐中标候选供应商的数量：</w:t>
            </w:r>
            <w:r>
              <w:rPr>
                <w:rFonts w:hint="eastAsia" w:ascii="仿宋" w:hAnsi="仿宋" w:eastAsia="仿宋" w:cs="仿宋"/>
                <w:sz w:val="24"/>
                <w:szCs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27</w:t>
            </w:r>
          </w:p>
        </w:tc>
        <w:tc>
          <w:tcPr>
            <w:tcW w:w="6840"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招标人是否委托评标委员会直接确定中标人：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否 </w:t>
            </w:r>
            <w:r>
              <w:rPr>
                <w:rFonts w:hint="eastAsia" w:ascii="仿宋" w:hAnsi="仿宋" w:eastAsia="仿宋" w:cs="仿宋"/>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31.1</w:t>
            </w:r>
          </w:p>
        </w:tc>
        <w:tc>
          <w:tcPr>
            <w:tcW w:w="6840"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履约保证金金额：10%（不得超过政府采购合同金额的10%）。</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履约保证金形式： </w:t>
            </w:r>
            <w:bookmarkStart w:id="73" w:name="_Hlk22725541"/>
            <w:r>
              <w:rPr>
                <w:rFonts w:hint="eastAsia" w:ascii="仿宋" w:hAnsi="仿宋" w:eastAsia="仿宋" w:cs="仿宋"/>
                <w:sz w:val="24"/>
                <w:szCs w:val="24"/>
              </w:rPr>
              <w:t>电汇或企业账户网银汇款</w:t>
            </w:r>
            <w:bookmarkEnd w:id="73"/>
            <w:r>
              <w:rPr>
                <w:rFonts w:hint="eastAsia" w:ascii="仿宋" w:hAnsi="仿宋" w:eastAsia="仿宋" w:cs="仿宋"/>
                <w:sz w:val="24"/>
                <w:szCs w:val="24"/>
              </w:rPr>
              <w:t xml:space="preserve">。 </w:t>
            </w:r>
          </w:p>
          <w:p>
            <w:pPr>
              <w:spacing w:line="240" w:lineRule="atLeast"/>
              <w:rPr>
                <w:rFonts w:ascii="仿宋" w:hAnsi="仿宋" w:eastAsia="仿宋" w:cs="仿宋"/>
                <w:sz w:val="24"/>
                <w:szCs w:val="24"/>
              </w:rPr>
            </w:pPr>
            <w:r>
              <w:rPr>
                <w:rFonts w:hint="eastAsia" w:ascii="仿宋" w:hAnsi="仿宋" w:eastAsia="仿宋" w:cs="仿宋"/>
                <w:sz w:val="24"/>
                <w:szCs w:val="24"/>
              </w:rPr>
              <w:t>提交履约保证金的时间： 在中标通知书发出后</w:t>
            </w:r>
            <w:r>
              <w:rPr>
                <w:rFonts w:hint="eastAsia" w:ascii="仿宋" w:hAnsi="仿宋" w:eastAsia="仿宋" w:cs="仿宋"/>
                <w:sz w:val="24"/>
                <w:szCs w:val="24"/>
                <w:u w:val="single"/>
              </w:rPr>
              <w:t xml:space="preserve">  3  </w:t>
            </w:r>
            <w:r>
              <w:rPr>
                <w:rFonts w:hint="eastAsia" w:ascii="仿宋" w:hAnsi="仿宋" w:eastAsia="仿宋" w:cs="仿宋"/>
                <w:sz w:val="24"/>
                <w:szCs w:val="24"/>
              </w:rPr>
              <w:t>日历日内。</w:t>
            </w:r>
          </w:p>
          <w:p>
            <w:pPr>
              <w:spacing w:line="240" w:lineRule="atLeast"/>
              <w:rPr>
                <w:rFonts w:ascii="仿宋" w:hAnsi="仿宋" w:eastAsia="仿宋" w:cs="仿宋"/>
                <w:sz w:val="24"/>
                <w:szCs w:val="24"/>
                <w:u w:val="single"/>
              </w:rPr>
            </w:pPr>
            <w:r>
              <w:rPr>
                <w:rFonts w:hint="eastAsia" w:ascii="仿宋" w:hAnsi="仿宋" w:eastAsia="仿宋" w:cs="仿宋"/>
                <w:sz w:val="24"/>
                <w:szCs w:val="24"/>
              </w:rPr>
              <w:t>履约保证金收款人：吐鲁番市自然资源局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32</w:t>
            </w:r>
          </w:p>
        </w:tc>
        <w:tc>
          <w:tcPr>
            <w:tcW w:w="6840" w:type="dxa"/>
            <w:vAlign w:val="center"/>
          </w:tcPr>
          <w:p>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招标代理</w:t>
            </w:r>
            <w:r>
              <w:rPr>
                <w:rFonts w:hint="eastAsia" w:ascii="仿宋" w:hAnsi="仿宋" w:eastAsia="仿宋" w:cs="仿宋"/>
                <w:color w:val="auto"/>
                <w:sz w:val="24"/>
                <w:szCs w:val="24"/>
              </w:rPr>
              <w:t>服务费：代理费用由中标成交供应商支付，代理费用收取标准参照原国家计委计价格[2002]1980 号《招标代理服务收费管理暂行办法》和国家发改委发改办价格 [2003]857号《关于招标代理服务收费有关问题的通知》执行，招标代理服务收费采用差额定率累进计费方式，中标金额 100 万以下按照1.5%收</w:t>
            </w:r>
            <w:r>
              <w:rPr>
                <w:rFonts w:hint="eastAsia" w:ascii="仿宋" w:hAnsi="仿宋" w:eastAsia="仿宋" w:cs="仿宋"/>
                <w:color w:val="auto"/>
                <w:sz w:val="24"/>
                <w:szCs w:val="24"/>
                <w:lang w:val="en-US" w:eastAsia="zh-CN"/>
              </w:rPr>
              <w:t>取</w:t>
            </w:r>
            <w:r>
              <w:rPr>
                <w:rFonts w:hint="eastAsia" w:ascii="仿宋" w:hAnsi="仿宋" w:eastAsia="仿宋" w:cs="仿宋"/>
                <w:color w:val="auto"/>
                <w:sz w:val="24"/>
                <w:szCs w:val="24"/>
              </w:rPr>
              <w:t>、100 万-500 万按照 0.8%收</w:t>
            </w:r>
            <w:r>
              <w:rPr>
                <w:rFonts w:hint="eastAsia" w:ascii="仿宋" w:hAnsi="仿宋" w:eastAsia="仿宋" w:cs="仿宋"/>
                <w:color w:val="auto"/>
                <w:sz w:val="24"/>
                <w:szCs w:val="24"/>
                <w:lang w:val="en-US" w:eastAsia="zh-CN"/>
              </w:rPr>
              <w:t>取</w:t>
            </w:r>
            <w:r>
              <w:rPr>
                <w:rFonts w:hint="eastAsia" w:ascii="仿宋" w:hAnsi="仿宋" w:eastAsia="仿宋" w:cs="仿宋"/>
                <w:color w:val="auto"/>
                <w:sz w:val="24"/>
                <w:szCs w:val="24"/>
              </w:rPr>
              <w:t>。</w:t>
            </w:r>
          </w:p>
          <w:p>
            <w:pPr>
              <w:spacing w:line="240" w:lineRule="atLeast"/>
              <w:rPr>
                <w:rFonts w:ascii="仿宋" w:hAnsi="仿宋" w:eastAsia="仿宋" w:cs="仿宋"/>
                <w:sz w:val="24"/>
                <w:szCs w:val="24"/>
              </w:rPr>
            </w:pPr>
            <w:r>
              <w:rPr>
                <w:rFonts w:hint="eastAsia" w:ascii="仿宋" w:hAnsi="仿宋" w:eastAsia="仿宋" w:cs="仿宋"/>
                <w:sz w:val="24"/>
                <w:szCs w:val="24"/>
              </w:rPr>
              <w:t>支 付 方：由中标人支付</w:t>
            </w:r>
          </w:p>
          <w:p>
            <w:pPr>
              <w:spacing w:line="240" w:lineRule="atLeast"/>
              <w:rPr>
                <w:rFonts w:ascii="仿宋" w:hAnsi="仿宋" w:eastAsia="仿宋" w:cs="仿宋"/>
                <w:sz w:val="24"/>
                <w:szCs w:val="24"/>
              </w:rPr>
            </w:pPr>
            <w:r>
              <w:rPr>
                <w:rFonts w:hint="eastAsia" w:ascii="仿宋" w:hAnsi="仿宋" w:eastAsia="仿宋" w:cs="仿宋"/>
                <w:sz w:val="24"/>
                <w:szCs w:val="24"/>
              </w:rPr>
              <w:t xml:space="preserve">支付形式：对公转账 </w:t>
            </w:r>
          </w:p>
          <w:p>
            <w:pPr>
              <w:spacing w:line="240" w:lineRule="atLeast"/>
              <w:rPr>
                <w:rFonts w:ascii="仿宋" w:hAnsi="仿宋" w:eastAsia="仿宋" w:cs="仿宋"/>
                <w:sz w:val="24"/>
                <w:szCs w:val="24"/>
              </w:rPr>
            </w:pPr>
            <w:r>
              <w:rPr>
                <w:rFonts w:hint="eastAsia" w:ascii="仿宋" w:hAnsi="仿宋" w:eastAsia="仿宋" w:cs="仿宋"/>
                <w:sz w:val="24"/>
                <w:szCs w:val="24"/>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33</w:t>
            </w:r>
          </w:p>
        </w:tc>
        <w:tc>
          <w:tcPr>
            <w:tcW w:w="6840" w:type="dxa"/>
            <w:vAlign w:val="center"/>
          </w:tcPr>
          <w:p>
            <w:pPr>
              <w:spacing w:line="240" w:lineRule="atLeast"/>
              <w:rPr>
                <w:rFonts w:ascii="仿宋" w:hAnsi="仿宋" w:eastAsia="仿宋" w:cs="仿宋"/>
                <w:sz w:val="24"/>
                <w:szCs w:val="24"/>
              </w:rPr>
            </w:pPr>
            <w:r>
              <w:rPr>
                <w:rFonts w:hint="eastAsia" w:ascii="仿宋" w:hAnsi="仿宋" w:eastAsia="仿宋" w:cs="仿宋"/>
                <w:sz w:val="24"/>
                <w:szCs w:val="24"/>
              </w:rPr>
              <w:t>本项目是否属于信用担保试点范围：</w:t>
            </w:r>
            <w:r>
              <w:rPr>
                <w:rFonts w:hint="eastAsia" w:ascii="仿宋" w:hAnsi="仿宋" w:eastAsia="仿宋" w:cs="仿宋"/>
                <w:sz w:val="24"/>
                <w:szCs w:val="24"/>
                <w:u w:val="single"/>
              </w:rPr>
              <w:t xml:space="preserve"> 否</w:t>
            </w:r>
            <w:r>
              <w:rPr>
                <w:rFonts w:hint="eastAsia" w:ascii="仿宋" w:hAnsi="仿宋" w:eastAsia="仿宋" w:cs="仿宋"/>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6840" w:type="dxa"/>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中小微企业划分标准》</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1.根据《中华人民共和国中小企业促进法》和《国务院关于进一步促进中小企业发展的若干意见》(国发[2009]36号)，</w:t>
            </w:r>
            <w:r>
              <w:rPr>
                <w:rFonts w:hint="eastAsia" w:ascii="仿宋" w:hAnsi="仿宋" w:eastAsia="仿宋" w:cs="仿宋"/>
                <w:color w:val="auto"/>
                <w:sz w:val="24"/>
                <w:szCs w:val="24"/>
                <w:lang w:val="en-US" w:eastAsia="zh-CN"/>
              </w:rPr>
              <w:t>制定本规定。</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2.中小企业划分为中型、小型、微型三种类型，具体标准根据企业从业人员、营业收入、资产总额等指标，结合行业特点制定。</w:t>
            </w:r>
          </w:p>
          <w:p>
            <w:pPr>
              <w:spacing w:line="240" w:lineRule="atLeast"/>
              <w:rPr>
                <w:rFonts w:hint="eastAsia" w:ascii="仿宋" w:hAnsi="仿宋" w:eastAsia="仿宋" w:cs="仿宋"/>
                <w:sz w:val="24"/>
                <w:szCs w:val="24"/>
              </w:rPr>
            </w:pPr>
            <w:r>
              <w:rPr>
                <w:rFonts w:hint="eastAsia" w:ascii="仿宋" w:hAnsi="仿宋" w:eastAsia="仿宋" w:cs="仿宋"/>
                <w:color w:val="auto"/>
                <w:sz w:val="24"/>
                <w:szCs w:val="24"/>
                <w:lang w:val="en-US" w:eastAsia="zh-CN"/>
              </w:rPr>
              <w:t>3.本项目所适用行业：</w:t>
            </w:r>
            <w:r>
              <w:rPr>
                <w:rFonts w:hint="eastAsia" w:ascii="仿宋" w:hAnsi="仿宋" w:eastAsia="仿宋" w:cs="仿宋"/>
                <w:b/>
                <w:bCs/>
                <w:color w:val="auto"/>
                <w:sz w:val="24"/>
                <w:szCs w:val="24"/>
                <w:lang w:eastAsia="zh-CN"/>
              </w:rPr>
              <w:t>其他未列明行业。</w:t>
            </w:r>
          </w:p>
        </w:tc>
      </w:tr>
    </w:tbl>
    <w:p>
      <w:pPr>
        <w:spacing w:line="240" w:lineRule="atLeast"/>
        <w:ind w:left="1080" w:leftChars="257" w:hanging="540"/>
        <w:rPr>
          <w:rFonts w:ascii="仿宋" w:hAnsi="仿宋" w:eastAsia="仿宋" w:cs="仿宋"/>
          <w:sz w:val="24"/>
        </w:rPr>
        <w:sectPr>
          <w:footerReference r:id="rId4" w:type="default"/>
          <w:pgSz w:w="11906" w:h="16838"/>
          <w:pgMar w:top="1440" w:right="1797" w:bottom="1440" w:left="1797" w:header="851" w:footer="992" w:gutter="0"/>
          <w:pgNumType w:fmt="decimal" w:start="1"/>
          <w:cols w:space="720" w:num="1"/>
          <w:docGrid w:linePitch="312" w:charSpace="0"/>
        </w:sectPr>
      </w:pPr>
    </w:p>
    <w:p>
      <w:pPr>
        <w:pStyle w:val="7"/>
        <w:tabs>
          <w:tab w:val="left" w:pos="0"/>
        </w:tabs>
        <w:spacing w:before="0" w:after="0" w:line="240" w:lineRule="atLeast"/>
        <w:rPr>
          <w:rFonts w:ascii="仿宋" w:hAnsi="仿宋" w:eastAsia="仿宋" w:cs="仿宋"/>
        </w:rPr>
      </w:pPr>
      <w:bookmarkStart w:id="74" w:name="_Toc31798"/>
      <w:r>
        <w:rPr>
          <w:rFonts w:hint="eastAsia" w:ascii="仿宋" w:hAnsi="仿宋" w:eastAsia="仿宋" w:cs="仿宋"/>
        </w:rPr>
        <w:t>第</w:t>
      </w:r>
      <w:r>
        <w:rPr>
          <w:rFonts w:hint="eastAsia" w:ascii="仿宋" w:hAnsi="仿宋" w:eastAsia="仿宋" w:cs="仿宋"/>
          <w:lang w:val="en-US" w:eastAsia="zh-CN"/>
        </w:rPr>
        <w:t>3</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供应商须知</w:t>
      </w:r>
      <w:bookmarkEnd w:id="21"/>
      <w:bookmarkEnd w:id="22"/>
      <w:bookmarkEnd w:id="23"/>
      <w:bookmarkEnd w:id="74"/>
    </w:p>
    <w:p>
      <w:pPr>
        <w:rPr>
          <w:rFonts w:ascii="仿宋" w:hAnsi="仿宋" w:eastAsia="仿宋" w:cs="仿宋"/>
        </w:rPr>
      </w:pPr>
    </w:p>
    <w:p>
      <w:pPr>
        <w:pStyle w:val="8"/>
        <w:spacing w:before="0" w:line="240" w:lineRule="atLeast"/>
        <w:ind w:left="1080" w:leftChars="257" w:hanging="540"/>
        <w:rPr>
          <w:rFonts w:ascii="仿宋" w:hAnsi="仿宋" w:eastAsia="仿宋" w:cs="仿宋"/>
          <w:sz w:val="28"/>
        </w:rPr>
      </w:pPr>
      <w:bookmarkStart w:id="75" w:name="_Toc216582805"/>
      <w:bookmarkStart w:id="76" w:name="_Toc520356143"/>
      <w:bookmarkStart w:id="77" w:name="_Toc9485"/>
      <w:bookmarkStart w:id="78" w:name="_Toc518923060"/>
      <w:bookmarkStart w:id="79" w:name="_Toc20294"/>
      <w:bookmarkStart w:id="80" w:name="_Toc15948"/>
      <w:bookmarkStart w:id="81" w:name="_Toc32076"/>
      <w:r>
        <w:rPr>
          <w:rFonts w:hint="eastAsia" w:ascii="仿宋" w:hAnsi="仿宋" w:eastAsia="仿宋" w:cs="仿宋"/>
          <w:sz w:val="28"/>
        </w:rPr>
        <w:t xml:space="preserve">一   </w:t>
      </w:r>
      <w:bookmarkEnd w:id="75"/>
      <w:bookmarkEnd w:id="76"/>
      <w:r>
        <w:rPr>
          <w:rFonts w:hint="eastAsia" w:ascii="仿宋" w:hAnsi="仿宋" w:eastAsia="仿宋" w:cs="仿宋"/>
          <w:sz w:val="28"/>
        </w:rPr>
        <w:t>总  则</w:t>
      </w:r>
      <w:bookmarkEnd w:id="77"/>
      <w:bookmarkEnd w:id="78"/>
      <w:bookmarkEnd w:id="79"/>
      <w:bookmarkEnd w:id="80"/>
      <w:bookmarkEnd w:id="81"/>
    </w:p>
    <w:p>
      <w:pPr>
        <w:pStyle w:val="11"/>
        <w:rPr>
          <w:rFonts w:ascii="仿宋" w:hAnsi="仿宋" w:eastAsia="仿宋" w:cs="仿宋"/>
        </w:rPr>
      </w:pPr>
    </w:p>
    <w:p>
      <w:pPr>
        <w:pStyle w:val="9"/>
        <w:spacing w:before="0" w:after="0" w:line="240" w:lineRule="atLeast"/>
        <w:outlineLvl w:val="1"/>
        <w:rPr>
          <w:rFonts w:ascii="仿宋" w:hAnsi="仿宋" w:eastAsia="仿宋" w:cs="仿宋"/>
          <w:u w:val="none"/>
        </w:rPr>
      </w:pPr>
      <w:bookmarkStart w:id="82" w:name="_Toc12013"/>
      <w:bookmarkStart w:id="83" w:name="_Toc520356144"/>
      <w:bookmarkStart w:id="84" w:name="_Toc518923061"/>
      <w:bookmarkStart w:id="85" w:name="_Toc5631"/>
      <w:bookmarkStart w:id="86" w:name="_Toc24984"/>
      <w:bookmarkStart w:id="87" w:name="_Toc20307"/>
      <w:bookmarkStart w:id="88" w:name="_Toc31076"/>
      <w:r>
        <w:rPr>
          <w:rFonts w:hint="eastAsia" w:ascii="仿宋" w:hAnsi="仿宋" w:eastAsia="仿宋" w:cs="仿宋"/>
          <w:u w:val="none"/>
        </w:rPr>
        <w:t>1.采购人、采购代理机构及</w:t>
      </w:r>
      <w:bookmarkEnd w:id="82"/>
      <w:bookmarkEnd w:id="83"/>
      <w:bookmarkEnd w:id="84"/>
      <w:r>
        <w:rPr>
          <w:rFonts w:hint="eastAsia" w:ascii="仿宋" w:hAnsi="仿宋" w:eastAsia="仿宋" w:cs="仿宋"/>
          <w:u w:val="none"/>
        </w:rPr>
        <w:t>供应商</w:t>
      </w:r>
      <w:bookmarkEnd w:id="85"/>
      <w:bookmarkEnd w:id="86"/>
      <w:bookmarkEnd w:id="87"/>
      <w:bookmarkEnd w:id="88"/>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rPr>
        <w:t>供应商须知资料表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采购代理机构：是指集中采购代理机构或从事采购代理业务的社会中介机构。本项目的采购代理机构见</w:t>
      </w:r>
      <w:r>
        <w:rPr>
          <w:rFonts w:hint="eastAsia" w:ascii="仿宋" w:hAnsi="仿宋" w:eastAsia="仿宋" w:cs="仿宋"/>
          <w:b/>
          <w:bCs/>
          <w:sz w:val="24"/>
          <w:u w:val="single"/>
        </w:rPr>
        <w:t>供应商须知资料表</w:t>
      </w:r>
      <w:r>
        <w:rPr>
          <w:rFonts w:hint="eastAsia" w:ascii="仿宋" w:hAnsi="仿宋" w:eastAsia="仿宋" w:cs="仿宋"/>
          <w:sz w:val="24"/>
        </w:rPr>
        <w:t>。</w:t>
      </w:r>
    </w:p>
    <w:p>
      <w:pPr>
        <w:numPr>
          <w:ilvl w:val="1"/>
          <w:numId w:val="2"/>
        </w:numPr>
        <w:spacing w:line="240" w:lineRule="atLeast"/>
        <w:ind w:hangingChars="375"/>
        <w:rPr>
          <w:rFonts w:ascii="仿宋" w:hAnsi="仿宋" w:eastAsia="仿宋" w:cs="仿宋"/>
          <w:sz w:val="24"/>
        </w:rPr>
      </w:pPr>
      <w:r>
        <w:rPr>
          <w:rFonts w:hint="eastAsia" w:ascii="仿宋" w:hAnsi="仿宋" w:eastAsia="仿宋" w:cs="仿宋"/>
          <w:sz w:val="24"/>
        </w:rPr>
        <w:t>供应商：是指向采购人提供货物、工程或者服务的法人、非法人组织或者自然人。本项目的供应商须满足以下条件：</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以采购代理机构认可的方式获得了本项目的采购文件。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供应商须知资料表</w:t>
      </w:r>
      <w:r>
        <w:rPr>
          <w:rFonts w:hint="eastAsia" w:ascii="仿宋" w:hAnsi="仿宋" w:eastAsia="仿宋" w:cs="仿宋"/>
          <w:sz w:val="24"/>
        </w:rPr>
        <w:t>中规定的其他要求。</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供应商须知资料表</w:t>
      </w:r>
      <w:r>
        <w:rPr>
          <w:rFonts w:hint="eastAsia" w:ascii="仿宋" w:hAnsi="仿宋" w:eastAsia="仿宋" w:cs="仿宋"/>
          <w:sz w:val="24"/>
        </w:rPr>
        <w:t>中写明专门面向中小企业采购的，如供应商为非中小企业，其投标将被认定为投标无效。</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供应商须知资料表</w:t>
      </w:r>
      <w:r>
        <w:rPr>
          <w:rFonts w:hint="eastAsia" w:ascii="仿宋" w:hAnsi="仿宋" w:eastAsia="仿宋" w:cs="仿宋"/>
          <w:sz w:val="24"/>
        </w:rPr>
        <w:t>中允许联合体投标，对联合体规定如下：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两个以上供应商可以组成一个投标联合体，以一个供应商的身份投标。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采购人根据采购项目对供应商的特殊要求，联合体中至少应当有一方符合相关规定。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供应商须知资料表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w:t>
      </w:r>
      <w:r>
        <w:rPr>
          <w:rFonts w:hint="eastAsia" w:ascii="仿宋" w:hAnsi="仿宋" w:eastAsia="仿宋" w:cs="仿宋"/>
          <w:sz w:val="24"/>
        </w:rPr>
        <w:tab/>
      </w:r>
      <w:r>
        <w:rPr>
          <w:rFonts w:hint="eastAsia" w:ascii="仿宋" w:hAnsi="仿宋" w:eastAsia="仿宋" w:cs="仿宋"/>
          <w:sz w:val="24"/>
        </w:rPr>
        <w:t>供应商在投标过程中不得向采购人提供或给予影响其正常决策行为的任何有价值物品或服务。一经发现，其投标将被认定为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outlineLvl w:val="1"/>
        <w:rPr>
          <w:rFonts w:ascii="仿宋" w:hAnsi="仿宋" w:eastAsia="仿宋" w:cs="仿宋"/>
          <w:u w:val="none"/>
        </w:rPr>
      </w:pPr>
      <w:bookmarkStart w:id="89" w:name="_Toc31510"/>
      <w:bookmarkStart w:id="90" w:name="_Toc518923062"/>
      <w:bookmarkStart w:id="91" w:name="_Toc3741"/>
      <w:bookmarkStart w:id="92" w:name="_Toc16576"/>
      <w:bookmarkStart w:id="93" w:name="_Toc2643"/>
      <w:bookmarkStart w:id="94" w:name="_Toc4353"/>
      <w:r>
        <w:rPr>
          <w:rFonts w:hint="eastAsia" w:ascii="仿宋" w:hAnsi="仿宋" w:eastAsia="仿宋" w:cs="仿宋"/>
          <w:u w:val="none"/>
        </w:rPr>
        <w:t>2.资金来源</w:t>
      </w:r>
      <w:bookmarkEnd w:id="89"/>
      <w:bookmarkEnd w:id="90"/>
      <w:bookmarkEnd w:id="91"/>
      <w:bookmarkEnd w:id="92"/>
      <w:bookmarkEnd w:id="93"/>
      <w:bookmarkEnd w:id="94"/>
    </w:p>
    <w:p>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见供应商须知资料表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2.3    供应商报价超过采购文件规定的预算金额或者分项、分包最高限价的，其投标将被认定为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outlineLvl w:val="1"/>
        <w:rPr>
          <w:rFonts w:ascii="仿宋" w:hAnsi="仿宋" w:eastAsia="仿宋" w:cs="仿宋"/>
          <w:u w:val="none"/>
        </w:rPr>
      </w:pPr>
      <w:bookmarkStart w:id="95" w:name="_Toc28166"/>
      <w:bookmarkStart w:id="96" w:name="_Toc520356145"/>
      <w:bookmarkStart w:id="97" w:name="_Toc10400"/>
      <w:bookmarkStart w:id="98" w:name="_Toc518923063"/>
      <w:bookmarkStart w:id="99" w:name="_Toc7229"/>
      <w:bookmarkStart w:id="100" w:name="_Toc659"/>
      <w:bookmarkStart w:id="101" w:name="_Toc18608"/>
      <w:r>
        <w:rPr>
          <w:rFonts w:hint="eastAsia" w:ascii="仿宋" w:hAnsi="仿宋" w:eastAsia="仿宋" w:cs="仿宋"/>
          <w:u w:val="none"/>
        </w:rPr>
        <w:t>3.投标费用</w:t>
      </w:r>
      <w:bookmarkEnd w:id="95"/>
      <w:bookmarkEnd w:id="96"/>
      <w:bookmarkEnd w:id="97"/>
      <w:bookmarkEnd w:id="98"/>
      <w:bookmarkEnd w:id="99"/>
      <w:bookmarkEnd w:id="100"/>
      <w:bookmarkEnd w:id="101"/>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不论投标的结果如何，供应商应承担所有与准备和参加投标有关的费用。</w:t>
      </w:r>
    </w:p>
    <w:p>
      <w:pPr>
        <w:pStyle w:val="9"/>
        <w:spacing w:before="0" w:after="0" w:line="240" w:lineRule="atLeast"/>
        <w:outlineLvl w:val="1"/>
        <w:rPr>
          <w:rFonts w:ascii="仿宋" w:hAnsi="仿宋" w:eastAsia="仿宋" w:cs="仿宋"/>
          <w:u w:val="none"/>
        </w:rPr>
      </w:pPr>
      <w:bookmarkStart w:id="102" w:name="_Toc12262"/>
      <w:bookmarkStart w:id="103" w:name="_Toc32365"/>
      <w:bookmarkStart w:id="104" w:name="_Toc20581"/>
      <w:bookmarkStart w:id="105" w:name="_Toc23278"/>
      <w:bookmarkStart w:id="106" w:name="_Toc518923064"/>
      <w:bookmarkStart w:id="107" w:name="_Toc32635"/>
      <w:r>
        <w:rPr>
          <w:rFonts w:hint="eastAsia" w:ascii="仿宋" w:hAnsi="仿宋" w:eastAsia="仿宋" w:cs="仿宋"/>
          <w:u w:val="none"/>
        </w:rPr>
        <w:t>4.适用法律</w:t>
      </w:r>
      <w:bookmarkEnd w:id="102"/>
      <w:bookmarkEnd w:id="103"/>
      <w:bookmarkEnd w:id="104"/>
      <w:bookmarkEnd w:id="105"/>
      <w:bookmarkEnd w:id="106"/>
      <w:bookmarkEnd w:id="107"/>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ascii="仿宋" w:hAnsi="仿宋" w:eastAsia="仿宋" w:cs="仿宋"/>
          <w:sz w:val="24"/>
        </w:rPr>
      </w:pPr>
    </w:p>
    <w:p>
      <w:pPr>
        <w:pStyle w:val="8"/>
        <w:spacing w:before="0" w:line="240" w:lineRule="atLeast"/>
        <w:ind w:left="1080" w:leftChars="257" w:hanging="540"/>
        <w:rPr>
          <w:rFonts w:ascii="仿宋" w:hAnsi="仿宋" w:eastAsia="仿宋" w:cs="仿宋"/>
          <w:sz w:val="28"/>
        </w:rPr>
      </w:pPr>
      <w:bookmarkStart w:id="108" w:name="_Toc520356146"/>
      <w:bookmarkStart w:id="109" w:name="_Toc809"/>
      <w:bookmarkStart w:id="110" w:name="_Toc518923065"/>
      <w:bookmarkStart w:id="111" w:name="_Toc216582806"/>
      <w:bookmarkStart w:id="112" w:name="_Toc23931"/>
      <w:bookmarkStart w:id="113" w:name="_Toc16218"/>
      <w:bookmarkStart w:id="114" w:name="_Toc30015"/>
      <w:r>
        <w:rPr>
          <w:rFonts w:hint="eastAsia" w:ascii="仿宋" w:hAnsi="仿宋" w:eastAsia="仿宋" w:cs="仿宋"/>
          <w:sz w:val="28"/>
        </w:rPr>
        <w:t xml:space="preserve">二   </w:t>
      </w:r>
      <w:bookmarkEnd w:id="108"/>
      <w:bookmarkEnd w:id="109"/>
      <w:bookmarkEnd w:id="110"/>
      <w:bookmarkEnd w:id="111"/>
      <w:r>
        <w:rPr>
          <w:rFonts w:hint="eastAsia" w:ascii="仿宋" w:hAnsi="仿宋" w:eastAsia="仿宋" w:cs="仿宋"/>
          <w:sz w:val="28"/>
        </w:rPr>
        <w:t>采购文件</w:t>
      </w:r>
      <w:bookmarkEnd w:id="112"/>
      <w:bookmarkEnd w:id="113"/>
      <w:bookmarkEnd w:id="114"/>
    </w:p>
    <w:p>
      <w:pPr>
        <w:pStyle w:val="11"/>
        <w:rPr>
          <w:rFonts w:ascii="仿宋" w:hAnsi="仿宋" w:eastAsia="仿宋" w:cs="仿宋"/>
        </w:rPr>
      </w:pPr>
    </w:p>
    <w:p>
      <w:pPr>
        <w:pStyle w:val="9"/>
        <w:spacing w:before="0" w:after="0" w:line="240" w:lineRule="atLeast"/>
        <w:outlineLvl w:val="1"/>
        <w:rPr>
          <w:rFonts w:ascii="仿宋" w:hAnsi="仿宋" w:eastAsia="仿宋" w:cs="仿宋"/>
          <w:u w:val="none"/>
        </w:rPr>
      </w:pPr>
      <w:bookmarkStart w:id="115" w:name="_Toc19005"/>
      <w:bookmarkStart w:id="116" w:name="_Toc22990"/>
      <w:bookmarkStart w:id="117" w:name="_Toc520356147"/>
      <w:bookmarkStart w:id="118" w:name="_Toc518923066"/>
      <w:bookmarkStart w:id="119" w:name="_Toc10395"/>
      <w:bookmarkStart w:id="120" w:name="_Toc26053"/>
      <w:bookmarkStart w:id="121" w:name="_Toc27254"/>
      <w:r>
        <w:rPr>
          <w:rFonts w:hint="eastAsia" w:ascii="仿宋" w:hAnsi="仿宋" w:eastAsia="仿宋" w:cs="仿宋"/>
          <w:u w:val="none"/>
        </w:rPr>
        <w:t>5.采购文件构成</w:t>
      </w:r>
      <w:bookmarkEnd w:id="115"/>
      <w:bookmarkEnd w:id="116"/>
      <w:bookmarkEnd w:id="117"/>
      <w:bookmarkEnd w:id="118"/>
      <w:bookmarkEnd w:id="119"/>
      <w:bookmarkEnd w:id="120"/>
      <w:bookmarkEnd w:id="121"/>
    </w:p>
    <w:p>
      <w:pPr>
        <w:spacing w:line="240" w:lineRule="atLeas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采购文件分为三册共7章，内容如下：</w:t>
      </w:r>
    </w:p>
    <w:p>
      <w:pPr>
        <w:spacing w:line="240" w:lineRule="atLeast"/>
        <w:ind w:left="1079" w:leftChars="428" w:hanging="180" w:hangingChars="75"/>
        <w:outlineLvl w:val="0"/>
        <w:rPr>
          <w:rFonts w:ascii="仿宋" w:hAnsi="仿宋" w:eastAsia="仿宋" w:cs="仿宋"/>
          <w:sz w:val="24"/>
        </w:rPr>
      </w:pPr>
      <w:bookmarkStart w:id="122" w:name="_Toc11871"/>
      <w:bookmarkStart w:id="123" w:name="_Toc20395"/>
      <w:bookmarkStart w:id="124" w:name="_Toc8421"/>
      <w:bookmarkStart w:id="125" w:name="_Toc22649"/>
      <w:r>
        <w:rPr>
          <w:rFonts w:hint="eastAsia" w:ascii="仿宋" w:hAnsi="仿宋" w:eastAsia="仿宋" w:cs="仿宋"/>
          <w:sz w:val="24"/>
        </w:rPr>
        <w:t>第一册</w:t>
      </w:r>
      <w:bookmarkEnd w:id="122"/>
      <w:bookmarkEnd w:id="123"/>
      <w:bookmarkEnd w:id="124"/>
      <w:bookmarkEnd w:id="125"/>
      <w:r>
        <w:rPr>
          <w:rFonts w:hint="eastAsia" w:ascii="仿宋" w:hAnsi="仿宋" w:eastAsia="仿宋" w:cs="仿宋"/>
          <w:sz w:val="24"/>
        </w:rPr>
        <w:t xml:space="preserve"> </w:t>
      </w:r>
    </w:p>
    <w:p>
      <w:pPr>
        <w:spacing w:line="240" w:lineRule="atLeast"/>
        <w:ind w:left="901" w:leftChars="429"/>
        <w:rPr>
          <w:rFonts w:ascii="仿宋" w:hAnsi="仿宋" w:eastAsia="仿宋" w:cs="仿宋"/>
          <w:sz w:val="24"/>
        </w:rPr>
      </w:pPr>
      <w:r>
        <w:rPr>
          <w:rFonts w:hint="eastAsia" w:ascii="仿宋" w:hAnsi="仿宋" w:eastAsia="仿宋" w:cs="仿宋"/>
          <w:sz w:val="24"/>
        </w:rPr>
        <w:t>第1章  招标公告</w:t>
      </w:r>
    </w:p>
    <w:p>
      <w:pPr>
        <w:spacing w:line="240" w:lineRule="atLeast"/>
        <w:ind w:left="901"/>
        <w:rPr>
          <w:rFonts w:ascii="仿宋" w:hAnsi="仿宋" w:eastAsia="仿宋" w:cs="仿宋"/>
          <w:sz w:val="24"/>
        </w:rPr>
      </w:pPr>
      <w:r>
        <w:rPr>
          <w:rFonts w:hint="eastAsia" w:ascii="仿宋" w:hAnsi="仿宋" w:eastAsia="仿宋" w:cs="仿宋"/>
          <w:sz w:val="24"/>
        </w:rPr>
        <w:t>第2章　供应商须知资料表</w:t>
      </w:r>
    </w:p>
    <w:p>
      <w:pPr>
        <w:spacing w:line="240" w:lineRule="atLeast"/>
        <w:ind w:left="1081" w:leftChars="429" w:hanging="180"/>
        <w:rPr>
          <w:rFonts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901" w:leftChars="429"/>
        <w:rPr>
          <w:rFonts w:hint="eastAsia" w:ascii="仿宋" w:hAnsi="仿宋" w:eastAsia="仿宋" w:cs="仿宋"/>
          <w:sz w:val="24"/>
        </w:rPr>
      </w:pPr>
      <w:r>
        <w:rPr>
          <w:rFonts w:hint="eastAsia" w:ascii="仿宋" w:hAnsi="仿宋" w:eastAsia="仿宋" w:cs="仿宋"/>
          <w:sz w:val="24"/>
        </w:rPr>
        <w:t xml:space="preserve"> 供应商须知</w:t>
      </w:r>
    </w:p>
    <w:p>
      <w:pPr>
        <w:numPr>
          <w:ilvl w:val="0"/>
          <w:numId w:val="3"/>
        </w:numPr>
        <w:spacing w:line="240" w:lineRule="atLeast"/>
        <w:ind w:left="901" w:leftChars="429"/>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投标文件格式</w:t>
      </w:r>
    </w:p>
    <w:p>
      <w:pPr>
        <w:spacing w:line="240" w:lineRule="atLeast"/>
        <w:ind w:left="901" w:leftChars="429"/>
        <w:rPr>
          <w:rFonts w:ascii="仿宋" w:hAnsi="仿宋" w:eastAsia="仿宋" w:cs="仿宋"/>
          <w:sz w:val="24"/>
        </w:rPr>
      </w:pPr>
      <w:r>
        <w:rPr>
          <w:rFonts w:hint="eastAsia" w:ascii="仿宋" w:hAnsi="仿宋" w:eastAsia="仿宋" w:cs="仿宋"/>
          <w:sz w:val="24"/>
        </w:rPr>
        <w:t>第5章  采购需求</w:t>
      </w:r>
    </w:p>
    <w:p>
      <w:pPr>
        <w:spacing w:line="240" w:lineRule="atLeast"/>
        <w:ind w:left="901" w:leftChars="429"/>
        <w:rPr>
          <w:rFonts w:ascii="仿宋" w:hAnsi="仿宋" w:eastAsia="仿宋" w:cs="仿宋"/>
          <w:sz w:val="24"/>
        </w:rPr>
      </w:pPr>
      <w:r>
        <w:rPr>
          <w:rFonts w:hint="eastAsia" w:ascii="仿宋" w:hAnsi="仿宋" w:eastAsia="仿宋" w:cs="仿宋"/>
          <w:sz w:val="24"/>
        </w:rPr>
        <w:t>第6章  评标方法和标准</w:t>
      </w:r>
    </w:p>
    <w:p>
      <w:pPr>
        <w:spacing w:line="240" w:lineRule="atLeast"/>
        <w:ind w:left="901"/>
        <w:rPr>
          <w:rFonts w:ascii="仿宋" w:hAnsi="仿宋" w:eastAsia="仿宋" w:cs="仿宋"/>
          <w:sz w:val="24"/>
        </w:rPr>
      </w:pPr>
      <w:r>
        <w:rPr>
          <w:rFonts w:hint="eastAsia" w:ascii="仿宋" w:hAnsi="仿宋" w:eastAsia="仿宋" w:cs="仿宋"/>
          <w:sz w:val="24"/>
        </w:rPr>
        <w:t>第三册</w:t>
      </w:r>
    </w:p>
    <w:p>
      <w:pPr>
        <w:spacing w:line="240" w:lineRule="atLeast"/>
        <w:ind w:left="901" w:leftChars="429"/>
        <w:outlineLvl w:val="0"/>
        <w:rPr>
          <w:rFonts w:ascii="仿宋" w:hAnsi="仿宋" w:eastAsia="仿宋" w:cs="仿宋"/>
          <w:sz w:val="24"/>
        </w:rPr>
      </w:pPr>
      <w:bookmarkStart w:id="126" w:name="_Toc25206"/>
      <w:bookmarkStart w:id="127" w:name="_Toc15422"/>
      <w:bookmarkStart w:id="128" w:name="_Toc3539"/>
      <w:bookmarkStart w:id="129" w:name="_Toc21991"/>
      <w:r>
        <w:rPr>
          <w:rFonts w:hint="eastAsia" w:ascii="仿宋" w:hAnsi="仿宋" w:eastAsia="仿宋" w:cs="仿宋"/>
          <w:sz w:val="24"/>
        </w:rPr>
        <w:t>第7章  政府采购合同</w:t>
      </w:r>
      <w:bookmarkEnd w:id="126"/>
      <w:bookmarkEnd w:id="127"/>
      <w:bookmarkEnd w:id="128"/>
      <w:bookmarkEnd w:id="129"/>
    </w:p>
    <w:p>
      <w:pPr>
        <w:spacing w:line="240" w:lineRule="atLeast"/>
        <w:ind w:left="900" w:hanging="900" w:hangingChars="375"/>
        <w:outlineLvl w:val="1"/>
        <w:rPr>
          <w:rFonts w:ascii="仿宋" w:hAnsi="仿宋" w:eastAsia="仿宋" w:cs="仿宋"/>
          <w:sz w:val="24"/>
        </w:rPr>
      </w:pPr>
      <w:bookmarkStart w:id="130" w:name="_Toc16592"/>
      <w:bookmarkStart w:id="131" w:name="_Toc23879"/>
      <w:bookmarkStart w:id="132" w:name="_Toc10317"/>
      <w:bookmarkStart w:id="133" w:name="_Toc18680"/>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bookmarkEnd w:id="130"/>
      <w:bookmarkEnd w:id="131"/>
      <w:bookmarkEnd w:id="132"/>
      <w:bookmarkEnd w:id="133"/>
    </w:p>
    <w:p>
      <w:pPr>
        <w:spacing w:line="240" w:lineRule="atLeast"/>
        <w:ind w:left="900" w:hanging="900" w:hangingChars="375"/>
        <w:rPr>
          <w:rFonts w:ascii="仿宋" w:hAnsi="仿宋" w:eastAsia="仿宋" w:cs="仿宋"/>
          <w:sz w:val="24"/>
        </w:rPr>
      </w:pPr>
      <w:r>
        <w:rPr>
          <w:rFonts w:hint="eastAsia" w:ascii="仿宋" w:hAnsi="仿宋" w:eastAsia="仿宋" w:cs="仿宋"/>
          <w:sz w:val="24"/>
        </w:rPr>
        <w:t>5.3    供应商应认真阅读采购文件所有的事项、格式、条款和技术规范等。如供应商没有按照采购文件要求提交全部资料，或者投标文件没有对采购文件在各方面都做出实质性响应，可能导致其投标被认定为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ascii="仿宋" w:hAnsi="仿宋" w:eastAsia="仿宋" w:cs="仿宋"/>
          <w:b w:val="0"/>
          <w:u w:val="none"/>
        </w:rPr>
      </w:pPr>
      <w:bookmarkStart w:id="134" w:name="_Toc520356148"/>
      <w:bookmarkStart w:id="135" w:name="_Toc21314"/>
      <w:bookmarkStart w:id="136" w:name="_Toc518923067"/>
      <w:r>
        <w:rPr>
          <w:rFonts w:hint="eastAsia" w:ascii="仿宋" w:hAnsi="仿宋" w:eastAsia="仿宋" w:cs="仿宋"/>
          <w:u w:val="none"/>
        </w:rPr>
        <w:t>6.采购文件的澄清</w:t>
      </w:r>
      <w:bookmarkEnd w:id="134"/>
      <w:r>
        <w:rPr>
          <w:rFonts w:hint="eastAsia" w:ascii="仿宋" w:hAnsi="仿宋" w:eastAsia="仿宋" w:cs="仿宋"/>
          <w:u w:val="none"/>
        </w:rPr>
        <w:t>与修改</w:t>
      </w:r>
      <w:bookmarkEnd w:id="135"/>
      <w:bookmarkEnd w:id="136"/>
    </w:p>
    <w:p>
      <w:pPr>
        <w:pStyle w:val="11"/>
        <w:ind w:left="840" w:hanging="840" w:hangingChars="350"/>
        <w:rPr>
          <w:rFonts w:ascii="仿宋" w:hAnsi="仿宋" w:eastAsia="仿宋" w:cs="仿宋"/>
          <w:szCs w:val="24"/>
        </w:rPr>
      </w:pPr>
      <w:r>
        <w:rPr>
          <w:rFonts w:hint="eastAsia" w:ascii="仿宋" w:hAnsi="仿宋" w:eastAsia="仿宋" w:cs="仿宋"/>
          <w:szCs w:val="24"/>
        </w:rPr>
        <w:t>6.1    为了保证对采购文件的澄清和修改满足法律的时限要求，任何要求对采购文件进行澄清的供应商，均应在投标截止期十五日前，以书面形式将澄清要求通知采购人或采购代理机构。</w:t>
      </w:r>
    </w:p>
    <w:p>
      <w:pPr>
        <w:pStyle w:val="11"/>
        <w:ind w:left="840" w:hanging="840" w:hangingChars="350"/>
        <w:rPr>
          <w:rFonts w:ascii="仿宋" w:hAnsi="仿宋" w:eastAsia="仿宋" w:cs="仿宋"/>
          <w:szCs w:val="24"/>
        </w:rPr>
      </w:pPr>
      <w:bookmarkStart w:id="137" w:name="_Toc520356149"/>
      <w:bookmarkStart w:id="138"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采购人可主动地或在解答供应商提出的澄清问题时对采购文件澄清或修改。采购代理机构将以发布澄清（更正）公告的方式，澄清或修改采购文件，澄清或修改内容作为采购文件的组成部分。</w:t>
      </w:r>
    </w:p>
    <w:p>
      <w:pPr>
        <w:pStyle w:val="11"/>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澄清或者修改的内容可能影响投标文件编制的，采购代理机构将以发布澄清（更正）公告的方式告知所有潜在供应商，并对其具有约束力。</w:t>
      </w:r>
    </w:p>
    <w:p>
      <w:pPr>
        <w:pStyle w:val="9"/>
        <w:tabs>
          <w:tab w:val="left" w:pos="900"/>
        </w:tabs>
        <w:spacing w:before="0" w:after="0" w:line="240" w:lineRule="atLeast"/>
        <w:rPr>
          <w:rFonts w:ascii="仿宋" w:hAnsi="仿宋" w:eastAsia="仿宋" w:cs="仿宋"/>
          <w:u w:val="none"/>
        </w:rPr>
      </w:pPr>
      <w:bookmarkStart w:id="139" w:name="_Toc518923068"/>
      <w:bookmarkStart w:id="140" w:name="_Toc10994"/>
      <w:r>
        <w:rPr>
          <w:rFonts w:hint="eastAsia" w:ascii="仿宋" w:hAnsi="仿宋" w:eastAsia="仿宋" w:cs="仿宋"/>
          <w:u w:val="none"/>
        </w:rPr>
        <w:t>7</w:t>
      </w:r>
      <w:bookmarkEnd w:id="137"/>
      <w:bookmarkEnd w:id="138"/>
      <w:r>
        <w:rPr>
          <w:rFonts w:hint="eastAsia" w:ascii="仿宋" w:hAnsi="仿宋" w:eastAsia="仿宋" w:cs="仿宋"/>
          <w:u w:val="none"/>
        </w:rPr>
        <w:t>.投标截止时间的顺延</w:t>
      </w:r>
      <w:bookmarkEnd w:id="139"/>
      <w:bookmarkEnd w:id="140"/>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为使供应商准备投标时有足够的时间对采购文件的澄清或者修改部分进行研究，采购人将依法决定是否顺延投标截止时间。</w:t>
      </w:r>
    </w:p>
    <w:p>
      <w:pPr>
        <w:spacing w:line="240" w:lineRule="atLeast"/>
        <w:ind w:left="900" w:hanging="900" w:hangingChars="375"/>
        <w:rPr>
          <w:rFonts w:ascii="仿宋" w:hAnsi="仿宋" w:eastAsia="仿宋" w:cs="仿宋"/>
          <w:sz w:val="24"/>
        </w:rPr>
      </w:pPr>
    </w:p>
    <w:p>
      <w:pPr>
        <w:pStyle w:val="8"/>
        <w:tabs>
          <w:tab w:val="left" w:pos="900"/>
        </w:tabs>
        <w:spacing w:before="0" w:line="240" w:lineRule="atLeast"/>
        <w:ind w:left="1080" w:leftChars="257" w:hanging="540"/>
        <w:rPr>
          <w:rFonts w:ascii="仿宋" w:hAnsi="仿宋" w:eastAsia="仿宋" w:cs="仿宋"/>
          <w:sz w:val="28"/>
        </w:rPr>
      </w:pPr>
      <w:bookmarkStart w:id="141" w:name="_Toc516367020"/>
      <w:bookmarkStart w:id="142" w:name="_Toc518923069"/>
      <w:bookmarkStart w:id="143" w:name="_Toc5503"/>
      <w:bookmarkStart w:id="144" w:name="_Toc25389"/>
      <w:bookmarkStart w:id="145" w:name="_Toc12637"/>
      <w:bookmarkStart w:id="146" w:name="_Toc216582807"/>
      <w:bookmarkStart w:id="147" w:name="_Toc520356150"/>
      <w:bookmarkStart w:id="148" w:name="_Toc17097"/>
      <w:r>
        <w:rPr>
          <w:rFonts w:hint="eastAsia" w:ascii="仿宋" w:hAnsi="仿宋" w:eastAsia="仿宋" w:cs="仿宋"/>
          <w:sz w:val="28"/>
        </w:rPr>
        <w:t>三   投标文件</w:t>
      </w:r>
      <w:bookmarkEnd w:id="141"/>
      <w:r>
        <w:rPr>
          <w:rFonts w:hint="eastAsia" w:ascii="仿宋" w:hAnsi="仿宋" w:eastAsia="仿宋" w:cs="仿宋"/>
          <w:sz w:val="28"/>
        </w:rPr>
        <w:t>的编制</w:t>
      </w:r>
      <w:bookmarkEnd w:id="142"/>
      <w:bookmarkEnd w:id="143"/>
      <w:bookmarkEnd w:id="144"/>
      <w:bookmarkEnd w:id="145"/>
      <w:bookmarkEnd w:id="146"/>
      <w:bookmarkEnd w:id="147"/>
      <w:bookmarkEnd w:id="148"/>
    </w:p>
    <w:p>
      <w:pPr>
        <w:pStyle w:val="11"/>
        <w:rPr>
          <w:rFonts w:ascii="仿宋" w:hAnsi="仿宋" w:eastAsia="仿宋" w:cs="仿宋"/>
        </w:rPr>
      </w:pPr>
    </w:p>
    <w:p>
      <w:pPr>
        <w:pStyle w:val="9"/>
        <w:tabs>
          <w:tab w:val="left" w:pos="900"/>
        </w:tabs>
        <w:spacing w:before="0" w:after="0" w:line="240" w:lineRule="atLeast"/>
        <w:rPr>
          <w:rFonts w:ascii="仿宋" w:hAnsi="仿宋" w:eastAsia="仿宋" w:cs="仿宋"/>
          <w:u w:val="none"/>
        </w:rPr>
      </w:pPr>
      <w:bookmarkStart w:id="149" w:name="_Toc516367021"/>
      <w:bookmarkStart w:id="150" w:name="_Toc518923070"/>
      <w:bookmarkStart w:id="151" w:name="_Toc520356151"/>
      <w:bookmarkStart w:id="152" w:name="_Toc6728"/>
      <w:r>
        <w:rPr>
          <w:rFonts w:hint="eastAsia" w:ascii="仿宋" w:hAnsi="仿宋" w:eastAsia="仿宋" w:cs="仿宋"/>
          <w:u w:val="none"/>
        </w:rPr>
        <w:t>8.投标范围及投标文件中标准和计量单位的使用</w:t>
      </w:r>
      <w:bookmarkEnd w:id="149"/>
      <w:bookmarkEnd w:id="150"/>
      <w:bookmarkEnd w:id="151"/>
      <w:bookmarkEnd w:id="152"/>
    </w:p>
    <w:p>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项目有分包的，供应商可对采购文件其中一个或几个分包进行投标，除非在</w:t>
      </w:r>
      <w:r>
        <w:rPr>
          <w:rFonts w:hint="eastAsia" w:ascii="仿宋" w:hAnsi="仿宋" w:eastAsia="仿宋" w:cs="仿宋"/>
          <w:sz w:val="24"/>
          <w:u w:val="single"/>
        </w:rPr>
        <w:t>供应商须知资料表</w:t>
      </w:r>
      <w:r>
        <w:rPr>
          <w:rFonts w:hint="eastAsia" w:ascii="仿宋" w:hAnsi="仿宋" w:eastAsia="仿宋" w:cs="仿宋"/>
          <w:sz w:val="24"/>
        </w:rPr>
        <w:t>中另有规定。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8.2    供应商应当对所投分包采购文件中“采购需求”所列的所有服务内容进行投标，如仅响应分包中的部分内容，其投标将被认定为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8.3     无论采购文件第5章采购需求中是否要求，供应商所投服务均应符合国家强制性标准。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8.4     除采购文件中有特殊要求外，投标文件中所使用的计量单位，应采用中华人民共和国法定计量单位。</w:t>
      </w:r>
    </w:p>
    <w:p>
      <w:pPr>
        <w:pStyle w:val="9"/>
        <w:tabs>
          <w:tab w:val="left" w:pos="900"/>
        </w:tabs>
        <w:spacing w:before="0" w:after="0" w:line="240" w:lineRule="atLeast"/>
        <w:rPr>
          <w:rFonts w:ascii="仿宋" w:hAnsi="仿宋" w:eastAsia="仿宋" w:cs="仿宋"/>
          <w:u w:val="none"/>
        </w:rPr>
      </w:pPr>
      <w:bookmarkStart w:id="153" w:name="_Ref467306195"/>
      <w:bookmarkStart w:id="154" w:name="_Ref467306676"/>
      <w:bookmarkStart w:id="155" w:name="_Toc516367022"/>
      <w:bookmarkStart w:id="156" w:name="_Toc15487"/>
      <w:bookmarkStart w:id="157" w:name="_Toc520356152"/>
      <w:bookmarkStart w:id="158" w:name="_Toc518923071"/>
      <w:r>
        <w:rPr>
          <w:rFonts w:hint="eastAsia" w:ascii="仿宋" w:hAnsi="仿宋" w:eastAsia="仿宋" w:cs="仿宋"/>
          <w:u w:val="none"/>
        </w:rPr>
        <w:t>9.投标文件</w:t>
      </w:r>
      <w:bookmarkEnd w:id="153"/>
      <w:bookmarkEnd w:id="154"/>
      <w:bookmarkEnd w:id="155"/>
      <w:r>
        <w:rPr>
          <w:rFonts w:hint="eastAsia" w:ascii="仿宋" w:hAnsi="仿宋" w:eastAsia="仿宋" w:cs="仿宋"/>
          <w:u w:val="none"/>
        </w:rPr>
        <w:t>构成</w:t>
      </w:r>
      <w:bookmarkEnd w:id="156"/>
      <w:bookmarkEnd w:id="157"/>
      <w:bookmarkEnd w:id="158"/>
    </w:p>
    <w:p>
      <w:pPr>
        <w:tabs>
          <w:tab w:val="left" w:pos="900"/>
          <w:tab w:val="left" w:pos="5580"/>
        </w:tabs>
        <w:spacing w:line="240" w:lineRule="atLeast"/>
        <w:ind w:left="960" w:hanging="960" w:hangingChars="400"/>
        <w:jc w:val="left"/>
        <w:rPr>
          <w:rFonts w:ascii="仿宋" w:hAnsi="仿宋" w:eastAsia="仿宋" w:cs="仿宋"/>
          <w:sz w:val="24"/>
          <w:u w:val="single"/>
        </w:rPr>
      </w:pPr>
      <w:bookmarkStart w:id="159"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sz w:val="24"/>
          <w:u w:val="single"/>
        </w:rPr>
        <w:t>供应商应完整地按采购文件提供的投标文件格式及要求编写投标文件，投标文件应包括</w:t>
      </w:r>
      <w:bookmarkEnd w:id="159"/>
      <w:r>
        <w:rPr>
          <w:rFonts w:hint="eastAsia" w:ascii="仿宋" w:hAnsi="仿宋" w:eastAsia="仿宋" w:cs="仿宋"/>
          <w:b/>
          <w:bCs/>
          <w:sz w:val="24"/>
          <w:u w:val="single"/>
        </w:rPr>
        <w:t>“报价单”、“商务资信投标文件”和“技术投标方案”三部分。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上述文件应按照采购文件规定的格式填写、签署和盖章。若供应商未依照要求制作投标文件的，则视为不响应采购文件编制投标文件的要求，</w:t>
      </w:r>
      <w:r>
        <w:rPr>
          <w:rFonts w:hint="eastAsia" w:ascii="仿宋" w:hAnsi="仿宋" w:eastAsia="仿宋" w:cs="仿宋"/>
          <w:b/>
          <w:bCs/>
          <w:sz w:val="24"/>
        </w:rPr>
        <w:t>为无效投标。</w:t>
      </w:r>
    </w:p>
    <w:p>
      <w:pPr>
        <w:pStyle w:val="9"/>
        <w:tabs>
          <w:tab w:val="left" w:pos="900"/>
        </w:tabs>
        <w:spacing w:before="0" w:after="0" w:line="240" w:lineRule="atLeast"/>
        <w:rPr>
          <w:rFonts w:ascii="仿宋" w:hAnsi="仿宋" w:eastAsia="仿宋" w:cs="仿宋"/>
          <w:bCs/>
          <w:kern w:val="2"/>
          <w:szCs w:val="24"/>
          <w:u w:val="none"/>
        </w:rPr>
      </w:pPr>
      <w:bookmarkStart w:id="160" w:name="_Toc520356153"/>
      <w:bookmarkStart w:id="161" w:name="_Toc508185920"/>
      <w:bookmarkStart w:id="162" w:name="_Toc2671"/>
      <w:bookmarkStart w:id="163" w:name="_Toc516367023"/>
      <w:bookmarkStart w:id="164" w:name="_Toc518923072"/>
      <w:bookmarkStart w:id="165" w:name="_Toc520356155"/>
      <w:r>
        <w:rPr>
          <w:rFonts w:hint="eastAsia" w:ascii="仿宋" w:hAnsi="仿宋" w:eastAsia="仿宋" w:cs="仿宋"/>
          <w:u w:val="none"/>
        </w:rPr>
        <w:t>10.</w:t>
      </w:r>
      <w:bookmarkEnd w:id="160"/>
      <w:bookmarkEnd w:id="161"/>
      <w:bookmarkEnd w:id="162"/>
      <w:bookmarkEnd w:id="163"/>
      <w:bookmarkEnd w:id="164"/>
      <w:r>
        <w:rPr>
          <w:rFonts w:hint="eastAsia" w:ascii="仿宋" w:hAnsi="仿宋" w:eastAsia="仿宋" w:cs="仿宋"/>
          <w:bCs/>
          <w:kern w:val="2"/>
          <w:szCs w:val="24"/>
          <w:u w:val="none"/>
        </w:rPr>
        <w:t>证明投标标的的合格性和符合采购文件规定的技术文件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供应商应提交证明文件，证明其投标内容符合采购文件规定。该证明文件是投标文件的一部分。</w:t>
      </w:r>
    </w:p>
    <w:p>
      <w:pPr>
        <w:spacing w:line="240" w:lineRule="atLeast"/>
        <w:ind w:left="900" w:hanging="900" w:hangingChars="375"/>
        <w:outlineLvl w:val="1"/>
        <w:rPr>
          <w:rFonts w:ascii="仿宋" w:hAnsi="仿宋" w:eastAsia="仿宋" w:cs="仿宋"/>
          <w:sz w:val="24"/>
        </w:rPr>
      </w:pPr>
      <w:bookmarkStart w:id="166" w:name="_Ref467306244"/>
      <w:bookmarkStart w:id="167" w:name="_Toc7735"/>
      <w:bookmarkStart w:id="168" w:name="_Toc27759"/>
      <w:bookmarkStart w:id="169" w:name="_Toc26194"/>
      <w:bookmarkStart w:id="170" w:name="_Toc2999"/>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166"/>
      <w:r>
        <w:rPr>
          <w:rFonts w:hint="eastAsia" w:ascii="仿宋" w:hAnsi="仿宋" w:eastAsia="仿宋" w:cs="仿宋"/>
          <w:sz w:val="24"/>
        </w:rPr>
        <w:t>。</w:t>
      </w:r>
      <w:bookmarkEnd w:id="167"/>
      <w:bookmarkEnd w:id="168"/>
      <w:bookmarkEnd w:id="169"/>
      <w:bookmarkEnd w:id="170"/>
    </w:p>
    <w:p>
      <w:pPr>
        <w:pStyle w:val="9"/>
        <w:spacing w:before="0" w:after="0" w:line="240" w:lineRule="atLeast"/>
        <w:rPr>
          <w:rFonts w:ascii="仿宋" w:hAnsi="仿宋" w:eastAsia="仿宋" w:cs="仿宋"/>
          <w:u w:val="none"/>
        </w:rPr>
      </w:pPr>
      <w:bookmarkStart w:id="171" w:name="_Toc518923073"/>
      <w:bookmarkStart w:id="172" w:name="_Toc8529"/>
      <w:r>
        <w:rPr>
          <w:rFonts w:hint="eastAsia" w:ascii="仿宋" w:hAnsi="仿宋" w:eastAsia="仿宋" w:cs="仿宋"/>
          <w:u w:val="none"/>
        </w:rPr>
        <w:t>11.投标报价</w:t>
      </w:r>
      <w:bookmarkEnd w:id="165"/>
      <w:bookmarkEnd w:id="171"/>
      <w:bookmarkEnd w:id="172"/>
    </w:p>
    <w:p>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供应商应在投标分项</w:t>
      </w:r>
      <w:r>
        <w:rPr>
          <w:rFonts w:hint="eastAsia" w:ascii="仿宋" w:hAnsi="仿宋" w:eastAsia="仿宋" w:cs="仿宋"/>
          <w:sz w:val="24"/>
          <w:lang w:eastAsia="zh-CN"/>
        </w:rPr>
        <w:t>报价单</w:t>
      </w:r>
      <w:r>
        <w:rPr>
          <w:rFonts w:hint="eastAsia" w:ascii="仿宋" w:hAnsi="仿宋" w:eastAsia="仿宋" w:cs="仿宋"/>
          <w:sz w:val="24"/>
        </w:rPr>
        <w:t>上标明招标项目的总价，并由法定代表人或其委托代理人签署。</w:t>
      </w:r>
    </w:p>
    <w:p>
      <w:pPr>
        <w:spacing w:line="240" w:lineRule="atLeast"/>
        <w:ind w:left="900" w:hanging="900" w:hangingChars="375"/>
        <w:outlineLvl w:val="1"/>
        <w:rPr>
          <w:rFonts w:ascii="仿宋" w:hAnsi="仿宋" w:eastAsia="仿宋" w:cs="仿宋"/>
          <w:sz w:val="24"/>
        </w:rPr>
      </w:pPr>
      <w:bookmarkStart w:id="173" w:name="_Toc15382"/>
      <w:bookmarkStart w:id="174" w:name="_Toc19205"/>
      <w:bookmarkStart w:id="175" w:name="_Toc7536"/>
      <w:bookmarkStart w:id="176" w:name="_Toc16251"/>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bookmarkEnd w:id="173"/>
      <w:bookmarkEnd w:id="174"/>
      <w:bookmarkEnd w:id="175"/>
      <w:bookmarkEnd w:id="176"/>
    </w:p>
    <w:p>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供应商所报的投标报价在合同履行过程中是固定不变的，不得以任何理由予以变更。任何包含价格调整要求的投标，将被认定为投标无效。</w:t>
      </w:r>
    </w:p>
    <w:p>
      <w:pPr>
        <w:pStyle w:val="9"/>
        <w:spacing w:before="0" w:after="0" w:line="240" w:lineRule="atLeast"/>
        <w:rPr>
          <w:rFonts w:ascii="仿宋" w:hAnsi="仿宋" w:eastAsia="仿宋" w:cs="仿宋"/>
          <w:u w:val="none"/>
        </w:rPr>
      </w:pPr>
      <w:bookmarkStart w:id="177" w:name="_Ref467306513"/>
      <w:bookmarkStart w:id="178" w:name="_Toc520356156"/>
      <w:bookmarkStart w:id="179" w:name="_Toc16199"/>
      <w:bookmarkStart w:id="180" w:name="_Toc518923074"/>
      <w:r>
        <w:rPr>
          <w:rFonts w:hint="eastAsia" w:ascii="仿宋" w:hAnsi="仿宋" w:eastAsia="仿宋" w:cs="仿宋"/>
          <w:u w:val="none"/>
        </w:rPr>
        <w:t>12.投标保证金</w:t>
      </w:r>
      <w:bookmarkEnd w:id="177"/>
      <w:bookmarkEnd w:id="178"/>
      <w:bookmarkEnd w:id="179"/>
      <w:bookmarkEnd w:id="180"/>
    </w:p>
    <w:p>
      <w:pPr>
        <w:spacing w:line="240" w:lineRule="atLeast"/>
        <w:ind w:left="900" w:hanging="900" w:hangingChars="375"/>
        <w:rPr>
          <w:rFonts w:ascii="仿宋" w:hAnsi="仿宋" w:eastAsia="仿宋" w:cs="仿宋"/>
          <w:sz w:val="24"/>
        </w:rPr>
      </w:pPr>
      <w:bookmarkStart w:id="181"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供应商应提交</w:t>
      </w:r>
      <w:r>
        <w:rPr>
          <w:rFonts w:hint="eastAsia" w:ascii="仿宋" w:hAnsi="仿宋" w:eastAsia="仿宋" w:cs="仿宋"/>
          <w:sz w:val="24"/>
          <w:u w:val="single"/>
        </w:rPr>
        <w:t>供应商须知资料表</w:t>
      </w:r>
      <w:r>
        <w:rPr>
          <w:rFonts w:hint="eastAsia" w:ascii="仿宋" w:hAnsi="仿宋" w:eastAsia="仿宋" w:cs="仿宋"/>
          <w:sz w:val="24"/>
        </w:rPr>
        <w:t>中规定的投标保证金</w:t>
      </w:r>
      <w:bookmarkEnd w:id="181"/>
      <w:r>
        <w:rPr>
          <w:rFonts w:hint="eastAsia" w:ascii="仿宋" w:hAnsi="仿宋" w:eastAsia="仿宋" w:cs="仿宋"/>
          <w:sz w:val="24"/>
        </w:rPr>
        <w:t>，并作为其投标的一部分。</w:t>
      </w:r>
    </w:p>
    <w:p>
      <w:pPr>
        <w:spacing w:line="240" w:lineRule="atLeast"/>
        <w:ind w:left="900" w:hanging="900" w:hangingChars="375"/>
        <w:outlineLvl w:val="1"/>
        <w:rPr>
          <w:rFonts w:ascii="仿宋" w:hAnsi="仿宋" w:eastAsia="仿宋" w:cs="仿宋"/>
          <w:sz w:val="24"/>
        </w:rPr>
      </w:pPr>
      <w:bookmarkStart w:id="182" w:name="_Toc7800"/>
      <w:bookmarkStart w:id="183" w:name="_Toc25295"/>
      <w:bookmarkStart w:id="184" w:name="_Toc5487"/>
      <w:bookmarkStart w:id="185" w:name="_Toc9077"/>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供应商存在下列情形的，投标保证金不予退还：</w:t>
      </w:r>
      <w:bookmarkEnd w:id="182"/>
      <w:bookmarkEnd w:id="183"/>
      <w:bookmarkEnd w:id="184"/>
      <w:bookmarkEnd w:id="185"/>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（1）在投标有效期内，撤销投标的；</w:t>
      </w:r>
    </w:p>
    <w:p>
      <w:pPr>
        <w:pStyle w:val="16"/>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（2）中标后不按本须知第30条的规定与采购人签订合同的；</w:t>
      </w:r>
    </w:p>
    <w:p>
      <w:pPr>
        <w:pStyle w:val="16"/>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（3）中标后不按本须知第31条的规定提交履约保证金的；</w:t>
      </w:r>
    </w:p>
    <w:p>
      <w:pPr>
        <w:pStyle w:val="16"/>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（4）中标后不按本须知第32条的规定缴纳中标服务费的；</w:t>
      </w:r>
    </w:p>
    <w:p>
      <w:pPr>
        <w:pStyle w:val="16"/>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ascii="仿宋" w:hAnsi="仿宋" w:eastAsia="仿宋" w:cs="仿宋"/>
          <w:sz w:val="24"/>
        </w:rPr>
      </w:pPr>
      <w:bookmarkStart w:id="186" w:name="_Ref467306336"/>
      <w:r>
        <w:rPr>
          <w:rFonts w:hint="eastAsia" w:ascii="仿宋" w:hAnsi="仿宋" w:eastAsia="仿宋" w:cs="仿宋"/>
          <w:sz w:val="24"/>
        </w:rPr>
        <w:t>12.3</w:t>
      </w:r>
      <w:r>
        <w:rPr>
          <w:rFonts w:hint="eastAsia" w:ascii="仿宋" w:hAnsi="仿宋" w:eastAsia="仿宋" w:cs="仿宋"/>
          <w:sz w:val="24"/>
        </w:rPr>
        <w:tab/>
      </w:r>
      <w:bookmarkEnd w:id="186"/>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供应商未按本须知第12.1和12.3条规定提交投标保证金的，其投标将被认定为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outlineLvl w:val="1"/>
        <w:rPr>
          <w:rFonts w:ascii="仿宋" w:hAnsi="仿宋" w:eastAsia="仿宋" w:cs="仿宋"/>
          <w:sz w:val="24"/>
        </w:rPr>
      </w:pPr>
      <w:bookmarkStart w:id="187" w:name="_Toc15036"/>
      <w:bookmarkStart w:id="188" w:name="_Toc8040"/>
      <w:bookmarkStart w:id="189" w:name="_Toc18298"/>
      <w:bookmarkStart w:id="190" w:name="_Toc14566"/>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bookmarkEnd w:id="187"/>
      <w:bookmarkEnd w:id="188"/>
      <w:bookmarkEnd w:id="189"/>
      <w:bookmarkEnd w:id="190"/>
    </w:p>
    <w:p>
      <w:pPr>
        <w:spacing w:line="240" w:lineRule="atLeast"/>
        <w:ind w:left="1020" w:hanging="1020" w:hangingChars="42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ascii="仿宋" w:hAnsi="仿宋" w:eastAsia="仿宋" w:cs="仿宋"/>
          <w:sz w:val="24"/>
        </w:rPr>
      </w:pPr>
      <w:r>
        <w:rPr>
          <w:rFonts w:hint="eastAsia" w:ascii="仿宋" w:hAnsi="仿宋" w:eastAsia="仿宋" w:cs="仿宋"/>
          <w:sz w:val="24"/>
        </w:rPr>
        <w:t>12.6.2  未中标供应商的投标保证金将在中标通知书发出之日暨中标结果公告公布之日起5个工作日内无息退还。供应商及时联系保证金收受机构办理退还投标保证金手续。</w:t>
      </w:r>
      <w:bookmarkStart w:id="191" w:name="_Toc518923075"/>
    </w:p>
    <w:p>
      <w:pPr>
        <w:ind w:left="1020" w:hanging="1020" w:hangingChars="425"/>
        <w:rPr>
          <w:rFonts w:ascii="仿宋" w:hAnsi="仿宋" w:eastAsia="仿宋" w:cs="仿宋"/>
          <w:sz w:val="24"/>
        </w:rPr>
      </w:pPr>
      <w:r>
        <w:rPr>
          <w:rFonts w:hint="eastAsia" w:ascii="仿宋" w:hAnsi="仿宋" w:eastAsia="仿宋" w:cs="仿宋"/>
          <w:sz w:val="24"/>
        </w:rPr>
        <w:t>12.6.3  政府采购投标担保函不予退回。</w:t>
      </w:r>
      <w:bookmarkEnd w:id="191"/>
    </w:p>
    <w:p>
      <w:pPr>
        <w:spacing w:line="240" w:lineRule="atLeast"/>
        <w:ind w:left="960" w:hanging="960" w:hangingChars="400"/>
        <w:rPr>
          <w:rFonts w:ascii="仿宋" w:hAnsi="仿宋" w:eastAsia="仿宋" w:cs="仿宋"/>
          <w:sz w:val="24"/>
        </w:rPr>
      </w:pPr>
      <w:r>
        <w:rPr>
          <w:rFonts w:hint="eastAsia" w:ascii="仿宋" w:hAnsi="仿宋" w:eastAsia="仿宋" w:cs="仿宋"/>
          <w:sz w:val="24"/>
        </w:rPr>
        <w:t>12.7    因供应商自身原因导致无法及时退还的，采购人或采购代理机构将不承担相应责任。</w:t>
      </w:r>
    </w:p>
    <w:p>
      <w:pPr>
        <w:pStyle w:val="9"/>
        <w:spacing w:before="0" w:after="0" w:line="240" w:lineRule="atLeast"/>
        <w:rPr>
          <w:rFonts w:ascii="仿宋" w:hAnsi="仿宋" w:eastAsia="仿宋" w:cs="仿宋"/>
          <w:u w:val="none"/>
        </w:rPr>
      </w:pPr>
      <w:bookmarkStart w:id="192" w:name="_Toc518923076"/>
      <w:bookmarkStart w:id="193" w:name="_Toc20355"/>
      <w:bookmarkStart w:id="194" w:name="_Toc520356157"/>
      <w:r>
        <w:rPr>
          <w:rFonts w:hint="eastAsia" w:ascii="仿宋" w:hAnsi="仿宋" w:eastAsia="仿宋" w:cs="仿宋"/>
          <w:u w:val="none"/>
        </w:rPr>
        <w:t>13.投标有效期</w:t>
      </w:r>
      <w:bookmarkEnd w:id="192"/>
      <w:bookmarkEnd w:id="193"/>
      <w:bookmarkEnd w:id="194"/>
    </w:p>
    <w:p>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供应商须知资料表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按规定无息退还。上述要求和答复都应以书面形式提交。</w:t>
      </w:r>
    </w:p>
    <w:p>
      <w:pPr>
        <w:pStyle w:val="9"/>
        <w:spacing w:before="0" w:after="0" w:line="240" w:lineRule="atLeast"/>
        <w:rPr>
          <w:rFonts w:ascii="仿宋" w:hAnsi="仿宋" w:eastAsia="仿宋" w:cs="仿宋"/>
          <w:u w:val="none"/>
        </w:rPr>
      </w:pPr>
      <w:bookmarkStart w:id="195" w:name="_Toc520356158"/>
      <w:bookmarkStart w:id="196" w:name="_Toc27303"/>
      <w:bookmarkStart w:id="197" w:name="_Toc518923077"/>
      <w:r>
        <w:rPr>
          <w:rFonts w:hint="eastAsia" w:ascii="仿宋" w:hAnsi="仿宋" w:eastAsia="仿宋" w:cs="仿宋"/>
          <w:u w:val="none"/>
        </w:rPr>
        <w:t>14.投标文件的签署</w:t>
      </w:r>
      <w:bookmarkEnd w:id="195"/>
      <w:r>
        <w:rPr>
          <w:rFonts w:hint="eastAsia" w:ascii="仿宋" w:hAnsi="仿宋" w:eastAsia="仿宋" w:cs="仿宋"/>
          <w:u w:val="none"/>
        </w:rPr>
        <w:t>及规定</w:t>
      </w:r>
      <w:bookmarkEnd w:id="196"/>
      <w:bookmarkEnd w:id="197"/>
    </w:p>
    <w:p>
      <w:pPr>
        <w:spacing w:line="240" w:lineRule="atLeast"/>
        <w:ind w:left="900" w:hanging="900" w:hangingChars="375"/>
        <w:rPr>
          <w:rFonts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供应商应按</w:t>
      </w:r>
      <w:r>
        <w:rPr>
          <w:rFonts w:hint="eastAsia" w:ascii="仿宋" w:hAnsi="仿宋" w:eastAsia="仿宋" w:cs="仿宋"/>
          <w:sz w:val="24"/>
          <w:u w:val="single"/>
        </w:rPr>
        <w:t>供应商须知资料表</w:t>
      </w:r>
      <w:r>
        <w:rPr>
          <w:rFonts w:hint="eastAsia" w:ascii="仿宋" w:hAnsi="仿宋" w:eastAsia="仿宋" w:cs="仿宋"/>
          <w:sz w:val="24"/>
        </w:rPr>
        <w:t>中的规定，准备和上传投标文件。</w:t>
      </w:r>
    </w:p>
    <w:p>
      <w:pPr>
        <w:spacing w:line="240" w:lineRule="atLeast"/>
        <w:ind w:left="900" w:hanging="900" w:hangingChars="375"/>
        <w:rPr>
          <w:rFonts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投标文件由供应商的法定代表人或其委托代理人按采购文件规定在投标文件上签字并加盖单位印章。</w:t>
      </w:r>
    </w:p>
    <w:p>
      <w:pPr>
        <w:spacing w:line="240" w:lineRule="atLeast"/>
        <w:ind w:left="900" w:hanging="900" w:hangingChars="375"/>
        <w:rPr>
          <w:rFonts w:ascii="仿宋" w:hAnsi="仿宋" w:eastAsia="仿宋" w:cs="仿宋"/>
          <w:sz w:val="24"/>
        </w:rPr>
      </w:pPr>
    </w:p>
    <w:p>
      <w:pPr>
        <w:pStyle w:val="8"/>
        <w:spacing w:before="0" w:line="240" w:lineRule="atLeast"/>
        <w:ind w:left="1080" w:leftChars="257" w:hanging="540"/>
        <w:rPr>
          <w:rFonts w:ascii="仿宋" w:hAnsi="仿宋" w:eastAsia="仿宋" w:cs="仿宋"/>
          <w:sz w:val="24"/>
        </w:rPr>
      </w:pPr>
      <w:bookmarkStart w:id="198" w:name="_Toc216582808"/>
      <w:bookmarkStart w:id="199" w:name="_Toc520356159"/>
      <w:bookmarkStart w:id="200" w:name="_Toc518923078"/>
      <w:bookmarkStart w:id="201" w:name="_Toc22303"/>
      <w:bookmarkStart w:id="202" w:name="_Toc12964"/>
      <w:bookmarkStart w:id="203" w:name="_Toc30086"/>
      <w:bookmarkStart w:id="204" w:name="_Toc14057"/>
      <w:r>
        <w:rPr>
          <w:rFonts w:hint="eastAsia" w:ascii="仿宋" w:hAnsi="仿宋" w:eastAsia="仿宋" w:cs="仿宋"/>
          <w:sz w:val="24"/>
        </w:rPr>
        <w:t>四   投标文件的递交</w:t>
      </w:r>
      <w:bookmarkEnd w:id="198"/>
      <w:bookmarkEnd w:id="199"/>
      <w:bookmarkEnd w:id="200"/>
      <w:bookmarkEnd w:id="201"/>
      <w:bookmarkEnd w:id="202"/>
      <w:bookmarkEnd w:id="203"/>
      <w:bookmarkEnd w:id="204"/>
    </w:p>
    <w:p>
      <w:pPr>
        <w:pStyle w:val="11"/>
        <w:rPr>
          <w:rFonts w:ascii="仿宋" w:hAnsi="仿宋" w:eastAsia="仿宋" w:cs="仿宋"/>
        </w:rPr>
      </w:pPr>
    </w:p>
    <w:p>
      <w:pPr>
        <w:pStyle w:val="9"/>
        <w:spacing w:before="0" w:after="0" w:line="240" w:lineRule="atLeast"/>
        <w:rPr>
          <w:rFonts w:ascii="仿宋" w:hAnsi="仿宋" w:eastAsia="仿宋" w:cs="仿宋"/>
          <w:u w:val="none"/>
        </w:rPr>
      </w:pPr>
      <w:bookmarkStart w:id="205" w:name="_Toc13247"/>
      <w:bookmarkStart w:id="206" w:name="_Toc518923079"/>
      <w:bookmarkStart w:id="207" w:name="_Toc520356160"/>
      <w:r>
        <w:rPr>
          <w:rFonts w:hint="eastAsia" w:ascii="仿宋" w:hAnsi="仿宋" w:eastAsia="仿宋" w:cs="仿宋"/>
          <w:u w:val="none"/>
        </w:rPr>
        <w:t>15.投标文件的</w:t>
      </w:r>
      <w:bookmarkEnd w:id="205"/>
      <w:bookmarkEnd w:id="206"/>
      <w:bookmarkEnd w:id="207"/>
      <w:r>
        <w:rPr>
          <w:rFonts w:hint="eastAsia" w:ascii="仿宋" w:hAnsi="仿宋" w:eastAsia="仿宋" w:cs="仿宋"/>
          <w:u w:val="none"/>
        </w:rPr>
        <w:t>编制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15.1   投标文件三部分内容分别拟编。</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15.2   所有封面上均应：按照投标文件格式进行编制。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15.3   如果供应商未按上述要求编制，其投标文件将</w:t>
      </w:r>
      <w:r>
        <w:rPr>
          <w:rFonts w:hint="eastAsia" w:ascii="仿宋" w:hAnsi="仿宋" w:eastAsia="仿宋" w:cs="仿宋"/>
          <w:color w:val="000000"/>
          <w:sz w:val="24"/>
        </w:rPr>
        <w:t>被认定为</w:t>
      </w:r>
      <w:r>
        <w:rPr>
          <w:rFonts w:hint="eastAsia" w:ascii="仿宋" w:hAnsi="仿宋" w:eastAsia="仿宋" w:cs="仿宋"/>
          <w:b/>
          <w:bCs/>
          <w:color w:val="000000"/>
          <w:sz w:val="24"/>
        </w:rPr>
        <w:t>投标无效</w:t>
      </w:r>
      <w:r>
        <w:rPr>
          <w:rFonts w:hint="eastAsia" w:ascii="仿宋" w:hAnsi="仿宋" w:eastAsia="仿宋" w:cs="仿宋"/>
          <w:b/>
          <w:bCs/>
          <w:sz w:val="24"/>
        </w:rPr>
        <w:t>。</w:t>
      </w:r>
    </w:p>
    <w:p>
      <w:pPr>
        <w:pStyle w:val="9"/>
        <w:spacing w:before="0" w:after="0" w:line="240" w:lineRule="atLeast"/>
        <w:rPr>
          <w:rFonts w:ascii="仿宋" w:hAnsi="仿宋" w:eastAsia="仿宋" w:cs="仿宋"/>
          <w:u w:val="none"/>
        </w:rPr>
      </w:pPr>
      <w:bookmarkStart w:id="208" w:name="_Toc518923080"/>
      <w:bookmarkStart w:id="209" w:name="_Toc520356161"/>
      <w:bookmarkStart w:id="210" w:name="_Toc25787"/>
      <w:r>
        <w:rPr>
          <w:rFonts w:hint="eastAsia" w:ascii="仿宋" w:hAnsi="仿宋" w:eastAsia="仿宋" w:cs="仿宋"/>
          <w:u w:val="none"/>
        </w:rPr>
        <w:t>16.投标截止</w:t>
      </w:r>
      <w:bookmarkEnd w:id="208"/>
      <w:bookmarkEnd w:id="209"/>
      <w:bookmarkEnd w:id="210"/>
    </w:p>
    <w:p>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供应商应在</w:t>
      </w:r>
      <w:r>
        <w:rPr>
          <w:rFonts w:hint="eastAsia" w:ascii="仿宋" w:hAnsi="仿宋" w:eastAsia="仿宋" w:cs="仿宋"/>
          <w:b/>
          <w:bCs/>
          <w:sz w:val="24"/>
          <w:u w:val="single"/>
        </w:rPr>
        <w:t>供应商须知资料表</w:t>
      </w:r>
      <w:r>
        <w:rPr>
          <w:rFonts w:hint="eastAsia" w:ascii="仿宋" w:hAnsi="仿宋" w:eastAsia="仿宋" w:cs="仿宋"/>
          <w:sz w:val="24"/>
        </w:rPr>
        <w:t>中规定的截止时间前，将投标文件上传至招标公告中规定的平台中。</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采购人和采购代理机构有权按本须知的规定，延迟投标截止时间。在此情况下，采购人、采购代理机构和供应商受投标截止时间制约的所有权利和义务均应延长至新的截止时间。</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未按照公告时间内完成投标文件的上传，采购人和采购代理机构将拒绝接收在截止时间后的投标文件。</w:t>
      </w:r>
    </w:p>
    <w:p>
      <w:pPr>
        <w:pStyle w:val="9"/>
        <w:spacing w:before="0" w:after="0" w:line="240" w:lineRule="atLeast"/>
        <w:rPr>
          <w:rFonts w:ascii="仿宋" w:hAnsi="仿宋" w:eastAsia="仿宋" w:cs="仿宋"/>
          <w:u w:val="none"/>
        </w:rPr>
      </w:pPr>
      <w:bookmarkStart w:id="211" w:name="_Toc520356162"/>
      <w:bookmarkStart w:id="212" w:name="_Toc518923081"/>
      <w:bookmarkStart w:id="213" w:name="_Toc13921"/>
      <w:r>
        <w:rPr>
          <w:rFonts w:hint="eastAsia" w:ascii="仿宋" w:hAnsi="仿宋" w:eastAsia="仿宋" w:cs="仿宋"/>
          <w:u w:val="none"/>
        </w:rPr>
        <w:t>17.投标文件的接收、修改与撤回</w:t>
      </w:r>
      <w:bookmarkEnd w:id="211"/>
      <w:bookmarkEnd w:id="212"/>
      <w:bookmarkEnd w:id="213"/>
    </w:p>
    <w:p>
      <w:pPr>
        <w:spacing w:line="240" w:lineRule="atLeast"/>
        <w:ind w:left="900" w:hanging="900" w:hangingChars="375"/>
        <w:rPr>
          <w:rFonts w:ascii="仿宋" w:hAnsi="仿宋" w:eastAsia="仿宋" w:cs="仿宋"/>
          <w:b/>
        </w:rPr>
      </w:pPr>
      <w:r>
        <w:rPr>
          <w:rFonts w:hint="eastAsia" w:ascii="仿宋" w:hAnsi="仿宋" w:eastAsia="仿宋" w:cs="仿宋"/>
          <w:sz w:val="24"/>
        </w:rPr>
        <w:t>17.1   在解密时间截止后解密投标文件的，采购人和采购代理机构将拒绝接收。</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17.2   在投标截止期之后，采购人和采购代理机构不接受供应商主动对其投标文件做任何修改。</w:t>
      </w:r>
    </w:p>
    <w:p>
      <w:pPr>
        <w:spacing w:line="240" w:lineRule="atLeast"/>
        <w:ind w:left="1080" w:leftChars="257" w:hanging="540"/>
        <w:rPr>
          <w:rFonts w:ascii="仿宋" w:hAnsi="仿宋" w:eastAsia="仿宋" w:cs="仿宋"/>
          <w:sz w:val="24"/>
        </w:rPr>
      </w:pPr>
    </w:p>
    <w:p>
      <w:pPr>
        <w:pStyle w:val="8"/>
        <w:spacing w:before="0" w:line="240" w:lineRule="atLeast"/>
        <w:ind w:left="1080" w:leftChars="257" w:hanging="540"/>
        <w:rPr>
          <w:rFonts w:ascii="仿宋" w:hAnsi="仿宋" w:eastAsia="仿宋" w:cs="仿宋"/>
          <w:sz w:val="24"/>
        </w:rPr>
      </w:pPr>
      <w:bookmarkStart w:id="214" w:name="_Toc216582809"/>
      <w:bookmarkStart w:id="215" w:name="_Toc19436"/>
      <w:bookmarkStart w:id="216" w:name="_Toc518923082"/>
      <w:bookmarkStart w:id="217" w:name="_Toc23574"/>
      <w:bookmarkStart w:id="218" w:name="_Toc10257"/>
      <w:bookmarkStart w:id="219" w:name="_Toc520356163"/>
      <w:bookmarkStart w:id="220" w:name="_Toc14987"/>
      <w:r>
        <w:rPr>
          <w:rFonts w:hint="eastAsia" w:ascii="仿宋" w:hAnsi="仿宋" w:eastAsia="仿宋" w:cs="仿宋"/>
          <w:sz w:val="24"/>
        </w:rPr>
        <w:t>五   开标及评标</w:t>
      </w:r>
      <w:bookmarkEnd w:id="214"/>
      <w:bookmarkEnd w:id="215"/>
      <w:bookmarkEnd w:id="216"/>
      <w:bookmarkEnd w:id="217"/>
      <w:bookmarkEnd w:id="218"/>
      <w:bookmarkEnd w:id="219"/>
      <w:bookmarkEnd w:id="220"/>
    </w:p>
    <w:p>
      <w:pPr>
        <w:pStyle w:val="11"/>
        <w:rPr>
          <w:rFonts w:ascii="仿宋" w:hAnsi="仿宋" w:eastAsia="仿宋" w:cs="仿宋"/>
        </w:rPr>
      </w:pPr>
    </w:p>
    <w:p>
      <w:pPr>
        <w:pStyle w:val="9"/>
        <w:spacing w:before="0" w:after="0" w:line="240" w:lineRule="atLeast"/>
        <w:rPr>
          <w:rFonts w:ascii="仿宋" w:hAnsi="仿宋" w:eastAsia="仿宋" w:cs="仿宋"/>
          <w:u w:val="none"/>
        </w:rPr>
      </w:pPr>
      <w:bookmarkStart w:id="221" w:name="_Toc518923083"/>
      <w:bookmarkStart w:id="222" w:name="_Toc8653"/>
      <w:bookmarkStart w:id="223" w:name="_Toc520356164"/>
      <w:r>
        <w:rPr>
          <w:rFonts w:hint="eastAsia" w:ascii="仿宋" w:hAnsi="仿宋" w:eastAsia="仿宋" w:cs="仿宋"/>
          <w:u w:val="none"/>
        </w:rPr>
        <w:t>18.开标</w:t>
      </w:r>
      <w:bookmarkEnd w:id="221"/>
      <w:bookmarkEnd w:id="222"/>
      <w:bookmarkEnd w:id="223"/>
    </w:p>
    <w:p>
      <w:pPr>
        <w:spacing w:line="240" w:lineRule="atLeast"/>
        <w:ind w:left="900" w:hanging="900" w:hangingChars="375"/>
        <w:rPr>
          <w:rFonts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供应商须知资料表</w:t>
      </w:r>
      <w:r>
        <w:rPr>
          <w:rFonts w:hint="eastAsia" w:ascii="仿宋" w:hAnsi="仿宋" w:eastAsia="仿宋" w:cs="仿宋"/>
          <w:sz w:val="24"/>
        </w:rPr>
        <w:t xml:space="preserve">中规定的开标时间和地点组织公开开标活动。  </w:t>
      </w:r>
    </w:p>
    <w:p>
      <w:pPr>
        <w:spacing w:line="240" w:lineRule="atLeast"/>
        <w:ind w:firstLine="960" w:firstLineChars="400"/>
        <w:rPr>
          <w:rFonts w:ascii="仿宋" w:hAnsi="仿宋" w:eastAsia="仿宋" w:cs="仿宋"/>
          <w:sz w:val="24"/>
        </w:rPr>
      </w:pPr>
      <w:r>
        <w:rPr>
          <w:rFonts w:hint="eastAsia" w:ascii="仿宋" w:hAnsi="仿宋" w:eastAsia="仿宋" w:cs="仿宋"/>
          <w:sz w:val="24"/>
        </w:rPr>
        <w:t>供应商不足3家的，不得开标。</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18.2    开标时，由采购人或采购代理机构当众宣读供应商名称、投标价格。</w:t>
      </w:r>
    </w:p>
    <w:p>
      <w:pPr>
        <w:spacing w:line="240" w:lineRule="atLeast"/>
        <w:ind w:left="1079" w:leftChars="428" w:hanging="180" w:hangingChars="75"/>
        <w:rPr>
          <w:rFonts w:ascii="仿宋" w:hAnsi="仿宋" w:eastAsia="仿宋" w:cs="仿宋"/>
          <w:sz w:val="24"/>
        </w:rPr>
      </w:pPr>
      <w:r>
        <w:rPr>
          <w:rFonts w:hint="eastAsia" w:ascii="仿宋" w:hAnsi="仿宋" w:eastAsia="仿宋" w:cs="仿宋"/>
          <w:sz w:val="24"/>
        </w:rPr>
        <w:t>未宣读投标价格等实质内容，评标时不予承认。</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18.3    采购人或采购代理机构将对开标过程进行记录</w:t>
      </w:r>
      <w:bookmarkStart w:id="224" w:name="_Toc520356165"/>
      <w:r>
        <w:rPr>
          <w:rFonts w:hint="eastAsia" w:ascii="仿宋" w:hAnsi="仿宋" w:eastAsia="仿宋" w:cs="仿宋"/>
          <w:sz w:val="24"/>
        </w:rPr>
        <w:t>，由参加开标的采购人代表或监督人员和相关工作人员签字确认，并存档备查。</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18.4    供应商代表</w:t>
      </w:r>
      <w:r>
        <w:rPr>
          <w:rFonts w:hint="eastAsia" w:ascii="仿宋" w:hAnsi="仿宋" w:eastAsia="仿宋" w:cs="仿宋"/>
          <w:kern w:val="0"/>
          <w:sz w:val="24"/>
        </w:rPr>
        <w:t>对开标记录有疑义，应在线上提出询问。</w:t>
      </w:r>
    </w:p>
    <w:p>
      <w:pPr>
        <w:pStyle w:val="9"/>
        <w:spacing w:before="0" w:after="0" w:line="240" w:lineRule="atLeast"/>
        <w:rPr>
          <w:rFonts w:ascii="仿宋" w:hAnsi="仿宋" w:eastAsia="仿宋" w:cs="仿宋"/>
          <w:u w:val="none"/>
        </w:rPr>
      </w:pPr>
      <w:bookmarkStart w:id="225" w:name="_Toc518923084"/>
      <w:bookmarkStart w:id="226" w:name="_Toc34"/>
      <w:r>
        <w:rPr>
          <w:rFonts w:hint="eastAsia" w:ascii="仿宋" w:hAnsi="仿宋" w:eastAsia="仿宋" w:cs="仿宋"/>
          <w:u w:val="none"/>
        </w:rPr>
        <w:t>19</w:t>
      </w:r>
      <w:bookmarkEnd w:id="224"/>
      <w:r>
        <w:rPr>
          <w:rFonts w:hint="eastAsia" w:ascii="仿宋" w:hAnsi="仿宋" w:eastAsia="仿宋" w:cs="仿宋"/>
          <w:u w:val="none"/>
        </w:rPr>
        <w:t>.资格审查及组建评标委员会</w:t>
      </w:r>
      <w:bookmarkEnd w:id="225"/>
      <w:bookmarkEnd w:id="226"/>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19.1    评标委员会依据法律法规和采购文件中规定的内容，对供应商的资格进行审查。未通过资格审查的供应商不进入评标</w:t>
      </w:r>
      <w:r>
        <w:rPr>
          <w:rFonts w:hint="eastAsia" w:ascii="仿宋" w:hAnsi="仿宋" w:eastAsia="仿宋" w:cs="仿宋"/>
          <w:sz w:val="24"/>
          <w:lang w:eastAsia="zh-CN"/>
        </w:rPr>
        <w:t>，</w:t>
      </w:r>
      <w:r>
        <w:rPr>
          <w:rFonts w:hint="eastAsia" w:ascii="仿宋" w:hAnsi="仿宋" w:eastAsia="仿宋" w:cs="仿宋"/>
          <w:sz w:val="24"/>
        </w:rPr>
        <w:t>通过资格审查的供应商不足三家的，不得评标。</w:t>
      </w:r>
    </w:p>
    <w:p>
      <w:pPr>
        <w:spacing w:line="240" w:lineRule="atLeast"/>
        <w:ind w:left="720" w:hanging="720" w:hangingChars="300"/>
        <w:rPr>
          <w:rFonts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采购人或采购代理机构将在开标前1个工作日至投标截止后1小时的期间内查询供应商的信用记录。供应商存在不良信用记录的，其投标将被认定为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spacing w:line="240" w:lineRule="atLeast"/>
        <w:ind w:left="720" w:hanging="720" w:hangingChars="300"/>
        <w:rPr>
          <w:rFonts w:ascii="仿宋" w:hAnsi="仿宋" w:eastAsia="仿宋" w:cs="仿宋"/>
          <w:color w:val="000000"/>
          <w:sz w:val="24"/>
        </w:rPr>
      </w:pPr>
      <w:r>
        <w:rPr>
          <w:rFonts w:hint="eastAsia" w:ascii="仿宋" w:hAnsi="仿宋" w:eastAsia="仿宋" w:cs="仿宋"/>
          <w:color w:val="000000"/>
          <w:sz w:val="24"/>
        </w:rPr>
        <w:t>19.2.1  不良信用记录指：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查询结果以代理公司开标现场核查为准）</w:t>
      </w:r>
    </w:p>
    <w:p>
      <w:pPr>
        <w:spacing w:line="240" w:lineRule="atLeast"/>
        <w:ind w:left="718" w:leftChars="342"/>
        <w:rPr>
          <w:rFonts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1"/>
        <w:spacing w:line="240" w:lineRule="atLeast"/>
        <w:ind w:left="850" w:hanging="849" w:hangingChars="354"/>
        <w:jc w:val="both"/>
        <w:rPr>
          <w:rFonts w:ascii="仿宋" w:hAnsi="仿宋" w:eastAsia="仿宋" w:cs="仿宋"/>
          <w:color w:val="000000"/>
          <w:kern w:val="2"/>
          <w:szCs w:val="24"/>
        </w:rPr>
      </w:pPr>
      <w:r>
        <w:rPr>
          <w:rFonts w:hint="eastAsia" w:ascii="仿宋" w:hAnsi="仿宋" w:eastAsia="仿宋" w:cs="仿宋"/>
        </w:rPr>
        <w:t xml:space="preserve">19.2.2 </w:t>
      </w:r>
      <w:r>
        <w:rPr>
          <w:rFonts w:hint="eastAsia" w:ascii="仿宋" w:hAnsi="仿宋" w:eastAsia="仿宋" w:cs="仿宋"/>
          <w:color w:val="000000"/>
          <w:kern w:val="2"/>
          <w:szCs w:val="24"/>
        </w:rPr>
        <w:t>查询及记录方式：采购人或采购代理机构经办人将查询网页打印、签字并存档备查。供应商不良信用记录以采购人或采购代理机构查询结果为准。</w:t>
      </w:r>
    </w:p>
    <w:p>
      <w:pPr>
        <w:pStyle w:val="11"/>
        <w:spacing w:line="240" w:lineRule="atLeast"/>
        <w:ind w:left="850" w:leftChars="405" w:firstLine="0"/>
        <w:jc w:val="both"/>
        <w:rPr>
          <w:rFonts w:ascii="仿宋" w:hAnsi="仿宋" w:eastAsia="仿宋" w:cs="仿宋"/>
          <w:color w:val="000000"/>
          <w:kern w:val="2"/>
          <w:szCs w:val="24"/>
        </w:rPr>
      </w:pPr>
      <w:r>
        <w:rPr>
          <w:rFonts w:hint="eastAsia" w:ascii="仿宋" w:hAnsi="仿宋" w:eastAsia="仿宋" w:cs="仿宋"/>
          <w:color w:val="000000"/>
          <w:kern w:val="2"/>
          <w:szCs w:val="24"/>
        </w:rPr>
        <w:t>在本采购文件规定的查询时间之后，网站信息发生的任何变更均不再作为评标依据。</w:t>
      </w:r>
    </w:p>
    <w:p>
      <w:pPr>
        <w:pStyle w:val="11"/>
        <w:spacing w:line="240" w:lineRule="atLeast"/>
        <w:ind w:left="850" w:leftChars="405" w:firstLine="0"/>
        <w:jc w:val="both"/>
        <w:rPr>
          <w:rFonts w:ascii="仿宋" w:hAnsi="仿宋" w:eastAsia="仿宋" w:cs="仿宋"/>
        </w:rPr>
      </w:pPr>
      <w:r>
        <w:rPr>
          <w:rFonts w:hint="eastAsia" w:ascii="仿宋" w:hAnsi="仿宋" w:eastAsia="仿宋" w:cs="仿宋"/>
          <w:color w:val="000000"/>
          <w:kern w:val="2"/>
          <w:szCs w:val="24"/>
        </w:rPr>
        <w:t>供应商自行提供的与网站信</w:t>
      </w:r>
      <w:r>
        <w:rPr>
          <w:rFonts w:hint="eastAsia" w:ascii="仿宋" w:hAnsi="仿宋" w:eastAsia="仿宋" w:cs="仿宋"/>
        </w:rPr>
        <w:t>息不一致的其他证明材料亦不作为资格审查的依据。</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227" w:name="_Toc520356166"/>
      <w:r>
        <w:rPr>
          <w:rFonts w:hint="eastAsia" w:ascii="仿宋" w:hAnsi="仿宋" w:eastAsia="仿宋" w:cs="仿宋"/>
          <w:b/>
          <w:bCs/>
          <w:color w:val="000000"/>
          <w:sz w:val="24"/>
          <w:u w:val="single"/>
        </w:rPr>
        <w:t>本项目评标委员会成员5名，在政府采购网自行组建按3:1比例随机抽取。</w:t>
      </w:r>
    </w:p>
    <w:p>
      <w:pPr>
        <w:pStyle w:val="9"/>
        <w:spacing w:before="0" w:after="0" w:line="240" w:lineRule="atLeast"/>
        <w:rPr>
          <w:rFonts w:ascii="仿宋" w:hAnsi="仿宋" w:eastAsia="仿宋" w:cs="仿宋"/>
          <w:b w:val="0"/>
          <w:bCs/>
          <w:bdr w:val="single" w:color="auto" w:sz="4" w:space="0"/>
        </w:rPr>
      </w:pPr>
      <w:bookmarkStart w:id="228" w:name="_Toc518923085"/>
      <w:bookmarkStart w:id="229" w:name="_Toc6842"/>
      <w:r>
        <w:rPr>
          <w:rFonts w:hint="eastAsia" w:ascii="仿宋" w:hAnsi="仿宋" w:eastAsia="仿宋" w:cs="仿宋"/>
          <w:u w:val="none"/>
        </w:rPr>
        <w:t>20.投标文件的</w:t>
      </w:r>
      <w:bookmarkEnd w:id="227"/>
      <w:r>
        <w:rPr>
          <w:rFonts w:hint="eastAsia" w:ascii="仿宋" w:hAnsi="仿宋" w:eastAsia="仿宋" w:cs="仿宋"/>
          <w:u w:val="none"/>
        </w:rPr>
        <w:t>符合性审查与澄清</w:t>
      </w:r>
      <w:bookmarkEnd w:id="228"/>
      <w:bookmarkEnd w:id="229"/>
    </w:p>
    <w:p>
      <w:pPr>
        <w:spacing w:line="240" w:lineRule="atLeast"/>
        <w:ind w:left="900" w:hanging="900" w:hangingChars="375"/>
        <w:rPr>
          <w:rFonts w:ascii="仿宋" w:hAnsi="仿宋" w:eastAsia="仿宋" w:cs="仿宋"/>
          <w:sz w:val="24"/>
        </w:rPr>
      </w:pPr>
      <w:r>
        <w:rPr>
          <w:rFonts w:hint="eastAsia" w:ascii="仿宋" w:hAnsi="仿宋" w:eastAsia="仿宋" w:cs="仿宋"/>
          <w:sz w:val="24"/>
        </w:rPr>
        <w:t>20.1   符合性审查是指依据采购文件的规定，从投标文件的有效性和完整性对采购文件的响应程度进行审查，以确定是否对采购文件的实质性要求做出响应。</w:t>
      </w:r>
      <w:bookmarkStart w:id="230" w:name="_Hlt522424701"/>
      <w:bookmarkEnd w:id="230"/>
      <w:bookmarkStart w:id="231" w:name="_Toc520356167"/>
    </w:p>
    <w:p>
      <w:pPr>
        <w:spacing w:line="240" w:lineRule="atLeast"/>
        <w:ind w:left="900" w:hanging="900" w:hangingChars="375"/>
        <w:outlineLvl w:val="1"/>
        <w:rPr>
          <w:rFonts w:ascii="仿宋" w:hAnsi="仿宋" w:eastAsia="仿宋" w:cs="仿宋"/>
          <w:sz w:val="24"/>
        </w:rPr>
      </w:pPr>
      <w:bookmarkStart w:id="232" w:name="_Toc21131"/>
      <w:bookmarkStart w:id="233" w:name="_Toc8420"/>
      <w:bookmarkStart w:id="234" w:name="_Toc5073"/>
      <w:bookmarkStart w:id="235" w:name="_Toc19600"/>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bookmarkEnd w:id="232"/>
      <w:bookmarkEnd w:id="233"/>
      <w:bookmarkEnd w:id="234"/>
      <w:bookmarkEnd w:id="235"/>
    </w:p>
    <w:p>
      <w:pPr>
        <w:spacing w:line="240" w:lineRule="atLeast"/>
        <w:ind w:left="900" w:hanging="900" w:hangingChars="375"/>
        <w:rPr>
          <w:rFonts w:ascii="仿宋" w:hAnsi="仿宋" w:eastAsia="仿宋" w:cs="仿宋"/>
          <w:sz w:val="24"/>
        </w:rPr>
      </w:pPr>
      <w:r>
        <w:rPr>
          <w:rFonts w:hint="eastAsia" w:ascii="仿宋" w:hAnsi="仿宋" w:eastAsia="仿宋" w:cs="仿宋"/>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20.2.2  供应商的澄清、说明或补正将作为投标文件的一部分。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ascii="仿宋" w:hAnsi="仿宋" w:eastAsia="仿宋" w:cs="仿宋"/>
          <w:sz w:val="24"/>
        </w:rPr>
      </w:pPr>
      <w:r>
        <w:rPr>
          <w:rFonts w:hint="eastAsia" w:ascii="仿宋" w:hAnsi="仿宋" w:eastAsia="仿宋" w:cs="仿宋"/>
          <w:sz w:val="24"/>
        </w:rPr>
        <w:t>　　   （一）投标文件中</w:t>
      </w:r>
      <w:r>
        <w:rPr>
          <w:rFonts w:hint="eastAsia" w:ascii="仿宋" w:hAnsi="仿宋" w:eastAsia="仿宋" w:cs="仿宋"/>
          <w:sz w:val="24"/>
          <w:lang w:eastAsia="zh-CN"/>
        </w:rPr>
        <w:t>报价单</w:t>
      </w:r>
      <w:r>
        <w:rPr>
          <w:rFonts w:hint="eastAsia" w:ascii="仿宋" w:hAnsi="仿宋" w:eastAsia="仿宋" w:cs="仿宋"/>
          <w:sz w:val="24"/>
        </w:rPr>
        <w:t>内容与投标文件中相应内容不一致的，以</w:t>
      </w:r>
      <w:r>
        <w:rPr>
          <w:rFonts w:hint="eastAsia" w:ascii="仿宋" w:hAnsi="仿宋" w:eastAsia="仿宋" w:cs="仿宋"/>
          <w:sz w:val="24"/>
          <w:lang w:eastAsia="zh-CN"/>
        </w:rPr>
        <w:t>报价单</w:t>
      </w:r>
      <w:r>
        <w:rPr>
          <w:rFonts w:hint="eastAsia" w:ascii="仿宋" w:hAnsi="仿宋" w:eastAsia="仿宋" w:cs="仿宋"/>
          <w:sz w:val="24"/>
        </w:rPr>
        <w:t>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同时出现两种以上不一致的，按照前款规定的顺序修正。修正后的报价按照第20.2条的规定经供应商确认后产生约束力，供应商不确认的，将被认定为投标无效。</w:t>
      </w:r>
    </w:p>
    <w:p>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   供应商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9"/>
        <w:spacing w:before="0" w:after="0" w:line="240" w:lineRule="atLeast"/>
        <w:rPr>
          <w:rFonts w:ascii="仿宋" w:hAnsi="仿宋" w:eastAsia="仿宋" w:cs="仿宋"/>
          <w:u w:val="none"/>
        </w:rPr>
      </w:pPr>
      <w:bookmarkStart w:id="236" w:name="_Toc518923086"/>
      <w:bookmarkStart w:id="237" w:name="_Toc8603"/>
      <w:r>
        <w:rPr>
          <w:rFonts w:hint="eastAsia" w:ascii="仿宋" w:hAnsi="仿宋" w:eastAsia="仿宋" w:cs="仿宋"/>
          <w:u w:val="none"/>
        </w:rPr>
        <w:t>21.投标偏离</w:t>
      </w:r>
      <w:bookmarkEnd w:id="236"/>
      <w:bookmarkEnd w:id="237"/>
    </w:p>
    <w:p>
      <w:pPr>
        <w:spacing w:line="240" w:lineRule="atLeast"/>
        <w:ind w:left="848" w:leftChars="99" w:hanging="640" w:hangingChars="267"/>
        <w:rPr>
          <w:rFonts w:ascii="仿宋" w:hAnsi="仿宋" w:eastAsia="仿宋" w:cs="仿宋"/>
          <w:sz w:val="24"/>
        </w:rPr>
      </w:pPr>
      <w:r>
        <w:rPr>
          <w:rFonts w:hint="eastAsia" w:ascii="仿宋" w:hAnsi="仿宋" w:eastAsia="仿宋" w:cs="仿宋"/>
          <w:sz w:val="24"/>
        </w:rPr>
        <w:t xml:space="preserve">     评标委员不接受投标文件中得负偏离。</w:t>
      </w:r>
    </w:p>
    <w:p>
      <w:pPr>
        <w:pStyle w:val="9"/>
        <w:spacing w:before="0" w:after="0" w:line="240" w:lineRule="atLeast"/>
        <w:rPr>
          <w:rFonts w:ascii="仿宋" w:hAnsi="仿宋" w:eastAsia="仿宋" w:cs="仿宋"/>
          <w:u w:val="none"/>
        </w:rPr>
      </w:pPr>
      <w:bookmarkStart w:id="238" w:name="_Toc25255"/>
      <w:bookmarkStart w:id="239" w:name="_Toc518923087"/>
      <w:r>
        <w:rPr>
          <w:rFonts w:hint="eastAsia" w:ascii="仿宋" w:hAnsi="仿宋" w:eastAsia="仿宋" w:cs="仿宋"/>
          <w:u w:val="none"/>
        </w:rPr>
        <w:t>22.投标无效</w:t>
      </w:r>
      <w:bookmarkEnd w:id="238"/>
      <w:bookmarkEnd w:id="239"/>
    </w:p>
    <w:p>
      <w:pPr>
        <w:spacing w:line="240" w:lineRule="atLeas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采购文件的要求。实质上响应的投标应该是与采购文件要求的全部条款、条件和规格相符，没有偏离的投标。对招标条款的偏离，将被认定为</w:t>
      </w:r>
      <w:r>
        <w:rPr>
          <w:rFonts w:hint="eastAsia" w:ascii="仿宋" w:hAnsi="仿宋" w:eastAsia="仿宋" w:cs="仿宋"/>
          <w:b/>
          <w:bCs/>
          <w:sz w:val="24"/>
        </w:rPr>
        <w:t>投标无效</w:t>
      </w:r>
      <w:r>
        <w:rPr>
          <w:rFonts w:hint="eastAsia" w:ascii="仿宋" w:hAnsi="仿宋" w:eastAsia="仿宋" w:cs="仿宋"/>
          <w:sz w:val="24"/>
        </w:rPr>
        <w:t>。供应商不得通过修正或撤销不符合要求的偏离从而使其投标成为实质上响应的投标。</w:t>
      </w:r>
    </w:p>
    <w:p>
      <w:pPr>
        <w:spacing w:line="240" w:lineRule="atLeast"/>
        <w:ind w:left="792" w:leftChars="377"/>
        <w:rPr>
          <w:rFonts w:ascii="仿宋" w:hAnsi="仿宋" w:eastAsia="仿宋" w:cs="仿宋"/>
          <w:sz w:val="24"/>
        </w:rPr>
      </w:pPr>
      <w:r>
        <w:rPr>
          <w:rFonts w:hint="eastAsia" w:ascii="仿宋" w:hAnsi="仿宋" w:eastAsia="仿宋" w:cs="仿宋"/>
          <w:sz w:val="24"/>
        </w:rPr>
        <w:t>评标委员会决定投标的响应性只根据采购文件要求、投标文件内容及财政主管部门指定相关信息发布媒体。</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以下情形应当在采购文件中规定，并以醒目的方式标明</w:t>
      </w:r>
      <w:r>
        <w:rPr>
          <w:rFonts w:hint="eastAsia" w:ascii="仿宋" w:hAnsi="仿宋" w:eastAsia="仿宋" w:cs="仿宋"/>
          <w:sz w:val="24"/>
        </w:rPr>
        <w:t>）</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未按采购文件规定的形式和金额提交投标保证金的；</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未按照采购文件规定要求签署、盖章的；</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未满足采购文件中技术条款的实质性要求；</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与其他供应商串通投标，或者与招标人串通投标；</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属于采购文件规定的其他投标无效情形；</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评标委员会认为供应商的报价明显低于其他通过符合性检查供应商的报价，有可能影响履约的，且供应商未按照规定证明其报价合理性的；</w:t>
      </w:r>
    </w:p>
    <w:p>
      <w:pPr>
        <w:numPr>
          <w:ilvl w:val="0"/>
          <w:numId w:val="4"/>
        </w:numPr>
        <w:spacing w:line="240" w:lineRule="atLeast"/>
        <w:ind w:left="1020"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4"/>
        </w:numPr>
        <w:tabs>
          <w:tab w:val="left" w:pos="0"/>
        </w:tabs>
        <w:spacing w:line="240" w:lineRule="atLeast"/>
        <w:ind w:left="1020" w:hanging="180"/>
        <w:rPr>
          <w:rFonts w:ascii="仿宋" w:hAnsi="仿宋" w:eastAsia="仿宋" w:cs="仿宋"/>
          <w:b/>
          <w:bCs/>
          <w:sz w:val="24"/>
        </w:rPr>
      </w:pPr>
      <w:r>
        <w:rPr>
          <w:rFonts w:hint="eastAsia" w:ascii="仿宋" w:hAnsi="仿宋" w:eastAsia="仿宋" w:cs="仿宋"/>
          <w:b/>
          <w:bCs/>
          <w:sz w:val="24"/>
        </w:rPr>
        <w:t>不符合法规和采购文件中规定的其他实质性要求的。</w:t>
      </w:r>
    </w:p>
    <w:p>
      <w:pPr>
        <w:spacing w:line="240" w:lineRule="atLeast"/>
        <w:rPr>
          <w:rFonts w:ascii="仿宋" w:hAnsi="仿宋" w:eastAsia="仿宋" w:cs="仿宋"/>
        </w:rPr>
      </w:pPr>
      <w:bookmarkStart w:id="240" w:name="_Toc518923088"/>
      <w:bookmarkStart w:id="241" w:name="_Toc20835"/>
      <w:r>
        <w:rPr>
          <w:rFonts w:hint="eastAsia" w:ascii="仿宋" w:hAnsi="仿宋" w:eastAsia="仿宋" w:cs="仿宋"/>
          <w:b/>
          <w:kern w:val="0"/>
          <w:sz w:val="24"/>
          <w:szCs w:val="20"/>
        </w:rPr>
        <w:t>23</w:t>
      </w:r>
      <w:bookmarkEnd w:id="231"/>
      <w:r>
        <w:rPr>
          <w:rFonts w:hint="eastAsia" w:ascii="仿宋" w:hAnsi="仿宋" w:eastAsia="仿宋" w:cs="仿宋"/>
          <w:b/>
          <w:kern w:val="0"/>
          <w:sz w:val="24"/>
          <w:szCs w:val="20"/>
        </w:rPr>
        <w:t>.比较与评价</w:t>
      </w:r>
      <w:bookmarkEnd w:id="240"/>
      <w:bookmarkEnd w:id="241"/>
    </w:p>
    <w:p>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经符合性审查合格的投标文件，评标委员会将根据采购文件确定的评标方法和标准，对其技术部分和商务部分作进一步的比较和评价。</w:t>
      </w:r>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评标严格按照采购文件的要求和条件进行。根据实际情况，在</w:t>
      </w:r>
      <w:r>
        <w:rPr>
          <w:rFonts w:hint="eastAsia" w:ascii="仿宋" w:hAnsi="仿宋" w:eastAsia="仿宋" w:cs="仿宋"/>
          <w:sz w:val="24"/>
          <w:u w:val="single"/>
        </w:rPr>
        <w:t>供应商须知资料表</w:t>
      </w:r>
      <w:r>
        <w:rPr>
          <w:rFonts w:hint="eastAsia" w:ascii="仿宋" w:hAnsi="仿宋" w:eastAsia="仿宋" w:cs="仿宋"/>
          <w:sz w:val="24"/>
        </w:rPr>
        <w:t>中规定采用下列一种评标方法，具体办法详见第6章评标方法和标准：</w:t>
      </w:r>
    </w:p>
    <w:p>
      <w:pPr>
        <w:pStyle w:val="16"/>
        <w:spacing w:line="240" w:lineRule="atLeast"/>
        <w:ind w:left="899" w:leftChars="342" w:hanging="181"/>
        <w:rPr>
          <w:rFonts w:ascii="仿宋" w:hAnsi="仿宋" w:eastAsia="仿宋" w:cs="仿宋"/>
          <w:sz w:val="24"/>
          <w:szCs w:val="24"/>
        </w:rPr>
      </w:pPr>
      <w:r>
        <w:rPr>
          <w:rFonts w:hint="eastAsia" w:ascii="仿宋" w:hAnsi="仿宋" w:eastAsia="仿宋" w:cs="仿宋"/>
          <w:sz w:val="24"/>
          <w:szCs w:val="24"/>
        </w:rPr>
        <w:t>（1） 最低评标价法，是指投标文件满足采购文件全部实质性要求，且投标报价最低的供应商为中标候选人的评标方法。</w:t>
      </w:r>
    </w:p>
    <w:p>
      <w:pPr>
        <w:pStyle w:val="16"/>
        <w:spacing w:line="240" w:lineRule="atLeast"/>
        <w:ind w:left="898" w:leftChars="342" w:hanging="180"/>
        <w:rPr>
          <w:rFonts w:ascii="仿宋" w:hAnsi="仿宋" w:eastAsia="仿宋" w:cs="仿宋"/>
          <w:sz w:val="24"/>
          <w:szCs w:val="24"/>
        </w:rPr>
      </w:pPr>
      <w:r>
        <w:rPr>
          <w:rFonts w:hint="eastAsia" w:ascii="仿宋" w:hAnsi="仿宋" w:eastAsia="仿宋" w:cs="仿宋"/>
          <w:sz w:val="24"/>
          <w:szCs w:val="24"/>
        </w:rPr>
        <w:t>（2） 综合评分法，是指投标文件满足采购文件全部实质性要求，且按照评审因素的量化指标评审得分最高的供应商为中标候选人的评标方法。</w:t>
      </w:r>
    </w:p>
    <w:p>
      <w:pPr>
        <w:pStyle w:val="16"/>
        <w:spacing w:line="240" w:lineRule="atLeast"/>
        <w:ind w:left="900" w:hanging="900" w:hangingChars="375"/>
        <w:rPr>
          <w:rFonts w:ascii="仿宋" w:hAnsi="仿宋" w:eastAsia="仿宋" w:cs="仿宋"/>
          <w:sz w:val="24"/>
          <w:szCs w:val="24"/>
        </w:rPr>
      </w:pPr>
      <w:r>
        <w:rPr>
          <w:rFonts w:hint="eastAsia" w:ascii="仿宋" w:hAnsi="仿宋" w:eastAsia="仿宋" w:cs="仿宋"/>
          <w:sz w:val="24"/>
          <w:szCs w:val="24"/>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242" w:name="sendNo"/>
      <w:r>
        <w:rPr>
          <w:rFonts w:hint="eastAsia" w:ascii="仿宋" w:hAnsi="仿宋" w:eastAsia="仿宋" w:cs="仿宋"/>
          <w:bCs/>
          <w:sz w:val="24"/>
          <w:szCs w:val="24"/>
        </w:rPr>
        <w:t>财库〔</w:t>
      </w:r>
      <w:bookmarkEnd w:id="242"/>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供应商企业类型声明函》或省级以上监狱管理局、戒毒管理局（含新疆生产建设兵团）出具的属于监狱企业的证明文件的供应商，其投标报价扣除6-10%后参与评审。具体办法详见采购文件</w:t>
      </w:r>
      <w:r>
        <w:rPr>
          <w:rFonts w:hint="eastAsia" w:ascii="仿宋" w:hAnsi="仿宋" w:eastAsia="仿宋" w:cs="仿宋"/>
          <w:sz w:val="24"/>
        </w:rPr>
        <w:t>第6章评标方法和标准</w:t>
      </w:r>
      <w:r>
        <w:rPr>
          <w:rFonts w:hint="eastAsia" w:ascii="仿宋" w:hAnsi="仿宋" w:eastAsia="仿宋" w:cs="仿宋"/>
          <w:sz w:val="24"/>
          <w:szCs w:val="24"/>
        </w:rPr>
        <w:t>。</w:t>
      </w:r>
    </w:p>
    <w:p>
      <w:pPr>
        <w:pStyle w:val="16"/>
        <w:spacing w:line="240" w:lineRule="atLeast"/>
        <w:ind w:left="900" w:hanging="900" w:hangingChars="375"/>
        <w:rPr>
          <w:rFonts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9"/>
        <w:spacing w:before="0" w:after="0" w:line="240" w:lineRule="atLeast"/>
        <w:rPr>
          <w:rFonts w:ascii="仿宋" w:hAnsi="仿宋" w:eastAsia="仿宋" w:cs="仿宋"/>
          <w:u w:val="none"/>
        </w:rPr>
      </w:pPr>
      <w:bookmarkStart w:id="243" w:name="_Toc520356168"/>
      <w:bookmarkStart w:id="244" w:name="_Toc518923089"/>
      <w:bookmarkStart w:id="245" w:name="_Toc5823"/>
      <w:r>
        <w:rPr>
          <w:rFonts w:hint="eastAsia" w:ascii="仿宋" w:hAnsi="仿宋" w:eastAsia="仿宋" w:cs="仿宋"/>
          <w:u w:val="none"/>
        </w:rPr>
        <w:t>24</w:t>
      </w:r>
      <w:bookmarkEnd w:id="243"/>
      <w:r>
        <w:rPr>
          <w:rFonts w:hint="eastAsia" w:ascii="仿宋" w:hAnsi="仿宋" w:eastAsia="仿宋" w:cs="仿宋"/>
          <w:u w:val="none"/>
        </w:rPr>
        <w:t>.废标</w:t>
      </w:r>
      <w:bookmarkEnd w:id="244"/>
      <w:bookmarkEnd w:id="245"/>
    </w:p>
    <w:p>
      <w:pPr>
        <w:spacing w:line="240" w:lineRule="atLeast"/>
        <w:ind w:left="898" w:leftChars="399" w:hanging="60" w:hangingChars="25"/>
        <w:rPr>
          <w:rFonts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（1）符合专业条件的供应商或者对采购文件做实质性响应的供应商不足三家；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ascii="仿宋" w:hAnsi="仿宋" w:eastAsia="仿宋" w:cs="仿宋"/>
          <w:sz w:val="24"/>
        </w:rPr>
      </w:pPr>
      <w:r>
        <w:rPr>
          <w:rFonts w:hint="eastAsia" w:ascii="仿宋" w:hAnsi="仿宋" w:eastAsia="仿宋" w:cs="仿宋"/>
          <w:sz w:val="24"/>
        </w:rPr>
        <w:t>（3）供应商的报价均超过了采购预算，采购人不能支付的；</w:t>
      </w:r>
    </w:p>
    <w:p>
      <w:pPr>
        <w:spacing w:line="240" w:lineRule="atLeast"/>
        <w:ind w:firstLine="840" w:firstLineChars="350"/>
        <w:rPr>
          <w:rFonts w:ascii="仿宋" w:hAnsi="仿宋" w:eastAsia="仿宋" w:cs="仿宋"/>
          <w:sz w:val="24"/>
        </w:rPr>
      </w:pPr>
      <w:r>
        <w:rPr>
          <w:rFonts w:hint="eastAsia" w:ascii="仿宋" w:hAnsi="仿宋" w:eastAsia="仿宋" w:cs="仿宋"/>
          <w:sz w:val="24"/>
        </w:rPr>
        <w:t xml:space="preserve">（4）因重大变故，采购任务取消的。   </w:t>
      </w:r>
    </w:p>
    <w:p>
      <w:pPr>
        <w:pStyle w:val="9"/>
        <w:spacing w:before="0" w:after="0" w:line="240" w:lineRule="atLeast"/>
        <w:rPr>
          <w:rFonts w:ascii="仿宋" w:hAnsi="仿宋" w:eastAsia="仿宋" w:cs="仿宋"/>
          <w:u w:val="none"/>
        </w:rPr>
      </w:pPr>
      <w:bookmarkStart w:id="246" w:name="_Toc23660"/>
      <w:bookmarkStart w:id="247" w:name="_Toc518923090"/>
      <w:bookmarkStart w:id="248" w:name="_Toc520356169"/>
      <w:r>
        <w:rPr>
          <w:rFonts w:hint="eastAsia" w:ascii="仿宋" w:hAnsi="仿宋" w:eastAsia="仿宋" w:cs="仿宋"/>
          <w:u w:val="none"/>
        </w:rPr>
        <w:t>25.保密原则</w:t>
      </w:r>
      <w:bookmarkEnd w:id="246"/>
      <w:bookmarkEnd w:id="247"/>
    </w:p>
    <w:p>
      <w:pPr>
        <w:spacing w:line="240" w:lineRule="atLeast"/>
        <w:ind w:left="900" w:hanging="900" w:hangingChars="375"/>
        <w:outlineLvl w:val="1"/>
        <w:rPr>
          <w:rFonts w:ascii="仿宋" w:hAnsi="仿宋" w:eastAsia="仿宋" w:cs="仿宋"/>
          <w:sz w:val="24"/>
        </w:rPr>
      </w:pPr>
      <w:bookmarkStart w:id="249" w:name="_Toc17828"/>
      <w:bookmarkStart w:id="250" w:name="_Toc25586"/>
      <w:bookmarkStart w:id="251" w:name="_Toc6871"/>
      <w:bookmarkStart w:id="252" w:name="_Toc15860"/>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bookmarkEnd w:id="249"/>
      <w:bookmarkEnd w:id="250"/>
      <w:bookmarkEnd w:id="251"/>
      <w:bookmarkEnd w:id="252"/>
    </w:p>
    <w:p>
      <w:pPr>
        <w:spacing w:line="240" w:lineRule="atLeas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80" w:leftChars="257" w:hanging="540"/>
        <w:rPr>
          <w:rFonts w:ascii="仿宋" w:hAnsi="仿宋" w:eastAsia="仿宋" w:cs="仿宋"/>
          <w:sz w:val="24"/>
        </w:rPr>
      </w:pPr>
    </w:p>
    <w:p>
      <w:pPr>
        <w:pStyle w:val="8"/>
        <w:spacing w:before="0" w:line="240" w:lineRule="atLeast"/>
        <w:ind w:left="1080" w:leftChars="257" w:hanging="540"/>
        <w:rPr>
          <w:rFonts w:ascii="仿宋" w:hAnsi="仿宋" w:eastAsia="仿宋" w:cs="仿宋"/>
          <w:sz w:val="24"/>
        </w:rPr>
      </w:pPr>
      <w:bookmarkStart w:id="253" w:name="_Toc14297"/>
      <w:bookmarkStart w:id="254" w:name="_Toc518923091"/>
      <w:bookmarkStart w:id="255" w:name="_Toc216582810"/>
      <w:bookmarkStart w:id="256" w:name="_Toc23506"/>
      <w:bookmarkStart w:id="257" w:name="_Toc10964"/>
      <w:bookmarkStart w:id="258" w:name="_Toc14559"/>
      <w:r>
        <w:rPr>
          <w:rFonts w:hint="eastAsia" w:ascii="仿宋" w:hAnsi="仿宋" w:eastAsia="仿宋" w:cs="仿宋"/>
          <w:sz w:val="24"/>
        </w:rPr>
        <w:t xml:space="preserve">六   </w:t>
      </w:r>
      <w:bookmarkEnd w:id="248"/>
      <w:r>
        <w:rPr>
          <w:rFonts w:hint="eastAsia" w:ascii="仿宋" w:hAnsi="仿宋" w:eastAsia="仿宋" w:cs="仿宋"/>
          <w:sz w:val="24"/>
        </w:rPr>
        <w:t>确定中标</w:t>
      </w:r>
      <w:bookmarkEnd w:id="253"/>
      <w:bookmarkEnd w:id="254"/>
      <w:bookmarkEnd w:id="255"/>
      <w:bookmarkEnd w:id="256"/>
      <w:bookmarkEnd w:id="257"/>
      <w:bookmarkEnd w:id="258"/>
    </w:p>
    <w:p>
      <w:pPr>
        <w:pStyle w:val="11"/>
        <w:rPr>
          <w:rFonts w:ascii="仿宋" w:hAnsi="仿宋" w:eastAsia="仿宋" w:cs="仿宋"/>
        </w:rPr>
      </w:pPr>
    </w:p>
    <w:p>
      <w:pPr>
        <w:pStyle w:val="9"/>
        <w:spacing w:before="0" w:after="0" w:line="240" w:lineRule="atLeast"/>
        <w:rPr>
          <w:rFonts w:ascii="仿宋" w:hAnsi="仿宋" w:eastAsia="仿宋" w:cs="仿宋"/>
          <w:u w:val="none"/>
        </w:rPr>
      </w:pPr>
      <w:bookmarkStart w:id="259" w:name="_Toc518923092"/>
      <w:bookmarkStart w:id="260" w:name="_Toc32578"/>
      <w:bookmarkStart w:id="261" w:name="_Ref467307010"/>
      <w:bookmarkStart w:id="262" w:name="_Toc520356170"/>
      <w:r>
        <w:rPr>
          <w:rFonts w:hint="eastAsia" w:ascii="仿宋" w:hAnsi="仿宋" w:eastAsia="仿宋" w:cs="仿宋"/>
          <w:u w:val="none"/>
        </w:rPr>
        <w:t>26.中标候选人的确定原则及标准</w:t>
      </w:r>
      <w:bookmarkEnd w:id="259"/>
      <w:bookmarkEnd w:id="260"/>
      <w:bookmarkEnd w:id="261"/>
      <w:bookmarkEnd w:id="262"/>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除第28条规定外，对实质上响应采购文件的供应商按下列方法进行排序，确定中标候选人：</w:t>
      </w:r>
    </w:p>
    <w:p>
      <w:pPr>
        <w:spacing w:line="240" w:lineRule="atLeast"/>
        <w:ind w:left="901"/>
        <w:rPr>
          <w:rFonts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供应商的投标价格进行任何调整。评标结果按修正和扣除后的投标报价由低到高顺序排列。报价相同的处理方式详见采购文件四、综合评分法评分标准。</w:t>
      </w:r>
    </w:p>
    <w:p>
      <w:pPr>
        <w:spacing w:line="240" w:lineRule="atLeast"/>
        <w:ind w:left="901"/>
        <w:rPr>
          <w:rFonts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（2）采用综合评分法的，评标结果按评审后得分由高到低顺序排列。得分相同的，按修正和扣除后的投标报价由低到高顺序排列。得分与投标报价均相同的处理方式详见采购文件第6章评标方法和标准。</w:t>
      </w:r>
    </w:p>
    <w:p>
      <w:pPr>
        <w:spacing w:line="240" w:lineRule="atLeast"/>
        <w:ind w:left="901"/>
        <w:rPr>
          <w:rFonts w:ascii="仿宋" w:hAnsi="仿宋" w:eastAsia="仿宋" w:cs="仿宋"/>
        </w:rPr>
      </w:pPr>
      <w:r>
        <w:rPr>
          <w:rFonts w:hint="eastAsia" w:ascii="仿宋" w:hAnsi="仿宋" w:eastAsia="仿宋" w:cs="仿宋"/>
          <w:b/>
          <w:bCs/>
          <w:sz w:val="24"/>
        </w:rPr>
        <w:t>本项目采用综合评分法</w:t>
      </w:r>
    </w:p>
    <w:p>
      <w:pPr>
        <w:pStyle w:val="9"/>
        <w:spacing w:before="0" w:after="0" w:line="240" w:lineRule="atLeast"/>
        <w:rPr>
          <w:rFonts w:ascii="仿宋" w:hAnsi="仿宋" w:eastAsia="仿宋" w:cs="仿宋"/>
          <w:u w:val="none"/>
        </w:rPr>
      </w:pPr>
      <w:bookmarkStart w:id="263" w:name="_Toc520356171"/>
      <w:bookmarkStart w:id="264" w:name="_Toc10555"/>
      <w:bookmarkStart w:id="265" w:name="_Toc518923093"/>
      <w:r>
        <w:rPr>
          <w:rFonts w:hint="eastAsia" w:ascii="仿宋" w:hAnsi="仿宋" w:eastAsia="仿宋" w:cs="仿宋"/>
          <w:u w:val="none"/>
        </w:rPr>
        <w:t>27</w:t>
      </w:r>
      <w:bookmarkEnd w:id="263"/>
      <w:r>
        <w:rPr>
          <w:rFonts w:hint="eastAsia" w:ascii="仿宋" w:hAnsi="仿宋" w:eastAsia="仿宋" w:cs="仿宋"/>
          <w:u w:val="none"/>
        </w:rPr>
        <w:t>.确定中标候选人和中标人</w:t>
      </w:r>
      <w:bookmarkEnd w:id="264"/>
      <w:bookmarkEnd w:id="265"/>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供应商须知资料表中</w:t>
      </w:r>
      <w:r>
        <w:rPr>
          <w:rFonts w:hint="eastAsia" w:ascii="仿宋" w:hAnsi="仿宋" w:eastAsia="仿宋" w:cs="仿宋"/>
          <w:sz w:val="24"/>
        </w:rPr>
        <w:t>规定数量推荐中标候选人；或根据采购人的委托，直接确定中标人。</w:t>
      </w:r>
    </w:p>
    <w:p>
      <w:pPr>
        <w:pStyle w:val="9"/>
        <w:tabs>
          <w:tab w:val="left" w:pos="900"/>
        </w:tabs>
        <w:spacing w:before="0" w:after="0" w:line="240" w:lineRule="atLeast"/>
        <w:rPr>
          <w:rFonts w:ascii="仿宋" w:hAnsi="仿宋" w:eastAsia="仿宋" w:cs="仿宋"/>
          <w:u w:val="none"/>
        </w:rPr>
      </w:pPr>
      <w:bookmarkStart w:id="266" w:name="_Ref467306874"/>
      <w:bookmarkStart w:id="267" w:name="_Toc520356173"/>
      <w:bookmarkStart w:id="268" w:name="_Toc17138"/>
      <w:bookmarkStart w:id="269" w:name="_Toc518923094"/>
      <w:r>
        <w:rPr>
          <w:rFonts w:hint="eastAsia" w:ascii="仿宋" w:hAnsi="仿宋" w:eastAsia="仿宋" w:cs="仿宋"/>
          <w:u w:val="none"/>
        </w:rPr>
        <w:t>28</w:t>
      </w:r>
      <w:bookmarkEnd w:id="266"/>
      <w:bookmarkEnd w:id="267"/>
      <w:r>
        <w:rPr>
          <w:rFonts w:hint="eastAsia" w:ascii="仿宋" w:hAnsi="仿宋" w:eastAsia="仿宋" w:cs="仿宋"/>
          <w:u w:val="none"/>
        </w:rPr>
        <w:t>.采购任务取消</w:t>
      </w:r>
      <w:bookmarkEnd w:id="268"/>
      <w:bookmarkEnd w:id="269"/>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因重大变故采购任务取消时，采购人有权拒绝任何供应商中标，且对受影响的供应商不承担任何责任。</w:t>
      </w:r>
      <w:bookmarkStart w:id="270" w:name="_Toc520356174"/>
    </w:p>
    <w:p>
      <w:pPr>
        <w:pStyle w:val="9"/>
        <w:spacing w:before="0" w:after="0" w:line="240" w:lineRule="atLeast"/>
        <w:rPr>
          <w:rFonts w:ascii="仿宋" w:hAnsi="仿宋" w:eastAsia="仿宋" w:cs="仿宋"/>
          <w:u w:val="none"/>
        </w:rPr>
      </w:pPr>
      <w:bookmarkStart w:id="271" w:name="_Toc18072"/>
      <w:bookmarkStart w:id="272" w:name="_Toc518923095"/>
      <w:r>
        <w:rPr>
          <w:rFonts w:hint="eastAsia" w:ascii="仿宋" w:hAnsi="仿宋" w:eastAsia="仿宋" w:cs="仿宋"/>
          <w:u w:val="none"/>
        </w:rPr>
        <w:t>29.中标通知书</w:t>
      </w:r>
      <w:bookmarkEnd w:id="270"/>
      <w:r>
        <w:rPr>
          <w:rFonts w:hint="eastAsia" w:ascii="仿宋" w:hAnsi="仿宋" w:eastAsia="仿宋" w:cs="仿宋"/>
          <w:u w:val="none"/>
        </w:rPr>
        <w:t>和招标结果</w:t>
      </w:r>
      <w:bookmarkEnd w:id="271"/>
      <w:bookmarkEnd w:id="272"/>
      <w:r>
        <w:rPr>
          <w:rFonts w:hint="eastAsia" w:ascii="仿宋" w:hAnsi="仿宋" w:eastAsia="仿宋" w:cs="仿宋"/>
          <w:u w:val="none"/>
        </w:rPr>
        <w:t>公示</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招标结果公告和中标通知书同时发出。</w:t>
      </w:r>
    </w:p>
    <w:p>
      <w:pPr>
        <w:pStyle w:val="9"/>
        <w:spacing w:before="0" w:after="0" w:line="240" w:lineRule="atLeast"/>
        <w:rPr>
          <w:rFonts w:ascii="仿宋" w:hAnsi="仿宋" w:eastAsia="仿宋" w:cs="仿宋"/>
          <w:u w:val="none"/>
        </w:rPr>
      </w:pPr>
      <w:bookmarkStart w:id="273" w:name="_Ref467307062"/>
      <w:bookmarkStart w:id="274" w:name="_Toc518923096"/>
      <w:bookmarkStart w:id="275" w:name="_Toc16952"/>
      <w:bookmarkStart w:id="276" w:name="_Toc520356175"/>
      <w:bookmarkStart w:id="277" w:name="_Ref467306978"/>
      <w:bookmarkStart w:id="278" w:name="_Ref467306377"/>
      <w:bookmarkStart w:id="279" w:name="_Ref467307204"/>
      <w:r>
        <w:rPr>
          <w:rFonts w:hint="eastAsia" w:ascii="仿宋" w:hAnsi="仿宋" w:eastAsia="仿宋" w:cs="仿宋"/>
          <w:u w:val="none"/>
        </w:rPr>
        <w:t>30.签订合同</w:t>
      </w:r>
      <w:bookmarkEnd w:id="273"/>
      <w:bookmarkEnd w:id="274"/>
      <w:bookmarkEnd w:id="275"/>
      <w:bookmarkEnd w:id="276"/>
      <w:bookmarkEnd w:id="277"/>
      <w:bookmarkEnd w:id="278"/>
      <w:bookmarkEnd w:id="279"/>
    </w:p>
    <w:p>
      <w:pPr>
        <w:spacing w:line="240" w:lineRule="atLeas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80" w:name="_Ref467307090"/>
      <w:bookmarkStart w:id="281" w:name="_Toc520356176"/>
      <w:bookmarkStart w:id="282" w:name="_Ref467306425"/>
      <w:r>
        <w:rPr>
          <w:rFonts w:hint="eastAsia" w:ascii="仿宋" w:hAnsi="仿宋" w:eastAsia="仿宋" w:cs="仿宋"/>
          <w:sz w:val="24"/>
        </w:rPr>
        <w:t>采购文件、中标人的投标文件及其澄清文件等，均为签订合同的依据。</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9"/>
        <w:spacing w:before="0" w:after="0" w:line="240" w:lineRule="atLeast"/>
        <w:rPr>
          <w:rFonts w:ascii="仿宋" w:hAnsi="仿宋" w:eastAsia="仿宋" w:cs="仿宋"/>
          <w:u w:val="none"/>
        </w:rPr>
      </w:pPr>
      <w:bookmarkStart w:id="283" w:name="_Toc518923097"/>
      <w:bookmarkStart w:id="284" w:name="_Toc4302"/>
      <w:r>
        <w:rPr>
          <w:rFonts w:hint="eastAsia" w:ascii="仿宋" w:hAnsi="仿宋" w:eastAsia="仿宋" w:cs="仿宋"/>
          <w:u w:val="none"/>
        </w:rPr>
        <w:t>31.履约保证金</w:t>
      </w:r>
      <w:bookmarkEnd w:id="280"/>
      <w:bookmarkEnd w:id="281"/>
      <w:bookmarkEnd w:id="282"/>
      <w:bookmarkEnd w:id="283"/>
      <w:bookmarkEnd w:id="284"/>
    </w:p>
    <w:p>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供应商须知资料表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9"/>
        <w:spacing w:before="0" w:after="0" w:line="240" w:lineRule="atLeast"/>
        <w:rPr>
          <w:rFonts w:ascii="仿宋" w:hAnsi="仿宋" w:eastAsia="仿宋" w:cs="仿宋"/>
          <w:u w:val="none"/>
        </w:rPr>
      </w:pPr>
      <w:bookmarkStart w:id="285" w:name="_Toc8476"/>
      <w:bookmarkStart w:id="286" w:name="_Toc518923098"/>
      <w:r>
        <w:rPr>
          <w:rFonts w:hint="eastAsia" w:ascii="仿宋" w:hAnsi="仿宋" w:eastAsia="仿宋" w:cs="仿宋"/>
          <w:u w:val="none"/>
        </w:rPr>
        <w:t>32.中标服务费</w:t>
      </w:r>
      <w:bookmarkEnd w:id="285"/>
      <w:bookmarkEnd w:id="286"/>
    </w:p>
    <w:p>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9"/>
        <w:spacing w:before="0" w:after="0" w:line="240" w:lineRule="atLeast"/>
        <w:rPr>
          <w:rFonts w:ascii="仿宋" w:hAnsi="仿宋" w:eastAsia="仿宋" w:cs="仿宋"/>
          <w:u w:val="none"/>
        </w:rPr>
      </w:pPr>
      <w:bookmarkStart w:id="287" w:name="_Toc518923099"/>
      <w:bookmarkStart w:id="288" w:name="_Toc31411"/>
      <w:r>
        <w:rPr>
          <w:rFonts w:hint="eastAsia" w:ascii="仿宋" w:hAnsi="仿宋" w:eastAsia="仿宋" w:cs="仿宋"/>
          <w:u w:val="none"/>
        </w:rPr>
        <w:t>33.政府采购信用担保</w:t>
      </w:r>
      <w:bookmarkEnd w:id="287"/>
      <w:bookmarkEnd w:id="288"/>
    </w:p>
    <w:p>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供应商须知资料表</w:t>
      </w:r>
      <w:r>
        <w:rPr>
          <w:rFonts w:hint="eastAsia" w:ascii="仿宋" w:hAnsi="仿宋" w:eastAsia="仿宋" w:cs="仿宋"/>
          <w:sz w:val="24"/>
        </w:rPr>
        <w:t>。</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如属于政府采购信用担保试点范围内，中小型企业供应商可以自由按照财政部门的规定，采用投标担保、履约担保和融资担保。</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33.2.1 供应商递交的投标担保函和履约担保函应符合本采购文件的规定。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rPr>
        <w:t>供应商须知资料表</w:t>
      </w:r>
      <w:r>
        <w:rPr>
          <w:rFonts w:hint="eastAsia" w:ascii="仿宋" w:hAnsi="仿宋" w:eastAsia="仿宋" w:cs="仿宋"/>
          <w:sz w:val="24"/>
        </w:rPr>
        <w:t>。</w:t>
      </w:r>
    </w:p>
    <w:p>
      <w:pPr>
        <w:pStyle w:val="9"/>
        <w:spacing w:before="0" w:after="0" w:line="240" w:lineRule="atLeast"/>
        <w:rPr>
          <w:rFonts w:ascii="仿宋" w:hAnsi="仿宋" w:eastAsia="仿宋" w:cs="仿宋"/>
          <w:u w:val="none"/>
        </w:rPr>
      </w:pPr>
      <w:bookmarkStart w:id="289" w:name="_Toc518923100"/>
      <w:bookmarkStart w:id="290" w:name="_Toc4701"/>
      <w:r>
        <w:rPr>
          <w:rFonts w:hint="eastAsia" w:ascii="仿宋" w:hAnsi="仿宋" w:eastAsia="仿宋" w:cs="仿宋"/>
          <w:u w:val="none"/>
        </w:rPr>
        <w:t>34.廉洁自律规定</w:t>
      </w:r>
      <w:bookmarkEnd w:id="289"/>
      <w:bookmarkEnd w:id="290"/>
    </w:p>
    <w:p>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供应商须知资料表中的</w:t>
      </w:r>
      <w:r>
        <w:rPr>
          <w:rFonts w:hint="eastAsia" w:ascii="仿宋" w:hAnsi="仿宋" w:eastAsia="仿宋" w:cs="仿宋"/>
          <w:sz w:val="24"/>
        </w:rPr>
        <w:t>监督电话和信箱，反映采购代理机构的廉洁自律等问题。</w:t>
      </w:r>
    </w:p>
    <w:p>
      <w:pPr>
        <w:pStyle w:val="9"/>
        <w:spacing w:before="0" w:after="0" w:line="240" w:lineRule="atLeast"/>
        <w:rPr>
          <w:rFonts w:ascii="仿宋" w:hAnsi="仿宋" w:eastAsia="仿宋" w:cs="仿宋"/>
          <w:u w:val="none"/>
        </w:rPr>
      </w:pPr>
      <w:bookmarkStart w:id="291" w:name="_Toc21055"/>
      <w:bookmarkStart w:id="292" w:name="_Toc518923101"/>
      <w:r>
        <w:rPr>
          <w:rFonts w:hint="eastAsia" w:ascii="仿宋" w:hAnsi="仿宋" w:eastAsia="仿宋" w:cs="仿宋"/>
          <w:u w:val="none"/>
        </w:rPr>
        <w:t>35.人员回避</w:t>
      </w:r>
      <w:bookmarkEnd w:id="291"/>
      <w:bookmarkEnd w:id="292"/>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供应商认为采购人员及其相关人员有法律法规所列与其他供应商有利害关系的，可以向采购人或采购代理机构书面提出回避申请，并说明理由。</w:t>
      </w:r>
    </w:p>
    <w:p>
      <w:pPr>
        <w:pStyle w:val="9"/>
        <w:spacing w:before="0" w:after="0" w:line="240" w:lineRule="atLeast"/>
        <w:rPr>
          <w:rFonts w:ascii="仿宋" w:hAnsi="仿宋" w:eastAsia="仿宋" w:cs="仿宋"/>
          <w:u w:val="none"/>
        </w:rPr>
      </w:pPr>
      <w:bookmarkStart w:id="293" w:name="_Toc24931"/>
      <w:bookmarkStart w:id="294" w:name="_Toc518923102"/>
      <w:r>
        <w:rPr>
          <w:rFonts w:hint="eastAsia" w:ascii="仿宋" w:hAnsi="仿宋" w:eastAsia="仿宋" w:cs="仿宋"/>
          <w:u w:val="none"/>
        </w:rPr>
        <w:t>36.质疑与接收</w:t>
      </w:r>
      <w:bookmarkEnd w:id="293"/>
      <w:bookmarkEnd w:id="294"/>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36.1  供应商认为采购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供应商须知资料表。</w:t>
      </w:r>
    </w:p>
    <w:p>
      <w:pPr>
        <w:rPr>
          <w:rFonts w:ascii="仿宋" w:hAnsi="仿宋" w:eastAsia="仿宋" w:cs="仿宋"/>
          <w:sz w:val="24"/>
        </w:rPr>
      </w:pPr>
      <w:r>
        <w:rPr>
          <w:rFonts w:hint="eastAsia" w:ascii="仿宋" w:hAnsi="仿宋" w:eastAsia="仿宋" w:cs="仿宋"/>
          <w:sz w:val="24"/>
        </w:rPr>
        <w:br w:type="page"/>
      </w:r>
    </w:p>
    <w:p>
      <w:pPr>
        <w:pStyle w:val="8"/>
        <w:spacing w:before="0" w:line="240" w:lineRule="atLeast"/>
        <w:ind w:left="1080" w:leftChars="257" w:hanging="540"/>
        <w:rPr>
          <w:rFonts w:ascii="仿宋" w:hAnsi="仿宋" w:eastAsia="仿宋" w:cs="仿宋"/>
          <w:szCs w:val="24"/>
        </w:rPr>
      </w:pPr>
      <w:bookmarkStart w:id="295" w:name="_Toc22328"/>
      <w:bookmarkStart w:id="296" w:name="_Toc23883"/>
      <w:bookmarkStart w:id="297" w:name="_Toc12416"/>
      <w:bookmarkStart w:id="298" w:name="_Toc518923103"/>
      <w:bookmarkStart w:id="299" w:name="_Toc46"/>
      <w:bookmarkStart w:id="300" w:name="_Toc19080"/>
      <w:r>
        <w:rPr>
          <w:rFonts w:hint="eastAsia" w:ascii="仿宋" w:hAnsi="仿宋" w:eastAsia="仿宋" w:cs="仿宋"/>
          <w:szCs w:val="24"/>
        </w:rPr>
        <w:t>附件1：履约保证金保函（格式）</w:t>
      </w:r>
      <w:bookmarkEnd w:id="295"/>
      <w:bookmarkEnd w:id="296"/>
      <w:bookmarkEnd w:id="297"/>
      <w:bookmarkEnd w:id="298"/>
      <w:bookmarkEnd w:id="299"/>
      <w:bookmarkEnd w:id="300"/>
    </w:p>
    <w:p>
      <w:pPr>
        <w:pStyle w:val="16"/>
        <w:spacing w:line="240" w:lineRule="atLeast"/>
        <w:ind w:left="1080" w:leftChars="257" w:hanging="540"/>
        <w:rPr>
          <w:rFonts w:ascii="仿宋" w:hAnsi="仿宋" w:eastAsia="仿宋" w:cs="仿宋"/>
          <w:b/>
          <w:sz w:val="24"/>
        </w:rPr>
      </w:pPr>
      <w:r>
        <w:rPr>
          <w:rFonts w:hint="eastAsia" w:ascii="仿宋" w:hAnsi="仿宋" w:eastAsia="仿宋" w:cs="仿宋"/>
          <w:b/>
          <w:sz w:val="24"/>
        </w:rPr>
        <w:t xml:space="preserve">                         （本项目不适用）</w:t>
      </w:r>
    </w:p>
    <w:p>
      <w:pPr>
        <w:pStyle w:val="16"/>
        <w:spacing w:line="240" w:lineRule="atLeast"/>
        <w:ind w:left="1080" w:leftChars="257" w:hanging="540"/>
        <w:rPr>
          <w:rFonts w:ascii="仿宋" w:hAnsi="仿宋" w:eastAsia="仿宋" w:cs="仿宋"/>
          <w:b/>
          <w:sz w:val="24"/>
        </w:rPr>
      </w:pPr>
    </w:p>
    <w:p>
      <w:pPr>
        <w:pStyle w:val="16"/>
        <w:spacing w:line="400" w:lineRule="exact"/>
        <w:rPr>
          <w:rFonts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6"/>
        <w:spacing w:line="400" w:lineRule="exact"/>
        <w:ind w:left="1080" w:leftChars="257" w:hanging="540"/>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6"/>
        <w:spacing w:line="400" w:lineRule="exact"/>
        <w:ind w:left="1080" w:leftChars="257" w:hanging="540"/>
        <w:jc w:val="center"/>
        <w:rPr>
          <w:rFonts w:ascii="仿宋" w:hAnsi="仿宋" w:eastAsia="仿宋" w:cs="仿宋"/>
          <w:sz w:val="24"/>
        </w:rPr>
      </w:pPr>
    </w:p>
    <w:p>
      <w:pPr>
        <w:pStyle w:val="16"/>
        <w:spacing w:line="400" w:lineRule="exac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6"/>
        <w:spacing w:line="400" w:lineRule="exac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6"/>
        <w:spacing w:line="400" w:lineRule="exact"/>
        <w:ind w:left="540"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6"/>
        <w:spacing w:line="400" w:lineRule="exac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6"/>
        <w:spacing w:line="400" w:lineRule="exac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6"/>
        <w:spacing w:line="400" w:lineRule="exact"/>
        <w:ind w:left="1080"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pPr>
        <w:pStyle w:val="16"/>
        <w:spacing w:line="400" w:lineRule="exact"/>
        <w:ind w:left="1080" w:leftChars="257" w:hanging="540"/>
        <w:rPr>
          <w:rFonts w:ascii="仿宋" w:hAnsi="仿宋" w:eastAsia="仿宋" w:cs="仿宋"/>
          <w:sz w:val="24"/>
        </w:rPr>
      </w:pPr>
    </w:p>
    <w:p>
      <w:pPr>
        <w:pStyle w:val="16"/>
        <w:spacing w:line="400" w:lineRule="exact"/>
        <w:ind w:left="1080" w:leftChars="257" w:hanging="540"/>
        <w:rPr>
          <w:rFonts w:ascii="仿宋" w:hAnsi="仿宋" w:eastAsia="仿宋" w:cs="仿宋"/>
          <w:sz w:val="24"/>
        </w:rPr>
      </w:pPr>
      <w:r>
        <w:rPr>
          <w:rFonts w:hint="eastAsia" w:ascii="仿宋" w:hAnsi="仿宋" w:eastAsia="仿宋" w:cs="仿宋"/>
          <w:sz w:val="24"/>
        </w:rPr>
        <w:t>谨启</w:t>
      </w:r>
    </w:p>
    <w:p>
      <w:pPr>
        <w:pStyle w:val="16"/>
        <w:spacing w:line="400" w:lineRule="exact"/>
        <w:ind w:left="1080" w:leftChars="257" w:hanging="540"/>
        <w:rPr>
          <w:rFonts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6"/>
        <w:spacing w:line="400" w:lineRule="exact"/>
        <w:ind w:left="1080" w:leftChars="257" w:hanging="540"/>
        <w:rPr>
          <w:rFonts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6"/>
        <w:spacing w:line="400" w:lineRule="exact"/>
        <w:ind w:left="1080" w:leftChars="257" w:hanging="540"/>
        <w:rPr>
          <w:rFonts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6"/>
        <w:spacing w:line="560" w:lineRule="exact"/>
        <w:ind w:left="1080" w:leftChars="257" w:hanging="540"/>
        <w:rPr>
          <w:rFonts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43"/>
      </w:pPr>
      <w:r>
        <w:rPr>
          <w:rFonts w:hint="eastAsia" w:ascii="仿宋" w:hAnsi="仿宋" w:eastAsia="仿宋" w:cs="仿宋"/>
        </w:rPr>
        <w:br w:type="page"/>
      </w:r>
    </w:p>
    <w:p>
      <w:pPr>
        <w:pStyle w:val="8"/>
        <w:spacing w:before="0" w:line="240" w:lineRule="atLeast"/>
        <w:ind w:left="1080" w:leftChars="257" w:hanging="540"/>
        <w:rPr>
          <w:rFonts w:ascii="仿宋" w:hAnsi="仿宋" w:eastAsia="仿宋" w:cs="仿宋"/>
          <w:szCs w:val="24"/>
        </w:rPr>
      </w:pPr>
      <w:bookmarkStart w:id="301" w:name="_Toc24804"/>
      <w:bookmarkStart w:id="302" w:name="_Toc867"/>
      <w:bookmarkStart w:id="303" w:name="_Toc518923104"/>
      <w:bookmarkStart w:id="304" w:name="_Toc200"/>
      <w:bookmarkStart w:id="305" w:name="_Toc27788"/>
      <w:bookmarkStart w:id="306" w:name="_Toc32582"/>
      <w:r>
        <w:rPr>
          <w:rFonts w:hint="eastAsia" w:ascii="仿宋" w:hAnsi="仿宋" w:eastAsia="仿宋" w:cs="仿宋"/>
          <w:szCs w:val="24"/>
        </w:rPr>
        <w:t>附件2：履约担保函格式</w:t>
      </w:r>
      <w:bookmarkEnd w:id="301"/>
      <w:bookmarkEnd w:id="302"/>
      <w:bookmarkEnd w:id="303"/>
      <w:bookmarkEnd w:id="304"/>
      <w:bookmarkEnd w:id="305"/>
      <w:bookmarkEnd w:id="306"/>
    </w:p>
    <w:p>
      <w:pPr>
        <w:keepNext/>
        <w:keepLines/>
        <w:autoSpaceDE w:val="0"/>
        <w:autoSpaceDN w:val="0"/>
        <w:adjustRightInd w:val="0"/>
        <w:spacing w:line="240" w:lineRule="atLeast"/>
        <w:ind w:left="1079" w:leftChars="257" w:hanging="539"/>
        <w:jc w:val="center"/>
        <w:rPr>
          <w:rFonts w:ascii="仿宋" w:hAnsi="仿宋" w:eastAsia="仿宋" w:cs="仿宋"/>
          <w:b/>
          <w:bCs/>
          <w:sz w:val="28"/>
          <w:szCs w:val="36"/>
        </w:rPr>
      </w:pPr>
      <w:bookmarkStart w:id="307" w:name="_Toc30995"/>
      <w:bookmarkStart w:id="308" w:name="_Toc515904842"/>
      <w:bookmarkStart w:id="309" w:name="_Toc518923105"/>
      <w:r>
        <w:rPr>
          <w:rFonts w:hint="eastAsia" w:ascii="仿宋" w:hAnsi="仿宋" w:eastAsia="仿宋" w:cs="仿宋"/>
          <w:b/>
          <w:bCs/>
          <w:sz w:val="28"/>
          <w:szCs w:val="36"/>
        </w:rPr>
        <w:t>（采用政府采购信用担保形式时使用）</w:t>
      </w:r>
      <w:bookmarkEnd w:id="307"/>
      <w:bookmarkEnd w:id="308"/>
      <w:bookmarkEnd w:id="309"/>
    </w:p>
    <w:p>
      <w:pPr>
        <w:spacing w:line="240" w:lineRule="atLeast"/>
        <w:ind w:left="1080" w:leftChars="257" w:hanging="540"/>
        <w:rPr>
          <w:rFonts w:ascii="仿宋" w:hAnsi="仿宋" w:eastAsia="仿宋" w:cs="仿宋"/>
          <w:b/>
          <w:kern w:val="0"/>
          <w:sz w:val="24"/>
          <w:szCs w:val="20"/>
        </w:rPr>
      </w:pPr>
    </w:p>
    <w:p>
      <w:pPr>
        <w:jc w:val="center"/>
        <w:rPr>
          <w:rFonts w:ascii="仿宋" w:hAnsi="仿宋" w:eastAsia="仿宋" w:cs="仿宋"/>
          <w:sz w:val="24"/>
        </w:rPr>
      </w:pPr>
      <w:r>
        <w:rPr>
          <w:rFonts w:hint="eastAsia" w:ascii="仿宋" w:hAnsi="仿宋" w:eastAsia="仿宋" w:cs="仿宋"/>
          <w:sz w:val="24"/>
        </w:rPr>
        <w:t>政府采购履约担保函（项目用）</w:t>
      </w:r>
    </w:p>
    <w:p>
      <w:pPr>
        <w:rPr>
          <w:rFonts w:ascii="仿宋" w:hAnsi="仿宋" w:eastAsia="仿宋" w:cs="仿宋"/>
          <w:sz w:val="24"/>
        </w:rPr>
      </w:pPr>
      <w:r>
        <w:rPr>
          <w:rFonts w:hint="eastAsia" w:ascii="仿宋" w:hAnsi="仿宋" w:eastAsia="仿宋" w:cs="仿宋"/>
          <w:sz w:val="24"/>
        </w:rPr>
        <w:t xml:space="preserve">                                                   编号：</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ascii="仿宋" w:hAnsi="仿宋" w:eastAsia="仿宋" w:cs="仿宋"/>
          <w:sz w:val="24"/>
        </w:rPr>
      </w:pPr>
      <w:r>
        <w:rPr>
          <w:rFonts w:hint="eastAsia" w:ascii="仿宋" w:hAnsi="仿宋" w:eastAsia="仿宋" w:cs="仿宋"/>
          <w:sz w:val="24"/>
        </w:rPr>
        <w:t>二、保证的方式及保证期间</w:t>
      </w:r>
    </w:p>
    <w:p>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ascii="仿宋" w:hAnsi="仿宋" w:eastAsia="仿宋" w:cs="仿宋"/>
          <w:sz w:val="24"/>
        </w:rPr>
      </w:pPr>
      <w:r>
        <w:rPr>
          <w:rFonts w:hint="eastAsia" w:ascii="仿宋" w:hAnsi="仿宋" w:eastAsia="仿宋" w:cs="仿宋"/>
          <w:sz w:val="24"/>
        </w:rPr>
        <w:t>三、承担保证责任的程序</w:t>
      </w:r>
    </w:p>
    <w:p>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ascii="仿宋" w:hAnsi="仿宋" w:eastAsia="仿宋" w:cs="仿宋"/>
          <w:sz w:val="24"/>
        </w:rPr>
      </w:pPr>
      <w:r>
        <w:rPr>
          <w:rFonts w:hint="eastAsia" w:ascii="仿宋" w:hAnsi="仿宋" w:eastAsia="仿宋" w:cs="仿宋"/>
          <w:sz w:val="24"/>
        </w:rPr>
        <w:t>四、保证责任的终止</w:t>
      </w:r>
    </w:p>
    <w:p>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s="仿宋"/>
          <w:sz w:val="24"/>
        </w:rPr>
      </w:pPr>
      <w:r>
        <w:rPr>
          <w:rFonts w:hint="eastAsia" w:ascii="仿宋" w:hAnsi="仿宋" w:eastAsia="仿宋" w:cs="仿宋"/>
          <w:sz w:val="24"/>
        </w:rPr>
        <w:t>五、免责条款</w:t>
      </w:r>
    </w:p>
    <w:p>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ascii="仿宋" w:hAnsi="仿宋" w:eastAsia="仿宋" w:cs="仿宋"/>
          <w:sz w:val="24"/>
        </w:rPr>
      </w:pPr>
      <w:r>
        <w:rPr>
          <w:rFonts w:hint="eastAsia" w:ascii="仿宋" w:hAnsi="仿宋" w:eastAsia="仿宋" w:cs="仿宋"/>
          <w:sz w:val="24"/>
        </w:rPr>
        <w:t>六、争议的解决</w:t>
      </w:r>
    </w:p>
    <w:p>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ascii="仿宋" w:hAnsi="仿宋" w:eastAsia="仿宋" w:cs="仿宋"/>
          <w:sz w:val="24"/>
        </w:rPr>
      </w:pPr>
      <w:r>
        <w:rPr>
          <w:rFonts w:hint="eastAsia" w:ascii="仿宋" w:hAnsi="仿宋" w:eastAsia="仿宋" w:cs="仿宋"/>
          <w:sz w:val="24"/>
        </w:rPr>
        <w:t>七、保函的生效。</w:t>
      </w:r>
    </w:p>
    <w:p>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                                      </w:t>
      </w:r>
    </w:p>
    <w:p>
      <w:pPr>
        <w:ind w:firstLine="5400" w:firstLineChars="2250"/>
        <w:rPr>
          <w:rFonts w:ascii="仿宋" w:hAnsi="仿宋" w:eastAsia="仿宋" w:cs="仿宋"/>
          <w:sz w:val="24"/>
        </w:rPr>
      </w:pPr>
      <w:r>
        <w:rPr>
          <w:rFonts w:hint="eastAsia" w:ascii="仿宋" w:hAnsi="仿宋" w:eastAsia="仿宋" w:cs="仿宋"/>
          <w:sz w:val="24"/>
        </w:rPr>
        <w:t>保证人：（公章）</w:t>
      </w:r>
    </w:p>
    <w:p>
      <w:pPr>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 xml:space="preserve">                                                   年     月      日</w:t>
      </w:r>
    </w:p>
    <w:p>
      <w:pPr>
        <w:pStyle w:val="11"/>
        <w:spacing w:line="240" w:lineRule="atLeast"/>
        <w:ind w:firstLine="0"/>
        <w:rPr>
          <w:rFonts w:ascii="仿宋" w:hAnsi="仿宋" w:eastAsia="仿宋" w:cs="仿宋"/>
          <w:kern w:val="2"/>
          <w:szCs w:val="24"/>
        </w:rPr>
      </w:pPr>
      <w:r>
        <w:rPr>
          <w:rFonts w:hint="eastAsia" w:ascii="仿宋" w:hAnsi="仿宋" w:eastAsia="仿宋" w:cs="仿宋"/>
          <w:b/>
        </w:rPr>
        <w:br w:type="page"/>
      </w:r>
    </w:p>
    <w:p>
      <w:pPr>
        <w:numPr>
          <w:ilvl w:val="0"/>
          <w:numId w:val="0"/>
        </w:numPr>
        <w:spacing w:line="600" w:lineRule="exact"/>
        <w:jc w:val="center"/>
        <w:outlineLvl w:val="0"/>
        <w:rPr>
          <w:rFonts w:ascii="仿宋" w:hAnsi="仿宋" w:eastAsia="仿宋" w:cs="仿宋"/>
          <w:b/>
          <w:kern w:val="44"/>
          <w:sz w:val="32"/>
          <w:szCs w:val="20"/>
        </w:rPr>
      </w:pPr>
      <w:bookmarkStart w:id="310" w:name="_Toc518923106"/>
      <w:bookmarkStart w:id="311" w:name="_Toc216582812"/>
      <w:bookmarkStart w:id="312" w:name="_Toc18023"/>
      <w:bookmarkStart w:id="313" w:name="_Toc2648"/>
      <w:bookmarkStart w:id="314" w:name="_Toc6923"/>
      <w:bookmarkStart w:id="315" w:name="_Toc4367"/>
      <w:r>
        <w:rPr>
          <w:rFonts w:hint="eastAsia" w:ascii="仿宋" w:hAnsi="仿宋" w:eastAsia="仿宋" w:cs="仿宋"/>
          <w:b/>
          <w:kern w:val="44"/>
          <w:sz w:val="32"/>
          <w:szCs w:val="20"/>
          <w:lang w:val="en-US" w:eastAsia="zh-CN"/>
        </w:rPr>
        <w:t xml:space="preserve">第4章 </w:t>
      </w:r>
      <w:r>
        <w:rPr>
          <w:rFonts w:hint="eastAsia" w:ascii="仿宋" w:hAnsi="仿宋" w:eastAsia="仿宋" w:cs="仿宋"/>
          <w:b/>
          <w:kern w:val="44"/>
          <w:sz w:val="32"/>
          <w:szCs w:val="20"/>
        </w:rPr>
        <w:t>投标文件格式</w:t>
      </w:r>
      <w:bookmarkEnd w:id="310"/>
      <w:bookmarkEnd w:id="311"/>
      <w:bookmarkEnd w:id="312"/>
      <w:bookmarkEnd w:id="313"/>
      <w:bookmarkEnd w:id="314"/>
      <w:bookmarkEnd w:id="315"/>
    </w:p>
    <w:p/>
    <w:p>
      <w:pPr>
        <w:pStyle w:val="8"/>
        <w:spacing w:before="0" w:line="240" w:lineRule="atLeast"/>
        <w:rPr>
          <w:rFonts w:ascii="仿宋" w:hAnsi="仿宋" w:eastAsia="仿宋" w:cs="仿宋"/>
          <w:sz w:val="24"/>
        </w:rPr>
      </w:pPr>
      <w:bookmarkStart w:id="316" w:name="_Toc19559"/>
      <w:bookmarkStart w:id="317" w:name="_Toc13255"/>
      <w:bookmarkStart w:id="318" w:name="_Toc17433"/>
      <w:r>
        <w:rPr>
          <w:rFonts w:hint="eastAsia" w:ascii="仿宋" w:hAnsi="仿宋" w:eastAsia="仿宋" w:cs="仿宋"/>
          <w:sz w:val="24"/>
        </w:rPr>
        <w:t>第一部分 各部分封面格式</w:t>
      </w:r>
      <w:bookmarkEnd w:id="316"/>
      <w:bookmarkEnd w:id="317"/>
      <w:bookmarkEnd w:id="318"/>
    </w:p>
    <w:p>
      <w:pPr>
        <w:jc w:val="left"/>
        <w:rPr>
          <w:rFonts w:ascii="仿宋" w:hAnsi="仿宋" w:eastAsia="仿宋" w:cs="仿宋"/>
          <w:b/>
          <w:bCs/>
          <w:sz w:val="32"/>
          <w:szCs w:val="32"/>
        </w:rPr>
      </w:pPr>
      <w:r>
        <w:rPr>
          <w:rFonts w:hint="eastAsia" w:ascii="仿宋" w:hAnsi="仿宋" w:eastAsia="仿宋" w:cs="仿宋"/>
          <w:sz w:val="24"/>
          <w:lang w:val="zh-CN"/>
        </w:rPr>
        <w:t>（</w:t>
      </w:r>
      <w:r>
        <w:rPr>
          <w:rFonts w:hint="eastAsia" w:ascii="仿宋" w:hAnsi="仿宋" w:eastAsia="仿宋" w:cs="仿宋"/>
          <w:sz w:val="24"/>
        </w:rPr>
        <w:t>投标文件各部分封面</w:t>
      </w:r>
      <w:r>
        <w:rPr>
          <w:rFonts w:hint="eastAsia" w:ascii="仿宋" w:hAnsi="仿宋" w:eastAsia="仿宋" w:cs="仿宋"/>
          <w:sz w:val="24"/>
          <w:lang w:val="zh-CN"/>
        </w:rPr>
        <w:t>示例）</w:t>
      </w:r>
    </w:p>
    <w:p>
      <w:pPr>
        <w:jc w:val="right"/>
        <w:rPr>
          <w:rFonts w:ascii="仿宋" w:hAnsi="仿宋" w:eastAsia="仿宋" w:cs="仿宋"/>
          <w:sz w:val="24"/>
          <w:szCs w:val="32"/>
          <w:lang w:val="zh-CN"/>
        </w:rPr>
      </w:pPr>
    </w:p>
    <w:p>
      <w:pPr>
        <w:jc w:val="right"/>
        <w:rPr>
          <w:rFonts w:ascii="仿宋" w:hAnsi="仿宋" w:eastAsia="仿宋" w:cs="仿宋"/>
          <w:sz w:val="24"/>
          <w:szCs w:val="32"/>
          <w:lang w:val="zh-CN"/>
        </w:rPr>
      </w:pPr>
    </w:p>
    <w:p>
      <w:pPr>
        <w:shd w:val="clear" w:color="auto" w:fill="FFFFFF"/>
        <w:spacing w:line="440" w:lineRule="exact"/>
        <w:ind w:firstLine="420"/>
        <w:jc w:val="center"/>
        <w:rPr>
          <w:rFonts w:ascii="仿宋" w:hAnsi="仿宋" w:eastAsia="仿宋" w:cs="仿宋"/>
          <w:bCs/>
          <w:sz w:val="24"/>
          <w:lang w:val="zh-CN"/>
        </w:rPr>
      </w:pPr>
    </w:p>
    <w:p>
      <w:pPr>
        <w:pStyle w:val="26"/>
        <w:rPr>
          <w:lang w:val="zh-CN"/>
        </w:rPr>
      </w:pPr>
    </w:p>
    <w:p>
      <w:pPr>
        <w:rPr>
          <w:lang w:val="zh-CN"/>
        </w:rPr>
      </w:pPr>
    </w:p>
    <w:p>
      <w:pPr>
        <w:pStyle w:val="26"/>
        <w:rPr>
          <w:lang w:val="zh-CN"/>
        </w:rPr>
      </w:pPr>
    </w:p>
    <w:p>
      <w:pPr>
        <w:pStyle w:val="16"/>
        <w:jc w:val="center"/>
        <w:rPr>
          <w:rFonts w:ascii="仿宋" w:hAnsi="仿宋" w:eastAsia="仿宋" w:cs="仿宋"/>
          <w:b/>
          <w:bCs/>
          <w:sz w:val="36"/>
          <w:szCs w:val="44"/>
        </w:rPr>
      </w:pPr>
      <w:r>
        <w:rPr>
          <w:rFonts w:eastAsia="仿宋_GB2312"/>
          <w:b/>
          <w:bCs/>
          <w:sz w:val="52"/>
        </w:rPr>
        <w:t>××××</w:t>
      </w:r>
      <w:r>
        <w:rPr>
          <w:rFonts w:hint="eastAsia" w:ascii="仿宋" w:hAnsi="仿宋" w:eastAsia="仿宋" w:cs="仿宋"/>
          <w:b/>
          <w:bCs/>
          <w:sz w:val="36"/>
          <w:szCs w:val="44"/>
        </w:rPr>
        <w:t>项目</w:t>
      </w:r>
    </w:p>
    <w:p>
      <w:pPr>
        <w:jc w:val="center"/>
        <w:rPr>
          <w:rFonts w:ascii="仿宋" w:hAnsi="仿宋" w:eastAsia="仿宋" w:cs="仿宋"/>
          <w:b/>
          <w:bCs/>
          <w:sz w:val="36"/>
          <w:szCs w:val="44"/>
          <w:lang w:val="zh-CN"/>
        </w:rPr>
      </w:pPr>
    </w:p>
    <w:p/>
    <w:p>
      <w:pPr>
        <w:jc w:val="center"/>
        <w:rPr>
          <w:rFonts w:ascii="仿宋" w:hAnsi="仿宋" w:eastAsia="仿宋" w:cs="仿宋"/>
          <w:b/>
          <w:bCs/>
          <w:sz w:val="32"/>
          <w:szCs w:val="40"/>
        </w:rPr>
      </w:pPr>
      <w:r>
        <w:rPr>
          <w:rFonts w:hint="eastAsia" w:ascii="仿宋" w:hAnsi="仿宋" w:eastAsia="仿宋" w:cs="仿宋"/>
          <w:b/>
          <w:bCs/>
          <w:sz w:val="32"/>
          <w:szCs w:val="40"/>
        </w:rPr>
        <w:t>项目编号：GYZB-TLFDZFZ2023-01</w:t>
      </w:r>
      <w:r>
        <w:rPr>
          <w:rFonts w:hint="eastAsia" w:ascii="仿宋" w:hAnsi="仿宋" w:eastAsia="仿宋" w:cs="仿宋"/>
          <w:b/>
          <w:bCs/>
          <w:sz w:val="32"/>
          <w:szCs w:val="40"/>
          <w:lang w:val="en-US" w:eastAsia="zh-CN"/>
        </w:rPr>
        <w:t>....</w:t>
      </w:r>
      <w:r>
        <w:rPr>
          <w:rFonts w:hint="eastAsia" w:ascii="仿宋" w:hAnsi="仿宋" w:eastAsia="仿宋" w:cs="仿宋"/>
          <w:b/>
          <w:bCs/>
          <w:sz w:val="32"/>
          <w:szCs w:val="40"/>
        </w:rPr>
        <w:t>04</w:t>
      </w:r>
    </w:p>
    <w:p>
      <w:pPr>
        <w:jc w:val="center"/>
        <w:rPr>
          <w:rFonts w:ascii="仿宋" w:hAnsi="仿宋" w:eastAsia="仿宋" w:cs="仿宋"/>
          <w:b/>
          <w:bCs/>
          <w:sz w:val="32"/>
          <w:szCs w:val="40"/>
        </w:rPr>
      </w:pPr>
    </w:p>
    <w:p>
      <w:pPr>
        <w:jc w:val="center"/>
        <w:rPr>
          <w:lang w:val="zh-CN"/>
        </w:rPr>
      </w:pPr>
    </w:p>
    <w:p>
      <w:pPr>
        <w:pStyle w:val="2"/>
        <w:rPr>
          <w:rFonts w:ascii="仿宋" w:hAnsi="仿宋" w:eastAsia="仿宋" w:cs="仿宋"/>
          <w:b/>
          <w:sz w:val="36"/>
          <w:szCs w:val="36"/>
          <w:lang w:val="zh-CN"/>
        </w:rPr>
      </w:pPr>
    </w:p>
    <w:p>
      <w:pPr>
        <w:pStyle w:val="3"/>
        <w:ind w:firstLine="723"/>
        <w:rPr>
          <w:rFonts w:ascii="仿宋" w:hAnsi="仿宋" w:eastAsia="仿宋" w:cs="仿宋"/>
          <w:b/>
          <w:sz w:val="36"/>
          <w:szCs w:val="36"/>
          <w:lang w:val="zh-CN"/>
        </w:rPr>
      </w:pPr>
    </w:p>
    <w:p>
      <w:pPr>
        <w:jc w:val="center"/>
        <w:rPr>
          <w:rFonts w:ascii="仿宋" w:hAnsi="仿宋" w:eastAsia="仿宋" w:cs="仿宋"/>
          <w:b/>
          <w:sz w:val="36"/>
          <w:szCs w:val="36"/>
        </w:rPr>
      </w:pPr>
      <w:r>
        <w:rPr>
          <w:rFonts w:hint="eastAsia" w:ascii="仿宋" w:hAnsi="仿宋" w:eastAsia="仿宋" w:cs="仿宋"/>
          <w:b/>
          <w:sz w:val="36"/>
          <w:szCs w:val="36"/>
        </w:rPr>
        <w:t>技术投标文件</w:t>
      </w:r>
    </w:p>
    <w:p>
      <w:pPr>
        <w:jc w:val="center"/>
        <w:rPr>
          <w:rFonts w:ascii="仿宋" w:hAnsi="仿宋" w:eastAsia="仿宋" w:cs="仿宋"/>
          <w:b/>
          <w:sz w:val="36"/>
          <w:szCs w:val="36"/>
        </w:rPr>
      </w:pPr>
      <w:r>
        <w:rPr>
          <w:rFonts w:hint="eastAsia" w:ascii="仿宋" w:hAnsi="仿宋" w:eastAsia="仿宋" w:cs="仿宋"/>
          <w:b/>
          <w:sz w:val="36"/>
          <w:szCs w:val="36"/>
        </w:rPr>
        <w:t>(商务资信投标文件)</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keepNext/>
        <w:keepLines/>
        <w:autoSpaceDE w:val="0"/>
        <w:autoSpaceDN w:val="0"/>
        <w:adjustRightInd w:val="0"/>
        <w:spacing w:line="240" w:lineRule="atLeast"/>
        <w:jc w:val="center"/>
        <w:rPr>
          <w:rFonts w:ascii="仿宋" w:hAnsi="仿宋" w:eastAsia="仿宋" w:cs="仿宋"/>
        </w:rPr>
      </w:pPr>
      <w:r>
        <w:rPr>
          <w:rFonts w:hint="eastAsia" w:ascii="仿宋" w:hAnsi="仿宋" w:eastAsia="仿宋" w:cs="仿宋"/>
          <w:b/>
          <w:bCs/>
          <w:sz w:val="32"/>
          <w:szCs w:val="32"/>
        </w:rPr>
        <w:t>2023年2月</w:t>
      </w:r>
      <w:r>
        <w:rPr>
          <w:rFonts w:hint="eastAsia"/>
          <w:lang w:val="zh-CN"/>
        </w:rPr>
        <w:br w:type="page"/>
      </w:r>
    </w:p>
    <w:p>
      <w:pPr>
        <w:spacing w:line="240" w:lineRule="atLeast"/>
        <w:ind w:left="735" w:leftChars="350" w:firstLine="120" w:firstLineChars="50"/>
        <w:rPr>
          <w:rFonts w:ascii="仿宋" w:hAnsi="仿宋" w:eastAsia="仿宋" w:cs="仿宋"/>
          <w:sz w:val="24"/>
        </w:rPr>
      </w:pPr>
    </w:p>
    <w:p>
      <w:pPr>
        <w:pStyle w:val="8"/>
        <w:numPr>
          <w:ilvl w:val="0"/>
          <w:numId w:val="5"/>
        </w:numPr>
        <w:spacing w:before="0" w:line="240" w:lineRule="atLeast"/>
        <w:ind w:left="1080" w:leftChars="257" w:hanging="540"/>
        <w:rPr>
          <w:rFonts w:ascii="仿宋" w:hAnsi="仿宋" w:eastAsia="仿宋" w:cs="仿宋"/>
          <w:sz w:val="24"/>
        </w:rPr>
      </w:pPr>
      <w:bookmarkStart w:id="319" w:name="_Toc10086"/>
      <w:bookmarkStart w:id="320" w:name="_Toc19472"/>
      <w:bookmarkStart w:id="321" w:name="_Toc18552"/>
      <w:r>
        <w:rPr>
          <w:rFonts w:hint="eastAsia" w:ascii="仿宋" w:hAnsi="仿宋" w:eastAsia="仿宋" w:cs="仿宋"/>
          <w:sz w:val="24"/>
        </w:rPr>
        <w:t>报价单</w:t>
      </w:r>
      <w:bookmarkEnd w:id="319"/>
      <w:bookmarkEnd w:id="320"/>
      <w:bookmarkEnd w:id="321"/>
    </w:p>
    <w:p/>
    <w:p>
      <w:pPr>
        <w:spacing w:line="240" w:lineRule="atLeast"/>
        <w:ind w:left="708" w:hanging="708" w:hangingChars="295"/>
        <w:jc w:val="center"/>
        <w:rPr>
          <w:rFonts w:ascii="仿宋" w:hAnsi="仿宋" w:eastAsia="仿宋" w:cs="仿宋"/>
          <w:sz w:val="24"/>
        </w:rPr>
      </w:pPr>
    </w:p>
    <w:p>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 xml:space="preserve">项目名称：　                  招标编号：                   </w:t>
      </w:r>
    </w:p>
    <w:p>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36"/>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标项名称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80" w:leftChars="257" w:hanging="540"/>
              <w:jc w:val="center"/>
              <w:rPr>
                <w:rFonts w:ascii="仿宋" w:hAnsi="仿宋" w:eastAsia="仿宋" w:cs="仿宋"/>
                <w:sz w:val="24"/>
              </w:rPr>
            </w:pPr>
          </w:p>
        </w:tc>
      </w:tr>
    </w:tbl>
    <w:p>
      <w:pPr>
        <w:pStyle w:val="16"/>
        <w:tabs>
          <w:tab w:val="left" w:pos="5580"/>
        </w:tabs>
        <w:spacing w:line="240" w:lineRule="atLeast"/>
        <w:ind w:left="1080" w:leftChars="257" w:hanging="540"/>
        <w:rPr>
          <w:rFonts w:ascii="仿宋" w:hAnsi="仿宋" w:eastAsia="仿宋" w:cs="仿宋"/>
          <w:sz w:val="24"/>
        </w:rPr>
      </w:pPr>
    </w:p>
    <w:p>
      <w:pPr>
        <w:pStyle w:val="16"/>
        <w:tabs>
          <w:tab w:val="left" w:pos="5580"/>
        </w:tabs>
        <w:spacing w:line="240" w:lineRule="atLeast"/>
        <w:rPr>
          <w:rFonts w:ascii="仿宋" w:hAnsi="仿宋" w:eastAsia="仿宋" w:cs="仿宋"/>
          <w:sz w:val="24"/>
          <w:u w:val="single"/>
        </w:rPr>
      </w:pP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供应商名称（单位章）：</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6"/>
        <w:tabs>
          <w:tab w:val="left" w:pos="5580"/>
        </w:tabs>
        <w:spacing w:line="240" w:lineRule="atLeast"/>
        <w:rPr>
          <w:rFonts w:ascii="仿宋" w:hAnsi="仿宋" w:eastAsia="仿宋" w:cs="仿宋"/>
          <w:b/>
        </w:rPr>
      </w:pPr>
    </w:p>
    <w:p>
      <w:pPr>
        <w:pStyle w:val="16"/>
        <w:tabs>
          <w:tab w:val="left" w:pos="5580"/>
        </w:tabs>
        <w:spacing w:line="240" w:lineRule="atLeast"/>
        <w:rPr>
          <w:rFonts w:ascii="仿宋" w:hAnsi="仿宋" w:eastAsia="仿宋" w:cs="仿宋"/>
          <w:sz w:val="24"/>
          <w:u w:val="single"/>
        </w:rPr>
      </w:pPr>
    </w:p>
    <w:p>
      <w:pPr>
        <w:pStyle w:val="11"/>
        <w:ind w:firstLine="422"/>
        <w:rPr>
          <w:rFonts w:ascii="仿宋" w:hAnsi="仿宋" w:eastAsia="仿宋" w:cs="仿宋"/>
          <w:b/>
          <w:bCs/>
          <w:color w:val="000000"/>
          <w:kern w:val="2"/>
          <w:szCs w:val="24"/>
        </w:rPr>
      </w:pPr>
      <w:r>
        <w:rPr>
          <w:rFonts w:hint="eastAsia" w:ascii="仿宋" w:hAnsi="仿宋" w:eastAsia="仿宋" w:cs="仿宋"/>
          <w:bCs/>
          <w:iCs/>
        </w:rPr>
        <w:br w:type="page"/>
      </w:r>
      <w:bookmarkStart w:id="322" w:name="_Ref467988698"/>
      <w:bookmarkStart w:id="323" w:name="_Toc480942349"/>
      <w:bookmarkStart w:id="324" w:name="_Toc520356217"/>
      <w:bookmarkStart w:id="325" w:name="_Toc216582813"/>
    </w:p>
    <w:p>
      <w:pPr>
        <w:pStyle w:val="21"/>
        <w:tabs>
          <w:tab w:val="center" w:pos="4140"/>
          <w:tab w:val="right" w:pos="8300"/>
          <w:tab w:val="clear" w:pos="4153"/>
          <w:tab w:val="clear" w:pos="8306"/>
        </w:tabs>
        <w:spacing w:line="440" w:lineRule="exact"/>
        <w:jc w:val="center"/>
        <w:outlineLvl w:val="1"/>
        <w:rPr>
          <w:rFonts w:ascii="仿宋" w:hAnsi="仿宋" w:eastAsia="仿宋" w:cs="仿宋"/>
          <w:sz w:val="24"/>
        </w:rPr>
      </w:pPr>
      <w:bookmarkStart w:id="326" w:name="_Toc518923115"/>
      <w:bookmarkStart w:id="327" w:name="_Toc16844"/>
      <w:bookmarkStart w:id="328" w:name="_Toc23960"/>
      <w:bookmarkStart w:id="329" w:name="_Toc5866"/>
      <w:bookmarkStart w:id="330" w:name="_Toc7889"/>
      <w:r>
        <w:rPr>
          <w:rFonts w:hint="eastAsia" w:ascii="仿宋" w:hAnsi="仿宋" w:eastAsia="仿宋" w:cs="仿宋"/>
          <w:b/>
          <w:sz w:val="24"/>
        </w:rPr>
        <w:t xml:space="preserve">第三部分  </w:t>
      </w:r>
      <w:bookmarkEnd w:id="326"/>
      <w:bookmarkEnd w:id="327"/>
      <w:r>
        <w:rPr>
          <w:rFonts w:hint="eastAsia" w:ascii="仿宋" w:hAnsi="仿宋" w:eastAsia="仿宋" w:cs="仿宋"/>
          <w:b/>
          <w:sz w:val="24"/>
        </w:rPr>
        <w:t>商务资信投标文件</w:t>
      </w:r>
      <w:bookmarkEnd w:id="328"/>
      <w:bookmarkEnd w:id="329"/>
      <w:bookmarkEnd w:id="330"/>
    </w:p>
    <w:p>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供应商应根据采购文件的要求提供详细的</w:t>
      </w:r>
      <w:r>
        <w:rPr>
          <w:rFonts w:hint="eastAsia" w:ascii="仿宋" w:hAnsi="仿宋" w:eastAsia="仿宋" w:cs="仿宋"/>
          <w:sz w:val="24"/>
        </w:rPr>
        <w:t>商务投标方案</w:t>
      </w:r>
      <w:r>
        <w:rPr>
          <w:rFonts w:hint="eastAsia" w:ascii="仿宋" w:hAnsi="仿宋" w:eastAsia="仿宋" w:cs="仿宋"/>
          <w:sz w:val="24"/>
          <w:lang w:val="zh-CN"/>
        </w:rPr>
        <w:t>，参照项目的具体情况及评分标准</w:t>
      </w:r>
      <w:r>
        <w:rPr>
          <w:rFonts w:hint="eastAsia" w:ascii="仿宋" w:hAnsi="仿宋" w:eastAsia="仿宋" w:cs="仿宋"/>
          <w:sz w:val="24"/>
        </w:rPr>
        <w:t>编制</w:t>
      </w:r>
      <w:r>
        <w:rPr>
          <w:rFonts w:hint="eastAsia" w:ascii="仿宋" w:hAnsi="仿宋" w:eastAsia="仿宋" w:cs="仿宋"/>
          <w:sz w:val="24"/>
          <w:lang w:val="zh-CN"/>
        </w:rPr>
        <w:t>；</w:t>
      </w:r>
    </w:p>
    <w:p>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标项一至三：</w:t>
      </w:r>
      <w:r>
        <w:rPr>
          <w:rFonts w:hint="eastAsia" w:ascii="仿宋" w:hAnsi="仿宋" w:eastAsia="仿宋" w:cs="仿宋"/>
          <w:sz w:val="24"/>
          <w:lang w:val="zh-CN"/>
        </w:rPr>
        <w:t>商务资信投标文件将从送审材料完整性、适用表式、编制方法、预算标准、预算内容、计算和勾稽关系、与技术方案工作量平衡、预算编制说明和报价的合理性、</w:t>
      </w:r>
      <w:r>
        <w:rPr>
          <w:rFonts w:hint="eastAsia" w:ascii="仿宋" w:hAnsi="仿宋" w:eastAsia="仿宋" w:cs="仿宋"/>
          <w:sz w:val="24"/>
        </w:rPr>
        <w:t>主要工作业绩、相关承诺</w:t>
      </w:r>
      <w:r>
        <w:rPr>
          <w:rFonts w:hint="eastAsia" w:ascii="仿宋" w:hAnsi="仿宋" w:eastAsia="仿宋" w:cs="仿宋"/>
          <w:sz w:val="24"/>
          <w:lang w:val="zh-CN"/>
        </w:rPr>
        <w:t>等方面进行评审。</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标项四：</w:t>
      </w:r>
      <w:r>
        <w:rPr>
          <w:rFonts w:hint="eastAsia" w:ascii="仿宋" w:hAnsi="仿宋" w:eastAsia="仿宋" w:cs="仿宋"/>
          <w:sz w:val="24"/>
          <w:lang w:val="zh-CN"/>
        </w:rPr>
        <w:t>商务资信投标文件</w:t>
      </w:r>
      <w:r>
        <w:rPr>
          <w:rFonts w:hint="eastAsia" w:ascii="仿宋" w:hAnsi="仿宋" w:eastAsia="仿宋" w:cs="仿宋"/>
          <w:sz w:val="24"/>
        </w:rPr>
        <w:t>将从对采购文件及合同条款的确认，投入项目人员数量满足要求，工种齐全，人员专业结构配备合理，仪器、设备配置，近三年资产状况，组织管理、质量、进度、安全的保障体系及主要措施，组织管理机构应健全，拟派出的总监、总监代表人的职称，应建立领导小组，主要业绩，相关承诺等方面进行评审。</w:t>
      </w:r>
    </w:p>
    <w:p>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以下</w:t>
      </w:r>
      <w:r>
        <w:rPr>
          <w:rFonts w:hint="eastAsia" w:ascii="仿宋" w:hAnsi="仿宋" w:eastAsia="仿宋" w:cs="仿宋"/>
          <w:sz w:val="24"/>
          <w:lang w:val="zh-CN"/>
        </w:rPr>
        <w:t>提供</w:t>
      </w:r>
      <w:r>
        <w:rPr>
          <w:rFonts w:hint="eastAsia" w:ascii="仿宋" w:hAnsi="仿宋" w:eastAsia="仿宋" w:cs="仿宋"/>
          <w:sz w:val="24"/>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rPr>
        <w:t>供应商需</w:t>
      </w:r>
      <w:r>
        <w:rPr>
          <w:rFonts w:hint="eastAsia" w:ascii="仿宋" w:hAnsi="仿宋" w:eastAsia="仿宋" w:cs="仿宋"/>
          <w:sz w:val="24"/>
          <w:lang w:val="zh-CN"/>
        </w:rPr>
        <w:t>保证所提供的资料的真实性。未提供格式的，供应商可自行编制，为了便于查找，请</w:t>
      </w:r>
      <w:r>
        <w:rPr>
          <w:rFonts w:hint="eastAsia" w:ascii="仿宋" w:hAnsi="仿宋" w:eastAsia="仿宋" w:cs="仿宋"/>
          <w:sz w:val="24"/>
        </w:rPr>
        <w:t>编制目录</w:t>
      </w:r>
      <w:r>
        <w:rPr>
          <w:rFonts w:hint="eastAsia" w:ascii="仿宋" w:hAnsi="仿宋" w:eastAsia="仿宋" w:cs="仿宋"/>
          <w:sz w:val="24"/>
          <w:lang w:val="zh-CN"/>
        </w:rPr>
        <w:t>，并在目录中注明每项内容的页码。</w:t>
      </w:r>
    </w:p>
    <w:p>
      <w:pPr>
        <w:pStyle w:val="16"/>
        <w:ind w:left="1080" w:leftChars="257" w:hanging="540"/>
        <w:rPr>
          <w:rFonts w:ascii="仿宋" w:hAnsi="仿宋" w:eastAsia="仿宋" w:cs="仿宋"/>
          <w:sz w:val="24"/>
        </w:rPr>
      </w:pP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提供</w:t>
      </w:r>
      <w:r>
        <w:rPr>
          <w:rFonts w:hint="eastAsia" w:ascii="仿宋" w:hAnsi="仿宋" w:eastAsia="仿宋" w:cs="仿宋"/>
          <w:sz w:val="24"/>
        </w:rPr>
        <w:t>部分</w:t>
      </w:r>
      <w:r>
        <w:rPr>
          <w:rFonts w:hint="eastAsia" w:ascii="仿宋" w:hAnsi="仿宋" w:eastAsia="仿宋" w:cs="仿宋"/>
          <w:sz w:val="24"/>
          <w:lang w:val="zh-CN"/>
        </w:rPr>
        <w:t>投标文件格式</w:t>
      </w:r>
      <w:r>
        <w:rPr>
          <w:rFonts w:hint="eastAsia" w:ascii="仿宋" w:hAnsi="仿宋" w:eastAsia="仿宋" w:cs="仿宋"/>
          <w:sz w:val="24"/>
        </w:rPr>
        <w:t>目录</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1.投标书（投标文件格式</w:t>
      </w:r>
      <w:r>
        <w:rPr>
          <w:rFonts w:hint="eastAsia" w:ascii="仿宋" w:hAnsi="仿宋" w:eastAsia="仿宋" w:cs="仿宋"/>
          <w:sz w:val="24"/>
          <w:lang w:val="en-US" w:eastAsia="zh-CN"/>
        </w:rPr>
        <w:t>一</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2.投标保证金缴纳凭证复印件或政府采购投标担保函（投标文件格式</w:t>
      </w:r>
      <w:r>
        <w:rPr>
          <w:rFonts w:hint="eastAsia" w:ascii="仿宋" w:hAnsi="仿宋" w:eastAsia="仿宋" w:cs="仿宋"/>
          <w:sz w:val="24"/>
          <w:lang w:val="en-US" w:eastAsia="zh-CN"/>
        </w:rPr>
        <w:t>二</w:t>
      </w:r>
      <w:r>
        <w:rPr>
          <w:rFonts w:hint="eastAsia" w:ascii="仿宋" w:hAnsi="仿宋" w:eastAsia="仿宋" w:cs="仿宋"/>
          <w:sz w:val="24"/>
        </w:rPr>
        <w:t>）</w:t>
      </w:r>
    </w:p>
    <w:p>
      <w:pPr>
        <w:shd w:val="clear" w:color="auto" w:fill="FFFFFF"/>
        <w:spacing w:line="400" w:lineRule="exact"/>
        <w:ind w:firstLine="480" w:firstLineChars="200"/>
      </w:pPr>
      <w:r>
        <w:rPr>
          <w:rFonts w:hint="eastAsia" w:ascii="仿宋" w:hAnsi="仿宋" w:eastAsia="仿宋" w:cs="仿宋"/>
          <w:sz w:val="24"/>
        </w:rPr>
        <w:t>3.</w:t>
      </w:r>
      <w:r>
        <w:rPr>
          <w:rFonts w:hint="eastAsia" w:ascii="仿宋" w:hAnsi="仿宋" w:eastAsia="仿宋" w:cs="仿宋"/>
          <w:sz w:val="24"/>
          <w:lang w:val="en-US" w:eastAsia="zh-CN"/>
        </w:rPr>
        <w:t>技术规格偏离表</w:t>
      </w:r>
      <w:r>
        <w:rPr>
          <w:rFonts w:hint="eastAsia" w:ascii="仿宋" w:hAnsi="仿宋" w:eastAsia="仿宋" w:cs="仿宋"/>
          <w:sz w:val="24"/>
        </w:rPr>
        <w:t>（投标文件格式</w:t>
      </w:r>
      <w:r>
        <w:rPr>
          <w:rFonts w:hint="eastAsia" w:ascii="仿宋" w:hAnsi="仿宋" w:eastAsia="仿宋" w:cs="仿宋"/>
          <w:sz w:val="24"/>
          <w:lang w:val="en-US" w:eastAsia="zh-CN"/>
        </w:rPr>
        <w:t>三</w:t>
      </w:r>
      <w:r>
        <w:rPr>
          <w:rFonts w:hint="eastAsia" w:ascii="仿宋" w:hAnsi="仿宋" w:eastAsia="仿宋" w:cs="仿宋"/>
          <w:sz w:val="24"/>
        </w:rPr>
        <w:t>）</w:t>
      </w:r>
    </w:p>
    <w:p>
      <w:pPr>
        <w:shd w:val="clear" w:color="auto" w:fill="FFFFFF"/>
        <w:spacing w:line="400" w:lineRule="exact"/>
        <w:ind w:firstLine="480" w:firstLineChars="200"/>
      </w:pPr>
      <w:r>
        <w:rPr>
          <w:rFonts w:hint="eastAsia" w:ascii="仿宋" w:hAnsi="仿宋" w:eastAsia="仿宋" w:cs="仿宋"/>
          <w:sz w:val="24"/>
          <w:lang w:val="en-US" w:eastAsia="zh-CN"/>
        </w:rPr>
        <w:t>4.</w:t>
      </w:r>
      <w:r>
        <w:rPr>
          <w:rFonts w:hint="eastAsia" w:ascii="仿宋" w:hAnsi="仿宋" w:eastAsia="仿宋" w:cs="仿宋"/>
          <w:sz w:val="24"/>
        </w:rPr>
        <w:t>商务条款偏离表（投标文件格式</w:t>
      </w:r>
      <w:r>
        <w:rPr>
          <w:rFonts w:hint="eastAsia" w:ascii="仿宋" w:hAnsi="仿宋" w:eastAsia="仿宋" w:cs="仿宋"/>
          <w:sz w:val="24"/>
          <w:lang w:val="en-US" w:eastAsia="zh-CN"/>
        </w:rPr>
        <w:t>四</w:t>
      </w:r>
      <w:r>
        <w:rPr>
          <w:rFonts w:hint="eastAsia" w:ascii="仿宋" w:hAnsi="仿宋" w:eastAsia="仿宋" w:cs="仿宋"/>
          <w:sz w:val="24"/>
        </w:rPr>
        <w:t>）</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.符合《政府采购促进中小企业发展暂行办法》《关于政府采购支持监狱企业发展有关问题的通知》和《三部门联合发布关于促进残疾人就业政府采购政策的通知》价格扣减条件的供应商须提交）</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5-1《供应商企业类型声明函》（投标文件格式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5-2《残疾人福利性单位声明函》（投标文件格式</w:t>
      </w:r>
      <w:r>
        <w:rPr>
          <w:rFonts w:hint="eastAsia" w:ascii="仿宋" w:hAnsi="仿宋" w:eastAsia="仿宋" w:cs="仿宋"/>
          <w:sz w:val="24"/>
          <w:lang w:val="en-US" w:eastAsia="zh-CN"/>
        </w:rPr>
        <w:t>六</w:t>
      </w:r>
      <w:r>
        <w:rPr>
          <w:rFonts w:hint="eastAsia" w:ascii="仿宋" w:hAnsi="仿宋" w:eastAsia="仿宋" w:cs="仿宋"/>
          <w:sz w:val="24"/>
        </w:rPr>
        <w:t>）</w:t>
      </w:r>
    </w:p>
    <w:p>
      <w:pPr>
        <w:pStyle w:val="2"/>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5-3 中小企业声明函（投标文件格式七）</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6.供应商关联单位的说明（格式自拟）</w:t>
      </w:r>
    </w:p>
    <w:p>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7.投标文件还应包括供应商须知第10条的所有技术文件</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br w:type="page"/>
      </w:r>
    </w:p>
    <w:p>
      <w:pPr>
        <w:pStyle w:val="8"/>
        <w:spacing w:before="0" w:line="240" w:lineRule="atLeast"/>
        <w:ind w:left="1080" w:leftChars="257" w:hanging="540"/>
        <w:rPr>
          <w:rFonts w:ascii="仿宋" w:hAnsi="仿宋" w:eastAsia="仿宋" w:cs="仿宋"/>
          <w:sz w:val="24"/>
        </w:rPr>
      </w:pPr>
      <w:bookmarkStart w:id="331" w:name="_Toc26126"/>
      <w:bookmarkStart w:id="332" w:name="_Toc9573"/>
      <w:bookmarkStart w:id="333" w:name="_Toc7273"/>
      <w:bookmarkStart w:id="334" w:name="_Toc24831"/>
      <w:bookmarkStart w:id="335" w:name="_Toc518923116"/>
      <w:bookmarkStart w:id="336" w:name="_Toc32151"/>
      <w:r>
        <w:rPr>
          <w:rFonts w:hint="eastAsia" w:ascii="仿宋" w:hAnsi="仿宋" w:eastAsia="仿宋" w:cs="仿宋"/>
          <w:sz w:val="24"/>
        </w:rPr>
        <w:t xml:space="preserve">1   </w:t>
      </w:r>
      <w:bookmarkStart w:id="337" w:name="_Hlt520355504"/>
      <w:bookmarkEnd w:id="337"/>
      <w:r>
        <w:rPr>
          <w:rFonts w:hint="eastAsia" w:ascii="仿宋" w:hAnsi="仿宋" w:eastAsia="仿宋" w:cs="仿宋"/>
          <w:sz w:val="24"/>
        </w:rPr>
        <w:t>投标</w:t>
      </w:r>
      <w:bookmarkEnd w:id="322"/>
      <w:bookmarkEnd w:id="323"/>
      <w:r>
        <w:rPr>
          <w:rFonts w:hint="eastAsia" w:ascii="仿宋" w:hAnsi="仿宋" w:eastAsia="仿宋" w:cs="仿宋"/>
          <w:sz w:val="24"/>
        </w:rPr>
        <w:t>书</w:t>
      </w:r>
      <w:bookmarkEnd w:id="324"/>
      <w:r>
        <w:rPr>
          <w:rFonts w:hint="eastAsia" w:ascii="仿宋" w:hAnsi="仿宋" w:eastAsia="仿宋" w:cs="仿宋"/>
          <w:sz w:val="24"/>
        </w:rPr>
        <w:t>（投标文件格式</w:t>
      </w:r>
      <w:r>
        <w:rPr>
          <w:rFonts w:hint="eastAsia" w:ascii="仿宋" w:hAnsi="仿宋" w:eastAsia="仿宋" w:cs="仿宋"/>
          <w:sz w:val="24"/>
          <w:lang w:val="en-US" w:eastAsia="zh-CN"/>
        </w:rPr>
        <w:t>一</w:t>
      </w:r>
      <w:r>
        <w:rPr>
          <w:rFonts w:hint="eastAsia" w:ascii="仿宋" w:hAnsi="仿宋" w:eastAsia="仿宋" w:cs="仿宋"/>
          <w:sz w:val="24"/>
        </w:rPr>
        <w:t>）</w:t>
      </w:r>
      <w:bookmarkEnd w:id="325"/>
      <w:bookmarkEnd w:id="331"/>
      <w:bookmarkEnd w:id="332"/>
      <w:bookmarkEnd w:id="333"/>
      <w:bookmarkEnd w:id="334"/>
      <w:bookmarkEnd w:id="335"/>
      <w:bookmarkEnd w:id="336"/>
    </w:p>
    <w:p>
      <w:pPr>
        <w:tabs>
          <w:tab w:val="left" w:pos="5580"/>
        </w:tabs>
        <w:spacing w:line="240" w:lineRule="atLeast"/>
        <w:ind w:left="1080" w:leftChars="257" w:hanging="540"/>
        <w:rPr>
          <w:rFonts w:ascii="仿宋" w:hAnsi="仿宋" w:eastAsia="仿宋" w:cs="仿宋"/>
          <w:sz w:val="24"/>
        </w:rPr>
      </w:pPr>
    </w:p>
    <w:p>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color w:val="000000"/>
          <w:sz w:val="24"/>
          <w:u w:val="single"/>
        </w:rPr>
        <w:t>新疆国源土地矿产资源交易中心（有限公司）</w:t>
      </w:r>
    </w:p>
    <w:p>
      <w:pPr>
        <w:pStyle w:val="16"/>
        <w:tabs>
          <w:tab w:val="left" w:pos="5580"/>
        </w:tabs>
        <w:spacing w:line="240" w:lineRule="atLeast"/>
        <w:ind w:left="1080" w:leftChars="257" w:hanging="540"/>
        <w:rPr>
          <w:rFonts w:ascii="仿宋" w:hAnsi="仿宋" w:eastAsia="仿宋" w:cs="仿宋"/>
          <w:sz w:val="24"/>
        </w:rPr>
      </w:pPr>
    </w:p>
    <w:p>
      <w:pPr>
        <w:pStyle w:val="16"/>
        <w:tabs>
          <w:tab w:val="left" w:pos="5580"/>
        </w:tabs>
        <w:spacing w:line="240" w:lineRule="atLeast"/>
        <w:ind w:left="2" w:leftChars="1" w:firstLine="480" w:firstLineChars="200"/>
        <w:rPr>
          <w:rFonts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)经正式授权并代表供应商（</w:t>
      </w:r>
      <w:r>
        <w:rPr>
          <w:rFonts w:hint="eastAsia" w:ascii="仿宋" w:hAnsi="仿宋" w:eastAsia="仿宋" w:cs="仿宋"/>
          <w:i/>
          <w:sz w:val="24"/>
          <w:u w:val="single"/>
        </w:rPr>
        <w:t>名称、地址</w:t>
      </w:r>
      <w:r>
        <w:rPr>
          <w:rFonts w:hint="eastAsia" w:ascii="仿宋" w:hAnsi="仿宋" w:eastAsia="仿宋" w:cs="仿宋"/>
          <w:sz w:val="24"/>
        </w:rPr>
        <w:t>）提交投标书，并以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据此，签字代表宣布同意如下：</w:t>
      </w:r>
    </w:p>
    <w:p>
      <w:pPr>
        <w:pStyle w:val="16"/>
        <w:tabs>
          <w:tab w:val="left" w:pos="720"/>
          <w:tab w:val="left" w:pos="900"/>
        </w:tabs>
        <w:spacing w:line="240" w:lineRule="atLeast"/>
        <w:ind w:left="769" w:leftChars="257" w:hanging="229"/>
        <w:rPr>
          <w:rFonts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（4）已详细审查全部采购文件，包括所有补充通知（如果有的话），完全理解并同意放弃对这方面有不明、误解和质疑的权力。</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（5）在规定的开标时间后，遵守采购文件中有关保证金的规定。</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（6）根据供应商须知第1条规定，我方不是为本项目提供整体设计、规范编制或者项目管理、监理、检测等服务的供应商，我方不是采购代理机构的附属机构。</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（7）在领取中标通知书的同时按采购文件规定的形式，向贵方一次性支付中标服务费。</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（9）按照采购文件的规定履行合同责任和义务。</w:t>
      </w:r>
    </w:p>
    <w:p>
      <w:pPr>
        <w:pStyle w:val="16"/>
        <w:tabs>
          <w:tab w:val="left" w:pos="5580"/>
        </w:tabs>
        <w:spacing w:line="240" w:lineRule="atLeast"/>
        <w:ind w:left="359" w:leftChars="68" w:hanging="216" w:hangingChars="90"/>
        <w:rPr>
          <w:rFonts w:ascii="仿宋" w:hAnsi="仿宋" w:eastAsia="仿宋" w:cs="仿宋"/>
          <w:sz w:val="24"/>
        </w:rPr>
      </w:pPr>
      <w:r>
        <w:rPr>
          <w:rFonts w:hint="eastAsia" w:ascii="仿宋" w:hAnsi="仿宋" w:eastAsia="仿宋" w:cs="仿宋"/>
          <w:sz w:val="24"/>
        </w:rPr>
        <w:t xml:space="preserve">  </w:t>
      </w:r>
    </w:p>
    <w:p>
      <w:pPr>
        <w:pStyle w:val="16"/>
        <w:tabs>
          <w:tab w:val="left" w:pos="5580"/>
        </w:tabs>
        <w:spacing w:line="240" w:lineRule="atLeast"/>
        <w:ind w:left="359" w:leftChars="68" w:hanging="216" w:hangingChars="90"/>
        <w:rPr>
          <w:rFonts w:ascii="仿宋" w:hAnsi="仿宋" w:eastAsia="仿宋" w:cs="仿宋"/>
          <w:sz w:val="24"/>
        </w:rPr>
      </w:pPr>
      <w:r>
        <w:rPr>
          <w:rFonts w:hint="eastAsia" w:ascii="仿宋" w:hAnsi="仿宋" w:eastAsia="仿宋" w:cs="仿宋"/>
          <w:sz w:val="24"/>
        </w:rPr>
        <w:t>与本投标有关的一切正式往来信函请寄：</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rPr>
      </w:pPr>
    </w:p>
    <w:p>
      <w:pPr>
        <w:pStyle w:val="16"/>
        <w:tabs>
          <w:tab w:val="left" w:pos="558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供应商名称（全称）：</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供应商开户银行（全称）：</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rPr>
        <w:t>供应商银行帐号：</w:t>
      </w:r>
      <w:r>
        <w:rPr>
          <w:rFonts w:hint="eastAsia" w:ascii="仿宋" w:hAnsi="仿宋" w:eastAsia="仿宋" w:cs="仿宋"/>
          <w:sz w:val="24"/>
          <w:u w:val="single"/>
        </w:rPr>
        <w:t>　　　　　　　　 　　</w:t>
      </w:r>
    </w:p>
    <w:p>
      <w:pPr>
        <w:pStyle w:val="16"/>
        <w:tabs>
          <w:tab w:val="left" w:pos="558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供应商单位章：</w:t>
      </w:r>
      <w:r>
        <w:rPr>
          <w:rFonts w:hint="eastAsia" w:ascii="仿宋" w:hAnsi="仿宋" w:eastAsia="仿宋" w:cs="仿宋"/>
          <w:sz w:val="24"/>
          <w:u w:val="single"/>
        </w:rPr>
        <w:t xml:space="preserve">                       </w:t>
      </w:r>
    </w:p>
    <w:p>
      <w:pPr>
        <w:pStyle w:val="16"/>
        <w:tabs>
          <w:tab w:val="left" w:pos="558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pPr>
        <w:pStyle w:val="8"/>
        <w:spacing w:before="0" w:line="240" w:lineRule="atLeast"/>
        <w:ind w:left="1080" w:leftChars="257" w:hanging="540"/>
        <w:rPr>
          <w:rFonts w:ascii="仿宋" w:hAnsi="仿宋" w:eastAsia="仿宋" w:cs="仿宋"/>
          <w:sz w:val="24"/>
        </w:rPr>
      </w:pPr>
      <w:bookmarkStart w:id="338" w:name="_Hlt520356243"/>
      <w:bookmarkEnd w:id="338"/>
      <w:bookmarkStart w:id="339" w:name="_Hlt520355938"/>
      <w:bookmarkEnd w:id="339"/>
      <w:bookmarkStart w:id="340" w:name="_Toc216582815"/>
      <w:r>
        <w:rPr>
          <w:rFonts w:hint="eastAsia" w:ascii="仿宋" w:hAnsi="仿宋" w:eastAsia="仿宋" w:cs="仿宋"/>
          <w:sz w:val="24"/>
        </w:rPr>
        <w:br w:type="page"/>
      </w:r>
      <w:bookmarkStart w:id="341" w:name="_Toc24886"/>
      <w:bookmarkStart w:id="342" w:name="_Toc16668"/>
      <w:bookmarkStart w:id="343" w:name="_Toc518923117"/>
      <w:bookmarkStart w:id="344" w:name="_Toc13880"/>
      <w:bookmarkStart w:id="345" w:name="_Toc3847"/>
      <w:bookmarkStart w:id="346" w:name="_Toc22340"/>
      <w:r>
        <w:rPr>
          <w:rFonts w:hint="eastAsia" w:ascii="仿宋" w:hAnsi="仿宋" w:eastAsia="仿宋" w:cs="仿宋"/>
          <w:sz w:val="24"/>
        </w:rPr>
        <w:t>2   投标保证金缴纳凭证复印件或投标担保函</w:t>
      </w:r>
      <w:bookmarkEnd w:id="341"/>
      <w:bookmarkEnd w:id="342"/>
      <w:bookmarkEnd w:id="343"/>
      <w:bookmarkEnd w:id="344"/>
      <w:bookmarkEnd w:id="345"/>
      <w:bookmarkEnd w:id="346"/>
    </w:p>
    <w:p>
      <w:pPr>
        <w:ind w:firstLine="420" w:firstLineChars="200"/>
        <w:rPr>
          <w:rFonts w:ascii="仿宋" w:hAnsi="仿宋" w:eastAsia="仿宋" w:cs="仿宋"/>
          <w:sz w:val="24"/>
        </w:rPr>
      </w:pPr>
      <w:bookmarkStart w:id="347" w:name="_Toc494296991"/>
      <w:bookmarkStart w:id="348" w:name="_Toc494296665"/>
      <w:r>
        <w:rPr>
          <w:rFonts w:hint="eastAsia" w:ascii="仿宋" w:hAnsi="仿宋" w:eastAsia="仿宋" w:cs="仿宋"/>
        </w:rPr>
        <w:t>供应商可将本项目投标保证金支付的汇款凭证、支票、汇票或保证金收据（如有）的复印件作为缴纳凭证放在本部分，复印件上应加盖本单位章；使用银行保函等其他投标担保函的，应将担保函正本，放在本部分中；如采用政府采购信用担保形式的，应使用（投标文件格式四）,将原件装订在本部分中。</w:t>
      </w:r>
      <w:bookmarkEnd w:id="347"/>
      <w:bookmarkEnd w:id="348"/>
    </w:p>
    <w:p>
      <w:pPr>
        <w:jc w:val="center"/>
        <w:rPr>
          <w:rFonts w:ascii="仿宋" w:hAnsi="仿宋" w:eastAsia="仿宋" w:cs="仿宋"/>
          <w:b/>
          <w:bCs/>
          <w:sz w:val="24"/>
        </w:rPr>
      </w:pPr>
      <w:r>
        <w:rPr>
          <w:rFonts w:hint="eastAsia" w:ascii="仿宋" w:hAnsi="仿宋" w:eastAsia="仿宋" w:cs="仿宋"/>
          <w:b/>
          <w:bCs/>
          <w:sz w:val="24"/>
        </w:rPr>
        <w:t>政府采购投标担保函 （项目用）（投标文件格式</w:t>
      </w:r>
      <w:r>
        <w:rPr>
          <w:rFonts w:hint="eastAsia" w:ascii="仿宋" w:hAnsi="仿宋" w:eastAsia="仿宋" w:cs="仿宋"/>
          <w:b/>
          <w:bCs/>
          <w:sz w:val="24"/>
          <w:lang w:val="en-US" w:eastAsia="zh-CN"/>
        </w:rPr>
        <w:t>二</w:t>
      </w:r>
      <w:r>
        <w:rPr>
          <w:rFonts w:hint="eastAsia" w:ascii="仿宋" w:hAnsi="仿宋" w:eastAsia="仿宋" w:cs="仿宋"/>
          <w:b/>
          <w:bCs/>
          <w:sz w:val="24"/>
        </w:rPr>
        <w:t>）</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（以下简称“供应商”）拟参加编号为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ascii="仿宋" w:hAnsi="仿宋" w:eastAsia="仿宋" w:cs="仿宋"/>
        </w:rPr>
      </w:pPr>
      <w:r>
        <w:rPr>
          <w:rFonts w:hint="eastAsia" w:ascii="仿宋" w:hAnsi="仿宋" w:eastAsia="仿宋" w:cs="仿宋"/>
        </w:rPr>
        <w:t>项目（以下简称“本项目”）投标，根据本项目采购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（一）在供应商出现下列情形之一时，我方承担保证责任：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1．中标后供应商无正当理由不与采购人或者采购代理机构签订《政府采购合同》；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2．采购文件规定的供应商应当缴纳保证金的其他情形。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1．你方要求我方承担保证责任的，应在本保函保证期间内向我方发出书面索赔通知。索赔通知应写明要求索赔的金额，支付款项应到达的账号，并附有证明供应商发生我方应承担保证责任情形的事实材料。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个工作日内进行审查，符合应承担保证责任情形的，我方应按照你方的要求代供应商向你方支付投标保证金。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1．依照法律规定或你方与供应商的另行约定，全部或者部分免除供应商投标保证金义务时，我方亦免除相应的保证责任。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2．因你方原因致使供应商发生本保函第一条第（一）款约定情形的，我方不承担保证责任。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3．因不可抗力造成供应商发生本保函第一条约定情形的，我方不承担保证责任。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4．你方或其他有权机关对采购文件进行任何澄清或修改，加重我方保证责任的，我方对加重部分不承担保证责任，但该澄清或修改经我方事先书面同意的除外。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rPr>
          <w:rFonts w:ascii="仿宋" w:hAnsi="仿宋" w:eastAsia="仿宋" w:cs="仿宋"/>
        </w:rPr>
      </w:pPr>
      <w:r>
        <w:rPr>
          <w:rFonts w:hint="eastAsia" w:ascii="仿宋" w:hAnsi="仿宋" w:eastAsia="仿宋" w:cs="仿宋"/>
        </w:rPr>
        <w:t xml:space="preserve">                               </w:t>
      </w:r>
    </w:p>
    <w:p>
      <w:pPr>
        <w:ind w:firstLine="5775" w:firstLineChars="2750"/>
        <w:rPr>
          <w:rFonts w:ascii="仿宋" w:hAnsi="仿宋" w:eastAsia="仿宋" w:cs="仿宋"/>
        </w:rPr>
      </w:pPr>
      <w:r>
        <w:rPr>
          <w:rFonts w:hint="eastAsia" w:ascii="仿宋" w:hAnsi="仿宋" w:eastAsia="仿宋" w:cs="仿宋"/>
        </w:rPr>
        <w:t>年     月      日</w:t>
      </w:r>
    </w:p>
    <w:p>
      <w:pPr>
        <w:rPr>
          <w:rFonts w:ascii="仿宋" w:hAnsi="仿宋" w:eastAsia="仿宋" w:cs="仿宋"/>
        </w:rPr>
      </w:pPr>
      <w:r>
        <w:rPr>
          <w:rFonts w:hint="eastAsia" w:ascii="仿宋" w:hAnsi="仿宋" w:eastAsia="仿宋" w:cs="仿宋"/>
        </w:rPr>
        <w:br w:type="page"/>
      </w:r>
    </w:p>
    <w:bookmarkEnd w:id="340"/>
    <w:p>
      <w:pPr>
        <w:pStyle w:val="16"/>
        <w:tabs>
          <w:tab w:val="left" w:pos="5370"/>
        </w:tabs>
        <w:spacing w:line="240" w:lineRule="atLeast"/>
        <w:ind w:left="1080" w:leftChars="257" w:hanging="540"/>
        <w:rPr>
          <w:rFonts w:ascii="仿宋" w:hAnsi="仿宋" w:eastAsia="仿宋" w:cs="仿宋"/>
          <w:sz w:val="24"/>
        </w:rPr>
      </w:pPr>
    </w:p>
    <w:p>
      <w:pPr>
        <w:pStyle w:val="8"/>
        <w:spacing w:before="0" w:line="240" w:lineRule="atLeast"/>
        <w:ind w:left="1080" w:leftChars="257" w:hanging="540"/>
        <w:rPr>
          <w:rFonts w:ascii="仿宋" w:hAnsi="仿宋" w:eastAsia="仿宋" w:cs="仿宋"/>
          <w:sz w:val="24"/>
        </w:rPr>
      </w:pPr>
      <w:bookmarkStart w:id="349" w:name="_Toc20086"/>
      <w:bookmarkStart w:id="350" w:name="_Toc5272"/>
      <w:bookmarkStart w:id="351" w:name="_Toc2562"/>
      <w:bookmarkStart w:id="352" w:name="_Toc21998"/>
      <w:r>
        <w:rPr>
          <w:rFonts w:hint="eastAsia" w:ascii="仿宋" w:hAnsi="仿宋" w:eastAsia="仿宋" w:cs="仿宋"/>
          <w:sz w:val="24"/>
        </w:rPr>
        <w:t>3   技术规格偏离表（投标文件格式</w:t>
      </w:r>
      <w:r>
        <w:rPr>
          <w:rFonts w:hint="eastAsia" w:ascii="仿宋" w:hAnsi="仿宋" w:eastAsia="仿宋" w:cs="仿宋"/>
          <w:sz w:val="24"/>
          <w:lang w:val="en-US" w:eastAsia="zh-CN"/>
        </w:rPr>
        <w:t>三</w:t>
      </w:r>
      <w:r>
        <w:rPr>
          <w:rFonts w:hint="eastAsia" w:ascii="仿宋" w:hAnsi="仿宋" w:eastAsia="仿宋" w:cs="仿宋"/>
          <w:sz w:val="24"/>
        </w:rPr>
        <w:t>）</w:t>
      </w:r>
      <w:bookmarkEnd w:id="349"/>
      <w:bookmarkEnd w:id="350"/>
      <w:bookmarkEnd w:id="351"/>
      <w:bookmarkEnd w:id="352"/>
    </w:p>
    <w:p>
      <w:pPr>
        <w:pStyle w:val="16"/>
        <w:spacing w:line="240" w:lineRule="atLeast"/>
        <w:ind w:left="1080" w:leftChars="257" w:hanging="540"/>
        <w:rPr>
          <w:rFonts w:ascii="仿宋" w:hAnsi="仿宋" w:eastAsia="仿宋" w:cs="仿宋"/>
          <w:sz w:val="24"/>
        </w:rPr>
      </w:pPr>
    </w:p>
    <w:p>
      <w:pPr>
        <w:pStyle w:val="16"/>
        <w:spacing w:line="240" w:lineRule="atLeast"/>
        <w:rPr>
          <w:rFonts w:ascii="仿宋" w:hAnsi="仿宋" w:eastAsia="仿宋" w:cs="仿宋"/>
          <w:sz w:val="24"/>
        </w:rPr>
      </w:pPr>
      <w:r>
        <w:rPr>
          <w:rFonts w:hint="eastAsia" w:ascii="仿宋" w:hAnsi="仿宋" w:eastAsia="仿宋" w:cs="仿宋"/>
          <w:sz w:val="24"/>
        </w:rPr>
        <w:t xml:space="preserve">项目名称:                       招标编号:           包号：          </w:t>
      </w:r>
    </w:p>
    <w:p>
      <w:pPr>
        <w:pStyle w:val="16"/>
        <w:spacing w:line="240" w:lineRule="atLeast"/>
        <w:ind w:left="1080" w:leftChars="257" w:hanging="540"/>
        <w:rPr>
          <w:rFonts w:ascii="仿宋" w:hAnsi="仿宋" w:eastAsia="仿宋" w:cs="仿宋"/>
          <w:sz w:val="24"/>
        </w:rPr>
      </w:pPr>
    </w:p>
    <w:tbl>
      <w:tblPr>
        <w:tblStyle w:val="3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序号</w:t>
            </w:r>
          </w:p>
        </w:tc>
        <w:tc>
          <w:tcPr>
            <w:tcW w:w="1260"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货物名称</w:t>
            </w:r>
          </w:p>
        </w:tc>
        <w:tc>
          <w:tcPr>
            <w:tcW w:w="2340" w:type="dxa"/>
            <w:vAlign w:val="center"/>
          </w:tcPr>
          <w:p>
            <w:pPr>
              <w:pStyle w:val="16"/>
              <w:spacing w:line="240" w:lineRule="atLeast"/>
              <w:ind w:left="269" w:leftChars="128"/>
              <w:jc w:val="center"/>
              <w:rPr>
                <w:rFonts w:ascii="仿宋" w:hAnsi="仿宋" w:eastAsia="仿宋" w:cs="仿宋"/>
                <w:sz w:val="24"/>
              </w:rPr>
            </w:pPr>
            <w:r>
              <w:rPr>
                <w:rFonts w:hint="eastAsia" w:ascii="仿宋" w:hAnsi="仿宋" w:eastAsia="仿宋" w:cs="仿宋"/>
                <w:sz w:val="24"/>
              </w:rPr>
              <w:t>采购文件条款号</w:t>
            </w:r>
          </w:p>
        </w:tc>
        <w:tc>
          <w:tcPr>
            <w:tcW w:w="1260"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招标规格</w:t>
            </w:r>
          </w:p>
        </w:tc>
        <w:tc>
          <w:tcPr>
            <w:tcW w:w="1260"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投标规格</w:t>
            </w:r>
          </w:p>
        </w:tc>
        <w:tc>
          <w:tcPr>
            <w:tcW w:w="900"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偏离</w:t>
            </w:r>
          </w:p>
        </w:tc>
        <w:tc>
          <w:tcPr>
            <w:tcW w:w="900" w:type="dxa"/>
            <w:vAlign w:val="center"/>
          </w:tcPr>
          <w:p>
            <w:pPr>
              <w:pStyle w:val="16"/>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234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126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bl>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6"/>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供应商(盖单位章):</w:t>
      </w:r>
      <w:r>
        <w:rPr>
          <w:rFonts w:hint="eastAsia" w:ascii="仿宋" w:hAnsi="仿宋" w:eastAsia="仿宋" w:cs="仿宋"/>
          <w:sz w:val="24"/>
          <w:u w:val="single"/>
        </w:rPr>
        <w:tab/>
      </w:r>
    </w:p>
    <w:p>
      <w:pPr>
        <w:pStyle w:val="16"/>
        <w:spacing w:line="240" w:lineRule="atLeast"/>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8"/>
        <w:spacing w:before="0" w:line="240" w:lineRule="atLeast"/>
        <w:ind w:left="1080" w:leftChars="257" w:hanging="540"/>
        <w:rPr>
          <w:rFonts w:ascii="仿宋" w:hAnsi="仿宋" w:eastAsia="仿宋" w:cs="仿宋"/>
          <w:sz w:val="24"/>
        </w:rPr>
      </w:pPr>
      <w:bookmarkStart w:id="353" w:name="_Toc216582818"/>
      <w:bookmarkStart w:id="354" w:name="_Toc518923119"/>
      <w:bookmarkStart w:id="355" w:name="_Toc13819"/>
      <w:bookmarkStart w:id="356" w:name="_Toc29517"/>
      <w:bookmarkStart w:id="357" w:name="_Toc8079"/>
      <w:bookmarkStart w:id="358" w:name="_Toc7386"/>
      <w:bookmarkStart w:id="359" w:name="_Toc11724"/>
      <w:r>
        <w:rPr>
          <w:rFonts w:hint="eastAsia" w:ascii="仿宋" w:hAnsi="仿宋" w:eastAsia="仿宋" w:cs="仿宋"/>
          <w:sz w:val="24"/>
        </w:rPr>
        <w:t>4   商务条款偏离表</w:t>
      </w:r>
      <w:bookmarkEnd w:id="353"/>
      <w:r>
        <w:rPr>
          <w:rFonts w:hint="eastAsia" w:ascii="仿宋" w:hAnsi="仿宋" w:eastAsia="仿宋" w:cs="仿宋"/>
          <w:sz w:val="24"/>
        </w:rPr>
        <w:t>（投标文件格式</w:t>
      </w:r>
      <w:r>
        <w:rPr>
          <w:rFonts w:hint="eastAsia" w:ascii="仿宋" w:hAnsi="仿宋" w:eastAsia="仿宋" w:cs="仿宋"/>
          <w:sz w:val="24"/>
          <w:lang w:val="en-US" w:eastAsia="zh-CN"/>
        </w:rPr>
        <w:t>四</w:t>
      </w:r>
      <w:r>
        <w:rPr>
          <w:rFonts w:hint="eastAsia" w:ascii="仿宋" w:hAnsi="仿宋" w:eastAsia="仿宋" w:cs="仿宋"/>
          <w:sz w:val="24"/>
        </w:rPr>
        <w:t>）</w:t>
      </w:r>
      <w:bookmarkEnd w:id="354"/>
      <w:bookmarkEnd w:id="355"/>
      <w:bookmarkEnd w:id="356"/>
      <w:bookmarkEnd w:id="357"/>
      <w:bookmarkEnd w:id="358"/>
      <w:bookmarkEnd w:id="359"/>
    </w:p>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w:t>
      </w:r>
    </w:p>
    <w:p>
      <w:pPr>
        <w:pStyle w:val="16"/>
        <w:spacing w:line="240" w:lineRule="atLeast"/>
        <w:ind w:left="1080" w:leftChars="257" w:hanging="540"/>
        <w:rPr>
          <w:rFonts w:ascii="仿宋" w:hAnsi="仿宋" w:eastAsia="仿宋" w:cs="仿宋"/>
          <w:sz w:val="24"/>
        </w:rPr>
      </w:pPr>
    </w:p>
    <w:tbl>
      <w:tblPr>
        <w:tblStyle w:val="3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jc w:val="center"/>
              <w:rPr>
                <w:rFonts w:ascii="仿宋" w:hAnsi="仿宋" w:eastAsia="仿宋" w:cs="仿宋"/>
                <w:sz w:val="24"/>
              </w:rPr>
            </w:pPr>
            <w:r>
              <w:rPr>
                <w:rFonts w:hint="eastAsia" w:ascii="仿宋" w:hAnsi="仿宋" w:eastAsia="仿宋" w:cs="仿宋"/>
                <w:sz w:val="24"/>
              </w:rPr>
              <w:t>序号</w:t>
            </w:r>
          </w:p>
        </w:tc>
        <w:tc>
          <w:tcPr>
            <w:tcW w:w="2040" w:type="dxa"/>
          </w:tcPr>
          <w:p>
            <w:pPr>
              <w:pStyle w:val="16"/>
              <w:spacing w:line="240" w:lineRule="atLeast"/>
              <w:jc w:val="center"/>
              <w:rPr>
                <w:rFonts w:ascii="仿宋" w:hAnsi="仿宋" w:eastAsia="仿宋" w:cs="仿宋"/>
                <w:sz w:val="24"/>
              </w:rPr>
            </w:pPr>
            <w:r>
              <w:rPr>
                <w:rFonts w:hint="eastAsia" w:ascii="仿宋" w:hAnsi="仿宋" w:eastAsia="仿宋" w:cs="仿宋"/>
                <w:sz w:val="24"/>
              </w:rPr>
              <w:t>采购文件条款号</w:t>
            </w:r>
          </w:p>
        </w:tc>
        <w:tc>
          <w:tcPr>
            <w:tcW w:w="2520" w:type="dxa"/>
          </w:tcPr>
          <w:p>
            <w:pPr>
              <w:pStyle w:val="16"/>
              <w:spacing w:line="240" w:lineRule="atLeast"/>
              <w:jc w:val="center"/>
              <w:rPr>
                <w:rFonts w:ascii="仿宋" w:hAnsi="仿宋" w:eastAsia="仿宋" w:cs="仿宋"/>
                <w:sz w:val="24"/>
              </w:rPr>
            </w:pPr>
            <w:r>
              <w:rPr>
                <w:rFonts w:hint="eastAsia" w:ascii="仿宋" w:hAnsi="仿宋" w:eastAsia="仿宋" w:cs="仿宋"/>
                <w:sz w:val="24"/>
              </w:rPr>
              <w:t>采购文件的商务条款</w:t>
            </w:r>
          </w:p>
        </w:tc>
        <w:tc>
          <w:tcPr>
            <w:tcW w:w="2520" w:type="dxa"/>
          </w:tcPr>
          <w:p>
            <w:pPr>
              <w:pStyle w:val="16"/>
              <w:spacing w:line="240" w:lineRule="atLeast"/>
              <w:jc w:val="center"/>
              <w:rPr>
                <w:rFonts w:ascii="仿宋" w:hAnsi="仿宋" w:eastAsia="仿宋" w:cs="仿宋"/>
                <w:sz w:val="24"/>
              </w:rPr>
            </w:pPr>
            <w:r>
              <w:rPr>
                <w:rFonts w:hint="eastAsia" w:ascii="仿宋" w:hAnsi="仿宋" w:eastAsia="仿宋" w:cs="仿宋"/>
                <w:sz w:val="24"/>
              </w:rPr>
              <w:t>投标文件的商务条款</w:t>
            </w:r>
          </w:p>
        </w:tc>
        <w:tc>
          <w:tcPr>
            <w:tcW w:w="900" w:type="dxa"/>
          </w:tcPr>
          <w:p>
            <w:pPr>
              <w:pStyle w:val="16"/>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jc w:val="center"/>
              <w:rPr>
                <w:rFonts w:ascii="仿宋" w:hAnsi="仿宋" w:eastAsia="仿宋" w:cs="仿宋"/>
                <w:sz w:val="24"/>
              </w:rPr>
            </w:pPr>
          </w:p>
        </w:tc>
        <w:tc>
          <w:tcPr>
            <w:tcW w:w="2520" w:type="dxa"/>
          </w:tcPr>
          <w:p>
            <w:pPr>
              <w:pStyle w:val="16"/>
              <w:spacing w:line="240" w:lineRule="atLeast"/>
              <w:ind w:left="1080" w:leftChars="257" w:hanging="540"/>
              <w:jc w:val="center"/>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6"/>
              <w:spacing w:line="240" w:lineRule="atLeast"/>
              <w:ind w:left="1080" w:leftChars="257" w:hanging="540"/>
              <w:rPr>
                <w:rFonts w:ascii="仿宋" w:hAnsi="仿宋" w:eastAsia="仿宋" w:cs="仿宋"/>
                <w:sz w:val="24"/>
              </w:rPr>
            </w:pPr>
          </w:p>
        </w:tc>
        <w:tc>
          <w:tcPr>
            <w:tcW w:w="204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2520" w:type="dxa"/>
          </w:tcPr>
          <w:p>
            <w:pPr>
              <w:pStyle w:val="16"/>
              <w:spacing w:line="240" w:lineRule="atLeast"/>
              <w:ind w:left="1080" w:leftChars="257" w:hanging="540"/>
              <w:rPr>
                <w:rFonts w:ascii="仿宋" w:hAnsi="仿宋" w:eastAsia="仿宋" w:cs="仿宋"/>
                <w:sz w:val="24"/>
              </w:rPr>
            </w:pPr>
          </w:p>
        </w:tc>
        <w:tc>
          <w:tcPr>
            <w:tcW w:w="900" w:type="dxa"/>
          </w:tcPr>
          <w:p>
            <w:pPr>
              <w:pStyle w:val="16"/>
              <w:spacing w:line="240" w:lineRule="atLeast"/>
              <w:ind w:left="1080" w:leftChars="257" w:hanging="540"/>
              <w:rPr>
                <w:rFonts w:ascii="仿宋" w:hAnsi="仿宋" w:eastAsia="仿宋" w:cs="仿宋"/>
                <w:sz w:val="24"/>
              </w:rPr>
            </w:pPr>
          </w:p>
        </w:tc>
      </w:tr>
    </w:tbl>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p>
    <w:p>
      <w:pPr>
        <w:pStyle w:val="16"/>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6"/>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供应商(盖单位章):</w:t>
      </w:r>
      <w:r>
        <w:rPr>
          <w:rFonts w:hint="eastAsia" w:ascii="仿宋" w:hAnsi="仿宋" w:eastAsia="仿宋" w:cs="仿宋"/>
          <w:sz w:val="24"/>
          <w:u w:val="single"/>
        </w:rPr>
        <w:tab/>
      </w:r>
    </w:p>
    <w:p>
      <w:pPr>
        <w:pStyle w:val="16"/>
        <w:spacing w:line="240" w:lineRule="atLeast"/>
        <w:rPr>
          <w:rFonts w:ascii="仿宋" w:hAnsi="仿宋" w:eastAsia="仿宋" w:cs="仿宋"/>
          <w:sz w:val="24"/>
        </w:rPr>
      </w:pPr>
    </w:p>
    <w:p>
      <w:pPr>
        <w:pStyle w:val="16"/>
        <w:spacing w:line="240" w:lineRule="atLeast"/>
        <w:rPr>
          <w:rFonts w:ascii="仿宋" w:hAnsi="仿宋" w:eastAsia="仿宋" w:cs="仿宋"/>
          <w:sz w:val="24"/>
        </w:rPr>
      </w:pPr>
    </w:p>
    <w:p>
      <w:pPr>
        <w:pStyle w:val="16"/>
        <w:spacing w:line="240" w:lineRule="atLeast"/>
        <w:rPr>
          <w:rFonts w:ascii="仿宋" w:hAnsi="仿宋" w:eastAsia="仿宋" w:cs="仿宋"/>
          <w:sz w:val="24"/>
        </w:rPr>
      </w:pPr>
    </w:p>
    <w:p>
      <w:pPr>
        <w:pStyle w:val="16"/>
        <w:spacing w:line="240" w:lineRule="atLeast"/>
        <w:rPr>
          <w:rFonts w:ascii="仿宋" w:hAnsi="仿宋" w:eastAsia="仿宋" w:cs="仿宋"/>
          <w:sz w:val="24"/>
        </w:rPr>
      </w:pPr>
    </w:p>
    <w:p>
      <w:pPr>
        <w:ind w:firstLine="6600" w:firstLineChars="2750"/>
        <w:rPr>
          <w:rFonts w:ascii="仿宋" w:hAnsi="仿宋" w:eastAsia="仿宋" w:cs="仿宋"/>
          <w:sz w:val="24"/>
        </w:rPr>
      </w:pPr>
      <w:bookmarkStart w:id="360" w:name="_Hlt520343392"/>
      <w:bookmarkEnd w:id="360"/>
      <w:bookmarkStart w:id="361" w:name="_Hlt520343000"/>
      <w:bookmarkEnd w:id="361"/>
      <w:bookmarkStart w:id="362" w:name="_Hlt520274065"/>
      <w:bookmarkEnd w:id="362"/>
      <w:bookmarkStart w:id="363" w:name="_Hlt520273711"/>
      <w:bookmarkEnd w:id="363"/>
      <w:bookmarkStart w:id="364" w:name="_Hlt520350957"/>
      <w:bookmarkEnd w:id="364"/>
      <w:bookmarkStart w:id="365" w:name="_Hlt520271212"/>
      <w:bookmarkEnd w:id="365"/>
      <w:bookmarkStart w:id="366" w:name="_Hlt520350918"/>
      <w:bookmarkEnd w:id="366"/>
      <w:bookmarkStart w:id="367" w:name="_Hlt520274407"/>
      <w:bookmarkEnd w:id="367"/>
      <w:bookmarkStart w:id="368" w:name="_Hlt520274911"/>
      <w:bookmarkEnd w:id="368"/>
      <w:bookmarkStart w:id="369" w:name="_Hlt520274393"/>
      <w:bookmarkEnd w:id="369"/>
      <w:bookmarkStart w:id="370" w:name="_Hlt520273973"/>
      <w:bookmarkEnd w:id="370"/>
      <w:r>
        <w:rPr>
          <w:rFonts w:hint="eastAsia" w:ascii="仿宋" w:hAnsi="仿宋" w:eastAsia="仿宋" w:cs="仿宋"/>
          <w:sz w:val="24"/>
        </w:rPr>
        <w:t xml:space="preserve">  </w:t>
      </w:r>
    </w:p>
    <w:p>
      <w:bookmarkStart w:id="371" w:name="_Toc518923120"/>
      <w:bookmarkStart w:id="372" w:name="_Toc480"/>
    </w:p>
    <w:p>
      <w:pPr>
        <w:pStyle w:val="8"/>
        <w:spacing w:before="0" w:line="240" w:lineRule="atLeast"/>
        <w:ind w:firstLine="723" w:firstLineChars="300"/>
        <w:jc w:val="both"/>
        <w:rPr>
          <w:rFonts w:ascii="仿宋" w:hAnsi="仿宋" w:eastAsia="仿宋" w:cs="仿宋"/>
          <w:b w:val="0"/>
          <w:sz w:val="24"/>
        </w:rPr>
      </w:pPr>
      <w:bookmarkStart w:id="373" w:name="_Toc18055"/>
      <w:bookmarkStart w:id="374" w:name="_Toc11369"/>
      <w:bookmarkStart w:id="375" w:name="_Toc7291"/>
      <w:bookmarkStart w:id="376" w:name="_Toc1483"/>
      <w:r>
        <w:rPr>
          <w:rFonts w:hint="eastAsia" w:ascii="仿宋" w:hAnsi="仿宋" w:eastAsia="仿宋" w:cs="仿宋"/>
          <w:sz w:val="24"/>
        </w:rPr>
        <w:t xml:space="preserve">5-1 </w:t>
      </w:r>
      <w:r>
        <w:rPr>
          <w:rFonts w:hint="eastAsia" w:ascii="仿宋" w:hAnsi="仿宋" w:eastAsia="仿宋" w:cs="仿宋"/>
          <w:b w:val="0"/>
          <w:sz w:val="24"/>
        </w:rPr>
        <w:t xml:space="preserve"> </w:t>
      </w:r>
      <w:r>
        <w:rPr>
          <w:rFonts w:hint="eastAsia" w:ascii="仿宋" w:hAnsi="仿宋" w:eastAsia="仿宋" w:cs="仿宋"/>
          <w:sz w:val="24"/>
        </w:rPr>
        <w:t>供应商企业（单位）类型声明函（投标文件格式</w:t>
      </w:r>
      <w:r>
        <w:rPr>
          <w:rFonts w:hint="eastAsia" w:ascii="仿宋" w:hAnsi="仿宋" w:eastAsia="仿宋" w:cs="仿宋"/>
          <w:sz w:val="24"/>
          <w:lang w:val="en-US" w:eastAsia="zh-CN"/>
        </w:rPr>
        <w:t>五</w:t>
      </w:r>
      <w:r>
        <w:rPr>
          <w:rFonts w:hint="eastAsia" w:ascii="仿宋" w:hAnsi="仿宋" w:eastAsia="仿宋" w:cs="仿宋"/>
          <w:sz w:val="24"/>
        </w:rPr>
        <w:t>）</w:t>
      </w:r>
      <w:bookmarkEnd w:id="371"/>
      <w:bookmarkEnd w:id="372"/>
      <w:bookmarkEnd w:id="373"/>
      <w:bookmarkEnd w:id="374"/>
      <w:bookmarkEnd w:id="375"/>
      <w:bookmarkEnd w:id="376"/>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1、□本企业（单位）为直接供应商，提供本企业（单位）服务。</w:t>
      </w:r>
    </w:p>
    <w:p>
      <w:pPr>
        <w:widowControl/>
        <w:spacing w:before="100" w:beforeAutospacing="1" w:after="100" w:afterAutospacing="1" w:line="330" w:lineRule="atLeast"/>
        <w:ind w:firstLine="240" w:firstLineChars="100"/>
        <w:jc w:val="left"/>
        <w:rPr>
          <w:rFonts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4"/>
        <w:ind w:firstLine="480"/>
        <w:rPr>
          <w:rFonts w:ascii="仿宋" w:hAnsi="仿宋" w:eastAsia="仿宋" w:cs="仿宋"/>
          <w:kern w:val="0"/>
        </w:rPr>
      </w:pPr>
      <w:r>
        <w:rPr>
          <w:rFonts w:hint="eastAsia" w:ascii="仿宋" w:hAnsi="仿宋" w:eastAsia="仿宋" w:cs="仿宋"/>
          <w:kern w:val="0"/>
        </w:rPr>
        <w:t>注:小微企业须提供以下证明材料</w:t>
      </w:r>
    </w:p>
    <w:p>
      <w:pPr>
        <w:pStyle w:val="4"/>
        <w:ind w:firstLine="480"/>
        <w:rPr>
          <w:rFonts w:ascii="仿宋" w:hAnsi="仿宋" w:eastAsia="仿宋" w:cs="仿宋"/>
          <w:kern w:val="0"/>
        </w:rPr>
      </w:pPr>
      <w:r>
        <w:rPr>
          <w:rFonts w:hint="eastAsia" w:ascii="仿宋" w:hAnsi="仿宋" w:eastAsia="仿宋" w:cs="仿宋"/>
          <w:kern w:val="0"/>
        </w:rPr>
        <w:t>1.中小企业声明函。</w:t>
      </w:r>
    </w:p>
    <w:p>
      <w:pPr>
        <w:pStyle w:val="4"/>
        <w:ind w:firstLine="480"/>
        <w:rPr>
          <w:rFonts w:ascii="仿宋" w:hAnsi="仿宋" w:eastAsia="仿宋" w:cs="仿宋"/>
          <w:kern w:val="0"/>
        </w:rPr>
      </w:pPr>
      <w:r>
        <w:rPr>
          <w:rFonts w:hint="eastAsia" w:ascii="仿宋" w:hAnsi="仿宋" w:eastAsia="仿宋" w:cs="仿宋"/>
          <w:kern w:val="0"/>
        </w:rPr>
        <w:t>2.各行业主管部门出具的小微企业证明材料或政府网站“小微企业名录”查询截图。</w:t>
      </w:r>
    </w:p>
    <w:p>
      <w:pPr>
        <w:pStyle w:val="4"/>
        <w:ind w:firstLine="480"/>
        <w:rPr>
          <w:rFonts w:ascii="仿宋" w:hAnsi="仿宋" w:eastAsia="仿宋" w:cs="仿宋"/>
          <w:kern w:val="0"/>
        </w:rPr>
      </w:pPr>
      <w:r>
        <w:rPr>
          <w:rFonts w:hint="eastAsia" w:ascii="仿宋" w:hAnsi="仿宋" w:eastAsia="仿宋" w:cs="仿宋"/>
          <w:kern w:val="0"/>
        </w:rPr>
        <w:t>3.投标货物是小微企业自身或其它小微企业生产的证明材料。</w:t>
      </w:r>
    </w:p>
    <w:p>
      <w:pPr>
        <w:widowControl/>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　　</w:t>
      </w:r>
    </w:p>
    <w:p>
      <w:pPr>
        <w:spacing w:line="240" w:lineRule="atLeast"/>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ascii="仿宋" w:hAnsi="仿宋" w:eastAsia="仿宋" w:cs="仿宋"/>
          <w:kern w:val="0"/>
          <w:sz w:val="24"/>
        </w:rPr>
      </w:pPr>
      <w:r>
        <w:rPr>
          <w:rFonts w:hint="eastAsia" w:ascii="仿宋" w:hAnsi="仿宋" w:eastAsia="仿宋" w:cs="仿宋"/>
          <w:kern w:val="0"/>
          <w:sz w:val="24"/>
        </w:rPr>
        <w:t>供应商名称（盖单位章）：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仿宋"/>
          <w:kern w:val="0"/>
          <w:sz w:val="24"/>
          <w:u w:val="single"/>
        </w:rPr>
      </w:pPr>
      <w:r>
        <w:rPr>
          <w:rFonts w:hint="eastAsia" w:ascii="仿宋" w:hAnsi="仿宋" w:eastAsia="仿宋" w:cs="仿宋"/>
          <w:kern w:val="0"/>
          <w:sz w:val="24"/>
          <w:u w:val="single"/>
        </w:rPr>
        <w:br w:type="page"/>
      </w:r>
    </w:p>
    <w:p>
      <w:pPr>
        <w:pStyle w:val="16"/>
        <w:ind w:left="311" w:leftChars="148" w:firstLine="228"/>
        <w:rPr>
          <w:rFonts w:ascii="仿宋" w:hAnsi="仿宋" w:eastAsia="仿宋" w:cs="仿宋"/>
          <w:b/>
          <w:bCs/>
          <w:kern w:val="0"/>
          <w:sz w:val="24"/>
        </w:rPr>
      </w:pPr>
      <w:bookmarkStart w:id="377" w:name="_Toc23068"/>
      <w:bookmarkStart w:id="378" w:name="_Toc515647825"/>
      <w:bookmarkStart w:id="379" w:name="_Toc27742"/>
      <w:bookmarkStart w:id="380" w:name="_Toc19284"/>
      <w:bookmarkStart w:id="381" w:name="OLE_LINK14"/>
      <w:bookmarkStart w:id="382" w:name="OLE_LINK13"/>
      <w:bookmarkStart w:id="383" w:name="_Toc6238"/>
      <w:bookmarkStart w:id="384" w:name="_Toc518923122"/>
    </w:p>
    <w:p>
      <w:pPr>
        <w:pStyle w:val="8"/>
        <w:spacing w:before="0" w:line="240" w:lineRule="atLeast"/>
        <w:ind w:firstLine="723" w:firstLineChars="300"/>
        <w:jc w:val="both"/>
        <w:rPr>
          <w:rFonts w:ascii="仿宋" w:hAnsi="仿宋" w:eastAsia="仿宋" w:cs="仿宋"/>
          <w:sz w:val="24"/>
        </w:rPr>
      </w:pPr>
      <w:bookmarkStart w:id="385" w:name="_Toc6691"/>
      <w:bookmarkStart w:id="386" w:name="_Toc8012"/>
      <w:bookmarkStart w:id="387" w:name="_Toc18544"/>
      <w:bookmarkStart w:id="388" w:name="_Toc3444"/>
      <w:r>
        <w:rPr>
          <w:rFonts w:hint="eastAsia" w:ascii="仿宋" w:hAnsi="仿宋" w:eastAsia="仿宋" w:cs="仿宋"/>
          <w:sz w:val="24"/>
        </w:rPr>
        <w:t>5-2  残疾人福利性单位声明函</w:t>
      </w:r>
      <w:bookmarkEnd w:id="377"/>
      <w:bookmarkEnd w:id="378"/>
      <w:bookmarkEnd w:id="379"/>
      <w:bookmarkEnd w:id="380"/>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385"/>
      <w:bookmarkEnd w:id="386"/>
      <w:bookmarkEnd w:id="387"/>
      <w:bookmarkEnd w:id="388"/>
    </w:p>
    <w:p/>
    <w:bookmarkEnd w:id="381"/>
    <w:bookmarkEnd w:id="382"/>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w:t>
      </w:r>
    </w:p>
    <w:p>
      <w:pPr>
        <w:pStyle w:val="11"/>
        <w:ind w:firstLine="964" w:firstLineChars="400"/>
        <w:rPr>
          <w:rFonts w:ascii="仿宋" w:hAnsi="仿宋" w:eastAsia="仿宋" w:cs="仿宋"/>
          <w:b/>
          <w:bCs/>
        </w:rPr>
      </w:pPr>
    </w:p>
    <w:p>
      <w:pPr>
        <w:pStyle w:val="11"/>
        <w:ind w:firstLine="964" w:firstLineChars="400"/>
        <w:rPr>
          <w:rFonts w:ascii="仿宋" w:hAnsi="仿宋" w:eastAsia="仿宋" w:cs="仿宋"/>
          <w:b/>
          <w:bCs/>
        </w:rPr>
      </w:pPr>
    </w:p>
    <w:p>
      <w:pPr>
        <w:pStyle w:val="11"/>
        <w:ind w:firstLine="723" w:firstLineChars="300"/>
        <w:rPr>
          <w:rFonts w:hint="eastAsia" w:ascii="仿宋" w:hAnsi="仿宋" w:eastAsia="仿宋" w:cs="仿宋"/>
          <w:b/>
          <w:bCs/>
        </w:rPr>
      </w:pPr>
    </w:p>
    <w:p>
      <w:pPr>
        <w:rPr>
          <w:color w:val="auto"/>
          <w:highlight w:val="none"/>
          <w:u w:val="none"/>
        </w:rPr>
      </w:pPr>
      <w:r>
        <w:rPr>
          <w:rFonts w:hint="eastAsia" w:ascii="仿宋" w:hAnsi="仿宋" w:eastAsia="仿宋" w:cs="仿宋"/>
          <w:b/>
          <w:bCs/>
        </w:rPr>
        <w:br w:type="page"/>
      </w:r>
      <w:r>
        <w:rPr>
          <w:rFonts w:hint="eastAsia" w:ascii="仿宋" w:hAnsi="仿宋" w:eastAsia="仿宋" w:cs="仿宋"/>
          <w:b/>
          <w:kern w:val="0"/>
          <w:sz w:val="24"/>
          <w:szCs w:val="20"/>
          <w:lang w:val="en-US" w:eastAsia="zh-CN" w:bidi="ar-SA"/>
        </w:rPr>
        <w:t>5-3 中小企业声明函（投标文件格式七）</w:t>
      </w:r>
    </w:p>
    <w:p>
      <w:pPr>
        <w:spacing w:line="240" w:lineRule="atLeast"/>
        <w:ind w:left="1080" w:leftChars="257" w:hanging="540"/>
        <w:jc w:val="center"/>
        <w:rPr>
          <w:rFonts w:ascii="仿宋" w:hAnsi="仿宋" w:eastAsia="仿宋" w:cs="仿宋"/>
          <w:b/>
          <w:color w:val="auto"/>
          <w:kern w:val="0"/>
          <w:sz w:val="24"/>
          <w:szCs w:val="20"/>
          <w:highlight w:val="none"/>
        </w:rPr>
      </w:pPr>
    </w:p>
    <w:p>
      <w:pPr>
        <w:spacing w:before="153" w:line="219" w:lineRule="auto"/>
        <w:jc w:val="center"/>
        <w:rPr>
          <w:rFonts w:ascii="宋体" w:hAnsi="宋体" w:eastAsia="宋体" w:cs="宋体"/>
          <w:color w:val="auto"/>
          <w:sz w:val="40"/>
          <w:szCs w:val="40"/>
        </w:rPr>
      </w:pPr>
      <w:r>
        <w:rPr>
          <w:rFonts w:ascii="宋体" w:hAnsi="宋体" w:eastAsia="宋体" w:cs="宋体"/>
          <w:color w:val="auto"/>
          <w:spacing w:val="-5"/>
          <w:sz w:val="40"/>
          <w:szCs w:val="40"/>
        </w:rPr>
        <w:t>中小企业声明函(工程、服务)</w:t>
      </w:r>
    </w:p>
    <w:p>
      <w:pPr>
        <w:spacing w:line="435" w:lineRule="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本公司(联合体)郑重声明,根据《政府采购促进中小企业发展管理办法》(财库</w:t>
      </w:r>
      <w:r>
        <w:rPr>
          <w:rFonts w:hint="eastAsia" w:ascii="仿宋" w:hAnsi="仿宋" w:eastAsia="仿宋" w:cs="仿宋"/>
          <w:color w:val="auto"/>
          <w:kern w:val="0"/>
          <w:sz w:val="24"/>
          <w:szCs w:val="20"/>
          <w:lang w:val="en-US" w:eastAsia="zh-CN"/>
        </w:rPr>
        <w:t>[</w:t>
      </w:r>
      <w:r>
        <w:rPr>
          <w:rFonts w:hint="eastAsia" w:ascii="仿宋" w:hAnsi="仿宋" w:eastAsia="仿宋" w:cs="仿宋"/>
          <w:color w:val="auto"/>
          <w:kern w:val="0"/>
          <w:sz w:val="24"/>
          <w:szCs w:val="20"/>
        </w:rPr>
        <w:t>2020]46号)的规定,本公司(联合体)参加</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(单位名称)</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的</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(项目名称)</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采购活动,工程的施工单位全部为符合政策要求的中小企业(或者:服务全部由符政策要求的中小企业承接)</w:t>
      </w:r>
      <w:r>
        <w:rPr>
          <w:rFonts w:hint="eastAsia" w:ascii="仿宋" w:hAnsi="仿宋" w:eastAsia="仿宋" w:cs="仿宋"/>
          <w:color w:val="auto"/>
          <w:kern w:val="0"/>
          <w:sz w:val="24"/>
          <w:szCs w:val="20"/>
          <w:lang w:eastAsia="zh-CN"/>
        </w:rPr>
        <w:t>。</w:t>
      </w:r>
      <w:r>
        <w:rPr>
          <w:rFonts w:hint="eastAsia" w:ascii="仿宋" w:hAnsi="仿宋" w:eastAsia="仿宋" w:cs="仿宋"/>
          <w:color w:val="auto"/>
          <w:kern w:val="0"/>
          <w:sz w:val="24"/>
          <w:szCs w:val="20"/>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  (标的名称)</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 属于(采购文件中明确的所属行业);承建(承接)企业为(企业名称), 从业人员</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人 ,营业收入为</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万元,资产总额为</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万元</w:t>
      </w:r>
      <w:r>
        <w:rPr>
          <w:rFonts w:hint="eastAsia" w:ascii="仿宋" w:hAnsi="仿宋" w:eastAsia="仿宋" w:cs="仿宋"/>
          <w:color w:val="auto"/>
          <w:kern w:val="0"/>
          <w:sz w:val="24"/>
          <w:szCs w:val="20"/>
          <w:lang w:val="en-US" w:eastAsia="zh-CN"/>
        </w:rPr>
        <w:t>2</w:t>
      </w:r>
      <w:r>
        <w:rPr>
          <w:rFonts w:hint="eastAsia" w:ascii="仿宋" w:hAnsi="仿宋" w:eastAsia="仿宋" w:cs="仿宋"/>
          <w:color w:val="auto"/>
          <w:kern w:val="0"/>
          <w:sz w:val="24"/>
          <w:szCs w:val="20"/>
        </w:rPr>
        <w:t>,属于(中型企业、小型企业、微型企业);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  (标的名称)</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 属于(采购文件中明确的所属行业); 承建(承接)企业 为(企业名称)</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,从业人员  人,营业收入为</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万元,资产总额为</w:t>
      </w:r>
      <w:r>
        <w:rPr>
          <w:rFonts w:hint="eastAsia" w:ascii="仿宋" w:hAnsi="仿宋" w:eastAsia="仿宋" w:cs="仿宋"/>
          <w:color w:val="auto"/>
          <w:kern w:val="0"/>
          <w:sz w:val="24"/>
          <w:szCs w:val="20"/>
          <w:lang w:val="en-US" w:eastAsia="zh-CN"/>
        </w:rPr>
        <w:t xml:space="preserve">   </w:t>
      </w:r>
      <w:r>
        <w:rPr>
          <w:rFonts w:hint="eastAsia" w:ascii="仿宋" w:hAnsi="仿宋" w:eastAsia="仿宋" w:cs="仿宋"/>
          <w:color w:val="auto"/>
          <w:kern w:val="0"/>
          <w:sz w:val="24"/>
          <w:szCs w:val="20"/>
        </w:rPr>
        <w:t>万元</w:t>
      </w:r>
      <w:r>
        <w:rPr>
          <w:rFonts w:hint="eastAsia" w:ascii="仿宋" w:hAnsi="仿宋" w:eastAsia="仿宋" w:cs="仿宋"/>
          <w:color w:val="auto"/>
          <w:kern w:val="0"/>
          <w:sz w:val="24"/>
          <w:szCs w:val="20"/>
          <w:lang w:val="en-US" w:eastAsia="zh-CN"/>
        </w:rPr>
        <w:t>2</w:t>
      </w:r>
      <w:r>
        <w:rPr>
          <w:rFonts w:hint="eastAsia" w:ascii="仿宋" w:hAnsi="仿宋" w:eastAsia="仿宋" w:cs="仿宋"/>
          <w:color w:val="auto"/>
          <w:kern w:val="0"/>
          <w:sz w:val="24"/>
          <w:szCs w:val="20"/>
        </w:rPr>
        <w:t>,属于(中型企业、小型企业、微型 企业);</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color w:val="auto"/>
          <w:kern w:val="0"/>
          <w:sz w:val="24"/>
          <w:szCs w:val="20"/>
        </w:rPr>
      </w:pPr>
    </w:p>
    <w:p>
      <w:pPr>
        <w:keepNext w:val="0"/>
        <w:keepLines w:val="0"/>
        <w:pageBreakBefore w:val="0"/>
        <w:widowControl w:val="0"/>
        <w:kinsoku/>
        <w:wordWrap/>
        <w:overflowPunct/>
        <w:topLinePunct w:val="0"/>
        <w:autoSpaceDE/>
        <w:autoSpaceDN/>
        <w:bidi w:val="0"/>
        <w:adjustRightInd/>
        <w:snapToGrid/>
        <w:spacing w:line="560" w:lineRule="exact"/>
        <w:ind w:firstLine="5923" w:firstLineChars="2468"/>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企业名称(盖章):</w:t>
      </w:r>
    </w:p>
    <w:p>
      <w:pPr>
        <w:keepNext w:val="0"/>
        <w:keepLines w:val="0"/>
        <w:pageBreakBefore w:val="0"/>
        <w:widowControl w:val="0"/>
        <w:kinsoku/>
        <w:wordWrap/>
        <w:overflowPunct/>
        <w:topLinePunct w:val="0"/>
        <w:autoSpaceDE/>
        <w:autoSpaceDN/>
        <w:bidi w:val="0"/>
        <w:adjustRightInd/>
        <w:snapToGrid/>
        <w:spacing w:line="560" w:lineRule="exact"/>
        <w:ind w:firstLine="5923" w:firstLineChars="2468"/>
        <w:textAlignment w:val="auto"/>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日期:</w:t>
      </w:r>
    </w:p>
    <w:p>
      <w:pPr>
        <w:rPr>
          <w:rFonts w:hint="eastAsia" w:ascii="仿宋" w:hAnsi="仿宋" w:eastAsia="仿宋" w:cs="仿宋"/>
          <w:b/>
          <w:bCs/>
        </w:rPr>
      </w:pPr>
    </w:p>
    <w:p>
      <w:pPr>
        <w:rPr>
          <w:rFonts w:hint="eastAsia" w:ascii="仿宋" w:hAnsi="仿宋" w:eastAsia="仿宋" w:cs="仿宋"/>
          <w:b/>
          <w:bCs/>
        </w:rPr>
      </w:pPr>
      <w:r>
        <w:rPr>
          <w:rFonts w:hint="eastAsia" w:ascii="仿宋" w:hAnsi="仿宋" w:eastAsia="仿宋" w:cs="仿宋"/>
          <w:b/>
          <w:bCs/>
        </w:rPr>
        <w:br w:type="page"/>
      </w:r>
    </w:p>
    <w:p>
      <w:pPr>
        <w:pStyle w:val="11"/>
        <w:ind w:firstLine="723" w:firstLineChars="300"/>
        <w:rPr>
          <w:rFonts w:ascii="仿宋" w:hAnsi="仿宋" w:eastAsia="仿宋" w:cs="仿宋"/>
          <w:b/>
          <w:bCs/>
        </w:rPr>
      </w:pPr>
      <w:r>
        <w:rPr>
          <w:rFonts w:hint="eastAsia" w:ascii="仿宋" w:hAnsi="仿宋" w:eastAsia="仿宋" w:cs="仿宋"/>
          <w:b/>
          <w:bCs/>
        </w:rPr>
        <w:t>6   供应商关联单位的说明</w:t>
      </w:r>
      <w:bookmarkEnd w:id="383"/>
      <w:bookmarkEnd w:id="384"/>
    </w:p>
    <w:p>
      <w:pPr>
        <w:pStyle w:val="11"/>
        <w:ind w:firstLine="480" w:firstLineChars="200"/>
        <w:rPr>
          <w:rFonts w:ascii="仿宋" w:hAnsi="仿宋" w:eastAsia="仿宋" w:cs="仿宋"/>
        </w:rPr>
      </w:pPr>
    </w:p>
    <w:p>
      <w:pPr>
        <w:pStyle w:val="11"/>
        <w:ind w:firstLine="480" w:firstLineChars="200"/>
        <w:rPr>
          <w:rFonts w:ascii="仿宋" w:hAnsi="仿宋" w:eastAsia="仿宋" w:cs="仿宋"/>
        </w:rPr>
      </w:pPr>
    </w:p>
    <w:p>
      <w:pPr>
        <w:pStyle w:val="11"/>
        <w:ind w:firstLine="480" w:firstLineChars="200"/>
        <w:rPr>
          <w:rFonts w:ascii="仿宋" w:hAnsi="仿宋" w:eastAsia="仿宋" w:cs="仿宋"/>
        </w:rPr>
      </w:pPr>
      <w:r>
        <w:rPr>
          <w:rFonts w:hint="eastAsia" w:ascii="仿宋" w:hAnsi="仿宋" w:eastAsia="仿宋" w:cs="仿宋"/>
        </w:rPr>
        <w:t>说明：供应商应当如实披露与本单位存在下列关联关系的单位名称：</w:t>
      </w:r>
    </w:p>
    <w:p>
      <w:pPr>
        <w:pStyle w:val="11"/>
        <w:ind w:firstLine="480" w:firstLineChars="200"/>
        <w:rPr>
          <w:rFonts w:ascii="仿宋" w:hAnsi="仿宋" w:eastAsia="仿宋" w:cs="仿宋"/>
        </w:rPr>
      </w:pPr>
      <w:r>
        <w:rPr>
          <w:rFonts w:hint="eastAsia" w:ascii="仿宋" w:hAnsi="仿宋" w:eastAsia="仿宋" w:cs="仿宋"/>
        </w:rPr>
        <w:t>（1）与供应商单位负责人为同一人的其他单位；</w:t>
      </w:r>
    </w:p>
    <w:p>
      <w:pPr>
        <w:pStyle w:val="11"/>
        <w:ind w:firstLine="480" w:firstLineChars="200"/>
        <w:rPr>
          <w:rFonts w:ascii="仿宋" w:hAnsi="仿宋" w:eastAsia="仿宋" w:cs="仿宋"/>
        </w:rPr>
      </w:pPr>
      <w:r>
        <w:rPr>
          <w:rFonts w:hint="eastAsia" w:ascii="仿宋" w:hAnsi="仿宋" w:eastAsia="仿宋" w:cs="仿宋"/>
        </w:rPr>
        <w:t>（2）与供应商存在直接控股、管理关系的其他单位。</w:t>
      </w:r>
    </w:p>
    <w:p>
      <w:pPr>
        <w:pStyle w:val="11"/>
        <w:jc w:val="center"/>
        <w:rPr>
          <w:rFonts w:ascii="仿宋" w:hAnsi="仿宋" w:eastAsia="仿宋" w:cs="仿宋"/>
        </w:rPr>
      </w:pPr>
    </w:p>
    <w:p>
      <w:pPr>
        <w:pStyle w:val="21"/>
        <w:tabs>
          <w:tab w:val="center" w:pos="4140"/>
          <w:tab w:val="right" w:pos="8300"/>
          <w:tab w:val="clear" w:pos="4153"/>
          <w:tab w:val="clear" w:pos="8306"/>
        </w:tabs>
        <w:spacing w:line="440" w:lineRule="exact"/>
        <w:jc w:val="center"/>
        <w:outlineLvl w:val="1"/>
        <w:rPr>
          <w:rFonts w:ascii="仿宋" w:hAnsi="仿宋" w:eastAsia="仿宋" w:cs="仿宋"/>
          <w:b/>
          <w:sz w:val="24"/>
        </w:rPr>
      </w:pPr>
      <w:r>
        <w:rPr>
          <w:rFonts w:hint="eastAsia" w:ascii="仿宋" w:hAnsi="仿宋" w:eastAsia="仿宋" w:cs="仿宋"/>
          <w:b/>
          <w:bCs/>
        </w:rPr>
        <w:br w:type="page"/>
      </w:r>
      <w:bookmarkStart w:id="389" w:name="_Toc16345"/>
      <w:bookmarkStart w:id="390" w:name="_Toc10213"/>
      <w:bookmarkStart w:id="391" w:name="_Toc31802"/>
      <w:r>
        <w:rPr>
          <w:rFonts w:hint="eastAsia" w:ascii="仿宋" w:hAnsi="仿宋" w:eastAsia="仿宋" w:cs="仿宋"/>
          <w:b/>
          <w:sz w:val="24"/>
        </w:rPr>
        <w:t>第四部分  技术投标方案</w:t>
      </w:r>
      <w:bookmarkEnd w:id="389"/>
      <w:bookmarkEnd w:id="390"/>
      <w:bookmarkEnd w:id="391"/>
    </w:p>
    <w:p>
      <w:pPr>
        <w:pStyle w:val="21"/>
        <w:tabs>
          <w:tab w:val="center" w:pos="4140"/>
          <w:tab w:val="right" w:pos="8300"/>
          <w:tab w:val="clear" w:pos="4153"/>
          <w:tab w:val="clear" w:pos="8306"/>
        </w:tabs>
        <w:spacing w:line="440" w:lineRule="exact"/>
        <w:ind w:firstLine="480" w:firstLineChars="200"/>
        <w:jc w:val="both"/>
        <w:rPr>
          <w:rFonts w:ascii="仿宋" w:hAnsi="仿宋" w:eastAsia="仿宋" w:cs="仿宋"/>
          <w:sz w:val="24"/>
          <w:lang w:val="zh-CN"/>
        </w:rPr>
      </w:pPr>
      <w:bookmarkStart w:id="392" w:name="_Toc375218897"/>
      <w:r>
        <w:rPr>
          <w:rFonts w:hint="eastAsia" w:ascii="仿宋" w:hAnsi="仿宋" w:eastAsia="仿宋" w:cs="仿宋"/>
          <w:sz w:val="24"/>
          <w:lang w:val="zh-CN"/>
        </w:rPr>
        <w:t>供应商应根据采购文件的要求，参照项目的具体情况及评分标准</w:t>
      </w:r>
      <w:bookmarkStart w:id="393" w:name="_Toc375218899"/>
      <w:r>
        <w:rPr>
          <w:rFonts w:hint="eastAsia" w:ascii="仿宋" w:hAnsi="仿宋" w:eastAsia="仿宋" w:cs="仿宋"/>
          <w:sz w:val="24"/>
          <w:lang w:val="zh-CN"/>
        </w:rPr>
        <w:t>技术</w:t>
      </w:r>
      <w:r>
        <w:rPr>
          <w:rFonts w:hint="eastAsia" w:ascii="仿宋" w:hAnsi="仿宋" w:eastAsia="仿宋" w:cs="仿宋"/>
          <w:sz w:val="24"/>
        </w:rPr>
        <w:t>表</w:t>
      </w:r>
      <w:r>
        <w:rPr>
          <w:rFonts w:hint="eastAsia" w:ascii="仿宋" w:hAnsi="仿宋" w:eastAsia="仿宋" w:cs="仿宋"/>
          <w:sz w:val="24"/>
          <w:lang w:val="zh-CN"/>
        </w:rPr>
        <w:t>内容</w:t>
      </w:r>
      <w:r>
        <w:rPr>
          <w:rFonts w:hint="eastAsia" w:ascii="仿宋" w:hAnsi="仿宋" w:eastAsia="仿宋" w:cs="仿宋"/>
          <w:sz w:val="24"/>
        </w:rPr>
        <w:t>编制技术投标方案</w:t>
      </w:r>
      <w:r>
        <w:rPr>
          <w:rFonts w:hint="eastAsia" w:ascii="仿宋" w:hAnsi="仿宋" w:eastAsia="仿宋" w:cs="仿宋"/>
          <w:sz w:val="24"/>
          <w:lang w:val="zh-CN"/>
        </w:rPr>
        <w:t>。</w:t>
      </w:r>
      <w:bookmarkEnd w:id="392"/>
      <w:bookmarkEnd w:id="393"/>
    </w:p>
    <w:p>
      <w:pPr>
        <w:pStyle w:val="21"/>
        <w:tabs>
          <w:tab w:val="center" w:pos="4140"/>
          <w:tab w:val="right" w:pos="8300"/>
          <w:tab w:val="clear" w:pos="4153"/>
          <w:tab w:val="clear" w:pos="8306"/>
        </w:tabs>
        <w:spacing w:line="440" w:lineRule="exact"/>
        <w:ind w:firstLine="480" w:firstLineChars="200"/>
        <w:jc w:val="both"/>
        <w:rPr>
          <w:rFonts w:ascii="仿宋" w:hAnsi="仿宋" w:eastAsia="仿宋" w:cs="仿宋"/>
          <w:sz w:val="24"/>
        </w:rPr>
      </w:pPr>
      <w:r>
        <w:rPr>
          <w:rFonts w:hint="eastAsia" w:ascii="仿宋" w:hAnsi="仿宋" w:eastAsia="仿宋" w:cs="仿宋"/>
          <w:sz w:val="24"/>
        </w:rPr>
        <w:t>标项一、二：技术投标文件将从与采购文件的响应性，</w:t>
      </w:r>
      <w:r>
        <w:rPr>
          <w:rFonts w:hint="eastAsia" w:ascii="仿宋" w:hAnsi="仿宋" w:eastAsia="仿宋" w:cs="仿宋"/>
          <w:sz w:val="24"/>
          <w:lang w:val="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sz w:val="24"/>
        </w:rPr>
        <w:t>投入本项目的主要设备和仪器等方面评审。</w:t>
      </w:r>
    </w:p>
    <w:p>
      <w:pPr>
        <w:pStyle w:val="21"/>
        <w:tabs>
          <w:tab w:val="center" w:pos="4140"/>
          <w:tab w:val="right" w:pos="8300"/>
          <w:tab w:val="clear" w:pos="4153"/>
          <w:tab w:val="clear" w:pos="8306"/>
        </w:tabs>
        <w:spacing w:line="440" w:lineRule="exact"/>
        <w:ind w:firstLine="480" w:firstLineChars="200"/>
        <w:jc w:val="both"/>
        <w:rPr>
          <w:rFonts w:ascii="仿宋" w:hAnsi="仿宋" w:eastAsia="仿宋" w:cs="仿宋"/>
          <w:sz w:val="24"/>
        </w:rPr>
      </w:pPr>
      <w:r>
        <w:rPr>
          <w:rFonts w:hint="eastAsia" w:ascii="仿宋" w:hAnsi="仿宋" w:eastAsia="仿宋" w:cs="仿宋"/>
          <w:sz w:val="24"/>
        </w:rPr>
        <w:t>标项三：技术投标文件将从与采购文件的响应性，</w:t>
      </w:r>
      <w:r>
        <w:rPr>
          <w:rFonts w:hint="eastAsia" w:ascii="仿宋" w:hAnsi="仿宋" w:eastAsia="仿宋" w:cs="仿宋"/>
          <w:sz w:val="24"/>
          <w:lang w:val="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sz w:val="24"/>
        </w:rPr>
        <w:t>投入本项目的主要设备和仪器等方面评审。</w:t>
      </w:r>
    </w:p>
    <w:p>
      <w:pPr>
        <w:pStyle w:val="21"/>
        <w:tabs>
          <w:tab w:val="center" w:pos="4140"/>
          <w:tab w:val="right" w:pos="8300"/>
          <w:tab w:val="clear" w:pos="4153"/>
          <w:tab w:val="clear" w:pos="8306"/>
        </w:tabs>
        <w:spacing w:line="440" w:lineRule="exact"/>
        <w:ind w:firstLine="480" w:firstLineChars="200"/>
        <w:jc w:val="both"/>
        <w:rPr>
          <w:rFonts w:ascii="仿宋" w:hAnsi="仿宋" w:eastAsia="仿宋" w:cs="仿宋"/>
          <w:sz w:val="24"/>
        </w:rPr>
      </w:pPr>
      <w:r>
        <w:rPr>
          <w:rFonts w:hint="eastAsia" w:ascii="仿宋" w:hAnsi="仿宋" w:eastAsia="仿宋" w:cs="仿宋"/>
          <w:sz w:val="24"/>
        </w:rPr>
        <w:t>标项四：</w:t>
      </w:r>
      <w:r>
        <w:rPr>
          <w:rFonts w:hint="eastAsia" w:ascii="仿宋" w:hAnsi="仿宋" w:eastAsia="仿宋" w:cs="仿宋"/>
          <w:sz w:val="24"/>
          <w:lang w:val="zh-CN"/>
        </w:rPr>
        <w:t>技术标将从标书与</w:t>
      </w:r>
      <w:r>
        <w:rPr>
          <w:rFonts w:hint="eastAsia" w:ascii="仿宋" w:hAnsi="仿宋" w:eastAsia="仿宋" w:cs="仿宋"/>
          <w:sz w:val="24"/>
        </w:rPr>
        <w:t>采购</w:t>
      </w:r>
      <w:r>
        <w:rPr>
          <w:rFonts w:hint="eastAsia" w:ascii="仿宋" w:hAnsi="仿宋" w:eastAsia="仿宋" w:cs="仿宋"/>
          <w:sz w:val="24"/>
          <w:lang w:val="zh-CN"/>
        </w:rPr>
        <w:t>文件的响应性或完整性、监理工作范围、内容、目标及依据、监理机构和组织形式健全、监理工作程序的合理性，技术要求的可行性、技术要求及措施的合理性、预期成果应包括、监理工作总结、质量评估报告、人员配置等方面进行评价。</w:t>
      </w:r>
    </w:p>
    <w:p>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rPr>
        <w:t>编制目录</w:t>
      </w:r>
      <w:r>
        <w:rPr>
          <w:rFonts w:hint="eastAsia" w:ascii="仿宋" w:hAnsi="仿宋" w:eastAsia="仿宋" w:cs="仿宋"/>
          <w:sz w:val="24"/>
          <w:lang w:val="zh-CN"/>
        </w:rPr>
        <w:t>，并在目录中注明每项内容的页码。</w:t>
      </w:r>
    </w:p>
    <w:p/>
    <w:p>
      <w:pPr>
        <w:pStyle w:val="11"/>
        <w:ind w:firstLine="723" w:firstLineChars="300"/>
        <w:rPr>
          <w:rFonts w:ascii="仿宋" w:hAnsi="仿宋" w:eastAsia="仿宋" w:cs="仿宋"/>
          <w:b/>
          <w:bCs/>
        </w:rPr>
      </w:pPr>
    </w:p>
    <w:p>
      <w:r>
        <w:rPr>
          <w:rFonts w:hint="eastAsia"/>
        </w:rPr>
        <w:br w:type="page"/>
      </w:r>
    </w:p>
    <w:p>
      <w:pPr>
        <w:spacing w:line="240" w:lineRule="atLeast"/>
        <w:ind w:left="1080" w:leftChars="257" w:hanging="540"/>
        <w:jc w:val="center"/>
        <w:rPr>
          <w:rFonts w:ascii="仿宋" w:hAnsi="仿宋" w:eastAsia="仿宋" w:cs="仿宋"/>
          <w:sz w:val="24"/>
        </w:rPr>
      </w:pPr>
    </w:p>
    <w:p>
      <w:pPr>
        <w:spacing w:line="240" w:lineRule="atLeast"/>
        <w:ind w:left="1080" w:leftChars="257" w:hanging="540"/>
        <w:jc w:val="center"/>
        <w:rPr>
          <w:rFonts w:ascii="仿宋" w:hAnsi="仿宋" w:eastAsia="仿宋" w:cs="仿宋"/>
          <w:sz w:val="24"/>
        </w:rPr>
      </w:pPr>
    </w:p>
    <w:p>
      <w:pPr>
        <w:spacing w:line="240" w:lineRule="atLeast"/>
        <w:ind w:left="1080" w:leftChars="257" w:hanging="540"/>
        <w:jc w:val="center"/>
        <w:rPr>
          <w:rFonts w:ascii="仿宋" w:hAnsi="仿宋" w:eastAsia="仿宋" w:cs="仿宋"/>
          <w:sz w:val="24"/>
        </w:rPr>
      </w:pPr>
    </w:p>
    <w:p>
      <w:pPr>
        <w:spacing w:line="240" w:lineRule="atLeast"/>
        <w:ind w:left="1080" w:leftChars="257" w:hanging="540"/>
        <w:jc w:val="center"/>
        <w:rPr>
          <w:rFonts w:ascii="仿宋" w:hAnsi="仿宋" w:eastAsia="仿宋" w:cs="仿宋"/>
          <w:sz w:val="24"/>
        </w:rPr>
      </w:pPr>
    </w:p>
    <w:p>
      <w:pPr>
        <w:spacing w:line="240" w:lineRule="atLeast"/>
        <w:ind w:left="1080" w:leftChars="257" w:hanging="540"/>
        <w:jc w:val="center"/>
        <w:rPr>
          <w:rFonts w:ascii="仿宋" w:hAnsi="仿宋" w:eastAsia="仿宋" w:cs="仿宋"/>
          <w:sz w:val="24"/>
        </w:rPr>
      </w:pPr>
    </w:p>
    <w:p>
      <w:pPr>
        <w:widowControl/>
        <w:jc w:val="center"/>
        <w:outlineLvl w:val="0"/>
        <w:rPr>
          <w:rFonts w:hint="eastAsia" w:ascii="仿宋" w:hAnsi="仿宋" w:eastAsia="仿宋" w:cs="仿宋"/>
          <w:b/>
          <w:sz w:val="48"/>
          <w:szCs w:val="48"/>
        </w:rPr>
      </w:pPr>
      <w:bookmarkStart w:id="394" w:name="_Toc30150"/>
      <w:bookmarkStart w:id="395" w:name="_Toc6784"/>
      <w:bookmarkStart w:id="396" w:name="_Toc4702"/>
      <w:bookmarkStart w:id="397" w:name="_Toc16537"/>
      <w:r>
        <w:rPr>
          <w:rFonts w:hint="eastAsia" w:ascii="仿宋" w:hAnsi="仿宋" w:eastAsia="仿宋" w:cs="仿宋"/>
          <w:b/>
          <w:sz w:val="48"/>
          <w:szCs w:val="48"/>
        </w:rPr>
        <w:t>吐鲁番市2023年中央自然灾害防治</w:t>
      </w:r>
      <w:bookmarkEnd w:id="394"/>
      <w:bookmarkEnd w:id="395"/>
      <w:bookmarkEnd w:id="396"/>
      <w:bookmarkEnd w:id="397"/>
    </w:p>
    <w:p>
      <w:pPr>
        <w:widowControl/>
        <w:jc w:val="center"/>
        <w:rPr>
          <w:rFonts w:ascii="仿宋" w:hAnsi="仿宋" w:eastAsia="仿宋" w:cs="仿宋"/>
          <w:b/>
          <w:sz w:val="48"/>
          <w:szCs w:val="48"/>
        </w:rPr>
      </w:pPr>
      <w:r>
        <w:rPr>
          <w:rFonts w:hint="eastAsia" w:ascii="仿宋" w:hAnsi="仿宋" w:eastAsia="仿宋" w:cs="仿宋"/>
          <w:b/>
          <w:sz w:val="48"/>
          <w:szCs w:val="48"/>
        </w:rPr>
        <w:t>体系建设项目</w:t>
      </w:r>
    </w:p>
    <w:p>
      <w:pPr>
        <w:pStyle w:val="26"/>
        <w:rPr>
          <w:rFonts w:ascii="仿宋" w:hAnsi="仿宋" w:eastAsia="仿宋" w:cs="仿宋"/>
          <w:b/>
          <w:sz w:val="48"/>
          <w:szCs w:val="48"/>
        </w:rPr>
      </w:pPr>
    </w:p>
    <w:p>
      <w:pPr>
        <w:widowControl/>
        <w:jc w:val="left"/>
        <w:rPr>
          <w:rFonts w:ascii="仿宋" w:hAnsi="仿宋" w:eastAsia="仿宋" w:cs="仿宋"/>
        </w:rPr>
      </w:pPr>
    </w:p>
    <w:p>
      <w:pPr>
        <w:pStyle w:val="4"/>
        <w:ind w:firstLine="480"/>
      </w:pPr>
    </w:p>
    <w:p>
      <w:pPr>
        <w:spacing w:line="240" w:lineRule="atLeast"/>
        <w:jc w:val="center"/>
        <w:rPr>
          <w:rFonts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采购文件</w:t>
      </w:r>
    </w:p>
    <w:p>
      <w:pPr>
        <w:spacing w:line="240" w:lineRule="atLeast"/>
        <w:ind w:left="1080" w:leftChars="257" w:hanging="540"/>
        <w:jc w:val="center"/>
        <w:rPr>
          <w:rFonts w:ascii="仿宋" w:hAnsi="仿宋" w:eastAsia="仿宋" w:cs="仿宋"/>
          <w:bCs/>
          <w:sz w:val="52"/>
          <w:szCs w:val="52"/>
        </w:rPr>
      </w:pPr>
    </w:p>
    <w:p>
      <w:pPr>
        <w:spacing w:line="240" w:lineRule="atLeast"/>
        <w:ind w:left="1080" w:leftChars="257" w:hanging="540"/>
        <w:jc w:val="center"/>
        <w:rPr>
          <w:rFonts w:ascii="仿宋" w:hAnsi="仿宋" w:eastAsia="仿宋" w:cs="仿宋"/>
          <w:bCs/>
          <w:sz w:val="32"/>
          <w:szCs w:val="32"/>
        </w:rPr>
      </w:pPr>
      <w:r>
        <w:rPr>
          <w:rFonts w:hint="eastAsia" w:ascii="仿宋" w:hAnsi="仿宋" w:eastAsia="仿宋" w:cs="仿宋"/>
          <w:bCs/>
          <w:sz w:val="32"/>
          <w:szCs w:val="32"/>
        </w:rPr>
        <w:t>（项目编号：GYZB-TLFDZFZ2023）</w:t>
      </w:r>
    </w:p>
    <w:p>
      <w:pPr>
        <w:pStyle w:val="11"/>
        <w:ind w:firstLine="0"/>
      </w:pPr>
    </w:p>
    <w:p>
      <w:pPr>
        <w:spacing w:line="240" w:lineRule="atLeast"/>
        <w:ind w:left="1080" w:leftChars="257" w:hanging="540"/>
        <w:jc w:val="center"/>
        <w:rPr>
          <w:rFonts w:ascii="仿宋" w:hAnsi="仿宋" w:eastAsia="仿宋" w:cs="仿宋"/>
          <w:b/>
          <w:sz w:val="52"/>
        </w:rPr>
      </w:pPr>
    </w:p>
    <w:p>
      <w:pPr>
        <w:spacing w:line="240" w:lineRule="atLeast"/>
        <w:ind w:left="1079" w:leftChars="257" w:hanging="539"/>
        <w:jc w:val="center"/>
        <w:outlineLvl w:val="0"/>
        <w:rPr>
          <w:rFonts w:ascii="仿宋" w:hAnsi="仿宋" w:eastAsia="仿宋" w:cs="仿宋"/>
          <w:b/>
          <w:sz w:val="36"/>
          <w:szCs w:val="36"/>
        </w:rPr>
      </w:pPr>
      <w:bookmarkStart w:id="398" w:name="_Toc11395"/>
      <w:bookmarkStart w:id="399" w:name="_Toc7920"/>
      <w:bookmarkStart w:id="400" w:name="_Toc1214"/>
      <w:bookmarkStart w:id="401" w:name="_Toc7066"/>
      <w:r>
        <w:rPr>
          <w:rFonts w:hint="eastAsia" w:ascii="仿宋" w:hAnsi="仿宋" w:eastAsia="仿宋" w:cs="仿宋"/>
          <w:b/>
          <w:sz w:val="36"/>
          <w:szCs w:val="36"/>
        </w:rPr>
        <w:t>第二册</w:t>
      </w:r>
      <w:bookmarkEnd w:id="398"/>
      <w:bookmarkEnd w:id="399"/>
      <w:bookmarkEnd w:id="400"/>
      <w:bookmarkEnd w:id="401"/>
    </w:p>
    <w:p>
      <w:pPr>
        <w:pStyle w:val="3"/>
        <w:ind w:firstLine="1044"/>
        <w:rPr>
          <w:rFonts w:ascii="仿宋" w:hAnsi="仿宋" w:eastAsia="仿宋" w:cs="仿宋"/>
          <w:b/>
          <w:sz w:val="52"/>
        </w:rPr>
      </w:pPr>
    </w:p>
    <w:p>
      <w:pPr>
        <w:pStyle w:val="4"/>
        <w:ind w:firstLine="480"/>
      </w:pPr>
    </w:p>
    <w:p>
      <w:pPr>
        <w:spacing w:line="360" w:lineRule="auto"/>
        <w:ind w:firstLine="837" w:firstLineChars="299"/>
        <w:jc w:val="left"/>
        <w:rPr>
          <w:rFonts w:ascii="仿宋" w:hAnsi="仿宋" w:eastAsia="仿宋" w:cs="仿宋"/>
          <w:sz w:val="28"/>
          <w:szCs w:val="28"/>
          <w:u w:val="single"/>
        </w:rPr>
      </w:pPr>
      <w:r>
        <w:rPr>
          <w:rFonts w:hint="eastAsia" w:ascii="仿宋" w:hAnsi="仿宋" w:eastAsia="仿宋" w:cs="仿宋"/>
          <w:sz w:val="28"/>
          <w:szCs w:val="28"/>
        </w:rPr>
        <w:t>采 购 人：</w:t>
      </w:r>
      <w:r>
        <w:rPr>
          <w:rFonts w:hint="eastAsia" w:ascii="仿宋" w:hAnsi="仿宋" w:eastAsia="仿宋" w:cs="仿宋"/>
          <w:sz w:val="28"/>
          <w:szCs w:val="28"/>
          <w:u w:val="single"/>
        </w:rPr>
        <w:t>吐鲁番市自然资源局</w:t>
      </w:r>
    </w:p>
    <w:p>
      <w:pPr>
        <w:spacing w:line="600" w:lineRule="exact"/>
        <w:ind w:firstLine="837" w:firstLineChars="299"/>
        <w:rPr>
          <w:rFonts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新疆国源土地矿产资源交易中心（有限公司）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2023年2月</w:t>
      </w:r>
    </w:p>
    <w:p>
      <w:pPr>
        <w:pStyle w:val="7"/>
        <w:tabs>
          <w:tab w:val="left" w:pos="0"/>
        </w:tabs>
        <w:spacing w:before="0" w:after="0" w:line="240" w:lineRule="atLeast"/>
        <w:rPr>
          <w:rFonts w:ascii="仿宋" w:hAnsi="仿宋" w:eastAsia="仿宋" w:cs="仿宋"/>
        </w:rPr>
      </w:pPr>
      <w:r>
        <w:rPr>
          <w:rFonts w:hint="eastAsia" w:ascii="仿宋" w:hAnsi="仿宋" w:eastAsia="仿宋" w:cs="仿宋"/>
          <w:sz w:val="28"/>
          <w:szCs w:val="28"/>
          <w:u w:val="single"/>
        </w:rPr>
        <w:br w:type="page"/>
      </w:r>
      <w:bookmarkStart w:id="402" w:name="_Toc216582825"/>
      <w:bookmarkStart w:id="403" w:name="_Toc219175638"/>
      <w:bookmarkStart w:id="404" w:name="_Toc518923126"/>
      <w:bookmarkStart w:id="405" w:name="_Toc218935354"/>
      <w:bookmarkStart w:id="406" w:name="_Toc7112"/>
      <w:bookmarkStart w:id="407" w:name="_Toc507399906"/>
      <w:bookmarkStart w:id="408" w:name="_Toc9608"/>
      <w:bookmarkStart w:id="409" w:name="_Toc12256"/>
      <w:bookmarkStart w:id="410" w:name="_Toc17326"/>
      <w:bookmarkStart w:id="411" w:name="_Toc218935351"/>
      <w:bookmarkStart w:id="412" w:name="_Toc216582811"/>
      <w:bookmarkStart w:id="413" w:name="_Toc219175635"/>
      <w:bookmarkStart w:id="414" w:name="_Toc216513787"/>
      <w:r>
        <w:rPr>
          <w:rFonts w:hint="eastAsia" w:ascii="仿宋" w:hAnsi="仿宋" w:eastAsia="仿宋" w:cs="仿宋"/>
        </w:rPr>
        <w:t xml:space="preserve">第5章   </w:t>
      </w:r>
      <w:bookmarkEnd w:id="402"/>
      <w:bookmarkEnd w:id="403"/>
      <w:bookmarkEnd w:id="404"/>
      <w:bookmarkEnd w:id="405"/>
      <w:bookmarkEnd w:id="406"/>
      <w:bookmarkEnd w:id="407"/>
      <w:r>
        <w:rPr>
          <w:rFonts w:hint="eastAsia" w:ascii="仿宋" w:hAnsi="仿宋" w:eastAsia="仿宋" w:cs="仿宋"/>
        </w:rPr>
        <w:t>采购需求</w:t>
      </w:r>
      <w:bookmarkEnd w:id="408"/>
      <w:bookmarkEnd w:id="409"/>
      <w:bookmarkEnd w:id="410"/>
    </w:p>
    <w:p>
      <w:pPr>
        <w:spacing w:line="560" w:lineRule="exact"/>
        <w:ind w:left="363"/>
        <w:jc w:val="center"/>
        <w:outlineLvl w:val="1"/>
        <w:rPr>
          <w:rFonts w:ascii="仿宋" w:hAnsi="仿宋" w:eastAsia="仿宋" w:cs="仿宋"/>
          <w:b/>
          <w:bCs/>
          <w:kern w:val="0"/>
          <w:sz w:val="32"/>
          <w:szCs w:val="22"/>
        </w:rPr>
      </w:pPr>
      <w:bookmarkStart w:id="415" w:name="_Toc32496"/>
      <w:bookmarkStart w:id="416" w:name="_Toc26342"/>
      <w:bookmarkStart w:id="417" w:name="_Toc19421"/>
      <w:r>
        <w:rPr>
          <w:rFonts w:hint="eastAsia" w:ascii="仿宋" w:hAnsi="仿宋" w:eastAsia="仿宋" w:cs="仿宋"/>
          <w:b/>
          <w:bCs/>
          <w:kern w:val="0"/>
          <w:sz w:val="32"/>
          <w:szCs w:val="22"/>
        </w:rPr>
        <w:t>标项一：新疆托克逊县地质灾害风险调查评价</w:t>
      </w:r>
      <w:bookmarkEnd w:id="415"/>
      <w:bookmarkEnd w:id="416"/>
      <w:bookmarkEnd w:id="417"/>
    </w:p>
    <w:p>
      <w:pPr>
        <w:widowControl/>
        <w:spacing w:line="560" w:lineRule="exact"/>
        <w:ind w:firstLine="480" w:firstLineChars="200"/>
        <w:jc w:val="left"/>
        <w:outlineLvl w:val="1"/>
        <w:rPr>
          <w:rStyle w:val="72"/>
          <w:rFonts w:hint="default" w:ascii="仿宋" w:hAnsi="仿宋" w:eastAsia="仿宋" w:cs="仿宋"/>
          <w:color w:val="auto"/>
          <w:sz w:val="24"/>
          <w:szCs w:val="24"/>
        </w:rPr>
      </w:pPr>
      <w:bookmarkStart w:id="418" w:name="_Toc20116"/>
      <w:bookmarkStart w:id="419" w:name="_Toc29127"/>
      <w:bookmarkStart w:id="420" w:name="_Toc29160"/>
      <w:bookmarkStart w:id="421" w:name="_Toc28416"/>
      <w:r>
        <w:rPr>
          <w:rStyle w:val="72"/>
          <w:rFonts w:ascii="仿宋" w:hAnsi="仿宋" w:eastAsia="仿宋" w:cs="仿宋"/>
          <w:color w:val="auto"/>
          <w:sz w:val="24"/>
          <w:szCs w:val="24"/>
        </w:rPr>
        <w:t>一、项目名称、编号和经费</w:t>
      </w:r>
      <w:bookmarkEnd w:id="418"/>
      <w:bookmarkEnd w:id="419"/>
      <w:bookmarkEnd w:id="420"/>
      <w:bookmarkEnd w:id="421"/>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项目名称：新疆托克逊县地质灾害风险调查评价</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项目编号：</w:t>
      </w:r>
      <w:r>
        <w:rPr>
          <w:rFonts w:hint="eastAsia" w:ascii="仿宋" w:hAnsi="仿宋" w:eastAsia="仿宋"/>
          <w:sz w:val="24"/>
        </w:rPr>
        <w:t>GYZB-TLFDZFZ2023-01</w:t>
      </w:r>
      <w:r>
        <w:rPr>
          <w:rStyle w:val="72"/>
          <w:rFonts w:ascii="仿宋" w:hAnsi="仿宋" w:eastAsia="仿宋" w:cs="仿宋"/>
          <w:color w:val="FF0000"/>
          <w:sz w:val="24"/>
          <w:szCs w:val="24"/>
        </w:rPr>
        <w:t xml:space="preserve"> </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项目费用人民币：120万元（壹佰贰拾万元整）</w:t>
      </w:r>
    </w:p>
    <w:p>
      <w:pPr>
        <w:spacing w:line="560" w:lineRule="exact"/>
        <w:ind w:firstLine="480" w:firstLineChars="200"/>
        <w:outlineLvl w:val="1"/>
        <w:rPr>
          <w:rStyle w:val="72"/>
          <w:rFonts w:hint="default" w:ascii="仿宋" w:hAnsi="仿宋" w:eastAsia="仿宋" w:cs="仿宋"/>
          <w:color w:val="auto"/>
          <w:sz w:val="24"/>
          <w:szCs w:val="24"/>
        </w:rPr>
      </w:pPr>
      <w:bookmarkStart w:id="422" w:name="_Toc2689"/>
      <w:bookmarkStart w:id="423" w:name="_Toc32341"/>
      <w:bookmarkStart w:id="424" w:name="_Toc17558"/>
      <w:bookmarkStart w:id="425" w:name="_Toc23477"/>
      <w:r>
        <w:rPr>
          <w:rStyle w:val="72"/>
          <w:rFonts w:ascii="仿宋" w:hAnsi="仿宋" w:eastAsia="仿宋" w:cs="仿宋"/>
          <w:color w:val="auto"/>
          <w:sz w:val="24"/>
          <w:szCs w:val="24"/>
        </w:rPr>
        <w:t>二、工作范围和面积</w:t>
      </w:r>
      <w:bookmarkEnd w:id="422"/>
      <w:bookmarkEnd w:id="423"/>
      <w:bookmarkEnd w:id="424"/>
      <w:bookmarkEnd w:id="425"/>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本次工作区范围为托克逊县行政区范围，总面积约1.36万平方千米（以三调成果数据为准）。</w:t>
      </w:r>
    </w:p>
    <w:p>
      <w:pPr>
        <w:spacing w:line="560" w:lineRule="exact"/>
        <w:ind w:firstLine="480" w:firstLineChars="200"/>
        <w:outlineLvl w:val="1"/>
        <w:rPr>
          <w:rStyle w:val="72"/>
          <w:rFonts w:hint="default" w:ascii="仿宋" w:hAnsi="仿宋" w:eastAsia="仿宋" w:cs="仿宋"/>
          <w:color w:val="auto"/>
          <w:sz w:val="24"/>
          <w:szCs w:val="24"/>
        </w:rPr>
      </w:pPr>
      <w:bookmarkStart w:id="426" w:name="_Toc23262"/>
      <w:bookmarkStart w:id="427" w:name="_Toc22430"/>
      <w:bookmarkStart w:id="428" w:name="_Toc3702"/>
      <w:bookmarkStart w:id="429" w:name="_Toc14249"/>
      <w:r>
        <w:rPr>
          <w:rStyle w:val="72"/>
          <w:rFonts w:ascii="仿宋" w:hAnsi="仿宋" w:eastAsia="仿宋" w:cs="仿宋"/>
          <w:color w:val="auto"/>
          <w:sz w:val="24"/>
          <w:szCs w:val="24"/>
        </w:rPr>
        <w:t>三、自然经济地理</w:t>
      </w:r>
      <w:bookmarkEnd w:id="426"/>
      <w:bookmarkEnd w:id="427"/>
      <w:bookmarkEnd w:id="428"/>
      <w:bookmarkEnd w:id="429"/>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托克逊县位于东天山南麓，吐鲁番盆地西缘，县境处于东经87°23′-89°15′、北纬41°19′-43°19′之间。县境地域辽阔，大致呈南北走向的长条形，东西最宽146千米，南北最长204千米。</w:t>
      </w:r>
      <w:r>
        <w:rPr>
          <w:rFonts w:hint="eastAsia" w:ascii="仿宋" w:hAnsi="仿宋" w:eastAsia="仿宋" w:cs="仿宋"/>
          <w:sz w:val="24"/>
        </w:rPr>
        <w:t>托克逊县城北距乌鲁木齐市162千米，东距吐鲁番市51千米，南距库尔勒市320千米，西与和硕县、和静县相连。区内主要交通干线有：南疆铁路、G3012国道、G30国道、G312国道、S103省道及S301省道。县城与各乡、镇由Z471、Z475、以及Z476线道路相连形成道路网，交通便利。</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托克逊县下辖7镇（托克逊镇、克尔碱镇、库米什镇、阿乐惠镇、伊拉湖镇、博斯坦镇、夏镇）1乡（郭勒布依乡），15个社区居委会、46个村民委员会。1个自治区级能源重工业化工园。2020年末，县境内居住着维吾尔族、汉族回族等25个民族，托克逊县人口为124040人。其中维吾尔族96439人，占总人口的77.75％；汉族18600人，占总人口的15.00％；回族8539人，占总人口的6.88％；其他少数民族451人，占总人口的0.36％。</w:t>
      </w:r>
      <w:r>
        <w:rPr>
          <w:rFonts w:hint="eastAsia" w:ascii="仿宋" w:hAnsi="仿宋" w:eastAsia="仿宋" w:cs="仿宋"/>
          <w:sz w:val="24"/>
        </w:rPr>
        <w:t>托克逊县矿产资源丰富，素有“天然聚宝盆”之称，已发现矿产资源有煤炭、盐、蒙皂石、钨、铜、铅、锌等41多种，其中煤炭储量最为丰富，储量在43.06亿吨以上。托克逊县重要煤炭主要分布在克尔碱、黑山、库米什等矿区，目前累计探明储量348620万吨，现有煤炭采矿权11家，设计生产规模共计1217万吨/年。县境内交通便利，主要有连接南疆的重要交通路线国道G3012线，省道S301、S103线等县乡公路纵横交织，兰新铁路及南疆铁路也穿境而过。托克逊县境内重要旅游文物景点相对发达，目前已有旅游文物风景区有雅丹地貌、克尔碱岩画石刻水系图、盘吉尔怪石林及黑山牧场等。</w:t>
      </w:r>
    </w:p>
    <w:p>
      <w:pPr>
        <w:spacing w:line="560" w:lineRule="exact"/>
        <w:ind w:firstLine="480" w:firstLineChars="200"/>
        <w:outlineLvl w:val="1"/>
        <w:rPr>
          <w:rFonts w:ascii="仿宋" w:hAnsi="仿宋" w:eastAsia="仿宋" w:cs="仿宋"/>
          <w:sz w:val="24"/>
        </w:rPr>
      </w:pPr>
      <w:bookmarkStart w:id="430" w:name="_Toc3915"/>
      <w:bookmarkStart w:id="431" w:name="_Toc31553"/>
      <w:bookmarkStart w:id="432" w:name="_Toc26720"/>
      <w:bookmarkStart w:id="433" w:name="_Toc4160"/>
      <w:r>
        <w:rPr>
          <w:rStyle w:val="72"/>
          <w:rFonts w:ascii="仿宋" w:hAnsi="仿宋" w:eastAsia="仿宋" w:cs="仿宋"/>
          <w:color w:val="auto"/>
          <w:sz w:val="24"/>
          <w:szCs w:val="24"/>
        </w:rPr>
        <w:t>四、地质环境概况</w:t>
      </w:r>
      <w:bookmarkEnd w:id="430"/>
      <w:bookmarkEnd w:id="431"/>
      <w:bookmarkEnd w:id="432"/>
      <w:bookmarkEnd w:id="433"/>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（一）地形地貌与人类工程活动</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托克逊县位于天山山脉的山间盆地—吐鲁番盆地西部，县境北部及西北部为中高山区，有东西走向天山山脉的铁克里克乔喀山—恰克马克山及喀拉乌成山；中央地带为托克逊平原，为东部倾向艾丁湖的簸箕状地形，总体地势西北高、东南低；根据区内地貌成因及形态特征，托克逊县主要地貌划分为：</w:t>
      </w:r>
      <w:r>
        <w:rPr>
          <w:rFonts w:hint="eastAsia" w:ascii="仿宋" w:hAnsi="仿宋" w:eastAsia="仿宋" w:cs="仿宋"/>
          <w:sz w:val="24"/>
        </w:rPr>
        <w:t>冰川作用高山区</w:t>
      </w:r>
      <w:r>
        <w:rPr>
          <w:rStyle w:val="72"/>
          <w:rFonts w:ascii="仿宋" w:hAnsi="仿宋" w:eastAsia="仿宋" w:cs="仿宋"/>
          <w:color w:val="auto"/>
          <w:sz w:val="24"/>
          <w:szCs w:val="24"/>
        </w:rPr>
        <w:t>，</w:t>
      </w:r>
      <w:r>
        <w:rPr>
          <w:rFonts w:hint="eastAsia" w:ascii="仿宋" w:hAnsi="仿宋" w:eastAsia="仿宋" w:cs="仿宋"/>
          <w:sz w:val="24"/>
        </w:rPr>
        <w:t>侵蚀作用强烈中低山区</w:t>
      </w:r>
      <w:r>
        <w:rPr>
          <w:rStyle w:val="72"/>
          <w:rFonts w:ascii="仿宋" w:hAnsi="仿宋" w:eastAsia="仿宋" w:cs="仿宋"/>
          <w:color w:val="auto"/>
          <w:sz w:val="24"/>
          <w:szCs w:val="24"/>
        </w:rPr>
        <w:t>，</w:t>
      </w:r>
      <w:r>
        <w:rPr>
          <w:rFonts w:hint="eastAsia" w:ascii="仿宋" w:hAnsi="仿宋" w:eastAsia="仿宋" w:cs="仿宋"/>
          <w:sz w:val="24"/>
        </w:rPr>
        <w:t>剥蚀作用强烈低山丘陵区</w:t>
      </w:r>
      <w:r>
        <w:rPr>
          <w:rStyle w:val="72"/>
          <w:rFonts w:ascii="仿宋" w:hAnsi="仿宋" w:eastAsia="仿宋" w:cs="仿宋"/>
          <w:color w:val="auto"/>
          <w:sz w:val="24"/>
          <w:szCs w:val="24"/>
        </w:rPr>
        <w:t>，</w:t>
      </w:r>
      <w:r>
        <w:rPr>
          <w:rFonts w:hint="eastAsia" w:ascii="仿宋" w:hAnsi="仿宋" w:eastAsia="仿宋" w:cs="仿宋"/>
          <w:sz w:val="24"/>
        </w:rPr>
        <w:t>冲洪积平原</w:t>
      </w:r>
      <w:r>
        <w:rPr>
          <w:rStyle w:val="72"/>
          <w:rFonts w:ascii="仿宋" w:hAnsi="仿宋" w:eastAsia="仿宋" w:cs="仿宋"/>
          <w:color w:val="auto"/>
          <w:sz w:val="24"/>
          <w:szCs w:val="24"/>
        </w:rPr>
        <w:t>，</w:t>
      </w:r>
      <w:r>
        <w:rPr>
          <w:rFonts w:hint="eastAsia" w:ascii="仿宋" w:hAnsi="仿宋" w:eastAsia="仿宋" w:cs="仿宋"/>
          <w:sz w:val="24"/>
        </w:rPr>
        <w:t>山间洼地</w:t>
      </w:r>
      <w:r>
        <w:rPr>
          <w:rStyle w:val="72"/>
          <w:rFonts w:ascii="仿宋" w:hAnsi="仿宋" w:eastAsia="仿宋" w:cs="仿宋"/>
          <w:color w:val="auto"/>
          <w:sz w:val="24"/>
          <w:szCs w:val="24"/>
        </w:rPr>
        <w:t>，</w:t>
      </w:r>
      <w:r>
        <w:rPr>
          <w:rFonts w:hint="eastAsia" w:ascii="仿宋" w:hAnsi="仿宋" w:eastAsia="仿宋" w:cs="仿宋"/>
          <w:sz w:val="24"/>
        </w:rPr>
        <w:t>湖积平原区</w:t>
      </w:r>
      <w:r>
        <w:rPr>
          <w:rStyle w:val="72"/>
          <w:rFonts w:ascii="仿宋" w:hAnsi="仿宋" w:eastAsia="仿宋" w:cs="仿宋"/>
          <w:color w:val="auto"/>
          <w:sz w:val="24"/>
          <w:szCs w:val="24"/>
        </w:rPr>
        <w:t>六种类型。托克逊县幅员辽阔，人口相对密集，主要人类工程经济活动为农业及水利工程活动、牧业活动、森林采伐活动、矿业开采活动、交通设施工程活动、旅游工程活动等。强烈的人类工程活动，交通道路修建，矿产资源和旅游资源开发活动都对地质环境造成了不同程度的改变甚至破坏。</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（二）地质灾害类型与分布</w:t>
      </w:r>
    </w:p>
    <w:p>
      <w:pPr>
        <w:adjustRightInd w:val="0"/>
        <w:snapToGrid w:val="0"/>
        <w:spacing w:line="50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托克逊境内发育的地质灾害的类型以崩塌为主，其余为少量泥石流和地面塌陷，滑坡灾害不发育。</w:t>
      </w:r>
      <w:bookmarkStart w:id="434" w:name="_Hlk124373752"/>
      <w:r>
        <w:rPr>
          <w:rStyle w:val="72"/>
          <w:rFonts w:ascii="仿宋" w:hAnsi="仿宋" w:eastAsia="仿宋" w:cs="仿宋"/>
          <w:color w:val="auto"/>
          <w:sz w:val="24"/>
          <w:szCs w:val="24"/>
        </w:rPr>
        <w:t xml:space="preserve">托克逊县地质灾害行政区分布特征为主要发育于中山区和低山丘陵区人类工程活动密集的区段，表现在主要交通线路、重要矿山(区)等。北部山区的克尔碱镇、阿乐惠镇，中部山区的夏镇和博斯坦镇，南部山区的库米什镇五个乡(镇)，地势较高，人类活动集中、突发性降水强度较大，是地质灾害的主要分布区。 </w:t>
      </w:r>
      <w:r>
        <w:rPr>
          <w:rFonts w:hint="eastAsia" w:ascii="仿宋" w:hAnsi="仿宋" w:eastAsia="仿宋" w:cs="仿宋"/>
          <w:sz w:val="24"/>
        </w:rPr>
        <w:t>地质灾害分布的总体格局表现为：北部高山区是崩塌、泥石流灾害的低发育区，中山区则是崩塌、泥石流灾害高发育区，低山丘陵区为崩塌、泥石流、地面塌陷的中发育区。平原区地形平坦，地势开阔，不具备地质灾害形成的条件，地质灾害不发育。</w:t>
      </w:r>
    </w:p>
    <w:bookmarkEnd w:id="434"/>
    <w:p>
      <w:pPr>
        <w:spacing w:line="560" w:lineRule="exact"/>
        <w:ind w:firstLine="480" w:firstLineChars="200"/>
        <w:outlineLvl w:val="1"/>
        <w:rPr>
          <w:rStyle w:val="72"/>
          <w:rFonts w:hint="default" w:ascii="仿宋" w:hAnsi="仿宋" w:eastAsia="仿宋" w:cs="仿宋"/>
          <w:color w:val="auto"/>
          <w:sz w:val="24"/>
          <w:szCs w:val="24"/>
        </w:rPr>
      </w:pPr>
      <w:bookmarkStart w:id="435" w:name="_Toc30900"/>
      <w:bookmarkStart w:id="436" w:name="_Toc11173"/>
      <w:bookmarkStart w:id="437" w:name="_Toc16466"/>
      <w:bookmarkStart w:id="438" w:name="_Toc2328"/>
      <w:r>
        <w:rPr>
          <w:rStyle w:val="72"/>
          <w:rFonts w:ascii="仿宋" w:hAnsi="仿宋" w:eastAsia="仿宋" w:cs="仿宋"/>
          <w:color w:val="auto"/>
          <w:sz w:val="24"/>
          <w:szCs w:val="24"/>
        </w:rPr>
        <w:t>五、目标任务</w:t>
      </w:r>
      <w:bookmarkEnd w:id="435"/>
      <w:bookmarkEnd w:id="436"/>
      <w:bookmarkEnd w:id="437"/>
      <w:bookmarkEnd w:id="438"/>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（一）目标</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以孕灾主控地质条件和地质灾害隐患判识为主开展托克逊县地质灾害风险调查评价，深化地质灾害早期识别、形成机理和规律认识，总结成灾模式，开展不同层次地质灾害风险区划，提出综合防治对策建议，为地质灾害防治管理提供基础依据。</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（二）任务</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1.开展地质灾害与孕灾地质条件、承灾体调查，判识地质灾害隐患，总结调查区地质灾害发育分布规律，分析地质灾害成灾模式。</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2.开展地质灾害易发性、危险性和风险评价，编制地质灾害风险调查评价相关图件。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3.建立地质灾害风险调查空间数据库。</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4.提出地质灾害风险管控对策建议，为防灾减灾管理、国土空间规划和用途管制等提供基础依据</w:t>
      </w:r>
    </w:p>
    <w:p>
      <w:pPr>
        <w:spacing w:line="560" w:lineRule="exact"/>
        <w:ind w:firstLine="480" w:firstLineChars="200"/>
        <w:outlineLvl w:val="1"/>
        <w:rPr>
          <w:rStyle w:val="72"/>
          <w:rFonts w:hint="default" w:ascii="仿宋" w:hAnsi="仿宋" w:eastAsia="仿宋" w:cs="仿宋"/>
          <w:color w:val="auto"/>
          <w:sz w:val="24"/>
          <w:szCs w:val="24"/>
        </w:rPr>
      </w:pPr>
      <w:bookmarkStart w:id="439" w:name="_Toc27428"/>
      <w:bookmarkStart w:id="440" w:name="_Toc26084"/>
      <w:bookmarkStart w:id="441" w:name="_Toc24429"/>
      <w:bookmarkStart w:id="442" w:name="_Toc32489"/>
      <w:r>
        <w:rPr>
          <w:rStyle w:val="72"/>
          <w:rFonts w:ascii="仿宋" w:hAnsi="仿宋" w:eastAsia="仿宋" w:cs="仿宋"/>
          <w:color w:val="auto"/>
          <w:sz w:val="24"/>
          <w:szCs w:val="24"/>
        </w:rPr>
        <w:t>六、工作方法和技术要求</w:t>
      </w:r>
      <w:bookmarkEnd w:id="439"/>
      <w:bookmarkEnd w:id="440"/>
      <w:bookmarkEnd w:id="441"/>
      <w:bookmarkEnd w:id="442"/>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（一）工作方法</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分析研究以往工作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方法综合应用。对典型地质灾害及其隐患进行测绘与勘查，开展室内综合研究。</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（二）技术要求</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主要执行的技术规范、技术要求和依据主要有：</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1.《地质灾害风险调查评价技术要求（1:50000）》；</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2.《地质灾害风险调查评价编图技术要求（试行）》；</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3.《地质灾害风险调查评价成果信息化技术要求（试行）》；</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4.GB50021—2001（2009年版）岩土工程勘察规范；</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5.《中国地震动参数区划图》（GB18306-2015）；</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6.《遥感地质解译方法指南（1:50000、1:250000）》（DD2011-03）；</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7.《地质灾害遥感调查技术规定》（DD2015-01）；</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8.《倾斜数字航空摄影技术规程》（GB/T 39610-2020）；</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9.《地质调查项目预算标准（2021）》；</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10.《地质资料汇交规范》（DZ/T0273）。</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及其它相关技术规范要求，执行的技术和规范应以项目实施时现行最新技术标准和规范为准。</w:t>
      </w:r>
    </w:p>
    <w:p>
      <w:pPr>
        <w:spacing w:line="560" w:lineRule="exact"/>
        <w:ind w:firstLine="480" w:firstLineChars="200"/>
        <w:outlineLvl w:val="1"/>
        <w:rPr>
          <w:rStyle w:val="72"/>
          <w:rFonts w:hint="default" w:ascii="仿宋" w:hAnsi="仿宋" w:eastAsia="仿宋" w:cs="仿宋"/>
          <w:color w:val="auto"/>
          <w:sz w:val="24"/>
          <w:szCs w:val="24"/>
        </w:rPr>
      </w:pPr>
      <w:bookmarkStart w:id="443" w:name="_Toc27318"/>
      <w:bookmarkStart w:id="444" w:name="_Toc20052"/>
      <w:bookmarkStart w:id="445" w:name="_Toc18642"/>
      <w:bookmarkStart w:id="446" w:name="_Toc981"/>
      <w:r>
        <w:rPr>
          <w:rStyle w:val="72"/>
          <w:rFonts w:ascii="仿宋" w:hAnsi="仿宋" w:eastAsia="仿宋" w:cs="仿宋"/>
          <w:color w:val="auto"/>
          <w:sz w:val="24"/>
          <w:szCs w:val="24"/>
        </w:rPr>
        <w:t>七、主要实物工作量</w:t>
      </w:r>
      <w:bookmarkEnd w:id="443"/>
      <w:bookmarkEnd w:id="444"/>
      <w:bookmarkEnd w:id="445"/>
      <w:bookmarkEnd w:id="446"/>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开展地质灾害防治知识培训和重要地质灾害隐患点防治演练工作。最终实物工作量以设计批复工作量为准。</w:t>
      </w:r>
    </w:p>
    <w:p>
      <w:pPr>
        <w:spacing w:line="560" w:lineRule="exact"/>
        <w:ind w:firstLine="480" w:firstLineChars="200"/>
        <w:outlineLvl w:val="1"/>
        <w:rPr>
          <w:rStyle w:val="72"/>
          <w:rFonts w:hint="default" w:ascii="仿宋" w:hAnsi="仿宋" w:eastAsia="仿宋" w:cs="仿宋"/>
          <w:color w:val="auto"/>
          <w:sz w:val="24"/>
          <w:szCs w:val="24"/>
        </w:rPr>
      </w:pPr>
      <w:bookmarkStart w:id="447" w:name="_Toc32452"/>
      <w:bookmarkStart w:id="448" w:name="_Toc6619"/>
      <w:bookmarkStart w:id="449" w:name="_Toc20297"/>
      <w:bookmarkStart w:id="450" w:name="_Toc27557"/>
      <w:r>
        <w:rPr>
          <w:rStyle w:val="72"/>
          <w:rFonts w:ascii="仿宋" w:hAnsi="仿宋" w:eastAsia="仿宋" w:cs="仿宋"/>
          <w:color w:val="auto"/>
          <w:sz w:val="24"/>
          <w:szCs w:val="24"/>
        </w:rPr>
        <w:t>八、预期提交成果</w:t>
      </w:r>
      <w:bookmarkEnd w:id="447"/>
      <w:bookmarkEnd w:id="448"/>
      <w:bookmarkEnd w:id="449"/>
      <w:bookmarkEnd w:id="450"/>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（一）原始资料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1.野外调查手图、遥感解译及验证成果分布图、实际材料图、工程地质条件图；</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2.各类原始记录卡片</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3.野外照(摄)像等影像资料；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4.测试与试验资料；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5.重要、典型地质灾害的工程地质剖面图、探井展示图，物探剖面图，槽探剖面图、低空遥感影像图、稳定性计算参数及计算结果表等。</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（二）成果资料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1.报告</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 xml:space="preserve"> 新疆托克逊县地质灾害风险调查评价报告。</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2.附图</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主要包括基础性图件、应用性图件和其他图件。</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3.附件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附件主要包括：数据库建库报告；地质灾害风险调查数据库；照片集；专题报告；地质灾害勘查报告及图件。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具体详见《地质灾害风险调查评价技术要求（1:50000）》关于成果资料要求。</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成果资料整理归档严格按照《地质灾害风险调查评价技术要求（1:50000）》和《地质资料汇交规范》（DZ/T0273）地质资料汇交规范及相关管理办法和《新疆维吾尔自治区地质灾害防治项目管理办法（试行）》及《新疆维吾尔自治区地质灾害防治项目验收细则》规定执行。最终成果资料应按地质资料汇交要求向新疆地质资料馆汇交，并向自治区自然资源厅、吐鲁番市自然资源局和托克逊县自然资源局汇交纸介质和电子版各2套。</w:t>
      </w:r>
    </w:p>
    <w:p>
      <w:pPr>
        <w:spacing w:line="560" w:lineRule="exact"/>
        <w:ind w:firstLine="480" w:firstLineChars="200"/>
        <w:outlineLvl w:val="1"/>
        <w:rPr>
          <w:rFonts w:ascii="仿宋" w:hAnsi="仿宋" w:eastAsia="仿宋" w:cs="仿宋"/>
          <w:color w:val="auto"/>
          <w:sz w:val="24"/>
        </w:rPr>
      </w:pPr>
      <w:bookmarkStart w:id="451" w:name="_Toc10820"/>
      <w:bookmarkStart w:id="452" w:name="_Toc28560"/>
      <w:bookmarkStart w:id="453" w:name="_Toc25467"/>
      <w:bookmarkStart w:id="454" w:name="_Toc4971"/>
      <w:r>
        <w:rPr>
          <w:rStyle w:val="72"/>
          <w:rFonts w:ascii="仿宋" w:hAnsi="仿宋" w:eastAsia="仿宋" w:cs="仿宋"/>
          <w:color w:val="auto"/>
          <w:sz w:val="24"/>
          <w:szCs w:val="24"/>
        </w:rPr>
        <w:t>九、工作周期</w:t>
      </w:r>
      <w:bookmarkEnd w:id="451"/>
      <w:bookmarkEnd w:id="452"/>
      <w:bookmarkEnd w:id="453"/>
      <w:bookmarkEnd w:id="454"/>
    </w:p>
    <w:p>
      <w:pPr>
        <w:spacing w:line="44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2023年3月-2024年1月。其中：2023年9月30日前完成野外调查工作；2023年10月30日前提交报告及数据库送审稿,2024年1月完成资料汇交。</w:t>
      </w:r>
    </w:p>
    <w:p>
      <w:pPr>
        <w:spacing w:line="560" w:lineRule="exact"/>
        <w:jc w:val="center"/>
        <w:outlineLvl w:val="1"/>
        <w:rPr>
          <w:rFonts w:ascii="仿宋" w:hAnsi="仿宋" w:eastAsia="仿宋" w:cs="仿宋"/>
          <w:kern w:val="0"/>
          <w:sz w:val="24"/>
        </w:rPr>
      </w:pPr>
      <w:r>
        <w:rPr>
          <w:rStyle w:val="72"/>
          <w:rFonts w:ascii="仿宋" w:hAnsi="仿宋" w:eastAsia="仿宋" w:cs="仿宋"/>
          <w:color w:val="auto"/>
          <w:sz w:val="24"/>
          <w:szCs w:val="24"/>
        </w:rPr>
        <w:br w:type="page"/>
      </w:r>
      <w:bookmarkStart w:id="455" w:name="_Toc1825"/>
      <w:bookmarkStart w:id="456" w:name="_Toc28521"/>
      <w:bookmarkStart w:id="457" w:name="_Toc30124"/>
      <w:r>
        <w:rPr>
          <w:rFonts w:hint="eastAsia" w:ascii="仿宋" w:hAnsi="仿宋" w:eastAsia="仿宋"/>
          <w:b/>
          <w:bCs/>
          <w:sz w:val="28"/>
          <w:szCs w:val="28"/>
        </w:rPr>
        <w:t>标项二：新疆鄯善县地质灾害风险调查评价</w:t>
      </w:r>
      <w:bookmarkEnd w:id="455"/>
      <w:bookmarkEnd w:id="456"/>
      <w:bookmarkEnd w:id="457"/>
    </w:p>
    <w:p>
      <w:pPr>
        <w:spacing w:line="440" w:lineRule="exact"/>
        <w:jc w:val="center"/>
        <w:rPr>
          <w:rFonts w:ascii="仿宋" w:hAnsi="仿宋" w:eastAsia="仿宋"/>
          <w:b/>
          <w:bCs/>
          <w:sz w:val="32"/>
          <w:szCs w:val="32"/>
        </w:rPr>
      </w:pPr>
    </w:p>
    <w:p>
      <w:pPr>
        <w:widowControl/>
        <w:jc w:val="left"/>
        <w:outlineLvl w:val="1"/>
        <w:rPr>
          <w:rStyle w:val="72"/>
          <w:rFonts w:hint="default" w:ascii="仿宋" w:hAnsi="仿宋" w:eastAsia="仿宋" w:cs="仿宋"/>
          <w:color w:val="auto"/>
          <w:sz w:val="24"/>
          <w:szCs w:val="24"/>
        </w:rPr>
      </w:pPr>
      <w:bookmarkStart w:id="458" w:name="_Toc18819"/>
      <w:bookmarkStart w:id="459" w:name="_Toc8736"/>
      <w:bookmarkStart w:id="460" w:name="_Toc6849"/>
      <w:bookmarkStart w:id="461" w:name="_Toc7325"/>
      <w:r>
        <w:rPr>
          <w:rStyle w:val="72"/>
          <w:rFonts w:ascii="仿宋" w:hAnsi="仿宋" w:eastAsia="仿宋" w:cs="仿宋"/>
          <w:color w:val="auto"/>
          <w:sz w:val="24"/>
          <w:szCs w:val="24"/>
        </w:rPr>
        <w:t>一、项目名称、编号和经费</w:t>
      </w:r>
      <w:bookmarkEnd w:id="458"/>
      <w:bookmarkEnd w:id="459"/>
      <w:bookmarkEnd w:id="460"/>
      <w:bookmarkEnd w:id="461"/>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项目名称：新疆鄯善县地质灾害风险调查评价</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项目编号：</w:t>
      </w:r>
      <w:r>
        <w:rPr>
          <w:rFonts w:hint="eastAsia" w:ascii="仿宋" w:hAnsi="仿宋" w:eastAsia="仿宋"/>
          <w:sz w:val="24"/>
        </w:rPr>
        <w:t>GYZB-TLFDZFZ2023-02</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项目费用人民币：120万元（壹佰贰拾万元整）</w:t>
      </w:r>
    </w:p>
    <w:p>
      <w:pPr>
        <w:spacing w:line="560" w:lineRule="exact"/>
        <w:ind w:firstLine="480" w:firstLineChars="200"/>
        <w:outlineLvl w:val="1"/>
        <w:rPr>
          <w:rStyle w:val="72"/>
          <w:rFonts w:hint="default" w:ascii="仿宋" w:hAnsi="仿宋" w:eastAsia="仿宋" w:cs="仿宋"/>
          <w:color w:val="auto"/>
          <w:sz w:val="24"/>
          <w:szCs w:val="24"/>
        </w:rPr>
      </w:pPr>
      <w:bookmarkStart w:id="462" w:name="_Toc21070"/>
      <w:bookmarkStart w:id="463" w:name="_Toc16181"/>
      <w:bookmarkStart w:id="464" w:name="_Toc28987"/>
      <w:bookmarkStart w:id="465" w:name="_Toc28509"/>
      <w:r>
        <w:rPr>
          <w:rStyle w:val="72"/>
          <w:rFonts w:ascii="仿宋" w:hAnsi="仿宋" w:eastAsia="仿宋" w:cs="仿宋"/>
          <w:color w:val="auto"/>
          <w:sz w:val="24"/>
          <w:szCs w:val="24"/>
        </w:rPr>
        <w:t>二、工作范围和面积</w:t>
      </w:r>
      <w:bookmarkEnd w:id="462"/>
      <w:bookmarkEnd w:id="463"/>
      <w:bookmarkEnd w:id="464"/>
      <w:bookmarkEnd w:id="465"/>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本次工作区范围为鄯善县行政区范围，总面积约3.95万平方千米（以三调成果数据为准）。</w:t>
      </w:r>
    </w:p>
    <w:p>
      <w:pPr>
        <w:spacing w:line="560" w:lineRule="exact"/>
        <w:ind w:firstLine="480" w:firstLineChars="200"/>
        <w:outlineLvl w:val="1"/>
        <w:rPr>
          <w:rStyle w:val="72"/>
          <w:rFonts w:hint="default" w:ascii="仿宋" w:hAnsi="仿宋" w:eastAsia="仿宋" w:cs="仿宋"/>
          <w:color w:val="auto"/>
          <w:sz w:val="24"/>
          <w:szCs w:val="24"/>
        </w:rPr>
      </w:pPr>
      <w:bookmarkStart w:id="466" w:name="_Toc6326"/>
      <w:bookmarkStart w:id="467" w:name="_Toc76"/>
      <w:bookmarkStart w:id="468" w:name="_Toc25422"/>
      <w:bookmarkStart w:id="469" w:name="_Toc20053"/>
      <w:r>
        <w:rPr>
          <w:rStyle w:val="72"/>
          <w:rFonts w:ascii="仿宋" w:hAnsi="仿宋" w:eastAsia="仿宋" w:cs="仿宋"/>
          <w:color w:val="auto"/>
          <w:sz w:val="24"/>
          <w:szCs w:val="24"/>
        </w:rPr>
        <w:t>三、自然经济地理</w:t>
      </w:r>
      <w:bookmarkEnd w:id="466"/>
      <w:bookmarkEnd w:id="467"/>
      <w:bookmarkEnd w:id="468"/>
      <w:bookmarkEnd w:id="469"/>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鄯善县位于天山东部南麓的吐鲁番盆地东部，北部以天山分水岭为界与木垒县、奇台县为邻，东经七克台镇连接哈密市七角井镇，西部吐峪沟乡苏贝希村与吐鲁番市胜金乡接壤，南部经南湖戈壁至觉罗塔格与巴音郭楞蒙古自治州若羌县为界。县境地理坐标：东经89°30′-91°54′，北纬41°12′-43°33′。</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鄯善县县城西距吐鲁番市98千米，西北距乌鲁木齐市287千米，东距哈密市324千米，南距若羌县450千米，北距奇台县290千米、木垒县220千米。兰新铁路、兰新高铁、连霍高速、亚欧光缆、西气东输管线贯穿全境，有鄯善火车站、高铁鄯善北站、高铁吐哈站三座火车站，距离吐鲁番机场104千米，区位优越、交通便利。县境内各乡（镇、场）与县城间有公路与主干公路相通，各村与乡之间均有简易公路通行，但大部分山区、戈壁交通条件较差。</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2019年，鄯善县辖7个镇、2个乡、1个民族乡：鄯善镇、七克台镇、鄯善火车站镇、连木沁镇、鲁克沁镇、辟展镇、迪坎镇、东巴扎回族乡、吐峪沟乡、达朗坎乡。县人民政府驻鄯善镇。鄯善镇辖15个社区、1个村、1牧业队：木卡姆社区、鸿雁社区、庭子路社区、滨沙社区、育才路社区、沙园路社区、蒲昌路社区、双水磨社区、蝴蝶泉社区、新楼兰社区、石材园社区、铁提尔社区、百丽社区、苗园路社区、太阳岛社区，巴扎村，牧业队。2019年末，鄯善县户籍人口为221407人。</w:t>
      </w:r>
      <w:r>
        <w:rPr>
          <w:rFonts w:hint="eastAsia" w:ascii="仿宋" w:hAnsi="仿宋" w:eastAsia="仿宋" w:cs="仿宋"/>
          <w:sz w:val="24"/>
        </w:rPr>
        <w:t>2019年，鄯善县地区生产总值1636841万元，第一产业增加值188456万元，第二产业增加值939891万元，一般公共预算收入169922万元，一般公共预算支出314821万元。</w:t>
      </w:r>
    </w:p>
    <w:p>
      <w:pPr>
        <w:spacing w:line="560" w:lineRule="exact"/>
        <w:ind w:firstLine="480" w:firstLineChars="200"/>
        <w:outlineLvl w:val="1"/>
        <w:rPr>
          <w:rFonts w:ascii="仿宋" w:hAnsi="仿宋" w:eastAsia="仿宋" w:cs="仿宋"/>
          <w:sz w:val="24"/>
        </w:rPr>
      </w:pPr>
      <w:bookmarkStart w:id="470" w:name="_Toc17466"/>
      <w:bookmarkStart w:id="471" w:name="_Toc13476"/>
      <w:bookmarkStart w:id="472" w:name="_Toc16608"/>
      <w:bookmarkStart w:id="473" w:name="_Toc25078"/>
      <w:r>
        <w:rPr>
          <w:rStyle w:val="72"/>
          <w:rFonts w:ascii="仿宋" w:hAnsi="仿宋" w:eastAsia="仿宋" w:cs="仿宋"/>
          <w:color w:val="auto"/>
          <w:sz w:val="24"/>
          <w:szCs w:val="24"/>
        </w:rPr>
        <w:t>四、地质环境概况</w:t>
      </w:r>
      <w:bookmarkEnd w:id="470"/>
      <w:bookmarkEnd w:id="471"/>
      <w:bookmarkEnd w:id="472"/>
      <w:bookmarkEnd w:id="473"/>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（一）地形地貌与人类工程活动</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鄯善县地貌特征鲜明，三面环山，一面临近世界海平面最低点的艾丁湖，全境地势北东高南西低，形成坡度缓平的倾斜面。境内北部有东天山（中-高山），海拔为3500m以上，最高峰为4110.7m，山高坡陡，切割强烈，沟谷发育；南部有觉罗塔格山（低山）、大漠戈壁和丘陵带，相对平缓，觉罗塔克山海拔600-1500m；中部有火焰山（低山），海拔230-500m；最低处位于吐鲁番市艾丁湖东部，低于海平面153m。县境包括山区、平原区、沙漠区。鄯善县地貌类型按其成因可划分为侵蚀高山、侵蚀-剥蚀中低山、低山丘陵、山前冲洪积倾斜平原和沙漠区五种地貌单元。</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鄯善县幅员辽阔，人口相对密集，主要人类工程经济活动为农业及水利工程活动、矿业开采活动、交通设施工程活动、旅游工程活动等。强烈的人类工程活动，交通道路修建，矿产资源和旅游资源开发活动都对地质环境造成了不同程度的改变甚至破坏。</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（二）地质灾害类型与分布</w:t>
      </w:r>
    </w:p>
    <w:p>
      <w:pPr>
        <w:adjustRightInd w:val="0"/>
        <w:snapToGrid w:val="0"/>
        <w:spacing w:line="50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鄯善县发育的地质灾害主要为崩塌，泥石流、地面塌陷灾害，地面沉降、地裂缝灾害不发育。按照行政区划进行划分，鄯善县管辖县辖10个乡镇，其中：地质灾害及隐患点数量最多的是辟展镇；其次为七克台镇；再次为吐峪沟乡。</w:t>
      </w:r>
    </w:p>
    <w:p>
      <w:pPr>
        <w:adjustRightInd w:val="0"/>
        <w:snapToGrid w:val="0"/>
        <w:spacing w:line="500" w:lineRule="exact"/>
        <w:rPr>
          <w:rStyle w:val="72"/>
          <w:rFonts w:hint="default" w:ascii="仿宋" w:hAnsi="仿宋" w:eastAsia="仿宋" w:cs="仿宋"/>
          <w:color w:val="auto"/>
          <w:sz w:val="24"/>
          <w:szCs w:val="24"/>
        </w:rPr>
      </w:pPr>
      <w:r>
        <w:rPr>
          <w:rStyle w:val="72"/>
          <w:rFonts w:ascii="仿宋" w:hAnsi="仿宋" w:eastAsia="仿宋" w:cs="仿宋"/>
          <w:color w:val="auto"/>
          <w:sz w:val="24"/>
          <w:szCs w:val="24"/>
        </w:rPr>
        <w:t>按照空间分布划分，鄯善县内的地质灾害主要发育在中山及低山丘陵地带和平原区，中高山区地质灾害不发育。其中：崩塌主要分布在中低山沟谷、中西部山前冲积平原区、木鄯公路、066及065县道；泥石流分布在中西部和北部平原区；地面塌陷分布在低山丘陵区的矿山开采区。</w:t>
      </w:r>
    </w:p>
    <w:p>
      <w:pPr>
        <w:spacing w:line="560" w:lineRule="exact"/>
        <w:ind w:firstLine="480" w:firstLineChars="200"/>
        <w:outlineLvl w:val="1"/>
        <w:rPr>
          <w:rStyle w:val="72"/>
          <w:rFonts w:hint="default" w:ascii="仿宋" w:hAnsi="仿宋" w:eastAsia="仿宋" w:cs="仿宋"/>
          <w:color w:val="auto"/>
          <w:sz w:val="24"/>
          <w:szCs w:val="24"/>
        </w:rPr>
      </w:pPr>
      <w:bookmarkStart w:id="474" w:name="_Toc22100"/>
      <w:bookmarkStart w:id="475" w:name="_Toc18224"/>
      <w:bookmarkStart w:id="476" w:name="_Toc26666"/>
      <w:bookmarkStart w:id="477" w:name="_Toc13033"/>
      <w:r>
        <w:rPr>
          <w:rStyle w:val="72"/>
          <w:rFonts w:ascii="仿宋" w:hAnsi="仿宋" w:eastAsia="仿宋" w:cs="仿宋"/>
          <w:color w:val="auto"/>
          <w:sz w:val="24"/>
          <w:szCs w:val="24"/>
        </w:rPr>
        <w:t>五、目标任务</w:t>
      </w:r>
      <w:bookmarkEnd w:id="474"/>
      <w:bookmarkEnd w:id="475"/>
      <w:bookmarkEnd w:id="476"/>
      <w:bookmarkEnd w:id="477"/>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（一）目标</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以孕灾主控地质条件和地质灾害隐患判识为主开展鄯善县地质灾害风险调查评价，深化地质灾害早期识别、形成机理和规律认识，总结成灾模式，开展不同层次地质灾害风险区划，提出综合防治对策建议，为地质灾害防治管理提供基础依据。</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（二）任务</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1.开展地质灾害与孕灾地质条件、承灾体调查，判识地质灾害隐患，总结调查区地质灾害发育分布规律，分析地质灾害成灾模式。</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2.开展地质灾害易发性、危险性和风险评价，编制地质灾害风险调查评价相关图件。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3.建立地质灾害风险调查空间数据库。</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4.提出地质灾害风险管控对策建议，为防灾减灾管理、国土空间规划和用途管制等提供基础依据</w:t>
      </w:r>
    </w:p>
    <w:p>
      <w:pPr>
        <w:spacing w:line="560" w:lineRule="exact"/>
        <w:ind w:firstLine="480" w:firstLineChars="200"/>
        <w:outlineLvl w:val="1"/>
        <w:rPr>
          <w:rStyle w:val="72"/>
          <w:rFonts w:hint="default" w:ascii="仿宋" w:hAnsi="仿宋" w:eastAsia="仿宋" w:cs="仿宋"/>
          <w:color w:val="auto"/>
          <w:sz w:val="24"/>
          <w:szCs w:val="24"/>
        </w:rPr>
      </w:pPr>
      <w:bookmarkStart w:id="478" w:name="_Toc32337"/>
      <w:bookmarkStart w:id="479" w:name="_Toc2060"/>
      <w:bookmarkStart w:id="480" w:name="_Toc27637"/>
      <w:bookmarkStart w:id="481" w:name="_Toc1083"/>
      <w:r>
        <w:rPr>
          <w:rStyle w:val="72"/>
          <w:rFonts w:ascii="仿宋" w:hAnsi="仿宋" w:eastAsia="仿宋" w:cs="仿宋"/>
          <w:color w:val="auto"/>
          <w:sz w:val="24"/>
          <w:szCs w:val="24"/>
        </w:rPr>
        <w:t>六、工作方法和技术要求</w:t>
      </w:r>
      <w:bookmarkEnd w:id="478"/>
      <w:bookmarkEnd w:id="479"/>
      <w:bookmarkEnd w:id="480"/>
      <w:bookmarkEnd w:id="481"/>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（一）工作方法</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分析研究以往工作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方法综合应用。对典型地质灾害及其隐患进行测绘与勘查，开展室内综合研究。</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（二）技术要求</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主要执行的技术规范、技术要求和依据主要有：</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1.《地质灾害风险调查评价技术要求（1:50000）》；</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2.《地质灾害风险调查评价编图技术要求（试行）》；</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3.《地质灾害风险调查评价成果信息化技术要求（试行）》；</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4.GB50021—2001（2009年版）岩土工程勘察规范；</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5.《中国地震动参数区划图》（GB18306-2015）；</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6.《遥感地质解译方法指南（1:50000、1:250000）》（DD2011-03）；</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7.《地质灾害遥感调查技术规定》（DD2015-01）；</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8.《倾斜数字航空摄影技术规程》（GB/T 39610-2020）；</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9.《地质调查项目预算标准（2021）》；</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10.《地质资料汇交规范》（DZ/T0273）。</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及其它相关技术规范要求，执行的技术和规范应以项目实施时现行最新技术标准和规范为准。</w:t>
      </w:r>
    </w:p>
    <w:p>
      <w:pPr>
        <w:spacing w:line="560" w:lineRule="exact"/>
        <w:ind w:firstLine="480" w:firstLineChars="200"/>
        <w:outlineLvl w:val="1"/>
        <w:rPr>
          <w:rStyle w:val="72"/>
          <w:rFonts w:hint="default" w:ascii="仿宋" w:hAnsi="仿宋" w:eastAsia="仿宋" w:cs="仿宋"/>
          <w:color w:val="auto"/>
          <w:sz w:val="24"/>
          <w:szCs w:val="24"/>
        </w:rPr>
      </w:pPr>
      <w:bookmarkStart w:id="482" w:name="_Toc32325"/>
      <w:bookmarkStart w:id="483" w:name="_Toc30140"/>
      <w:bookmarkStart w:id="484" w:name="_Toc1678"/>
      <w:bookmarkStart w:id="485" w:name="_Toc19629"/>
      <w:r>
        <w:rPr>
          <w:rStyle w:val="72"/>
          <w:rFonts w:ascii="仿宋" w:hAnsi="仿宋" w:eastAsia="仿宋" w:cs="仿宋"/>
          <w:color w:val="auto"/>
          <w:sz w:val="24"/>
          <w:szCs w:val="24"/>
        </w:rPr>
        <w:t>七、主要实物工作量</w:t>
      </w:r>
      <w:bookmarkEnd w:id="482"/>
      <w:bookmarkEnd w:id="483"/>
      <w:bookmarkEnd w:id="484"/>
      <w:bookmarkEnd w:id="485"/>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开展地质灾害防治知识培训和重要地质灾害隐患点防治演练工作。最终实物工作量以设计批复工作量为准。</w:t>
      </w:r>
    </w:p>
    <w:p>
      <w:pPr>
        <w:spacing w:line="560" w:lineRule="exact"/>
        <w:ind w:firstLine="480" w:firstLineChars="200"/>
        <w:outlineLvl w:val="1"/>
        <w:rPr>
          <w:rStyle w:val="72"/>
          <w:rFonts w:hint="default" w:ascii="仿宋" w:hAnsi="仿宋" w:eastAsia="仿宋" w:cs="仿宋"/>
          <w:color w:val="auto"/>
          <w:sz w:val="24"/>
          <w:szCs w:val="24"/>
        </w:rPr>
      </w:pPr>
      <w:bookmarkStart w:id="486" w:name="_Toc24912"/>
      <w:bookmarkStart w:id="487" w:name="_Toc3731"/>
      <w:bookmarkStart w:id="488" w:name="_Toc19465"/>
      <w:bookmarkStart w:id="489" w:name="_Toc25426"/>
      <w:r>
        <w:rPr>
          <w:rStyle w:val="72"/>
          <w:rFonts w:ascii="仿宋" w:hAnsi="仿宋" w:eastAsia="仿宋" w:cs="仿宋"/>
          <w:color w:val="auto"/>
          <w:sz w:val="24"/>
          <w:szCs w:val="24"/>
        </w:rPr>
        <w:t>八、预期提交成果</w:t>
      </w:r>
      <w:bookmarkEnd w:id="486"/>
      <w:bookmarkEnd w:id="487"/>
      <w:bookmarkEnd w:id="488"/>
      <w:bookmarkEnd w:id="489"/>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（一）原始资料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1.野外调查手图、遥感解译及验证成果分布图、实际材料图、工程地质条件图；</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2.各类原始记录卡片</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3.野外照(摄)像等影像资料；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4.测试与试验资料；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5.重要、典型地质灾害的工程地质剖面图、探井展示图，物探剖面图，槽探剖面图、低空遥感影像图、稳定性计算参数及计算结果表等。</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（二）成果资料</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1.报告</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 xml:space="preserve"> 新疆鄯善县地质灾害风险调查评价报告。</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2.附图</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主要包括基础性图件、应用性图件和其他图件。</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3.附件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附件主要包括：数据库建库报告；地质灾害风险调查数据库；照片集；专题报告；地质灾害勘查报告及图件。</w:t>
      </w:r>
    </w:p>
    <w:p>
      <w:pPr>
        <w:spacing w:line="56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具体详见《地质灾害风险调查评价技术要求（1:50000）》关于成果资料要求。</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成果资料整理归档严格按照《地质灾害风险调查评价技术要求（1:50000）》和《地质资料汇交规范》（DZ/T0273）地质资料汇交规范及相关管理办法和《新疆维吾尔自治区地质灾害防治项目管理办法（试行）》及《新疆维吾尔自治区地质灾害防治项目验收细则》规定执行。最终成果资料应按地质资料汇交要求向新疆地质资料馆汇交，并向自治区自然资源厅、吐鲁番市自然资源局和鄯善县自然资源局汇交纸介质和电子版各2套。</w:t>
      </w:r>
    </w:p>
    <w:p>
      <w:pPr>
        <w:spacing w:line="560" w:lineRule="exact"/>
        <w:ind w:firstLine="480" w:firstLineChars="200"/>
        <w:outlineLvl w:val="1"/>
        <w:rPr>
          <w:rFonts w:ascii="仿宋" w:hAnsi="仿宋" w:eastAsia="仿宋" w:cs="仿宋"/>
          <w:sz w:val="24"/>
        </w:rPr>
      </w:pPr>
      <w:bookmarkStart w:id="490" w:name="_Toc19528"/>
      <w:bookmarkStart w:id="491" w:name="_Toc7942"/>
      <w:bookmarkStart w:id="492" w:name="_Toc26160"/>
      <w:bookmarkStart w:id="493" w:name="_Toc8168"/>
      <w:r>
        <w:rPr>
          <w:rStyle w:val="72"/>
          <w:rFonts w:ascii="仿宋" w:hAnsi="仿宋" w:eastAsia="仿宋" w:cs="仿宋"/>
          <w:color w:val="auto"/>
          <w:sz w:val="24"/>
          <w:szCs w:val="24"/>
        </w:rPr>
        <w:t>九、工作周期</w:t>
      </w:r>
      <w:bookmarkEnd w:id="490"/>
      <w:bookmarkEnd w:id="491"/>
      <w:bookmarkEnd w:id="492"/>
      <w:bookmarkEnd w:id="493"/>
    </w:p>
    <w:p>
      <w:pPr>
        <w:autoSpaceDE w:val="0"/>
        <w:autoSpaceDN w:val="0"/>
        <w:adjustRightInd w:val="0"/>
        <w:snapToGrid w:val="0"/>
        <w:spacing w:line="560" w:lineRule="exact"/>
        <w:ind w:firstLine="480" w:firstLineChars="200"/>
        <w:rPr>
          <w:rFonts w:ascii="仿宋" w:hAnsi="仿宋" w:eastAsia="仿宋" w:cs="仿宋"/>
          <w:color w:val="auto"/>
          <w:sz w:val="24"/>
        </w:rPr>
      </w:pPr>
      <w:r>
        <w:rPr>
          <w:rStyle w:val="72"/>
          <w:rFonts w:ascii="仿宋" w:hAnsi="仿宋" w:eastAsia="仿宋" w:cs="仿宋"/>
          <w:color w:val="auto"/>
          <w:sz w:val="24"/>
          <w:szCs w:val="24"/>
        </w:rPr>
        <w:t>2023年3月-2024年1月。其中：2023年9月30日前完成野外调查工作；2023年10月30日前提交报告及数据库送审稿,2024年1月完成资料汇交。</w:t>
      </w:r>
    </w:p>
    <w:p>
      <w:pPr>
        <w:rPr>
          <w:rFonts w:ascii="仿宋" w:hAnsi="仿宋" w:eastAsia="仿宋" w:cs="仿宋"/>
          <w:color w:val="auto"/>
          <w:sz w:val="24"/>
        </w:rPr>
      </w:pPr>
      <w:r>
        <w:rPr>
          <w:rFonts w:hint="eastAsia" w:ascii="仿宋" w:hAnsi="仿宋" w:eastAsia="仿宋" w:cs="仿宋"/>
          <w:color w:val="auto"/>
          <w:sz w:val="24"/>
        </w:rPr>
        <w:br w:type="page"/>
      </w:r>
    </w:p>
    <w:p>
      <w:pPr>
        <w:spacing w:line="560" w:lineRule="exact"/>
        <w:ind w:firstLine="482" w:firstLineChars="200"/>
        <w:outlineLvl w:val="1"/>
        <w:rPr>
          <w:rFonts w:ascii="仿宋" w:hAnsi="仿宋" w:eastAsia="仿宋"/>
          <w:b/>
          <w:bCs/>
          <w:sz w:val="24"/>
        </w:rPr>
      </w:pPr>
      <w:bookmarkStart w:id="494" w:name="_Toc6840"/>
      <w:bookmarkStart w:id="495" w:name="_Toc15244"/>
      <w:bookmarkStart w:id="496" w:name="_Toc14154"/>
      <w:r>
        <w:rPr>
          <w:rFonts w:hint="eastAsia" w:ascii="仿宋" w:hAnsi="仿宋" w:eastAsia="仿宋"/>
          <w:b/>
          <w:bCs/>
          <w:sz w:val="24"/>
        </w:rPr>
        <w:t>标项三：新疆吐鲁番市高昌区七泉湖煤窑沟左岸居民点崩塌灾害防治工程</w:t>
      </w:r>
      <w:bookmarkEnd w:id="494"/>
      <w:bookmarkEnd w:id="495"/>
      <w:bookmarkEnd w:id="496"/>
    </w:p>
    <w:p>
      <w:pPr>
        <w:pStyle w:val="27"/>
        <w:spacing w:line="440" w:lineRule="exact"/>
      </w:pPr>
    </w:p>
    <w:p>
      <w:pPr>
        <w:spacing w:line="560" w:lineRule="exact"/>
        <w:ind w:firstLine="482" w:firstLineChars="200"/>
        <w:outlineLvl w:val="1"/>
        <w:rPr>
          <w:rFonts w:ascii="仿宋" w:hAnsi="仿宋" w:eastAsia="仿宋" w:cs="仿宋"/>
          <w:b/>
          <w:sz w:val="24"/>
        </w:rPr>
      </w:pPr>
      <w:bookmarkStart w:id="497" w:name="_Toc9903"/>
      <w:bookmarkStart w:id="498" w:name="_Toc31882"/>
      <w:bookmarkStart w:id="499" w:name="_Toc10859"/>
      <w:bookmarkStart w:id="500" w:name="_Toc23975"/>
      <w:r>
        <w:rPr>
          <w:rFonts w:hint="eastAsia" w:ascii="仿宋" w:hAnsi="仿宋" w:eastAsia="仿宋" w:cs="仿宋"/>
          <w:b/>
          <w:sz w:val="24"/>
        </w:rPr>
        <w:t>一、项目名称、编号及费用</w:t>
      </w:r>
      <w:bookmarkEnd w:id="497"/>
      <w:bookmarkEnd w:id="498"/>
      <w:bookmarkEnd w:id="499"/>
      <w:bookmarkEnd w:id="500"/>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项目名称：新疆吐鲁番市高昌区七泉湖煤窑沟左岸居民点崩塌灾害防治工</w:t>
      </w:r>
    </w:p>
    <w:p>
      <w:pPr>
        <w:spacing w:line="560" w:lineRule="exact"/>
        <w:ind w:firstLine="1680" w:firstLineChars="700"/>
        <w:rPr>
          <w:rFonts w:ascii="仿宋" w:hAnsi="仿宋" w:eastAsia="仿宋" w:cs="仿宋"/>
          <w:kern w:val="0"/>
          <w:sz w:val="24"/>
        </w:rPr>
      </w:pPr>
      <w:r>
        <w:rPr>
          <w:rFonts w:hint="eastAsia" w:ascii="仿宋" w:hAnsi="仿宋" w:eastAsia="仿宋" w:cs="仿宋"/>
          <w:kern w:val="0"/>
          <w:sz w:val="24"/>
        </w:rPr>
        <w:t>程</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项目编号：</w:t>
      </w:r>
      <w:r>
        <w:rPr>
          <w:rFonts w:hint="eastAsia" w:ascii="仿宋" w:hAnsi="仿宋" w:eastAsia="仿宋"/>
          <w:sz w:val="24"/>
        </w:rPr>
        <w:t>GYZB-TLFDZFZ2023-03</w:t>
      </w:r>
    </w:p>
    <w:p>
      <w:pPr>
        <w:spacing w:line="560" w:lineRule="exact"/>
        <w:ind w:firstLine="480" w:firstLineChars="200"/>
        <w:rPr>
          <w:rFonts w:ascii="仿宋" w:hAnsi="仿宋" w:eastAsia="仿宋" w:cs="仿宋"/>
          <w:sz w:val="24"/>
        </w:rPr>
      </w:pPr>
      <w:r>
        <w:rPr>
          <w:rStyle w:val="72"/>
          <w:rFonts w:ascii="仿宋" w:hAnsi="仿宋" w:eastAsia="仿宋" w:cs="仿宋"/>
          <w:color w:val="auto"/>
          <w:sz w:val="24"/>
          <w:szCs w:val="24"/>
        </w:rPr>
        <w:t>项目费用人民币：328.3万元（叁佰贰拾捌万叁仟元整）</w:t>
      </w:r>
    </w:p>
    <w:p>
      <w:pPr>
        <w:spacing w:line="560" w:lineRule="exact"/>
        <w:ind w:firstLine="482" w:firstLineChars="200"/>
        <w:outlineLvl w:val="1"/>
        <w:rPr>
          <w:rFonts w:ascii="仿宋" w:hAnsi="仿宋" w:eastAsia="仿宋" w:cs="仿宋"/>
          <w:b/>
          <w:sz w:val="24"/>
        </w:rPr>
      </w:pPr>
      <w:bookmarkStart w:id="501" w:name="_Toc9549"/>
      <w:bookmarkStart w:id="502" w:name="_Toc13075"/>
      <w:bookmarkStart w:id="503" w:name="_Toc21817"/>
      <w:bookmarkStart w:id="504" w:name="_Toc26932"/>
      <w:r>
        <w:rPr>
          <w:rFonts w:hint="eastAsia" w:ascii="仿宋" w:hAnsi="仿宋" w:eastAsia="仿宋" w:cs="仿宋"/>
          <w:b/>
          <w:sz w:val="24"/>
        </w:rPr>
        <w:t>二、工作范围</w:t>
      </w:r>
      <w:bookmarkEnd w:id="501"/>
      <w:bookmarkEnd w:id="502"/>
      <w:bookmarkEnd w:id="503"/>
      <w:bookmarkEnd w:id="504"/>
    </w:p>
    <w:p>
      <w:pPr>
        <w:autoSpaceDE w:val="0"/>
        <w:autoSpaceDN w:val="0"/>
        <w:adjustRightInd w:val="0"/>
        <w:snapToGrid w:val="0"/>
        <w:spacing w:line="560" w:lineRule="exact"/>
        <w:ind w:firstLine="480" w:firstLineChars="200"/>
        <w:rPr>
          <w:rFonts w:ascii="仿宋" w:hAnsi="仿宋" w:eastAsia="仿宋" w:cs="仿宋"/>
          <w:color w:val="0D0D0D"/>
          <w:sz w:val="24"/>
        </w:rPr>
      </w:pPr>
      <w:r>
        <w:rPr>
          <w:rFonts w:hint="eastAsia" w:ascii="仿宋" w:hAnsi="仿宋" w:eastAsia="仿宋" w:cs="仿宋"/>
          <w:sz w:val="24"/>
        </w:rPr>
        <w:t>防治区位于吐鲁番市高昌区七泉湖镇煤窑沟村，行政区划属七泉湖镇。中心地理坐标为东经89°23′30.8″，北纬43°09′43.7″。</w:t>
      </w:r>
    </w:p>
    <w:p>
      <w:pPr>
        <w:spacing w:line="560" w:lineRule="exact"/>
        <w:ind w:firstLine="482" w:firstLineChars="200"/>
        <w:rPr>
          <w:rFonts w:ascii="仿宋" w:hAnsi="仿宋" w:eastAsia="仿宋" w:cs="仿宋"/>
          <w:b/>
          <w:sz w:val="24"/>
          <w:u w:val="single"/>
        </w:rPr>
      </w:pPr>
      <w:r>
        <w:rPr>
          <w:rFonts w:hint="eastAsia" w:ascii="仿宋" w:hAnsi="仿宋" w:eastAsia="仿宋" w:cs="仿宋"/>
          <w:b/>
          <w:sz w:val="24"/>
          <w:u w:val="single"/>
        </w:rPr>
        <w:t>最终防治工程区范围以投标单位现场踏勘并与当地自然资源部门充分沟通确定的为准。</w:t>
      </w:r>
    </w:p>
    <w:p>
      <w:pPr>
        <w:spacing w:line="560" w:lineRule="exact"/>
        <w:ind w:firstLine="482" w:firstLineChars="200"/>
        <w:outlineLvl w:val="1"/>
        <w:rPr>
          <w:rFonts w:ascii="仿宋" w:hAnsi="仿宋" w:eastAsia="仿宋" w:cs="仿宋"/>
          <w:b/>
          <w:sz w:val="24"/>
        </w:rPr>
      </w:pPr>
      <w:bookmarkStart w:id="505" w:name="_Toc13496"/>
      <w:bookmarkStart w:id="506" w:name="_Toc6909"/>
      <w:bookmarkStart w:id="507" w:name="_Toc9792"/>
      <w:bookmarkStart w:id="508" w:name="_Toc15884"/>
      <w:r>
        <w:rPr>
          <w:rFonts w:hint="eastAsia" w:ascii="仿宋" w:hAnsi="仿宋" w:eastAsia="仿宋" w:cs="仿宋"/>
          <w:b/>
          <w:sz w:val="24"/>
        </w:rPr>
        <w:t>三、自然经济地理</w:t>
      </w:r>
      <w:bookmarkEnd w:id="505"/>
      <w:bookmarkEnd w:id="506"/>
      <w:bookmarkEnd w:id="507"/>
      <w:bookmarkEnd w:id="508"/>
    </w:p>
    <w:p>
      <w:pPr>
        <w:spacing w:line="560" w:lineRule="exact"/>
        <w:ind w:firstLine="482" w:firstLineChars="200"/>
        <w:rPr>
          <w:rFonts w:ascii="仿宋" w:hAnsi="仿宋" w:eastAsia="仿宋" w:cs="仿宋"/>
          <w:b/>
          <w:sz w:val="24"/>
        </w:rPr>
      </w:pPr>
      <w:r>
        <w:rPr>
          <w:rFonts w:hint="eastAsia" w:ascii="仿宋" w:hAnsi="仿宋" w:eastAsia="仿宋" w:cs="仿宋"/>
          <w:b/>
          <w:sz w:val="24"/>
        </w:rPr>
        <w:t>（一）交通位置</w:t>
      </w:r>
    </w:p>
    <w:p>
      <w:pPr>
        <w:autoSpaceDE w:val="0"/>
        <w:autoSpaceDN w:val="0"/>
        <w:adjustRightInd w:val="0"/>
        <w:snapToGrid w:val="0"/>
        <w:spacing w:line="560" w:lineRule="exact"/>
        <w:ind w:firstLine="480" w:firstLineChars="200"/>
        <w:rPr>
          <w:rFonts w:ascii="仿宋" w:hAnsi="仿宋" w:eastAsia="仿宋" w:cs="仿宋"/>
          <w:color w:val="000000"/>
          <w:sz w:val="24"/>
        </w:rPr>
      </w:pPr>
      <w:r>
        <w:rPr>
          <w:rFonts w:hint="eastAsia" w:ascii="仿宋" w:hAnsi="仿宋" w:eastAsia="仿宋" w:cs="仿宋"/>
          <w:sz w:val="24"/>
        </w:rPr>
        <w:t>防治区位于吐鲁番市高昌区七泉湖镇煤窑沟村，中心地理坐标为东经89°23′30.8″，北纬43°09′43.7″，项目区位于城镇之内，四周乡镇道路环绕，距离吐鲁番市高昌区50公里，紧邻202省道，交通条件较好</w:t>
      </w:r>
      <w:r>
        <w:rPr>
          <w:rFonts w:hint="eastAsia" w:ascii="仿宋" w:hAnsi="仿宋" w:eastAsia="仿宋" w:cs="仿宋"/>
          <w:color w:val="000000"/>
          <w:sz w:val="24"/>
        </w:rPr>
        <w:tab/>
      </w:r>
    </w:p>
    <w:p>
      <w:pPr>
        <w:adjustRightInd w:val="0"/>
        <w:spacing w:line="560" w:lineRule="exact"/>
        <w:ind w:firstLine="482" w:firstLineChars="200"/>
        <w:rPr>
          <w:rFonts w:ascii="仿宋" w:hAnsi="仿宋" w:eastAsia="仿宋" w:cs="仿宋"/>
          <w:b/>
          <w:sz w:val="24"/>
        </w:rPr>
      </w:pPr>
      <w:r>
        <w:rPr>
          <w:rFonts w:hint="eastAsia" w:ascii="仿宋" w:hAnsi="仿宋" w:eastAsia="仿宋" w:cs="仿宋"/>
          <w:b/>
          <w:sz w:val="24"/>
        </w:rPr>
        <w:t>（二）社会经济概况</w:t>
      </w:r>
    </w:p>
    <w:p>
      <w:pPr>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根据高昌区人民政府网公开的相关资料，2018年高昌区生产总值完成(GDP)93.13亿元，同比增长4.90%。其中：第一产业实现增加值22.01亿元，同比增长5.60%；第二产业实现增加值21.01亿元，同比下降1.70%；第三产业实现增加值50.11亿元，同比增长8.0%。第一、第二、第三次产业实现增加值比重由上年的24.1:24.1:51.8调整为23.6：22.6：53.8。按户籍人口计算，人均生产总值32079元，比上年增长7.2%。</w:t>
      </w:r>
    </w:p>
    <w:p>
      <w:pPr>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全区农林牧渔业总产值35.11亿元，同比增长5.70%。其中，种植业产值29.50亿元，同比增长5.87%；畜牧业产值4.07亿元，同比增长3.77%；林业产值0.39亿元，同比增长4.67%；渔业产值0.059亿元，同比增长4.97%；农林牧渔服务业产值1.09亿元，同比增长8.41%。</w:t>
      </w:r>
    </w:p>
    <w:p>
      <w:pPr>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全年农作物总播种面积20.51万亩，比上年减少4.12万亩，同比下降16.73%，复播面积8.06万亩。其中粮食作物播种面积1.38万亩；棉花播种面积1.02万亩，同比下降71.34%；蔬菜播种面积5.1万亩，同比持平；果园面积31.10万亩，其中，葡萄面积27.89万亩；瓜类面积10.11万亩，比上年减少1.42万亩，同比下降12.31%。</w:t>
      </w:r>
    </w:p>
    <w:p>
      <w:pPr>
        <w:spacing w:line="560" w:lineRule="exact"/>
        <w:ind w:firstLine="480" w:firstLineChars="200"/>
        <w:rPr>
          <w:rFonts w:ascii="仿宋" w:hAnsi="仿宋" w:eastAsia="仿宋" w:cs="仿宋"/>
          <w:color w:val="000000"/>
          <w:sz w:val="24"/>
        </w:rPr>
      </w:pPr>
      <w:r>
        <w:rPr>
          <w:rFonts w:hint="eastAsia" w:ascii="仿宋" w:hAnsi="仿宋" w:eastAsia="仿宋" w:cs="仿宋"/>
          <w:sz w:val="24"/>
        </w:rPr>
        <w:t>全年棉花产量918吨，比上年同期减少2282吨，同比下降71.13；蔬菜产量16.8万吨，比上年同期增长1.5万吨，同比增长9.8%；水果产量82.96万吨，其中：葡萄57.8万吨，比上年同期增长9.8万吨，同比增长20.41%；瓜类24.21万吨，比上年同期增长1.31万吨，同比增长5.72%。</w:t>
      </w:r>
    </w:p>
    <w:p>
      <w:pPr>
        <w:spacing w:line="560" w:lineRule="exact"/>
        <w:ind w:firstLine="482" w:firstLineChars="200"/>
        <w:outlineLvl w:val="1"/>
        <w:rPr>
          <w:rFonts w:ascii="仿宋" w:hAnsi="仿宋" w:eastAsia="仿宋" w:cs="仿宋"/>
          <w:b/>
          <w:sz w:val="24"/>
        </w:rPr>
      </w:pPr>
      <w:bookmarkStart w:id="509" w:name="_Toc22472"/>
      <w:bookmarkStart w:id="510" w:name="_Toc25008"/>
      <w:bookmarkStart w:id="511" w:name="_Toc21573"/>
      <w:bookmarkStart w:id="512" w:name="_Toc16059"/>
      <w:r>
        <w:rPr>
          <w:rFonts w:hint="eastAsia" w:ascii="仿宋" w:hAnsi="仿宋" w:eastAsia="仿宋" w:cs="仿宋"/>
          <w:b/>
          <w:sz w:val="24"/>
        </w:rPr>
        <w:t>四、地质环境条件和工作程度</w:t>
      </w:r>
      <w:bookmarkEnd w:id="509"/>
      <w:bookmarkEnd w:id="510"/>
      <w:bookmarkEnd w:id="511"/>
      <w:bookmarkEnd w:id="512"/>
    </w:p>
    <w:p>
      <w:pPr>
        <w:spacing w:line="560" w:lineRule="exact"/>
        <w:ind w:firstLine="482" w:firstLineChars="200"/>
        <w:rPr>
          <w:rFonts w:ascii="仿宋" w:hAnsi="仿宋" w:eastAsia="仿宋" w:cs="仿宋"/>
          <w:b/>
          <w:sz w:val="24"/>
        </w:rPr>
      </w:pPr>
      <w:r>
        <w:rPr>
          <w:rFonts w:hint="eastAsia" w:ascii="仿宋" w:hAnsi="仿宋" w:eastAsia="仿宋" w:cs="仿宋"/>
          <w:b/>
          <w:sz w:val="24"/>
        </w:rPr>
        <w:t>（一）地形地貌</w:t>
      </w:r>
    </w:p>
    <w:p>
      <w:pPr>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防治区属吐鲁番北部盆地，煤窑沟河东侧二级阶地面与一级阶地坡相交处，地貌上属于河流阶地。总体地形平坦开阔，地势北高南低，东高西低，煤窑沟河位于项目区西侧。海拔约804-865米，相对高差10-50米，地形坡降在3‰～6‰之间，地表基本无植被发育。地质灾害及隐患点主要分布于煤窑沟村东侧山坡，微地貌为斜坡陡坎，其坡度75-85°</w:t>
      </w:r>
      <w:r>
        <w:rPr>
          <w:rFonts w:hint="eastAsia" w:ascii="仿宋" w:hAnsi="仿宋" w:eastAsia="仿宋" w:cs="仿宋"/>
          <w:snapToGrid w:val="0"/>
          <w:sz w:val="24"/>
        </w:rPr>
        <w:t>，</w:t>
      </w:r>
      <w:r>
        <w:rPr>
          <w:rFonts w:hint="eastAsia" w:ascii="仿宋" w:hAnsi="仿宋" w:eastAsia="仿宋" w:cs="仿宋"/>
          <w:sz w:val="24"/>
        </w:rPr>
        <w:t>坡向近似向西，坡面因风化及雨水剥蚀多呈沟壑泥泞状。坡顶、坡面无植被发育，在坡顶南侧有强降雨形成的汇流冲沟，规模较小，宽度约0.5-1.2米，北侧切割深度约3.5米，南侧切割深度可达2.5米，长约30米。</w:t>
      </w:r>
    </w:p>
    <w:p>
      <w:pPr>
        <w:overflowPunct w:val="0"/>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在崩塌带坡脚局部可见破碎的崩塌堆积物及大块漂石，坡脚处已被人工改造修建房屋，斜坡局部区域可见裂隙。项目区</w:t>
      </w:r>
      <w:r>
        <w:rPr>
          <w:rFonts w:hint="eastAsia" w:ascii="仿宋" w:hAnsi="仿宋" w:eastAsia="仿宋" w:cs="仿宋"/>
          <w:snapToGrid w:val="0"/>
          <w:sz w:val="24"/>
        </w:rPr>
        <w:t>西边界100米处为煤窑沟河。由于2013年煤窑沟水库建成截水断流，现河床内只有小股水流</w:t>
      </w:r>
      <w:r>
        <w:rPr>
          <w:rFonts w:hint="eastAsia" w:ascii="仿宋" w:hAnsi="仿宋" w:eastAsia="仿宋" w:cs="仿宋"/>
          <w:sz w:val="24"/>
        </w:rPr>
        <w:t>。</w:t>
      </w:r>
    </w:p>
    <w:p>
      <w:pPr>
        <w:spacing w:line="500" w:lineRule="exact"/>
        <w:ind w:firstLine="480" w:firstLineChars="200"/>
        <w:rPr>
          <w:rFonts w:ascii="仿宋" w:hAnsi="仿宋" w:eastAsia="仿宋" w:cs="仿宋"/>
          <w:color w:val="000000"/>
          <w:sz w:val="24"/>
        </w:rPr>
      </w:pPr>
      <w:r>
        <w:rPr>
          <w:rFonts w:hint="eastAsia" w:ascii="仿宋" w:hAnsi="仿宋" w:eastAsia="仿宋" w:cs="仿宋"/>
          <w:sz w:val="24"/>
        </w:rPr>
        <w:t>斜坡坡顶整体较为平坦，高程在847.77-859.16米之间，整体地势北高南低，南北最大高差3-5米，坡顶自北向南发育1条较大的冲沟，流水冲蚀下切深度1-3米。CG1位于冲沟项目区中部独立孤岛最南侧，靠近坡面处沟口地理坐标89°22′31.10″E，43°09′39.72″N。汇流冲沟规模较小，宽度约0.5-1.2米，北侧切割深度约3.5米，南侧切割深度可达2.5米，呈南北走向，长约30米。</w:t>
      </w:r>
    </w:p>
    <w:p>
      <w:pPr>
        <w:numPr>
          <w:ilvl w:val="0"/>
          <w:numId w:val="6"/>
        </w:numPr>
        <w:spacing w:line="560" w:lineRule="exact"/>
        <w:ind w:firstLine="482" w:firstLineChars="200"/>
        <w:rPr>
          <w:rFonts w:ascii="仿宋" w:hAnsi="仿宋" w:eastAsia="仿宋" w:cs="仿宋"/>
          <w:b/>
          <w:sz w:val="24"/>
        </w:rPr>
      </w:pPr>
      <w:r>
        <w:rPr>
          <w:rFonts w:hint="eastAsia" w:ascii="仿宋" w:hAnsi="仿宋" w:eastAsia="仿宋" w:cs="仿宋"/>
          <w:b/>
          <w:sz w:val="24"/>
        </w:rPr>
        <w:t>地层岩性</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防治区岩性为卵石，局部含漂石，呈青灰、灰黑色，较松散-稍密，稍湿，磨圆度中等，多呈次圆状-浑圆状，分选性一般，卵石平均粒径12-30cm左右，局部含漂石，最大粒径65cm。局部胶结，充填物以中粗砂为主。</w:t>
      </w:r>
    </w:p>
    <w:p>
      <w:pPr>
        <w:numPr>
          <w:ilvl w:val="0"/>
          <w:numId w:val="6"/>
        </w:numPr>
        <w:spacing w:line="560" w:lineRule="exact"/>
        <w:ind w:firstLine="482" w:firstLineChars="200"/>
        <w:rPr>
          <w:rFonts w:ascii="仿宋" w:hAnsi="仿宋" w:eastAsia="仿宋" w:cs="仿宋"/>
          <w:b/>
          <w:sz w:val="24"/>
        </w:rPr>
      </w:pPr>
      <w:r>
        <w:rPr>
          <w:rFonts w:hint="eastAsia" w:ascii="仿宋" w:hAnsi="仿宋" w:eastAsia="仿宋" w:cs="仿宋"/>
          <w:b/>
          <w:sz w:val="24"/>
        </w:rPr>
        <w:t>水文地质条件</w:t>
      </w:r>
    </w:p>
    <w:p>
      <w:pPr>
        <w:spacing w:line="500" w:lineRule="exact"/>
        <w:ind w:firstLine="480" w:firstLineChars="200"/>
        <w:rPr>
          <w:rFonts w:ascii="仿宋" w:hAnsi="仿宋" w:eastAsia="仿宋" w:cs="仿宋"/>
          <w:sz w:val="24"/>
        </w:rPr>
      </w:pPr>
      <w:r>
        <w:rPr>
          <w:rFonts w:hint="eastAsia" w:ascii="仿宋" w:hAnsi="仿宋" w:eastAsia="仿宋" w:cs="仿宋"/>
          <w:sz w:val="24"/>
        </w:rPr>
        <w:t>地下水类型为松散岩类孔隙水，地下水水位埋深约30-50米，坡面及坡体未见地下水出露。项目区为单一结构的潜水含水层，含水层岩性主要为卵砾石和砂砾石。地下水的水化学类型主要为HC0</w:t>
      </w:r>
      <w:r>
        <w:rPr>
          <w:rFonts w:hint="eastAsia" w:ascii="仿宋" w:hAnsi="仿宋" w:eastAsia="仿宋" w:cs="仿宋"/>
          <w:sz w:val="24"/>
          <w:vertAlign w:val="subscript"/>
        </w:rPr>
        <w:t>3</w:t>
      </w:r>
      <w:r>
        <w:rPr>
          <w:rFonts w:hint="eastAsia" w:ascii="仿宋" w:hAnsi="仿宋" w:eastAsia="仿宋" w:cs="仿宋"/>
          <w:sz w:val="24"/>
        </w:rPr>
        <w:t>·SO</w:t>
      </w:r>
      <w:r>
        <w:rPr>
          <w:rFonts w:hint="eastAsia" w:ascii="仿宋" w:hAnsi="仿宋" w:eastAsia="仿宋" w:cs="仿宋"/>
          <w:sz w:val="24"/>
          <w:vertAlign w:val="subscript"/>
        </w:rPr>
        <w:t>4</w:t>
      </w:r>
      <w:r>
        <w:rPr>
          <w:rFonts w:hint="eastAsia" w:ascii="仿宋" w:hAnsi="仿宋" w:eastAsia="仿宋" w:cs="仿宋"/>
          <w:sz w:val="24"/>
        </w:rPr>
        <w:t>-Ca·Na·Mg型，单位涌水量1000-5000m</w:t>
      </w:r>
      <w:r>
        <w:rPr>
          <w:rFonts w:hint="eastAsia" w:ascii="仿宋" w:hAnsi="仿宋" w:eastAsia="仿宋" w:cs="仿宋"/>
          <w:sz w:val="24"/>
          <w:vertAlign w:val="superscript"/>
        </w:rPr>
        <w:t>3</w:t>
      </w:r>
      <w:r>
        <w:rPr>
          <w:rFonts w:hint="eastAsia" w:ascii="仿宋" w:hAnsi="仿宋" w:eastAsia="仿宋" w:cs="仿宋"/>
          <w:sz w:val="24"/>
        </w:rPr>
        <w:t>/d，地下水的溶解性总固体普遍＜0.5g/L。</w:t>
      </w:r>
    </w:p>
    <w:p>
      <w:pPr>
        <w:spacing w:line="500" w:lineRule="exact"/>
        <w:ind w:firstLine="480" w:firstLineChars="200"/>
        <w:rPr>
          <w:rFonts w:ascii="仿宋" w:hAnsi="仿宋" w:eastAsia="仿宋" w:cs="仿宋"/>
          <w:sz w:val="24"/>
        </w:rPr>
      </w:pPr>
      <w:r>
        <w:rPr>
          <w:rFonts w:hint="eastAsia" w:ascii="仿宋" w:hAnsi="仿宋" w:eastAsia="仿宋" w:cs="仿宋"/>
          <w:sz w:val="24"/>
        </w:rPr>
        <w:t>地下水补给来源主要为河流的入渗补给，两侧河岸地下水侧向径流补给、大气降水、地表水和季节性积雪融水补给。</w:t>
      </w:r>
    </w:p>
    <w:p>
      <w:pPr>
        <w:adjustRightInd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地下水总体径流方向由西北向东南，受汇水范围和地形条件的限制，主要以径流排泄、蒸发和人工开采排泄。</w:t>
      </w:r>
    </w:p>
    <w:p>
      <w:pPr>
        <w:numPr>
          <w:ilvl w:val="0"/>
          <w:numId w:val="6"/>
        </w:numPr>
        <w:spacing w:line="560" w:lineRule="exact"/>
        <w:ind w:firstLine="482" w:firstLineChars="200"/>
        <w:rPr>
          <w:rFonts w:ascii="仿宋" w:hAnsi="仿宋" w:eastAsia="仿宋" w:cs="仿宋"/>
          <w:b/>
          <w:sz w:val="24"/>
        </w:rPr>
      </w:pPr>
      <w:r>
        <w:rPr>
          <w:rFonts w:hint="eastAsia" w:ascii="仿宋" w:hAnsi="仿宋" w:eastAsia="仿宋" w:cs="仿宋"/>
          <w:b/>
          <w:sz w:val="24"/>
        </w:rPr>
        <w:t>工程地质条件</w:t>
      </w:r>
    </w:p>
    <w:p>
      <w:pPr>
        <w:adjustRightInd w:val="0"/>
        <w:spacing w:line="560" w:lineRule="exact"/>
        <w:ind w:firstLine="480" w:firstLineChars="200"/>
        <w:rPr>
          <w:rFonts w:ascii="仿宋" w:hAnsi="仿宋" w:eastAsia="仿宋" w:cs="仿宋"/>
          <w:color w:val="000000"/>
          <w:kern w:val="0"/>
          <w:sz w:val="24"/>
        </w:rPr>
      </w:pPr>
      <w:r>
        <w:rPr>
          <w:rFonts w:hint="eastAsia" w:ascii="仿宋" w:hAnsi="仿宋" w:eastAsia="仿宋" w:cs="仿宋"/>
          <w:sz w:val="24"/>
        </w:rPr>
        <w:t>根据项目区内地层的分布特征，项目区的岩土体类型为碎石土单层土体。</w:t>
      </w:r>
      <w:r>
        <w:rPr>
          <w:rFonts w:hint="eastAsia" w:ascii="仿宋" w:hAnsi="仿宋" w:eastAsia="仿宋" w:cs="仿宋"/>
          <w:bCs/>
          <w:snapToGrid w:val="0"/>
          <w:color w:val="000000"/>
          <w:sz w:val="24"/>
        </w:rPr>
        <w:t>分布于崩塌所在斜坡坡顶、坡脚。地层岩性为第四系冲洪积卵石局部含漂石，充填物以中粗砂为主，为单一结构，但由于坡体中部埋设自来水管及渠系渗漏，卵石层遇水浸泡，坡脚湿润。工程地质条件一般，</w:t>
      </w:r>
      <w:r>
        <w:rPr>
          <w:rFonts w:hint="eastAsia" w:ascii="仿宋" w:hAnsi="仿宋" w:eastAsia="仿宋" w:cs="仿宋"/>
          <w:spacing w:val="-4"/>
          <w:sz w:val="24"/>
        </w:rPr>
        <w:t>地层承载力特征值f</w:t>
      </w:r>
      <w:r>
        <w:rPr>
          <w:rFonts w:hint="eastAsia" w:ascii="仿宋" w:hAnsi="仿宋" w:eastAsia="仿宋" w:cs="仿宋"/>
          <w:spacing w:val="-4"/>
          <w:sz w:val="24"/>
          <w:vertAlign w:val="subscript"/>
        </w:rPr>
        <w:t>ak</w:t>
      </w:r>
      <w:r>
        <w:rPr>
          <w:rFonts w:hint="eastAsia" w:ascii="仿宋" w:hAnsi="仿宋" w:eastAsia="仿宋" w:cs="仿宋"/>
          <w:spacing w:val="-4"/>
          <w:sz w:val="24"/>
        </w:rPr>
        <w:t>=300kPa左右</w:t>
      </w:r>
      <w:r>
        <w:rPr>
          <w:rFonts w:hint="eastAsia" w:ascii="仿宋" w:hAnsi="仿宋" w:eastAsia="仿宋" w:cs="仿宋"/>
          <w:snapToGrid w:val="0"/>
          <w:kern w:val="0"/>
          <w:sz w:val="24"/>
        </w:rPr>
        <w:t>。</w:t>
      </w:r>
    </w:p>
    <w:p>
      <w:pPr>
        <w:spacing w:line="560" w:lineRule="exact"/>
        <w:ind w:firstLine="482" w:firstLineChars="200"/>
        <w:outlineLvl w:val="1"/>
        <w:rPr>
          <w:rFonts w:ascii="仿宋" w:hAnsi="仿宋" w:eastAsia="仿宋" w:cs="仿宋"/>
          <w:b/>
          <w:sz w:val="24"/>
        </w:rPr>
      </w:pPr>
      <w:bookmarkStart w:id="513" w:name="_Toc32092"/>
      <w:bookmarkStart w:id="514" w:name="_Toc19085"/>
      <w:bookmarkStart w:id="515" w:name="_Toc28484"/>
      <w:bookmarkStart w:id="516" w:name="_Toc19961"/>
      <w:r>
        <w:rPr>
          <w:rFonts w:hint="eastAsia" w:ascii="仿宋" w:hAnsi="仿宋" w:eastAsia="仿宋" w:cs="仿宋"/>
          <w:b/>
          <w:sz w:val="24"/>
        </w:rPr>
        <w:t>五、主要地质灾害</w:t>
      </w:r>
      <w:bookmarkEnd w:id="513"/>
      <w:bookmarkEnd w:id="514"/>
      <w:bookmarkEnd w:id="515"/>
      <w:bookmarkEnd w:id="516"/>
    </w:p>
    <w:p>
      <w:pPr>
        <w:overflowPunct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本次防治的主要地质灾害为崩塌，防治区内2处崩塌带灾害规模均属小型，在暴雨、地震等诱发因素下，可能发生崩塌灾害，对斜坡下房屋、居民、通讯输电线路及道路造成危害，威胁对象主要为房屋20间（坡脚居民房屋17间，坡顶晾房3间），威胁居民17户74人，道路约150米，通讯输电线路约100米。</w:t>
      </w:r>
    </w:p>
    <w:p>
      <w:pPr>
        <w:spacing w:line="560" w:lineRule="exact"/>
        <w:ind w:firstLine="482" w:firstLineChars="200"/>
        <w:outlineLvl w:val="1"/>
        <w:rPr>
          <w:rFonts w:ascii="仿宋" w:hAnsi="仿宋" w:eastAsia="仿宋" w:cs="仿宋"/>
          <w:b/>
          <w:sz w:val="24"/>
        </w:rPr>
      </w:pPr>
      <w:bookmarkStart w:id="517" w:name="_Toc19279"/>
      <w:bookmarkStart w:id="518" w:name="_Toc15510"/>
      <w:bookmarkStart w:id="519" w:name="_Toc22197"/>
      <w:bookmarkStart w:id="520" w:name="_Toc32653"/>
      <w:r>
        <w:rPr>
          <w:rFonts w:hint="eastAsia" w:ascii="仿宋" w:hAnsi="仿宋" w:eastAsia="仿宋" w:cs="仿宋"/>
          <w:b/>
          <w:sz w:val="24"/>
        </w:rPr>
        <w:t>六、目标任务</w:t>
      </w:r>
      <w:bookmarkEnd w:id="517"/>
      <w:bookmarkEnd w:id="518"/>
      <w:bookmarkEnd w:id="519"/>
      <w:bookmarkEnd w:id="520"/>
    </w:p>
    <w:p>
      <w:pPr>
        <w:spacing w:line="560" w:lineRule="exact"/>
        <w:ind w:firstLine="482" w:firstLineChars="200"/>
        <w:rPr>
          <w:rFonts w:ascii="仿宋" w:hAnsi="仿宋" w:eastAsia="仿宋" w:cs="仿宋"/>
          <w:b/>
          <w:sz w:val="24"/>
        </w:rPr>
      </w:pPr>
      <w:r>
        <w:rPr>
          <w:rFonts w:hint="eastAsia" w:ascii="仿宋" w:hAnsi="仿宋" w:eastAsia="仿宋" w:cs="仿宋"/>
          <w:b/>
          <w:sz w:val="24"/>
        </w:rPr>
        <w:t>（一）目标</w:t>
      </w:r>
    </w:p>
    <w:p>
      <w:pPr>
        <w:spacing w:line="560" w:lineRule="exact"/>
        <w:ind w:firstLine="480" w:firstLineChars="200"/>
        <w:rPr>
          <w:rFonts w:ascii="仿宋" w:hAnsi="仿宋" w:eastAsia="仿宋" w:cs="仿宋"/>
          <w:sz w:val="24"/>
        </w:rPr>
      </w:pPr>
      <w:r>
        <w:rPr>
          <w:rFonts w:hint="eastAsia" w:ascii="仿宋" w:hAnsi="仿宋" w:eastAsia="仿宋" w:cs="仿宋"/>
          <w:sz w:val="24"/>
        </w:rPr>
        <w:t>通过对</w:t>
      </w:r>
      <w:r>
        <w:rPr>
          <w:rFonts w:hint="eastAsia" w:ascii="仿宋" w:hAnsi="仿宋" w:eastAsia="仿宋" w:cs="仿宋"/>
          <w:kern w:val="0"/>
          <w:sz w:val="24"/>
        </w:rPr>
        <w:t>新疆吐鲁番市高昌区七泉湖煤窑沟左岸居民点崩塌灾害防治工程</w:t>
      </w:r>
      <w:r>
        <w:rPr>
          <w:rFonts w:hint="eastAsia" w:ascii="仿宋" w:hAnsi="仿宋" w:eastAsia="仿宋" w:cs="仿宋"/>
          <w:sz w:val="24"/>
        </w:rPr>
        <w:t>的设计与实施，减轻或消除崩塌</w:t>
      </w:r>
      <w:r>
        <w:rPr>
          <w:rFonts w:hint="eastAsia" w:ascii="仿宋" w:hAnsi="仿宋" w:eastAsia="仿宋" w:cs="仿宋"/>
          <w:kern w:val="0"/>
          <w:sz w:val="24"/>
        </w:rPr>
        <w:t>隐患对</w:t>
      </w:r>
      <w:r>
        <w:rPr>
          <w:rFonts w:hint="eastAsia" w:ascii="仿宋" w:hAnsi="仿宋" w:eastAsia="仿宋" w:cs="仿宋"/>
          <w:sz w:val="24"/>
        </w:rPr>
        <w:t>坡下房屋、居民、通讯输电线路及道路</w:t>
      </w:r>
      <w:r>
        <w:rPr>
          <w:rFonts w:hint="eastAsia" w:ascii="仿宋" w:hAnsi="仿宋" w:eastAsia="仿宋" w:cs="仿宋"/>
          <w:kern w:val="0"/>
          <w:sz w:val="24"/>
        </w:rPr>
        <w:t>等威胁</w:t>
      </w:r>
      <w:r>
        <w:rPr>
          <w:rFonts w:hint="eastAsia" w:ascii="仿宋" w:hAnsi="仿宋" w:eastAsia="仿宋" w:cs="仿宋"/>
          <w:sz w:val="24"/>
        </w:rPr>
        <w:t>，保障人民生命和财产安全。</w:t>
      </w:r>
    </w:p>
    <w:p>
      <w:pPr>
        <w:spacing w:line="560" w:lineRule="exact"/>
        <w:ind w:firstLine="482" w:firstLineChars="200"/>
        <w:rPr>
          <w:rFonts w:ascii="仿宋" w:hAnsi="仿宋" w:eastAsia="仿宋" w:cs="仿宋"/>
          <w:b/>
          <w:color w:val="0D0D0D"/>
          <w:sz w:val="24"/>
        </w:rPr>
      </w:pPr>
      <w:r>
        <w:rPr>
          <w:rFonts w:hint="eastAsia" w:ascii="仿宋" w:hAnsi="仿宋" w:eastAsia="仿宋" w:cs="仿宋"/>
          <w:b/>
          <w:color w:val="0D0D0D"/>
          <w:sz w:val="24"/>
        </w:rPr>
        <w:t>（二）任务</w:t>
      </w:r>
    </w:p>
    <w:p>
      <w:pPr>
        <w:spacing w:line="56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1.</w:t>
      </w:r>
      <w:r>
        <w:rPr>
          <w:rFonts w:hint="eastAsia" w:ascii="仿宋" w:hAnsi="仿宋" w:eastAsia="仿宋" w:cs="仿宋"/>
          <w:color w:val="0D0D0D"/>
          <w:sz w:val="24"/>
        </w:rPr>
        <w:t>根据实地踏勘成果和勘查报告</w:t>
      </w:r>
      <w:r>
        <w:rPr>
          <w:rFonts w:hint="eastAsia" w:ascii="仿宋" w:hAnsi="仿宋" w:eastAsia="仿宋" w:cs="仿宋"/>
          <w:color w:val="0D0D0D"/>
          <w:kern w:val="0"/>
          <w:sz w:val="24"/>
        </w:rPr>
        <w:t>以及相关标准规范</w:t>
      </w:r>
      <w:r>
        <w:rPr>
          <w:rFonts w:hint="eastAsia" w:ascii="仿宋" w:hAnsi="仿宋" w:eastAsia="仿宋" w:cs="仿宋"/>
          <w:color w:val="0D0D0D"/>
          <w:sz w:val="24"/>
        </w:rPr>
        <w:t>编制地质灾害防治工程设计和施工组织设计</w:t>
      </w:r>
      <w:r>
        <w:rPr>
          <w:rFonts w:hint="eastAsia" w:ascii="仿宋" w:hAnsi="仿宋" w:eastAsia="仿宋" w:cs="仿宋"/>
          <w:color w:val="0D0D0D"/>
          <w:kern w:val="0"/>
          <w:sz w:val="24"/>
        </w:rPr>
        <w:t>；</w:t>
      </w:r>
    </w:p>
    <w:p>
      <w:pPr>
        <w:spacing w:line="56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2.按照审批通过的防治工程设计，组织地质灾害防治工程施工。</w:t>
      </w:r>
    </w:p>
    <w:p>
      <w:pPr>
        <w:spacing w:line="56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3.</w:t>
      </w:r>
      <w:r>
        <w:rPr>
          <w:rFonts w:hint="eastAsia" w:ascii="仿宋" w:hAnsi="仿宋" w:eastAsia="仿宋" w:cs="仿宋"/>
          <w:color w:val="0D0D0D"/>
          <w:sz w:val="24"/>
        </w:rPr>
        <w:t>减轻或消除</w:t>
      </w:r>
      <w:r>
        <w:rPr>
          <w:rFonts w:hint="eastAsia" w:ascii="仿宋" w:hAnsi="仿宋" w:eastAsia="仿宋" w:cs="仿宋"/>
          <w:kern w:val="0"/>
          <w:sz w:val="24"/>
        </w:rPr>
        <w:t>工作区及其周边居民</w:t>
      </w:r>
      <w:r>
        <w:rPr>
          <w:rFonts w:hint="eastAsia" w:ascii="仿宋" w:hAnsi="仿宋" w:eastAsia="仿宋" w:cs="仿宋"/>
          <w:color w:val="0D0D0D"/>
          <w:sz w:val="24"/>
        </w:rPr>
        <w:t>遭受灾害的威胁</w:t>
      </w:r>
      <w:r>
        <w:rPr>
          <w:rFonts w:hint="eastAsia" w:ascii="仿宋" w:hAnsi="仿宋" w:eastAsia="仿宋" w:cs="仿宋"/>
          <w:color w:val="0D0D0D"/>
          <w:kern w:val="0"/>
          <w:sz w:val="24"/>
        </w:rPr>
        <w:t>。</w:t>
      </w:r>
    </w:p>
    <w:p>
      <w:pPr>
        <w:spacing w:line="56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4.防治工程完成后，制作永久性工程说明碑。</w:t>
      </w:r>
    </w:p>
    <w:p>
      <w:pPr>
        <w:spacing w:line="560" w:lineRule="exact"/>
        <w:ind w:firstLine="482" w:firstLineChars="200"/>
        <w:outlineLvl w:val="1"/>
        <w:rPr>
          <w:rFonts w:ascii="仿宋" w:hAnsi="仿宋" w:eastAsia="仿宋" w:cs="仿宋"/>
          <w:b/>
          <w:sz w:val="24"/>
        </w:rPr>
      </w:pPr>
      <w:bookmarkStart w:id="521" w:name="_Toc4169"/>
      <w:bookmarkStart w:id="522" w:name="_Toc9344"/>
      <w:bookmarkStart w:id="523" w:name="_Toc9763"/>
      <w:bookmarkStart w:id="524" w:name="_Toc21334"/>
      <w:r>
        <w:rPr>
          <w:rFonts w:hint="eastAsia" w:ascii="仿宋" w:hAnsi="仿宋" w:eastAsia="仿宋" w:cs="仿宋"/>
          <w:b/>
          <w:sz w:val="24"/>
        </w:rPr>
        <w:t>七、主要技术要求</w:t>
      </w:r>
      <w:bookmarkEnd w:id="521"/>
      <w:bookmarkEnd w:id="522"/>
      <w:bookmarkEnd w:id="523"/>
      <w:bookmarkEnd w:id="524"/>
    </w:p>
    <w:p>
      <w:pPr>
        <w:spacing w:line="560" w:lineRule="exact"/>
        <w:ind w:firstLine="480" w:firstLineChars="200"/>
        <w:rPr>
          <w:rFonts w:ascii="仿宋" w:hAnsi="仿宋" w:eastAsia="仿宋" w:cs="仿宋"/>
          <w:sz w:val="24"/>
        </w:rPr>
      </w:pPr>
      <w:r>
        <w:rPr>
          <w:rFonts w:hint="eastAsia" w:ascii="仿宋" w:hAnsi="仿宋" w:eastAsia="仿宋" w:cs="仿宋"/>
          <w:sz w:val="24"/>
        </w:rPr>
        <w:t>1.《崩塌防治工程设计规范（试行）》（T/CAGHP 032-2018）；</w:t>
      </w:r>
    </w:p>
    <w:p>
      <w:pPr>
        <w:spacing w:line="560" w:lineRule="exact"/>
        <w:ind w:firstLine="480" w:firstLineChars="200"/>
        <w:rPr>
          <w:rFonts w:ascii="仿宋" w:hAnsi="仿宋" w:eastAsia="仿宋" w:cs="仿宋"/>
          <w:sz w:val="24"/>
        </w:rPr>
      </w:pPr>
      <w:r>
        <w:rPr>
          <w:rFonts w:hint="eastAsia" w:ascii="仿宋" w:hAnsi="仿宋" w:eastAsia="仿宋" w:cs="仿宋"/>
          <w:sz w:val="24"/>
        </w:rPr>
        <w:t>2.《崩塌防治工程施工技术规范（试行）》（T/CAGHP 041-2018）；</w:t>
      </w:r>
    </w:p>
    <w:p>
      <w:pPr>
        <w:spacing w:line="560" w:lineRule="exact"/>
        <w:ind w:firstLine="480" w:firstLineChars="200"/>
        <w:rPr>
          <w:rFonts w:ascii="仿宋" w:hAnsi="仿宋" w:eastAsia="仿宋" w:cs="仿宋"/>
          <w:sz w:val="24"/>
        </w:rPr>
      </w:pPr>
      <w:r>
        <w:rPr>
          <w:rFonts w:hint="eastAsia" w:ascii="仿宋" w:hAnsi="仿宋" w:eastAsia="仿宋" w:cs="仿宋"/>
          <w:sz w:val="24"/>
        </w:rPr>
        <w:t>3.《崩塌监测规范（试行）》（T/CAGHP 07-2018）；</w:t>
      </w:r>
    </w:p>
    <w:p>
      <w:pPr>
        <w:spacing w:line="560" w:lineRule="exact"/>
        <w:ind w:firstLine="480" w:firstLineChars="200"/>
        <w:rPr>
          <w:rFonts w:ascii="仿宋" w:hAnsi="仿宋" w:eastAsia="仿宋" w:cs="仿宋"/>
          <w:sz w:val="24"/>
        </w:rPr>
      </w:pPr>
      <w:r>
        <w:rPr>
          <w:rFonts w:hint="eastAsia" w:ascii="仿宋" w:hAnsi="仿宋" w:eastAsia="仿宋" w:cs="仿宋"/>
          <w:sz w:val="24"/>
        </w:rPr>
        <w:t>4.《危岩落石柔性防护网工程技术规范（试行）》（T/CAGHP 066-2019）；</w:t>
      </w:r>
    </w:p>
    <w:p>
      <w:pPr>
        <w:spacing w:line="560" w:lineRule="exact"/>
        <w:ind w:firstLine="480" w:firstLineChars="200"/>
        <w:rPr>
          <w:rFonts w:ascii="仿宋" w:hAnsi="仿宋" w:eastAsia="仿宋" w:cs="仿宋"/>
          <w:sz w:val="24"/>
        </w:rPr>
      </w:pPr>
      <w:r>
        <w:rPr>
          <w:rFonts w:hint="eastAsia" w:ascii="仿宋" w:hAnsi="仿宋" w:eastAsia="仿宋" w:cs="仿宋"/>
          <w:sz w:val="24"/>
        </w:rPr>
        <w:t>5.《砌体结构设计规范》（GB50003-2011）；</w:t>
      </w:r>
    </w:p>
    <w:p>
      <w:pPr>
        <w:spacing w:line="560" w:lineRule="exact"/>
        <w:ind w:firstLine="480" w:firstLineChars="200"/>
        <w:rPr>
          <w:rFonts w:ascii="仿宋" w:hAnsi="仿宋" w:eastAsia="仿宋" w:cs="仿宋"/>
          <w:sz w:val="24"/>
        </w:rPr>
      </w:pPr>
      <w:r>
        <w:rPr>
          <w:rFonts w:hint="eastAsia" w:ascii="仿宋" w:hAnsi="仿宋" w:eastAsia="仿宋" w:cs="仿宋"/>
          <w:sz w:val="24"/>
        </w:rPr>
        <w:t>6.《混凝土结构设计规范》（GB50010-2010）；</w:t>
      </w:r>
    </w:p>
    <w:p>
      <w:pPr>
        <w:spacing w:line="560" w:lineRule="exact"/>
        <w:ind w:firstLine="480" w:firstLineChars="200"/>
        <w:rPr>
          <w:rFonts w:ascii="仿宋" w:hAnsi="仿宋" w:eastAsia="仿宋" w:cs="仿宋"/>
          <w:sz w:val="24"/>
        </w:rPr>
      </w:pPr>
      <w:r>
        <w:rPr>
          <w:rFonts w:hint="eastAsia" w:ascii="仿宋" w:hAnsi="仿宋" w:eastAsia="仿宋" w:cs="仿宋"/>
          <w:sz w:val="24"/>
        </w:rPr>
        <w:t>7.《建筑地基基础设计规范》（GB50007-2011）；</w:t>
      </w:r>
    </w:p>
    <w:p>
      <w:pPr>
        <w:spacing w:line="560" w:lineRule="exact"/>
        <w:ind w:firstLine="480" w:firstLineChars="200"/>
        <w:rPr>
          <w:rFonts w:ascii="仿宋" w:hAnsi="仿宋" w:eastAsia="仿宋" w:cs="仿宋"/>
          <w:sz w:val="24"/>
        </w:rPr>
      </w:pPr>
      <w:r>
        <w:rPr>
          <w:rFonts w:hint="eastAsia" w:ascii="仿宋" w:hAnsi="仿宋" w:eastAsia="仿宋" w:cs="仿宋"/>
          <w:sz w:val="24"/>
        </w:rPr>
        <w:t>8.《建筑边坡工程技术规范》（GB50330-2013）；</w:t>
      </w:r>
    </w:p>
    <w:p>
      <w:pPr>
        <w:spacing w:line="560" w:lineRule="exact"/>
        <w:ind w:firstLine="480" w:firstLineChars="200"/>
        <w:rPr>
          <w:rFonts w:ascii="仿宋" w:hAnsi="仿宋" w:eastAsia="仿宋" w:cs="仿宋"/>
          <w:sz w:val="24"/>
        </w:rPr>
      </w:pPr>
      <w:r>
        <w:rPr>
          <w:rFonts w:hint="eastAsia" w:ascii="仿宋" w:hAnsi="仿宋" w:eastAsia="仿宋" w:cs="仿宋"/>
          <w:sz w:val="24"/>
        </w:rPr>
        <w:t>9.《工程测量规范》（GB50026-2007）；</w:t>
      </w:r>
    </w:p>
    <w:p>
      <w:pPr>
        <w:spacing w:line="560" w:lineRule="exact"/>
        <w:ind w:firstLine="480" w:firstLineChars="200"/>
        <w:rPr>
          <w:rFonts w:ascii="仿宋" w:hAnsi="仿宋" w:eastAsia="仿宋" w:cs="仿宋"/>
          <w:sz w:val="24"/>
        </w:rPr>
      </w:pPr>
      <w:r>
        <w:rPr>
          <w:rFonts w:hint="eastAsia" w:ascii="仿宋" w:hAnsi="仿宋" w:eastAsia="仿宋" w:cs="仿宋"/>
          <w:sz w:val="24"/>
        </w:rPr>
        <w:t>10.《全球定位系统（GPS）测量规范》（GB/T18314-2009）；</w:t>
      </w:r>
    </w:p>
    <w:p>
      <w:pPr>
        <w:spacing w:line="560" w:lineRule="exact"/>
        <w:ind w:firstLine="480" w:firstLineChars="200"/>
        <w:rPr>
          <w:rFonts w:ascii="仿宋" w:hAnsi="仿宋" w:eastAsia="仿宋" w:cs="仿宋"/>
          <w:sz w:val="24"/>
        </w:rPr>
      </w:pPr>
      <w:r>
        <w:rPr>
          <w:rFonts w:hint="eastAsia" w:ascii="仿宋" w:hAnsi="仿宋" w:eastAsia="仿宋" w:cs="仿宋"/>
          <w:sz w:val="24"/>
        </w:rPr>
        <w:t>11.《岩土工程勘察规范（2009年版）》（GB50021-2001）；</w:t>
      </w:r>
    </w:p>
    <w:p>
      <w:pPr>
        <w:spacing w:line="560" w:lineRule="exact"/>
        <w:ind w:firstLine="480" w:firstLineChars="200"/>
        <w:rPr>
          <w:rFonts w:ascii="仿宋" w:hAnsi="仿宋" w:eastAsia="仿宋" w:cs="仿宋"/>
          <w:sz w:val="24"/>
        </w:rPr>
      </w:pPr>
      <w:r>
        <w:rPr>
          <w:rFonts w:hint="eastAsia" w:ascii="仿宋" w:hAnsi="仿宋" w:eastAsia="仿宋" w:cs="仿宋"/>
          <w:sz w:val="24"/>
        </w:rPr>
        <w:t>12.《建筑抗震设计规范（2016年版）》（GB50011-2010）；</w:t>
      </w:r>
    </w:p>
    <w:p>
      <w:pPr>
        <w:spacing w:line="560" w:lineRule="exact"/>
        <w:ind w:firstLine="480" w:firstLineChars="200"/>
        <w:rPr>
          <w:rFonts w:ascii="仿宋" w:hAnsi="仿宋" w:eastAsia="仿宋" w:cs="仿宋"/>
          <w:sz w:val="24"/>
        </w:rPr>
      </w:pPr>
      <w:r>
        <w:rPr>
          <w:rFonts w:hint="eastAsia" w:ascii="仿宋" w:hAnsi="仿宋" w:eastAsia="仿宋" w:cs="仿宋"/>
          <w:sz w:val="24"/>
        </w:rPr>
        <w:t>13.其它有关规范、规程和技术要求。</w:t>
      </w:r>
    </w:p>
    <w:p>
      <w:pPr>
        <w:spacing w:line="560" w:lineRule="exact"/>
        <w:ind w:firstLine="480" w:firstLineChars="200"/>
        <w:rPr>
          <w:rFonts w:ascii="仿宋" w:hAnsi="仿宋" w:eastAsia="仿宋" w:cs="仿宋"/>
          <w:sz w:val="24"/>
        </w:rPr>
      </w:pPr>
      <w:r>
        <w:rPr>
          <w:rFonts w:hint="eastAsia" w:ascii="仿宋" w:hAnsi="仿宋" w:eastAsia="仿宋" w:cs="仿宋"/>
          <w:kern w:val="0"/>
          <w:sz w:val="24"/>
        </w:rPr>
        <w:t>同时满足招标文件、设计书及其审批意见书和有关规定的要求。</w:t>
      </w:r>
    </w:p>
    <w:p>
      <w:pPr>
        <w:spacing w:line="560" w:lineRule="exact"/>
        <w:ind w:firstLine="482" w:firstLineChars="200"/>
        <w:outlineLvl w:val="1"/>
        <w:rPr>
          <w:rFonts w:ascii="仿宋" w:hAnsi="仿宋" w:eastAsia="仿宋" w:cs="仿宋"/>
          <w:b/>
          <w:sz w:val="24"/>
        </w:rPr>
      </w:pPr>
      <w:bookmarkStart w:id="525" w:name="_Toc29316"/>
      <w:bookmarkStart w:id="526" w:name="_Toc13251"/>
      <w:bookmarkStart w:id="527" w:name="_Toc3698"/>
      <w:bookmarkStart w:id="528" w:name="_Toc19233"/>
      <w:r>
        <w:rPr>
          <w:rFonts w:hint="eastAsia" w:ascii="仿宋" w:hAnsi="仿宋" w:eastAsia="仿宋" w:cs="仿宋"/>
          <w:b/>
          <w:sz w:val="24"/>
        </w:rPr>
        <w:t>八、主要实物工作量</w:t>
      </w:r>
      <w:bookmarkEnd w:id="525"/>
      <w:bookmarkEnd w:id="526"/>
      <w:bookmarkEnd w:id="527"/>
      <w:bookmarkEnd w:id="528"/>
    </w:p>
    <w:p>
      <w:pPr>
        <w:spacing w:line="560" w:lineRule="exact"/>
        <w:ind w:firstLine="480" w:firstLineChars="200"/>
        <w:rPr>
          <w:rFonts w:ascii="仿宋" w:hAnsi="仿宋" w:eastAsia="仿宋" w:cs="仿宋"/>
          <w:sz w:val="24"/>
        </w:rPr>
      </w:pPr>
      <w:r>
        <w:rPr>
          <w:rFonts w:hint="eastAsia" w:ascii="仿宋" w:hAnsi="仿宋" w:eastAsia="仿宋" w:cs="仿宋"/>
          <w:kern w:val="0"/>
          <w:sz w:val="24"/>
        </w:rPr>
        <w:t>根据本项目的目标和任务，结合防治区崩塌灾害特征和环境现状，以基本消除或减轻地质灾害对当地居民的威胁为目的，本次崩塌灾害防治工程可以采用危岩清理、主被动防护网等措施。</w:t>
      </w:r>
    </w:p>
    <w:p>
      <w:pPr>
        <w:spacing w:line="560" w:lineRule="exact"/>
        <w:ind w:firstLine="480" w:firstLineChars="200"/>
        <w:rPr>
          <w:rFonts w:ascii="仿宋" w:hAnsi="仿宋" w:eastAsia="仿宋" w:cs="仿宋"/>
          <w:color w:val="0D0D0D"/>
          <w:sz w:val="24"/>
        </w:rPr>
      </w:pPr>
      <w:r>
        <w:rPr>
          <w:rFonts w:hint="eastAsia" w:ascii="仿宋" w:hAnsi="仿宋" w:eastAsia="仿宋" w:cs="仿宋"/>
          <w:color w:val="0D0D0D"/>
          <w:sz w:val="24"/>
        </w:rPr>
        <w:t>投标单位在现场踏勘后提出投标设计方案。</w:t>
      </w:r>
    </w:p>
    <w:p>
      <w:pPr>
        <w:spacing w:line="560" w:lineRule="exact"/>
        <w:ind w:firstLine="482" w:firstLineChars="200"/>
        <w:rPr>
          <w:rFonts w:ascii="仿宋" w:hAnsi="仿宋" w:eastAsia="仿宋" w:cs="仿宋"/>
          <w:b/>
          <w:sz w:val="24"/>
          <w:u w:val="single"/>
        </w:rPr>
      </w:pPr>
      <w:r>
        <w:rPr>
          <w:rFonts w:hint="eastAsia" w:ascii="仿宋" w:hAnsi="仿宋" w:eastAsia="仿宋" w:cs="仿宋"/>
          <w:b/>
          <w:sz w:val="24"/>
          <w:u w:val="single"/>
        </w:rPr>
        <w:t>最终设计方案及工作量以审批后的防治工程项目设计书为准。</w:t>
      </w:r>
    </w:p>
    <w:p>
      <w:pPr>
        <w:spacing w:line="560" w:lineRule="exact"/>
        <w:ind w:firstLine="482" w:firstLineChars="200"/>
        <w:outlineLvl w:val="1"/>
        <w:rPr>
          <w:rFonts w:ascii="仿宋" w:hAnsi="仿宋" w:eastAsia="仿宋" w:cs="仿宋"/>
          <w:b/>
          <w:sz w:val="24"/>
        </w:rPr>
      </w:pPr>
      <w:bookmarkStart w:id="529" w:name="_Toc17115"/>
      <w:bookmarkStart w:id="530" w:name="_Toc31439"/>
      <w:bookmarkStart w:id="531" w:name="_Toc18852"/>
      <w:bookmarkStart w:id="532" w:name="_Toc17469"/>
      <w:r>
        <w:rPr>
          <w:rFonts w:hint="eastAsia" w:ascii="仿宋" w:hAnsi="仿宋" w:eastAsia="仿宋" w:cs="仿宋"/>
          <w:b/>
          <w:sz w:val="24"/>
        </w:rPr>
        <w:t>九、预期提交成果</w:t>
      </w:r>
      <w:bookmarkEnd w:id="529"/>
      <w:bookmarkEnd w:id="530"/>
      <w:bookmarkEnd w:id="531"/>
      <w:bookmarkEnd w:id="532"/>
    </w:p>
    <w:p>
      <w:pPr>
        <w:spacing w:line="560" w:lineRule="exact"/>
        <w:ind w:firstLine="482" w:firstLineChars="200"/>
        <w:rPr>
          <w:rFonts w:ascii="仿宋" w:hAnsi="仿宋" w:eastAsia="仿宋" w:cs="仿宋"/>
          <w:b/>
          <w:sz w:val="24"/>
        </w:rPr>
      </w:pPr>
      <w:r>
        <w:rPr>
          <w:rFonts w:hint="eastAsia" w:ascii="仿宋" w:hAnsi="仿宋" w:eastAsia="仿宋" w:cs="仿宋"/>
          <w:b/>
          <w:sz w:val="24"/>
        </w:rPr>
        <w:t>（一）防治工程设计成果</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1.新疆吐鲁番市高昌区七泉湖煤窑沟左岸居民点崩塌灾害防治工程设计书（施工设计和施工组织设计）；</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2.新疆吐鲁番市高昌区七泉湖煤窑沟左岸居民点崩塌灾害防治工程平面布置图及各单项防治工程设计图；</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（二）防治工程施工成果</w:t>
      </w:r>
    </w:p>
    <w:p>
      <w:pPr>
        <w:spacing w:line="560" w:lineRule="exact"/>
        <w:ind w:firstLine="480" w:firstLineChars="200"/>
        <w:rPr>
          <w:rFonts w:ascii="仿宋" w:hAnsi="仿宋" w:eastAsia="仿宋" w:cs="仿宋"/>
          <w:color w:val="0D0D0D"/>
          <w:sz w:val="24"/>
        </w:rPr>
      </w:pPr>
      <w:r>
        <w:rPr>
          <w:rFonts w:hint="eastAsia" w:ascii="仿宋" w:hAnsi="仿宋" w:eastAsia="仿宋" w:cs="仿宋"/>
          <w:color w:val="0D0D0D"/>
          <w:sz w:val="24"/>
        </w:rPr>
        <w:t>防治工程施工成果和资料汇交应按《新疆维吾尔自治区地质灾害防治项目管理办法（试行）》及《新疆维吾尔自治区地质灾害防治项目验收细则》要求执行。</w:t>
      </w:r>
    </w:p>
    <w:p>
      <w:pPr>
        <w:spacing w:line="560" w:lineRule="exact"/>
        <w:ind w:firstLine="482" w:firstLineChars="200"/>
        <w:outlineLvl w:val="1"/>
        <w:rPr>
          <w:rFonts w:ascii="仿宋" w:hAnsi="仿宋" w:eastAsia="仿宋" w:cs="仿宋"/>
          <w:b/>
          <w:color w:val="auto"/>
          <w:sz w:val="24"/>
        </w:rPr>
      </w:pPr>
      <w:bookmarkStart w:id="533" w:name="_Toc16623"/>
      <w:bookmarkStart w:id="534" w:name="_Toc16501"/>
      <w:bookmarkStart w:id="535" w:name="_Toc18763"/>
      <w:bookmarkStart w:id="536" w:name="_Toc18845"/>
      <w:r>
        <w:rPr>
          <w:rFonts w:hint="eastAsia" w:ascii="仿宋" w:hAnsi="仿宋" w:eastAsia="仿宋" w:cs="仿宋"/>
          <w:b/>
          <w:color w:val="auto"/>
          <w:sz w:val="24"/>
        </w:rPr>
        <w:t>十、工作周期</w:t>
      </w:r>
      <w:bookmarkEnd w:id="533"/>
      <w:bookmarkEnd w:id="534"/>
      <w:bookmarkEnd w:id="535"/>
      <w:bookmarkEnd w:id="536"/>
    </w:p>
    <w:p>
      <w:pPr>
        <w:spacing w:line="560" w:lineRule="exact"/>
        <w:ind w:firstLine="480" w:firstLineChars="200"/>
        <w:rPr>
          <w:rFonts w:ascii="仿宋" w:hAnsi="仿宋" w:eastAsia="仿宋" w:cs="仿宋"/>
          <w:color w:val="0D0D0D"/>
          <w:sz w:val="24"/>
        </w:rPr>
      </w:pPr>
      <w:r>
        <w:rPr>
          <w:rFonts w:hint="eastAsia" w:ascii="仿宋" w:hAnsi="仿宋" w:eastAsia="仿宋" w:cs="仿宋"/>
          <w:color w:val="auto"/>
          <w:sz w:val="24"/>
        </w:rPr>
        <w:t>2023年3月-2024年9月，2023年8月31日前完成野外竣工验收，2023年11月30日前提交全套竣工资料，2024年8月31日前完成工程复验。</w:t>
      </w:r>
      <w:r>
        <w:rPr>
          <w:rFonts w:hint="eastAsia" w:ascii="仿宋" w:hAnsi="仿宋" w:eastAsia="仿宋" w:cs="仿宋"/>
          <w:color w:val="0D0D0D"/>
          <w:sz w:val="24"/>
        </w:rPr>
        <w:br w:type="page"/>
      </w:r>
    </w:p>
    <w:bookmarkEnd w:id="411"/>
    <w:bookmarkEnd w:id="412"/>
    <w:bookmarkEnd w:id="413"/>
    <w:bookmarkEnd w:id="414"/>
    <w:p>
      <w:pPr>
        <w:spacing w:line="440" w:lineRule="exact"/>
        <w:jc w:val="center"/>
        <w:outlineLvl w:val="1"/>
        <w:rPr>
          <w:rFonts w:ascii="仿宋" w:hAnsi="仿宋" w:eastAsia="仿宋"/>
          <w:b/>
          <w:bCs/>
          <w:sz w:val="28"/>
          <w:szCs w:val="28"/>
        </w:rPr>
      </w:pPr>
      <w:bookmarkStart w:id="537" w:name="_Toc26716"/>
      <w:bookmarkStart w:id="538" w:name="_Toc22737"/>
      <w:bookmarkStart w:id="539" w:name="_Toc28883"/>
      <w:bookmarkStart w:id="540" w:name="_Toc219175639"/>
      <w:bookmarkStart w:id="541" w:name="_Toc216582826"/>
      <w:bookmarkStart w:id="542" w:name="_Toc218935355"/>
      <w:r>
        <w:rPr>
          <w:rFonts w:hint="eastAsia" w:ascii="仿宋" w:hAnsi="仿宋" w:eastAsia="仿宋"/>
          <w:b/>
          <w:bCs/>
          <w:sz w:val="28"/>
          <w:szCs w:val="28"/>
        </w:rPr>
        <w:t>标项四：吐鲁番市2023年中央自然灾害防治体系建设项目监理</w:t>
      </w:r>
      <w:bookmarkEnd w:id="537"/>
      <w:bookmarkEnd w:id="538"/>
      <w:bookmarkEnd w:id="539"/>
    </w:p>
    <w:p>
      <w:pPr>
        <w:spacing w:line="500" w:lineRule="exact"/>
        <w:ind w:firstLine="482" w:firstLineChars="200"/>
        <w:rPr>
          <w:rFonts w:ascii="仿宋" w:hAnsi="仿宋" w:eastAsia="仿宋" w:cs="仿宋"/>
          <w:b/>
          <w:bCs/>
          <w:sz w:val="24"/>
        </w:rPr>
      </w:pPr>
    </w:p>
    <w:p>
      <w:pPr>
        <w:spacing w:line="500" w:lineRule="exact"/>
        <w:ind w:firstLine="482" w:firstLineChars="200"/>
        <w:outlineLvl w:val="1"/>
        <w:rPr>
          <w:rFonts w:ascii="仿宋" w:hAnsi="仿宋" w:eastAsia="仿宋" w:cs="仿宋"/>
          <w:b/>
          <w:bCs/>
          <w:sz w:val="24"/>
        </w:rPr>
      </w:pPr>
      <w:bookmarkStart w:id="543" w:name="_Toc22589"/>
      <w:bookmarkStart w:id="544" w:name="_Toc23662"/>
      <w:bookmarkStart w:id="545" w:name="_Toc27268"/>
      <w:bookmarkStart w:id="546" w:name="_Toc30945"/>
      <w:r>
        <w:rPr>
          <w:rFonts w:hint="eastAsia" w:ascii="仿宋" w:hAnsi="仿宋" w:eastAsia="仿宋" w:cs="仿宋"/>
          <w:b/>
          <w:bCs/>
          <w:sz w:val="24"/>
        </w:rPr>
        <w:t>一、项目名称和编号</w:t>
      </w:r>
      <w:bookmarkEnd w:id="543"/>
      <w:bookmarkEnd w:id="544"/>
      <w:bookmarkEnd w:id="545"/>
      <w:bookmarkEnd w:id="546"/>
    </w:p>
    <w:p>
      <w:pPr>
        <w:spacing w:line="500" w:lineRule="exact"/>
        <w:ind w:left="1733" w:leftChars="254" w:hanging="1200" w:hangingChars="500"/>
        <w:rPr>
          <w:rFonts w:ascii="仿宋" w:hAnsi="仿宋" w:eastAsia="仿宋" w:cs="仿宋"/>
          <w:kern w:val="0"/>
          <w:sz w:val="24"/>
          <w:lang w:eastAsia="en-US"/>
        </w:rPr>
      </w:pPr>
      <w:r>
        <w:rPr>
          <w:rFonts w:hint="eastAsia" w:ascii="仿宋" w:hAnsi="仿宋" w:eastAsia="仿宋" w:cs="仿宋"/>
          <w:kern w:val="0"/>
          <w:sz w:val="24"/>
          <w:lang w:eastAsia="en-US"/>
        </w:rPr>
        <w:t>项目名称：</w:t>
      </w:r>
      <w:bookmarkStart w:id="547" w:name="项目编号：YLZFZJL"/>
      <w:bookmarkEnd w:id="547"/>
      <w:r>
        <w:rPr>
          <w:rFonts w:hint="eastAsia" w:ascii="仿宋" w:hAnsi="仿宋" w:eastAsia="仿宋"/>
          <w:sz w:val="24"/>
        </w:rPr>
        <w:t>吐鲁番市2023年中央自然灾害防治体系建设项目监理</w:t>
      </w:r>
    </w:p>
    <w:p>
      <w:pPr>
        <w:spacing w:line="500" w:lineRule="exact"/>
        <w:ind w:firstLine="480" w:firstLineChars="200"/>
        <w:rPr>
          <w:rStyle w:val="72"/>
          <w:rFonts w:hint="default" w:ascii="仿宋" w:hAnsi="仿宋" w:eastAsia="仿宋" w:cs="仿宋"/>
          <w:color w:val="auto"/>
          <w:sz w:val="24"/>
          <w:szCs w:val="24"/>
        </w:rPr>
      </w:pPr>
      <w:r>
        <w:rPr>
          <w:rFonts w:hint="eastAsia" w:ascii="仿宋" w:hAnsi="仿宋" w:eastAsia="仿宋" w:cs="仿宋"/>
          <w:kern w:val="0"/>
          <w:sz w:val="24"/>
          <w:lang w:eastAsia="en-US"/>
        </w:rPr>
        <w:t>项目编号：</w:t>
      </w:r>
      <w:r>
        <w:rPr>
          <w:rStyle w:val="72"/>
          <w:rFonts w:ascii="仿宋" w:hAnsi="仿宋" w:eastAsia="仿宋" w:cs="仿宋"/>
          <w:color w:val="auto"/>
          <w:sz w:val="24"/>
          <w:szCs w:val="24"/>
        </w:rPr>
        <w:t>GYZB-TLFDZFZ2023-04</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项目费用</w:t>
      </w:r>
      <w:r>
        <w:rPr>
          <w:rFonts w:hint="eastAsia" w:ascii="仿宋" w:hAnsi="仿宋" w:eastAsia="仿宋" w:cs="仿宋"/>
          <w:color w:val="000000"/>
          <w:sz w:val="24"/>
        </w:rPr>
        <w:t>人民币</w:t>
      </w:r>
      <w:r>
        <w:rPr>
          <w:rFonts w:hint="eastAsia" w:ascii="仿宋" w:hAnsi="仿宋" w:eastAsia="仿宋" w:cs="仿宋"/>
          <w:kern w:val="0"/>
          <w:sz w:val="24"/>
        </w:rPr>
        <w:t>：</w:t>
      </w:r>
      <w:r>
        <w:rPr>
          <w:rFonts w:hint="eastAsia" w:ascii="仿宋" w:hAnsi="仿宋" w:eastAsia="仿宋" w:cs="仿宋"/>
          <w:sz w:val="24"/>
        </w:rPr>
        <w:t>11.7万元（壹拾壹万柒仟元整）</w:t>
      </w:r>
    </w:p>
    <w:p>
      <w:pPr>
        <w:spacing w:line="500" w:lineRule="exact"/>
        <w:ind w:firstLine="482" w:firstLineChars="200"/>
        <w:outlineLvl w:val="1"/>
        <w:rPr>
          <w:rFonts w:ascii="仿宋" w:hAnsi="仿宋" w:eastAsia="仿宋" w:cs="仿宋"/>
          <w:b/>
          <w:bCs/>
          <w:sz w:val="24"/>
        </w:rPr>
      </w:pPr>
      <w:bookmarkStart w:id="548" w:name="_Toc13101"/>
      <w:bookmarkStart w:id="549" w:name="_Toc8882"/>
      <w:bookmarkStart w:id="550" w:name="_Toc22945"/>
      <w:bookmarkStart w:id="551" w:name="_Toc15511"/>
      <w:r>
        <w:rPr>
          <w:rFonts w:hint="eastAsia" w:ascii="仿宋" w:hAnsi="仿宋" w:eastAsia="仿宋" w:cs="仿宋"/>
          <w:b/>
          <w:bCs/>
          <w:sz w:val="24"/>
        </w:rPr>
        <w:t>二、监理项目概况</w:t>
      </w:r>
      <w:bookmarkEnd w:id="548"/>
      <w:bookmarkEnd w:id="549"/>
      <w:bookmarkEnd w:id="550"/>
      <w:bookmarkEnd w:id="551"/>
    </w:p>
    <w:p>
      <w:pPr>
        <w:autoSpaceDE w:val="0"/>
        <w:autoSpaceDN w:val="0"/>
        <w:adjustRightInd w:val="0"/>
        <w:snapToGrid w:val="0"/>
        <w:spacing w:line="560" w:lineRule="exact"/>
        <w:ind w:firstLine="480" w:firstLineChars="200"/>
        <w:rPr>
          <w:rFonts w:ascii="仿宋" w:hAnsi="仿宋" w:eastAsia="仿宋" w:cs="仿宋"/>
          <w:color w:val="0D0D0D"/>
          <w:sz w:val="24"/>
        </w:rPr>
      </w:pPr>
      <w:r>
        <w:rPr>
          <w:rFonts w:hint="eastAsia" w:ascii="仿宋" w:hAnsi="仿宋" w:eastAsia="仿宋" w:cs="仿宋"/>
          <w:sz w:val="24"/>
        </w:rPr>
        <w:t>防治区位于吐鲁番市高昌区七泉湖镇煤窑沟村，行政区划属七泉湖镇。中心地理坐标为东经89°23′30.8″，北纬43°09′43.7″。</w:t>
      </w:r>
    </w:p>
    <w:p>
      <w:pPr>
        <w:spacing w:line="560" w:lineRule="exact"/>
        <w:ind w:firstLine="482" w:firstLineChars="200"/>
        <w:rPr>
          <w:rFonts w:ascii="仿宋" w:hAnsi="仿宋" w:eastAsia="仿宋" w:cs="仿宋"/>
          <w:b/>
          <w:sz w:val="24"/>
          <w:u w:val="single"/>
        </w:rPr>
      </w:pPr>
      <w:r>
        <w:rPr>
          <w:rFonts w:hint="eastAsia" w:ascii="仿宋" w:hAnsi="仿宋" w:eastAsia="仿宋" w:cs="仿宋"/>
          <w:b/>
          <w:sz w:val="24"/>
          <w:u w:val="single"/>
        </w:rPr>
        <w:t>监理项目以批准的监理规划、监理实施细则确定的为准。</w:t>
      </w:r>
    </w:p>
    <w:p>
      <w:pPr>
        <w:spacing w:line="560" w:lineRule="exact"/>
        <w:ind w:firstLine="482" w:firstLineChars="200"/>
        <w:outlineLvl w:val="1"/>
        <w:rPr>
          <w:rFonts w:ascii="仿宋" w:hAnsi="仿宋" w:eastAsia="仿宋" w:cs="仿宋"/>
          <w:b/>
          <w:bCs/>
          <w:sz w:val="24"/>
        </w:rPr>
      </w:pPr>
      <w:r>
        <w:rPr>
          <w:rFonts w:hint="eastAsia" w:ascii="仿宋" w:hAnsi="仿宋" w:eastAsia="仿宋" w:cs="仿宋"/>
          <w:b/>
          <w:bCs/>
          <w:sz w:val="24"/>
        </w:rPr>
        <w:t xml:space="preserve"> </w:t>
      </w:r>
      <w:bookmarkStart w:id="552" w:name="_Toc1001"/>
      <w:bookmarkStart w:id="553" w:name="_Toc16896"/>
      <w:bookmarkStart w:id="554" w:name="_Toc11572"/>
      <w:bookmarkStart w:id="555" w:name="_Toc7944"/>
      <w:r>
        <w:rPr>
          <w:rFonts w:hint="eastAsia" w:ascii="仿宋" w:hAnsi="仿宋" w:eastAsia="仿宋" w:cs="仿宋"/>
          <w:b/>
          <w:bCs/>
          <w:sz w:val="24"/>
        </w:rPr>
        <w:t>三、监理主要内容</w:t>
      </w:r>
      <w:bookmarkEnd w:id="552"/>
      <w:bookmarkEnd w:id="553"/>
      <w:bookmarkEnd w:id="554"/>
      <w:bookmarkEnd w:id="555"/>
    </w:p>
    <w:p>
      <w:pPr>
        <w:spacing w:line="560" w:lineRule="exact"/>
        <w:ind w:firstLine="480" w:firstLineChars="200"/>
        <w:rPr>
          <w:rFonts w:ascii="仿宋" w:hAnsi="仿宋" w:eastAsia="仿宋" w:cs="仿宋"/>
          <w:sz w:val="24"/>
        </w:rPr>
      </w:pPr>
      <w:bookmarkStart w:id="556" w:name="（一）目标"/>
      <w:bookmarkEnd w:id="556"/>
      <w:r>
        <w:rPr>
          <w:rFonts w:hint="eastAsia" w:ascii="仿宋" w:hAnsi="仿宋" w:eastAsia="仿宋" w:cs="仿宋"/>
          <w:sz w:val="24"/>
        </w:rPr>
        <w:t xml:space="preserve">（一）目标 </w:t>
      </w:r>
      <w:bookmarkStart w:id="557" w:name="通过项目监理工作的实施，达到项目的工期目标、质量目标及安全目标。"/>
      <w:bookmarkEnd w:id="557"/>
    </w:p>
    <w:p>
      <w:pPr>
        <w:spacing w:line="360" w:lineRule="auto"/>
        <w:ind w:firstLine="480" w:firstLineChars="200"/>
        <w:rPr>
          <w:rFonts w:ascii="仿宋" w:hAnsi="仿宋" w:eastAsia="仿宋" w:cs="仿宋"/>
          <w:sz w:val="24"/>
        </w:rPr>
      </w:pPr>
      <w:r>
        <w:rPr>
          <w:rFonts w:hint="eastAsia" w:ascii="仿宋" w:hAnsi="仿宋" w:eastAsia="仿宋" w:cs="仿宋"/>
          <w:sz w:val="24"/>
        </w:rPr>
        <w:t>通过监理工作的实施，达到项目工期目标、质量目标及安全目标。</w:t>
      </w:r>
    </w:p>
    <w:p>
      <w:pPr>
        <w:spacing w:line="360" w:lineRule="auto"/>
        <w:ind w:firstLine="480" w:firstLineChars="200"/>
        <w:rPr>
          <w:rFonts w:ascii="仿宋" w:hAnsi="仿宋" w:eastAsia="仿宋" w:cs="仿宋"/>
          <w:sz w:val="24"/>
        </w:rPr>
      </w:pPr>
      <w:bookmarkStart w:id="558" w:name="（二）任务"/>
      <w:bookmarkEnd w:id="558"/>
      <w:r>
        <w:rPr>
          <w:rFonts w:hint="eastAsia" w:ascii="仿宋" w:hAnsi="仿宋" w:eastAsia="仿宋" w:cs="仿宋"/>
          <w:sz w:val="24"/>
        </w:rPr>
        <w:t>（二）任务</w:t>
      </w:r>
    </w:p>
    <w:p>
      <w:pPr>
        <w:spacing w:line="360" w:lineRule="auto"/>
        <w:ind w:firstLine="480" w:firstLineChars="200"/>
        <w:rPr>
          <w:rFonts w:ascii="仿宋" w:hAnsi="仿宋" w:eastAsia="仿宋" w:cs="仿宋"/>
          <w:sz w:val="24"/>
        </w:rPr>
      </w:pPr>
      <w:bookmarkStart w:id="559" w:name="（三）工作方法和主要技术要求"/>
      <w:bookmarkEnd w:id="559"/>
      <w:r>
        <w:rPr>
          <w:rFonts w:hint="eastAsia" w:ascii="仿宋" w:hAnsi="仿宋" w:eastAsia="仿宋" w:cs="仿宋"/>
          <w:sz w:val="24"/>
        </w:rPr>
        <w:t>1.根据实际需要,防治工程监理主要内容包括对防治项目基础工程、主体工程、警示工程、隐蔽工程、材料抽检试验、初验、终验、资料整理归档等监督检查，做好项目质量、进度、安全与环境保护、保修期、信息管理、工作量审核等各阶段控制及组织协调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2.协助市自然资源局与县自然资源局按时完成项目进度汇总上报工作。</w:t>
      </w:r>
    </w:p>
    <w:p>
      <w:pPr>
        <w:spacing w:line="360" w:lineRule="auto"/>
        <w:ind w:firstLine="480" w:firstLineChars="200"/>
        <w:rPr>
          <w:rFonts w:ascii="仿宋" w:hAnsi="仿宋" w:eastAsia="仿宋" w:cs="仿宋"/>
          <w:sz w:val="24"/>
        </w:rPr>
      </w:pPr>
      <w:r>
        <w:rPr>
          <w:rFonts w:hint="eastAsia" w:ascii="仿宋" w:hAnsi="仿宋" w:eastAsia="仿宋" w:cs="仿宋"/>
          <w:sz w:val="24"/>
        </w:rPr>
        <w:t>3.协助县自然资源局完成项目初验工作。</w:t>
      </w:r>
    </w:p>
    <w:p>
      <w:pPr>
        <w:spacing w:line="360" w:lineRule="auto"/>
        <w:ind w:firstLine="480" w:firstLineChars="200"/>
        <w:rPr>
          <w:rFonts w:ascii="仿宋" w:hAnsi="仿宋" w:eastAsia="仿宋" w:cs="仿宋"/>
          <w:sz w:val="24"/>
        </w:rPr>
      </w:pPr>
      <w:r>
        <w:rPr>
          <w:rFonts w:hint="eastAsia" w:ascii="仿宋" w:hAnsi="仿宋" w:eastAsia="仿宋" w:cs="仿宋"/>
          <w:sz w:val="24"/>
        </w:rPr>
        <w:t>（三）工作方法和主要技术要求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bookmarkStart w:id="560" w:name="1.工作方法"/>
      <w:bookmarkEnd w:id="560"/>
      <w:r>
        <w:rPr>
          <w:rFonts w:hint="eastAsia" w:ascii="仿宋" w:hAnsi="仿宋" w:eastAsia="仿宋" w:cs="仿宋"/>
          <w:sz w:val="24"/>
        </w:rPr>
        <w:t>1.工作方法</w:t>
      </w:r>
    </w:p>
    <w:p>
      <w:pPr>
        <w:spacing w:line="360" w:lineRule="auto"/>
        <w:ind w:firstLine="480" w:firstLineChars="200"/>
        <w:rPr>
          <w:rFonts w:ascii="仿宋" w:hAnsi="仿宋" w:eastAsia="仿宋" w:cs="仿宋"/>
          <w:sz w:val="24"/>
        </w:rPr>
      </w:pPr>
      <w:r>
        <w:rPr>
          <w:rFonts w:hint="eastAsia" w:ascii="仿宋" w:hAnsi="仿宋" w:eastAsia="仿宋" w:cs="仿宋"/>
          <w:sz w:val="24"/>
        </w:rPr>
        <w:t>采用监理巡查、旁站、测量和计量、指令性文件、抽查、现场记录、工序控制、协调及验收签证等工作方法，对建设项目质量、进度、安全及工作量进行控制。监测预警点建设项目应根据项目承担单位工作组情况派驻现场监理人员，每个工作组不少于1人，防治工程项目派驻现场监理人数，应保证每个项目不少于 1 人。</w:t>
      </w:r>
    </w:p>
    <w:p>
      <w:pPr>
        <w:spacing w:line="360" w:lineRule="auto"/>
        <w:ind w:firstLine="480" w:firstLineChars="200"/>
        <w:rPr>
          <w:rFonts w:ascii="仿宋" w:hAnsi="仿宋" w:eastAsia="仿宋" w:cs="仿宋"/>
          <w:sz w:val="24"/>
        </w:rPr>
      </w:pPr>
      <w:bookmarkStart w:id="561" w:name="2.主要技术要求"/>
      <w:bookmarkEnd w:id="561"/>
      <w:r>
        <w:rPr>
          <w:rFonts w:hint="eastAsia" w:ascii="仿宋" w:hAnsi="仿宋" w:eastAsia="仿宋" w:cs="仿宋"/>
          <w:sz w:val="24"/>
        </w:rPr>
        <w:t>2.主要技术要求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（1）《地质灾害防治工程监理规范》（DZ/T 0222-2006）；</w:t>
      </w:r>
    </w:p>
    <w:p>
      <w:pPr>
        <w:spacing w:line="360" w:lineRule="auto"/>
        <w:ind w:firstLine="480" w:firstLineChars="200"/>
        <w:rPr>
          <w:rFonts w:ascii="仿宋" w:hAnsi="仿宋" w:eastAsia="仿宋" w:cs="仿宋"/>
          <w:sz w:val="24"/>
        </w:rPr>
      </w:pPr>
      <w:r>
        <w:rPr>
          <w:rFonts w:hint="eastAsia" w:ascii="仿宋" w:hAnsi="仿宋" w:eastAsia="仿宋" w:cs="仿宋"/>
          <w:sz w:val="24"/>
        </w:rPr>
        <w:t>（2）《建设工程监理规范》（GB/T 50319-2013）；</w:t>
      </w:r>
    </w:p>
    <w:p>
      <w:pPr>
        <w:spacing w:line="360" w:lineRule="auto"/>
        <w:ind w:firstLine="480" w:firstLineChars="200"/>
        <w:rPr>
          <w:rFonts w:ascii="仿宋" w:hAnsi="仿宋" w:eastAsia="仿宋" w:cs="仿宋"/>
          <w:sz w:val="24"/>
        </w:rPr>
      </w:pPr>
      <w:r>
        <w:rPr>
          <w:rFonts w:hint="eastAsia" w:ascii="仿宋" w:hAnsi="仿宋" w:eastAsia="仿宋" w:cs="仿宋"/>
          <w:sz w:val="24"/>
        </w:rPr>
        <w:t>（4）《泥石流灾害防治工程勘查规范》（DZ/T 0220-2006）；</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 泥石流防治工程施工技术规范（ 试 行 ）》（ T/CAGHP 061-2019）；</w:t>
      </w:r>
    </w:p>
    <w:p>
      <w:pPr>
        <w:spacing w:line="360" w:lineRule="auto"/>
        <w:ind w:firstLine="480" w:firstLineChars="200"/>
        <w:rPr>
          <w:rFonts w:ascii="仿宋" w:hAnsi="仿宋" w:eastAsia="仿宋" w:cs="仿宋"/>
          <w:sz w:val="24"/>
        </w:rPr>
      </w:pPr>
      <w:r>
        <w:rPr>
          <w:rFonts w:hint="eastAsia" w:ascii="仿宋" w:hAnsi="仿宋" w:eastAsia="仿宋" w:cs="仿宋"/>
          <w:sz w:val="24"/>
        </w:rPr>
        <w:t>（6）《建筑机械使用安全技术规程》（JGJ 33-2012）；</w:t>
      </w:r>
    </w:p>
    <w:p>
      <w:pPr>
        <w:spacing w:line="360" w:lineRule="auto"/>
        <w:ind w:firstLine="480" w:firstLineChars="200"/>
        <w:rPr>
          <w:rFonts w:ascii="仿宋" w:hAnsi="仿宋" w:eastAsia="仿宋" w:cs="仿宋"/>
          <w:sz w:val="24"/>
        </w:rPr>
      </w:pPr>
      <w:r>
        <w:rPr>
          <w:rFonts w:hint="eastAsia" w:ascii="仿宋" w:hAnsi="仿宋" w:eastAsia="仿宋" w:cs="仿宋"/>
          <w:sz w:val="24"/>
        </w:rPr>
        <w:t>（7）《建设工程施工现场供用电安全规范》（GB50194-2014）；</w:t>
      </w:r>
    </w:p>
    <w:p>
      <w:pPr>
        <w:spacing w:line="360" w:lineRule="auto"/>
        <w:ind w:firstLine="480" w:firstLineChars="200"/>
        <w:rPr>
          <w:rFonts w:ascii="仿宋" w:hAnsi="仿宋" w:eastAsia="仿宋" w:cs="仿宋"/>
          <w:sz w:val="24"/>
        </w:rPr>
      </w:pPr>
      <w:r>
        <w:rPr>
          <w:rFonts w:hint="eastAsia" w:ascii="仿宋" w:hAnsi="仿宋" w:eastAsia="仿宋" w:cs="仿宋"/>
          <w:sz w:val="24"/>
        </w:rPr>
        <w:t>（8）《地质灾害防治工程监理预算标准》（T/CAGHP 015-2018）；</w:t>
      </w:r>
    </w:p>
    <w:p>
      <w:pPr>
        <w:spacing w:line="360" w:lineRule="auto"/>
        <w:ind w:firstLine="480" w:firstLineChars="200"/>
        <w:rPr>
          <w:rFonts w:ascii="仿宋" w:hAnsi="仿宋" w:eastAsia="仿宋" w:cs="仿宋"/>
          <w:sz w:val="24"/>
        </w:rPr>
      </w:pPr>
      <w:r>
        <w:rPr>
          <w:rFonts w:hint="eastAsia" w:ascii="仿宋" w:hAnsi="仿宋" w:eastAsia="仿宋" w:cs="仿宋"/>
          <w:sz w:val="24"/>
        </w:rPr>
        <w:t>（9）其他有关规范、规程和技术要求。</w:t>
      </w:r>
      <w:bookmarkStart w:id="562" w:name="四、地质灾害专项勘查预期提交的监理文件"/>
      <w:bookmarkEnd w:id="562"/>
    </w:p>
    <w:p>
      <w:pPr>
        <w:spacing w:line="360" w:lineRule="auto"/>
        <w:ind w:firstLine="482" w:firstLineChars="200"/>
        <w:outlineLvl w:val="1"/>
        <w:rPr>
          <w:rFonts w:ascii="仿宋" w:hAnsi="仿宋" w:eastAsia="仿宋" w:cs="仿宋"/>
          <w:b/>
          <w:bCs/>
          <w:sz w:val="24"/>
        </w:rPr>
      </w:pPr>
      <w:bookmarkStart w:id="563" w:name="_Toc25708"/>
      <w:bookmarkStart w:id="564" w:name="_Toc6828"/>
      <w:bookmarkStart w:id="565" w:name="_Toc6984"/>
      <w:bookmarkStart w:id="566" w:name="_Toc27495"/>
      <w:r>
        <w:rPr>
          <w:rFonts w:hint="eastAsia" w:ascii="仿宋" w:hAnsi="仿宋" w:eastAsia="仿宋" w:cs="仿宋"/>
          <w:b/>
          <w:bCs/>
          <w:sz w:val="24"/>
        </w:rPr>
        <w:t>四、预期提交的监理文件</w:t>
      </w:r>
      <w:bookmarkEnd w:id="563"/>
      <w:bookmarkEnd w:id="564"/>
      <w:bookmarkEnd w:id="565"/>
      <w:bookmarkEnd w:id="566"/>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（一）监理设计成果文件 </w:t>
      </w:r>
    </w:p>
    <w:p>
      <w:pPr>
        <w:spacing w:line="360" w:lineRule="auto"/>
        <w:ind w:firstLine="480" w:firstLineChars="200"/>
        <w:rPr>
          <w:rFonts w:ascii="仿宋" w:hAnsi="仿宋" w:eastAsia="仿宋" w:cs="仿宋"/>
          <w:sz w:val="24"/>
        </w:rPr>
      </w:pPr>
      <w:r>
        <w:rPr>
          <w:rFonts w:hint="eastAsia" w:ascii="仿宋" w:hAnsi="仿宋" w:eastAsia="仿宋" w:cs="仿宋"/>
          <w:sz w:val="24"/>
        </w:rPr>
        <w:t>1.《监理规划》；</w:t>
      </w:r>
    </w:p>
    <w:p>
      <w:pPr>
        <w:spacing w:line="360" w:lineRule="auto"/>
        <w:ind w:firstLine="480" w:firstLineChars="200"/>
        <w:rPr>
          <w:rFonts w:ascii="仿宋" w:hAnsi="仿宋" w:eastAsia="仿宋" w:cs="仿宋"/>
          <w:sz w:val="24"/>
        </w:rPr>
      </w:pPr>
      <w:r>
        <w:rPr>
          <w:rFonts w:hint="eastAsia" w:ascii="仿宋" w:hAnsi="仿宋" w:eastAsia="仿宋" w:cs="仿宋"/>
          <w:sz w:val="24"/>
        </w:rPr>
        <w:t>2.《监理实施细则》。</w:t>
      </w:r>
    </w:p>
    <w:p>
      <w:pPr>
        <w:spacing w:line="360" w:lineRule="auto"/>
        <w:ind w:firstLine="240" w:firstLineChars="100"/>
        <w:rPr>
          <w:rFonts w:ascii="仿宋" w:hAnsi="仿宋" w:eastAsia="仿宋" w:cs="仿宋"/>
          <w:sz w:val="24"/>
        </w:rPr>
      </w:pPr>
      <w:r>
        <w:rPr>
          <w:rFonts w:hint="eastAsia" w:ascii="仿宋" w:hAnsi="仿宋" w:eastAsia="仿宋" w:cs="仿宋"/>
          <w:sz w:val="24"/>
        </w:rPr>
        <w:t>（二）监理成果总结性文件</w:t>
      </w:r>
    </w:p>
    <w:p>
      <w:pPr>
        <w:spacing w:line="360" w:lineRule="auto"/>
        <w:rPr>
          <w:rFonts w:ascii="仿宋" w:hAnsi="仿宋" w:eastAsia="仿宋" w:cs="仿宋"/>
          <w:sz w:val="24"/>
        </w:rPr>
      </w:pPr>
      <w:r>
        <w:rPr>
          <w:rFonts w:hint="eastAsia" w:ascii="仿宋" w:hAnsi="仿宋" w:eastAsia="仿宋" w:cs="仿宋"/>
          <w:sz w:val="24"/>
        </w:rPr>
        <w:t xml:space="preserve">    1.《监理工作总结》；</w:t>
      </w:r>
    </w:p>
    <w:p>
      <w:pPr>
        <w:spacing w:line="360" w:lineRule="auto"/>
        <w:ind w:firstLine="480" w:firstLineChars="200"/>
        <w:rPr>
          <w:rFonts w:ascii="仿宋" w:hAnsi="仿宋" w:eastAsia="仿宋" w:cs="仿宋"/>
          <w:sz w:val="24"/>
        </w:rPr>
      </w:pPr>
      <w:r>
        <w:rPr>
          <w:rFonts w:hint="eastAsia" w:ascii="仿宋" w:hAnsi="仿宋" w:eastAsia="仿宋" w:cs="仿宋"/>
          <w:sz w:val="24"/>
        </w:rPr>
        <w:t>2.《监理质量评估报告》；</w:t>
      </w:r>
    </w:p>
    <w:p>
      <w:pPr>
        <w:spacing w:line="360" w:lineRule="auto"/>
        <w:ind w:firstLine="480" w:firstLineChars="200"/>
        <w:rPr>
          <w:rFonts w:ascii="仿宋" w:hAnsi="仿宋" w:eastAsia="仿宋" w:cs="仿宋"/>
          <w:sz w:val="24"/>
        </w:rPr>
      </w:pPr>
      <w:r>
        <w:rPr>
          <w:rFonts w:hint="eastAsia" w:ascii="仿宋" w:hAnsi="仿宋" w:eastAsia="仿宋" w:cs="仿宋"/>
          <w:sz w:val="24"/>
        </w:rPr>
        <w:t>3.《监理工作照片集》。</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（三）实施过程中形成的文件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项目监理日志、监理月报、工地例会纪要、监理工程师通知单及回复单、工程报审表、工程验收文件等。</w:t>
      </w:r>
    </w:p>
    <w:p>
      <w:pPr>
        <w:spacing w:line="360" w:lineRule="auto"/>
        <w:ind w:firstLine="482" w:firstLineChars="200"/>
        <w:outlineLvl w:val="1"/>
        <w:rPr>
          <w:rFonts w:ascii="仿宋" w:hAnsi="仿宋" w:eastAsia="仿宋" w:cs="仿宋"/>
          <w:b/>
          <w:bCs/>
          <w:sz w:val="24"/>
        </w:rPr>
      </w:pPr>
      <w:bookmarkStart w:id="567" w:name="_Toc1662"/>
      <w:bookmarkStart w:id="568" w:name="_Toc25564"/>
      <w:bookmarkStart w:id="569" w:name="_Toc13437"/>
      <w:bookmarkStart w:id="570" w:name="_Toc30179"/>
      <w:r>
        <w:rPr>
          <w:rFonts w:hint="eastAsia" w:ascii="仿宋" w:hAnsi="仿宋" w:eastAsia="仿宋" w:cs="仿宋"/>
          <w:b/>
          <w:bCs/>
          <w:sz w:val="24"/>
        </w:rPr>
        <w:t>五、监理汇交资料目录</w:t>
      </w:r>
      <w:bookmarkEnd w:id="567"/>
      <w:bookmarkEnd w:id="568"/>
      <w:bookmarkEnd w:id="569"/>
      <w:bookmarkEnd w:id="570"/>
    </w:p>
    <w:p>
      <w:pPr>
        <w:spacing w:line="360" w:lineRule="auto"/>
        <w:ind w:firstLine="480" w:firstLineChars="200"/>
        <w:rPr>
          <w:rFonts w:ascii="仿宋" w:hAnsi="仿宋" w:eastAsia="仿宋" w:cs="仿宋"/>
          <w:sz w:val="24"/>
        </w:rPr>
      </w:pPr>
      <w:r>
        <w:rPr>
          <w:rFonts w:hint="eastAsia" w:ascii="仿宋" w:hAnsi="仿宋" w:eastAsia="仿宋" w:cs="仿宋"/>
          <w:sz w:val="24"/>
        </w:rPr>
        <w:t>监理资料整理应按照相关规范进行。</w:t>
      </w:r>
    </w:p>
    <w:p>
      <w:pPr>
        <w:spacing w:line="360" w:lineRule="auto"/>
        <w:ind w:firstLine="480" w:firstLineChars="200"/>
        <w:rPr>
          <w:rFonts w:ascii="仿宋" w:hAnsi="仿宋" w:eastAsia="仿宋" w:cs="仿宋"/>
          <w:sz w:val="24"/>
        </w:rPr>
      </w:pPr>
      <w:r>
        <w:rPr>
          <w:rFonts w:hint="eastAsia" w:ascii="仿宋" w:hAnsi="仿宋" w:eastAsia="仿宋" w:cs="仿宋"/>
          <w:sz w:val="24"/>
        </w:rPr>
        <w:t>（一）监理规划、项目监理实施细则</w:t>
      </w:r>
    </w:p>
    <w:p>
      <w:pPr>
        <w:spacing w:line="360" w:lineRule="auto"/>
        <w:ind w:firstLine="480" w:firstLineChars="200"/>
        <w:rPr>
          <w:rFonts w:ascii="仿宋" w:hAnsi="仿宋" w:eastAsia="仿宋" w:cs="仿宋"/>
          <w:sz w:val="24"/>
        </w:rPr>
      </w:pPr>
      <w:r>
        <w:rPr>
          <w:rFonts w:hint="eastAsia" w:ascii="仿宋" w:hAnsi="仿宋" w:eastAsia="仿宋" w:cs="仿宋"/>
          <w:sz w:val="24"/>
        </w:rPr>
        <w:t>（二）监理工作总结</w:t>
      </w:r>
    </w:p>
    <w:p>
      <w:pPr>
        <w:spacing w:line="360" w:lineRule="auto"/>
        <w:ind w:firstLine="480" w:firstLineChars="200"/>
        <w:rPr>
          <w:rFonts w:ascii="仿宋" w:hAnsi="仿宋" w:eastAsia="仿宋" w:cs="仿宋"/>
          <w:sz w:val="24"/>
        </w:rPr>
      </w:pPr>
      <w:r>
        <w:rPr>
          <w:rFonts w:hint="eastAsia" w:ascii="仿宋" w:hAnsi="仿宋" w:eastAsia="仿宋" w:cs="仿宋"/>
          <w:sz w:val="24"/>
        </w:rPr>
        <w:t>（三）监理工作照片集</w:t>
      </w:r>
    </w:p>
    <w:p>
      <w:pPr>
        <w:spacing w:line="360" w:lineRule="auto"/>
        <w:ind w:firstLine="480" w:firstLineChars="200"/>
        <w:rPr>
          <w:rFonts w:ascii="仿宋" w:hAnsi="仿宋" w:eastAsia="仿宋" w:cs="仿宋"/>
          <w:sz w:val="24"/>
        </w:rPr>
      </w:pPr>
      <w:r>
        <w:rPr>
          <w:rFonts w:hint="eastAsia" w:ascii="仿宋" w:hAnsi="仿宋" w:eastAsia="仿宋" w:cs="仿宋"/>
          <w:sz w:val="24"/>
        </w:rPr>
        <w:t>（四）工程质量评估报告</w:t>
      </w:r>
    </w:p>
    <w:p>
      <w:pPr>
        <w:spacing w:line="360" w:lineRule="auto"/>
        <w:ind w:firstLine="480" w:firstLineChars="200"/>
        <w:rPr>
          <w:rFonts w:ascii="仿宋" w:hAnsi="仿宋" w:eastAsia="仿宋" w:cs="仿宋"/>
          <w:sz w:val="24"/>
        </w:rPr>
      </w:pPr>
      <w:r>
        <w:rPr>
          <w:rFonts w:hint="eastAsia" w:ascii="仿宋" w:hAnsi="仿宋" w:eastAsia="仿宋" w:cs="仿宋"/>
          <w:sz w:val="24"/>
        </w:rPr>
        <w:t>（五）项目监理日志</w:t>
      </w:r>
    </w:p>
    <w:p>
      <w:pPr>
        <w:spacing w:line="360" w:lineRule="auto"/>
        <w:ind w:firstLine="480" w:firstLineChars="200"/>
        <w:rPr>
          <w:rFonts w:ascii="仿宋" w:hAnsi="仿宋" w:eastAsia="仿宋" w:cs="仿宋"/>
          <w:sz w:val="24"/>
        </w:rPr>
      </w:pPr>
      <w:r>
        <w:rPr>
          <w:rFonts w:hint="eastAsia" w:ascii="仿宋" w:hAnsi="仿宋" w:eastAsia="仿宋" w:cs="仿宋"/>
          <w:sz w:val="24"/>
        </w:rPr>
        <w:t>（六）监理月报</w:t>
      </w:r>
    </w:p>
    <w:p>
      <w:pPr>
        <w:spacing w:line="360" w:lineRule="auto"/>
        <w:ind w:firstLine="480" w:firstLineChars="200"/>
        <w:rPr>
          <w:rFonts w:ascii="仿宋" w:hAnsi="仿宋" w:eastAsia="仿宋" w:cs="仿宋"/>
          <w:sz w:val="24"/>
        </w:rPr>
      </w:pPr>
      <w:r>
        <w:rPr>
          <w:rFonts w:hint="eastAsia" w:ascii="仿宋" w:hAnsi="仿宋" w:eastAsia="仿宋" w:cs="仿宋"/>
          <w:sz w:val="24"/>
        </w:rPr>
        <w:t>（七）第一次工地例会、工地例会</w:t>
      </w:r>
    </w:p>
    <w:p>
      <w:pPr>
        <w:spacing w:line="360" w:lineRule="auto"/>
        <w:ind w:firstLine="480" w:firstLineChars="200"/>
        <w:rPr>
          <w:rFonts w:ascii="仿宋" w:hAnsi="仿宋" w:eastAsia="仿宋" w:cs="仿宋"/>
          <w:sz w:val="24"/>
        </w:rPr>
      </w:pPr>
      <w:r>
        <w:rPr>
          <w:rFonts w:hint="eastAsia" w:ascii="仿宋" w:hAnsi="仿宋" w:eastAsia="仿宋" w:cs="仿宋"/>
          <w:sz w:val="24"/>
        </w:rPr>
        <w:t>（八）监理工程师通知单、监理工程师回复单</w:t>
      </w:r>
    </w:p>
    <w:p>
      <w:pPr>
        <w:spacing w:line="360" w:lineRule="auto"/>
        <w:ind w:firstLine="480" w:firstLineChars="200"/>
        <w:rPr>
          <w:rFonts w:ascii="仿宋" w:hAnsi="仿宋" w:eastAsia="仿宋" w:cs="仿宋"/>
          <w:sz w:val="24"/>
        </w:rPr>
      </w:pPr>
      <w:r>
        <w:rPr>
          <w:rFonts w:hint="eastAsia" w:ascii="仿宋" w:hAnsi="仿宋" w:eastAsia="仿宋" w:cs="仿宋"/>
          <w:sz w:val="24"/>
        </w:rPr>
        <w:t>（九）工程报审表</w:t>
      </w:r>
    </w:p>
    <w:p>
      <w:pPr>
        <w:spacing w:line="540" w:lineRule="exact"/>
        <w:ind w:firstLine="480" w:firstLineChars="200"/>
        <w:rPr>
          <w:rFonts w:ascii="仿宋" w:hAnsi="仿宋" w:eastAsia="仿宋" w:cs="仿宋"/>
          <w:sz w:val="24"/>
        </w:rPr>
      </w:pPr>
      <w:r>
        <w:rPr>
          <w:rFonts w:hint="eastAsia" w:ascii="仿宋" w:hAnsi="仿宋" w:eastAsia="仿宋" w:cs="仿宋"/>
          <w:sz w:val="24"/>
        </w:rPr>
        <w:t>1.工程开工报审（开工报告报审表、开工报告、施工单位资质、人员资质证书、特种作业人员管理制度、特种作业人员花名册、 特种作业人员证件、施工现场管理检查记录）</w:t>
      </w:r>
    </w:p>
    <w:p>
      <w:pPr>
        <w:spacing w:line="540" w:lineRule="exact"/>
        <w:ind w:firstLine="480" w:firstLineChars="200"/>
        <w:rPr>
          <w:rFonts w:ascii="仿宋" w:hAnsi="仿宋" w:eastAsia="仿宋" w:cs="仿宋"/>
          <w:sz w:val="24"/>
        </w:rPr>
      </w:pPr>
      <w:r>
        <w:rPr>
          <w:rFonts w:hint="eastAsia" w:ascii="仿宋" w:hAnsi="仿宋" w:eastAsia="仿宋" w:cs="仿宋"/>
          <w:sz w:val="24"/>
        </w:rPr>
        <w:t>2.工程进度计划报审（总进度报审表、总进度计划、月进度 报审表 月进度计划、旬进度计划报审表、旬进度计划）</w:t>
      </w:r>
    </w:p>
    <w:p>
      <w:pPr>
        <w:spacing w:line="540" w:lineRule="exact"/>
        <w:ind w:firstLine="480" w:firstLineChars="200"/>
        <w:rPr>
          <w:rFonts w:ascii="仿宋" w:hAnsi="仿宋" w:eastAsia="仿宋" w:cs="仿宋"/>
          <w:sz w:val="24"/>
        </w:rPr>
      </w:pPr>
      <w:r>
        <w:rPr>
          <w:rFonts w:hint="eastAsia" w:ascii="仿宋" w:hAnsi="仿宋" w:eastAsia="仿宋" w:cs="仿宋"/>
          <w:sz w:val="24"/>
        </w:rPr>
        <w:t>（十）工程验收文件</w:t>
      </w:r>
    </w:p>
    <w:p>
      <w:pPr>
        <w:spacing w:line="540" w:lineRule="exact"/>
        <w:ind w:firstLine="480" w:firstLineChars="200"/>
        <w:rPr>
          <w:rFonts w:ascii="仿宋" w:hAnsi="仿宋" w:eastAsia="仿宋" w:cs="仿宋"/>
          <w:sz w:val="24"/>
        </w:rPr>
      </w:pPr>
      <w:r>
        <w:rPr>
          <w:rFonts w:hint="eastAsia" w:ascii="仿宋" w:hAnsi="仿宋" w:eastAsia="仿宋" w:cs="仿宋"/>
          <w:sz w:val="24"/>
        </w:rPr>
        <w:t>1.工程竣工验收报验表 （竣工报验申请表、单位工程质量验收文件目录、单位工程质量控制资料记录、单位工程观感质量检查记录、单位质量竣工验收记录）</w:t>
      </w:r>
    </w:p>
    <w:p>
      <w:pPr>
        <w:spacing w:line="540" w:lineRule="exact"/>
        <w:ind w:firstLine="480" w:firstLineChars="200"/>
        <w:rPr>
          <w:rFonts w:ascii="仿宋" w:hAnsi="仿宋" w:eastAsia="仿宋" w:cs="仿宋"/>
          <w:sz w:val="24"/>
        </w:rPr>
      </w:pPr>
      <w:r>
        <w:rPr>
          <w:rFonts w:hint="eastAsia" w:ascii="仿宋" w:hAnsi="仿宋" w:eastAsia="仿宋" w:cs="仿宋"/>
          <w:sz w:val="24"/>
        </w:rPr>
        <w:t>2.工程竣工报审（自检报告、工程竣工报告）</w:t>
      </w:r>
    </w:p>
    <w:p>
      <w:pPr>
        <w:spacing w:line="540" w:lineRule="exact"/>
        <w:ind w:firstLine="480" w:firstLineChars="200"/>
        <w:rPr>
          <w:rFonts w:ascii="仿宋" w:hAnsi="仿宋" w:eastAsia="仿宋" w:cs="仿宋"/>
          <w:sz w:val="24"/>
        </w:rPr>
      </w:pPr>
      <w:r>
        <w:rPr>
          <w:rFonts w:hint="eastAsia" w:ascii="仿宋" w:hAnsi="仿宋" w:eastAsia="仿宋" w:cs="仿宋"/>
          <w:sz w:val="24"/>
        </w:rPr>
        <w:t>3.监理单位初验意见</w:t>
      </w:r>
    </w:p>
    <w:p>
      <w:pPr>
        <w:spacing w:line="540" w:lineRule="exact"/>
        <w:ind w:firstLine="480" w:firstLineChars="200"/>
        <w:rPr>
          <w:rFonts w:ascii="仿宋" w:hAnsi="仿宋" w:eastAsia="仿宋" w:cs="仿宋"/>
          <w:sz w:val="24"/>
        </w:rPr>
      </w:pPr>
      <w:r>
        <w:rPr>
          <w:rFonts w:hint="eastAsia" w:ascii="仿宋" w:hAnsi="仿宋" w:eastAsia="仿宋" w:cs="仿宋"/>
          <w:sz w:val="24"/>
        </w:rPr>
        <w:t xml:space="preserve">4.局竣工验收意见 </w:t>
      </w:r>
    </w:p>
    <w:p>
      <w:pPr>
        <w:spacing w:line="540" w:lineRule="exact"/>
        <w:ind w:firstLine="480" w:firstLineChars="200"/>
        <w:rPr>
          <w:rFonts w:ascii="仿宋" w:hAnsi="仿宋" w:eastAsia="仿宋" w:cs="仿宋"/>
          <w:sz w:val="24"/>
        </w:rPr>
      </w:pPr>
      <w:r>
        <w:rPr>
          <w:rFonts w:hint="eastAsia" w:ascii="仿宋" w:hAnsi="仿宋" w:eastAsia="仿宋" w:cs="仿宋"/>
          <w:sz w:val="24"/>
        </w:rPr>
        <w:t>监理资料整理归档严格按照《地质资料汇交规范》DZ/T0273及相关管理办法规定执行。最终成果资料应按地质资料汇交要求向吐鲁番市自然资源局汇交纸介质和电子版。</w:t>
      </w:r>
    </w:p>
    <w:p>
      <w:pPr>
        <w:spacing w:line="540" w:lineRule="exact"/>
        <w:ind w:firstLine="482" w:firstLineChars="200"/>
        <w:outlineLvl w:val="1"/>
        <w:rPr>
          <w:rFonts w:ascii="仿宋" w:hAnsi="仿宋" w:eastAsia="仿宋" w:cs="仿宋"/>
          <w:b/>
          <w:bCs/>
          <w:sz w:val="24"/>
        </w:rPr>
      </w:pPr>
      <w:bookmarkStart w:id="571" w:name="_Toc1716"/>
      <w:bookmarkStart w:id="572" w:name="_Toc129"/>
      <w:bookmarkStart w:id="573" w:name="_Toc27087"/>
      <w:bookmarkStart w:id="574" w:name="_Toc26519"/>
      <w:r>
        <w:rPr>
          <w:rFonts w:hint="eastAsia" w:ascii="仿宋" w:hAnsi="仿宋" w:eastAsia="仿宋" w:cs="仿宋"/>
          <w:b/>
          <w:bCs/>
          <w:sz w:val="24"/>
        </w:rPr>
        <w:t>六、工作周期</w:t>
      </w:r>
      <w:bookmarkEnd w:id="571"/>
      <w:bookmarkEnd w:id="572"/>
      <w:bookmarkEnd w:id="573"/>
      <w:bookmarkEnd w:id="574"/>
    </w:p>
    <w:p>
      <w:pPr>
        <w:spacing w:line="540" w:lineRule="exact"/>
        <w:ind w:firstLine="480" w:firstLineChars="200"/>
        <w:rPr>
          <w:rStyle w:val="72"/>
          <w:rFonts w:hint="default" w:ascii="仿宋" w:hAnsi="仿宋" w:eastAsia="仿宋" w:cs="仿宋"/>
          <w:color w:val="auto"/>
          <w:sz w:val="24"/>
          <w:szCs w:val="24"/>
        </w:rPr>
      </w:pPr>
      <w:r>
        <w:rPr>
          <w:rStyle w:val="72"/>
          <w:rFonts w:ascii="仿宋" w:hAnsi="仿宋" w:eastAsia="仿宋" w:cs="仿宋"/>
          <w:color w:val="auto"/>
          <w:sz w:val="24"/>
          <w:szCs w:val="24"/>
        </w:rPr>
        <w:t>同项目施工期一致，</w:t>
      </w:r>
      <w:r>
        <w:rPr>
          <w:rFonts w:hint="eastAsia" w:ascii="仿宋" w:hAnsi="仿宋" w:eastAsia="仿宋" w:cs="仿宋"/>
          <w:color w:val="auto"/>
          <w:sz w:val="24"/>
        </w:rPr>
        <w:t>2023年3月-2024年9月，2023年8月31日前完成野外竣工验收，2023年11月30日前提交全套竣工资料，2024年8月31日前完成工程复验。</w:t>
      </w:r>
    </w:p>
    <w:p>
      <w:pPr>
        <w:keepNext/>
        <w:keepLines/>
        <w:spacing w:line="377" w:lineRule="auto"/>
      </w:pPr>
    </w:p>
    <w:p>
      <w:pPr>
        <w:pStyle w:val="26"/>
      </w:pPr>
    </w:p>
    <w:p>
      <w:pPr>
        <w:pStyle w:val="26"/>
      </w:pPr>
    </w:p>
    <w:p>
      <w:pPr>
        <w:rPr>
          <w:rFonts w:ascii="仿宋" w:hAnsi="仿宋" w:eastAsia="仿宋" w:cs="仿宋"/>
          <w:sz w:val="24"/>
        </w:rPr>
      </w:pPr>
      <w:r>
        <w:rPr>
          <w:rFonts w:hint="eastAsia" w:ascii="仿宋" w:hAnsi="仿宋" w:eastAsia="仿宋" w:cs="仿宋"/>
          <w:sz w:val="24"/>
        </w:rPr>
        <w:br w:type="page"/>
      </w:r>
    </w:p>
    <w:p>
      <w:pPr>
        <w:spacing w:line="240" w:lineRule="atLeast"/>
        <w:jc w:val="center"/>
        <w:outlineLvl w:val="0"/>
        <w:rPr>
          <w:rFonts w:ascii="仿宋" w:hAnsi="仿宋" w:eastAsia="仿宋" w:cs="仿宋"/>
          <w:b/>
          <w:bCs/>
          <w:sz w:val="28"/>
          <w:szCs w:val="28"/>
        </w:rPr>
      </w:pPr>
      <w:r>
        <w:rPr>
          <w:rFonts w:hint="eastAsia" w:ascii="仿宋" w:hAnsi="仿宋" w:eastAsia="仿宋" w:cs="仿宋"/>
          <w:b/>
          <w:bCs/>
          <w:sz w:val="28"/>
          <w:szCs w:val="28"/>
        </w:rPr>
        <w:t xml:space="preserve">  </w:t>
      </w:r>
      <w:bookmarkStart w:id="575" w:name="_Toc317"/>
      <w:bookmarkStart w:id="576" w:name="_Toc23036"/>
      <w:bookmarkStart w:id="577" w:name="_Toc32557"/>
      <w:r>
        <w:rPr>
          <w:rFonts w:hint="eastAsia" w:ascii="仿宋" w:hAnsi="仿宋" w:eastAsia="仿宋" w:cs="仿宋"/>
          <w:b/>
          <w:bCs/>
          <w:sz w:val="28"/>
          <w:szCs w:val="28"/>
        </w:rPr>
        <w:t>第6章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578" w:name="_Toc10220"/>
      <w:bookmarkStart w:id="579" w:name="_Toc507399907"/>
      <w:bookmarkStart w:id="580" w:name="_Toc518923127"/>
      <w:r>
        <w:rPr>
          <w:rFonts w:hint="eastAsia" w:ascii="仿宋" w:hAnsi="仿宋" w:eastAsia="仿宋" w:cs="仿宋"/>
          <w:b/>
          <w:bCs/>
          <w:sz w:val="28"/>
          <w:szCs w:val="28"/>
        </w:rPr>
        <w:t>评标方法和标准</w:t>
      </w:r>
      <w:bookmarkEnd w:id="540"/>
      <w:bookmarkEnd w:id="541"/>
      <w:bookmarkEnd w:id="542"/>
      <w:bookmarkEnd w:id="575"/>
      <w:bookmarkEnd w:id="576"/>
      <w:bookmarkEnd w:id="577"/>
      <w:bookmarkEnd w:id="578"/>
      <w:bookmarkEnd w:id="579"/>
      <w:bookmarkEnd w:id="580"/>
    </w:p>
    <w:p>
      <w:pPr>
        <w:pStyle w:val="2"/>
        <w:tabs>
          <w:tab w:val="clear" w:pos="567"/>
        </w:tabs>
        <w:spacing w:before="0" w:line="240" w:lineRule="atLeast"/>
        <w:ind w:firstLine="540" w:firstLineChars="225"/>
        <w:rPr>
          <w:rFonts w:ascii="仿宋" w:hAnsi="仿宋" w:eastAsia="仿宋" w:cs="仿宋"/>
        </w:rPr>
      </w:pPr>
    </w:p>
    <w:p>
      <w:pPr>
        <w:keepNext/>
        <w:keepLines/>
        <w:autoSpaceDE w:val="0"/>
        <w:autoSpaceDN w:val="0"/>
        <w:adjustRightInd w:val="0"/>
        <w:spacing w:line="240" w:lineRule="atLeast"/>
        <w:ind w:firstLine="562" w:firstLineChars="200"/>
        <w:rPr>
          <w:rFonts w:ascii="仿宋" w:hAnsi="仿宋" w:eastAsia="仿宋" w:cs="仿宋"/>
          <w:b/>
          <w:bCs/>
          <w:sz w:val="28"/>
          <w:szCs w:val="36"/>
        </w:rPr>
      </w:pPr>
      <w:r>
        <w:rPr>
          <w:rFonts w:hint="eastAsia" w:ascii="仿宋" w:hAnsi="仿宋" w:eastAsia="仿宋" w:cs="仿宋"/>
          <w:b/>
          <w:bCs/>
          <w:sz w:val="28"/>
          <w:szCs w:val="36"/>
        </w:rPr>
        <w:t>本项目将按照采购文件第一章供应商须知中“五 开标及评标”、“六 确定中标”及本章的规定评标。</w:t>
      </w:r>
    </w:p>
    <w:p>
      <w:pPr>
        <w:pStyle w:val="2"/>
        <w:tabs>
          <w:tab w:val="clear" w:pos="567"/>
        </w:tabs>
        <w:spacing w:before="100" w:beforeAutospacing="1" w:after="100" w:afterAutospacing="1" w:line="240" w:lineRule="atLeast"/>
        <w:ind w:left="1080" w:leftChars="257" w:hanging="540"/>
        <w:outlineLvl w:val="1"/>
        <w:rPr>
          <w:rFonts w:ascii="仿宋" w:hAnsi="仿宋" w:eastAsia="仿宋" w:cs="仿宋"/>
          <w:iCs/>
          <w:sz w:val="28"/>
          <w:szCs w:val="28"/>
        </w:rPr>
      </w:pPr>
      <w:bookmarkStart w:id="581" w:name="_Toc22552"/>
      <w:bookmarkStart w:id="582" w:name="_Toc29353"/>
      <w:bookmarkStart w:id="583" w:name="_Toc17502"/>
      <w:bookmarkStart w:id="584" w:name="_Toc20937"/>
      <w:r>
        <w:rPr>
          <w:rFonts w:hint="eastAsia" w:ascii="仿宋" w:hAnsi="仿宋" w:eastAsia="仿宋" w:cs="仿宋"/>
          <w:iCs/>
          <w:sz w:val="28"/>
          <w:szCs w:val="28"/>
        </w:rPr>
        <w:t>（内容包括</w:t>
      </w:r>
      <w:r>
        <w:rPr>
          <w:rFonts w:hint="eastAsia" w:ascii="仿宋" w:hAnsi="仿宋" w:eastAsia="仿宋" w:cs="仿宋"/>
          <w:b/>
          <w:iCs/>
          <w:sz w:val="28"/>
          <w:szCs w:val="28"/>
        </w:rPr>
        <w:t>投标无效</w:t>
      </w:r>
      <w:r>
        <w:rPr>
          <w:rFonts w:hint="eastAsia" w:ascii="仿宋" w:hAnsi="仿宋" w:eastAsia="仿宋" w:cs="仿宋"/>
          <w:iCs/>
          <w:sz w:val="28"/>
          <w:szCs w:val="28"/>
        </w:rPr>
        <w:t>界定和详细评标标准）</w:t>
      </w:r>
      <w:bookmarkEnd w:id="581"/>
      <w:bookmarkEnd w:id="582"/>
      <w:bookmarkEnd w:id="583"/>
      <w:bookmarkEnd w:id="584"/>
    </w:p>
    <w:p>
      <w:pPr>
        <w:pStyle w:val="2"/>
        <w:tabs>
          <w:tab w:val="clear" w:pos="567"/>
        </w:tabs>
        <w:spacing w:before="0" w:line="360" w:lineRule="auto"/>
        <w:ind w:left="-181" w:leftChars="-86" w:firstLine="660" w:firstLineChars="275"/>
        <w:outlineLvl w:val="1"/>
        <w:rPr>
          <w:rFonts w:ascii="仿宋" w:hAnsi="仿宋" w:eastAsia="仿宋" w:cs="仿宋"/>
          <w:kern w:val="0"/>
        </w:rPr>
      </w:pPr>
      <w:bookmarkStart w:id="585" w:name="_Toc4078"/>
      <w:bookmarkStart w:id="586" w:name="_Toc23254"/>
      <w:bookmarkStart w:id="587" w:name="_Toc12174"/>
      <w:r>
        <w:rPr>
          <w:rFonts w:hint="eastAsia" w:ascii="仿宋" w:hAnsi="仿宋" w:eastAsia="仿宋" w:cs="仿宋"/>
          <w:kern w:val="0"/>
        </w:rPr>
        <w:t>1. 总则</w:t>
      </w:r>
      <w:bookmarkEnd w:id="585"/>
      <w:bookmarkEnd w:id="586"/>
      <w:bookmarkEnd w:id="587"/>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1.1 根据《中华人民共和国政府采购法》、《中华人民共和国政府采购法实施条例》、《政府采购货物和服务招标投标管理办法（财政部第87号令）》等法律制度，结合采购项目特点制定本评标办法。</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1.2 评标工作由采购代理机构负责组织，具体评标事务由采购代理机构依法组建的评标委员会负责。评标委员会由采购人代表和有关技术、经济、法律等方面的专家组成。（本项目评标委员会由5人组成，从自然资源厅专家库中随机抽取后在政府采购网按3：1比例自行组建并随机抽取）</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1.3 评标工作应遵循公平、公正、科学及择优的原则，并以相同的评标程序和标准对待所有的供应商。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1.4 评标委员会按照采购文件规定的评标方法和标准进行评标，并独立履行下列职责：</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（一）对供应商的资格性、符合性进行审查；</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（二）审查、评价投标文件是否符合采购文件的商务、技术等实质性要求；</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（三）要求供应商对投标文件有关事项作出澄清或者说明；</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（四）对投标文件进行比较和评价；</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（五）确定中标候选人名单，以及根据采购人委托直接确定中标人；</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（六）向采购人、采购代理机构或者有关部门报告评标中发现的违法行为。</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（七）法律、法规和规章规定的其他职责。</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1.5 评标过程独立、保密。供应商非法干预评标过程的行为将导致其投标文件作为无效处理。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1.6评标委员会评价投标文件的响应性，对于供应商而言，除评标委员会要求其澄清、说明或者更正而提供的资料外，仅依据投标文件本身的内容，不寻求其他外部证据。</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 xml:space="preserve"> 1.7采购人或者采购代理机构负责组织评标工作，并履行下列职责：</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（一）核对评审专家身份和采购人代表信息，对评审专家在政府采购活动中的职责履行情况予以记录，并及时将有关违法违规行为向财政部门报告；</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（二）宣布评标纪律；</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（三）公布供应商名单，告知评审专家应当回避的情形；</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（四）组织评标委员会推选评标组长，采购人代表不得担任组长；</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（五）在评标期间采取必要的通讯管理措施，保证评标活动不受外界干扰；</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（六）根据评标委员会的要求介绍政府采购相关政策法规、采购文件；</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（七）维护评标秩序，监督评标委员会依照采购文件规定的评标程序、方法和标准进行独立评审，及时制止和纠正采购人代表、评审专家的倾向性言论或者违法违规行为；</w:t>
      </w:r>
    </w:p>
    <w:p>
      <w:pPr>
        <w:pStyle w:val="2"/>
        <w:tabs>
          <w:tab w:val="clear" w:pos="567"/>
        </w:tabs>
        <w:spacing w:before="0" w:line="360" w:lineRule="auto"/>
        <w:ind w:firstLine="240" w:firstLineChars="100"/>
        <w:rPr>
          <w:rFonts w:ascii="仿宋" w:hAnsi="仿宋" w:eastAsia="仿宋" w:cs="仿宋"/>
          <w:kern w:val="0"/>
        </w:rPr>
      </w:pPr>
      <w:r>
        <w:rPr>
          <w:rFonts w:hint="eastAsia" w:ascii="仿宋" w:hAnsi="仿宋" w:eastAsia="仿宋" w:cs="仿宋"/>
          <w:kern w:val="0"/>
        </w:rPr>
        <w:t>（八）核对评标结果，有财政部87号令第六十四条规定情形的，要求评标委员会复核或者书面说明理由，评标委员会拒绝的，应予记录并向本级财政部门报告；</w:t>
      </w:r>
    </w:p>
    <w:p>
      <w:pPr>
        <w:pStyle w:val="2"/>
        <w:tabs>
          <w:tab w:val="clear" w:pos="567"/>
        </w:tabs>
        <w:spacing w:before="0" w:line="360" w:lineRule="auto"/>
        <w:rPr>
          <w:rFonts w:ascii="仿宋" w:hAnsi="仿宋" w:eastAsia="仿宋" w:cs="仿宋"/>
          <w:kern w:val="0"/>
        </w:rPr>
      </w:pPr>
      <w:r>
        <w:rPr>
          <w:rFonts w:hint="eastAsia" w:ascii="仿宋" w:hAnsi="仿宋" w:eastAsia="仿宋" w:cs="仿宋"/>
          <w:kern w:val="0"/>
        </w:rPr>
        <w:t>　（九）处理与评标有关的其他事项。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采购人可以在评标前说明项目背景和采购需求，说明内容不得含有歧视性、倾向性意见，不得超出采购文件所述范围。说明应当提交书面材料，并随采购文件一并存档。</w:t>
      </w:r>
    </w:p>
    <w:p>
      <w:pPr>
        <w:pStyle w:val="2"/>
        <w:tabs>
          <w:tab w:val="clear" w:pos="567"/>
        </w:tabs>
        <w:spacing w:before="0" w:line="360" w:lineRule="auto"/>
        <w:ind w:left="-181" w:leftChars="-86" w:firstLine="663" w:firstLineChars="275"/>
        <w:outlineLvl w:val="1"/>
        <w:rPr>
          <w:rFonts w:ascii="仿宋" w:hAnsi="仿宋" w:eastAsia="仿宋" w:cs="仿宋"/>
          <w:b/>
          <w:bCs/>
          <w:kern w:val="0"/>
        </w:rPr>
      </w:pPr>
      <w:bookmarkStart w:id="588" w:name="_Toc27797"/>
      <w:bookmarkStart w:id="589" w:name="_Toc32661"/>
      <w:bookmarkStart w:id="590" w:name="_Toc28769"/>
      <w:r>
        <w:rPr>
          <w:rFonts w:hint="eastAsia" w:ascii="仿宋" w:hAnsi="仿宋" w:eastAsia="仿宋" w:cs="仿宋"/>
          <w:b/>
          <w:bCs/>
          <w:kern w:val="0"/>
        </w:rPr>
        <w:t>2.评标方法</w:t>
      </w:r>
      <w:bookmarkEnd w:id="588"/>
      <w:bookmarkEnd w:id="589"/>
      <w:bookmarkEnd w:id="590"/>
    </w:p>
    <w:p>
      <w:pPr>
        <w:pStyle w:val="27"/>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本项目评标方法为：综合评分法。</w:t>
      </w:r>
      <w:r>
        <w:rPr>
          <w:rFonts w:hint="eastAsia" w:ascii="仿宋" w:hAnsi="仿宋" w:eastAsia="仿宋" w:cs="仿宋"/>
          <w:b/>
          <w:bCs/>
          <w:sz w:val="24"/>
          <w:szCs w:val="24"/>
        </w:rPr>
        <w:t xml:space="preserve">详细评标标准：采用综合评标法，则：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 </w:t>
      </w:r>
    </w:p>
    <w:p>
      <w:pPr>
        <w:pStyle w:val="2"/>
        <w:tabs>
          <w:tab w:val="clear" w:pos="567"/>
        </w:tabs>
        <w:spacing w:before="0" w:line="360" w:lineRule="auto"/>
        <w:ind w:firstLine="482" w:firstLineChars="200"/>
        <w:outlineLvl w:val="1"/>
        <w:rPr>
          <w:rFonts w:ascii="仿宋" w:hAnsi="仿宋" w:eastAsia="仿宋" w:cs="仿宋"/>
          <w:b/>
          <w:bCs/>
          <w:kern w:val="0"/>
        </w:rPr>
      </w:pPr>
      <w:bookmarkStart w:id="591" w:name="_Toc30177"/>
      <w:bookmarkStart w:id="592" w:name="_Toc17928"/>
      <w:bookmarkStart w:id="593" w:name="_Toc20147"/>
      <w:r>
        <w:rPr>
          <w:rFonts w:hint="eastAsia" w:ascii="仿宋" w:hAnsi="仿宋" w:eastAsia="仿宋" w:cs="仿宋"/>
          <w:b/>
          <w:bCs/>
          <w:kern w:val="0"/>
        </w:rPr>
        <w:t>3.评标程序</w:t>
      </w:r>
      <w:bookmarkEnd w:id="591"/>
      <w:bookmarkEnd w:id="592"/>
      <w:bookmarkEnd w:id="593"/>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3.1熟悉和理解采购文件和停止评标。</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3.1.1评标委员会正式评标前，应当对采购文件进行熟悉和理解，内容主要包括采购文件中采购项目技术、规格型号和商务要求、评标方法和标准以及可能涉及签订政府采购合同的内容等。</w:t>
      </w:r>
    </w:p>
    <w:p>
      <w:pPr>
        <w:pStyle w:val="2"/>
        <w:tabs>
          <w:tab w:val="clear" w:pos="567"/>
        </w:tabs>
        <w:spacing w:before="0" w:line="360" w:lineRule="auto"/>
        <w:ind w:left="-199" w:leftChars="-95" w:firstLine="199" w:firstLineChars="83"/>
        <w:rPr>
          <w:rFonts w:ascii="仿宋" w:hAnsi="仿宋" w:eastAsia="仿宋" w:cs="仿宋"/>
          <w:kern w:val="0"/>
        </w:rPr>
      </w:pPr>
      <w:r>
        <w:rPr>
          <w:rFonts w:hint="eastAsia" w:ascii="仿宋" w:hAnsi="仿宋" w:eastAsia="仿宋" w:cs="仿宋"/>
          <w:kern w:val="0"/>
        </w:rPr>
        <w:t xml:space="preserve"> 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3.2资格性检查（见综合评分表前附表）。</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3.3符合性检查（见综合评分表前附表）。</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3.3.1评标委员会依据本采购文件的实质性要求，对符合资格的投标文件进行审查，以确定其是否满足本采购文件的实质性要求。</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3.3.2本项目符合性审查事项仅限于本采购文件的明确规定。投标文件是否满足采购文件的实质性要求，必须以本采购文件的明确规定作为依据，否则，不能对投标文件作为无效处理，评标委员会不得臆测符合性审查事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3.3.3投标文件以骑缝章的形式代替投标文件内容逐页盖章的（但是骑缝章模糊不清，印章名称无法辨认的除外）本项目不作为实质性要求进行规定，即不作为符合性审查事项，不得作为无效投标处理：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3.4比较与评价。按采购文件中规定的评标方法和标准，对未作无效投标处理的投标文件进行技术、型号、商务等方面评估，综合比较与评价。</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3.4.1评标委员会首先按照采购文件要求对投标文件中的供应商资格、供应商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评审完毕，评标委员会根据汇总各供应商的综合得分，按照得分高低进行排序，取前三名作为中标候选人推荐给招标委员会。如果两供应商的得分相同，投标价格低者排在前。</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本项目参数要求、评审内容如有指向性，仅作为招标参考，投标服务不应低于招标要求，如有不符合要求，视为不响应采购文件规定。</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3.5复核。评分汇总结束后，评标委员会应当进行复核，特别要对拟推荐为中标候选供应商的、报价最低的、投标文件被认定为无效的进行重点复核。</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3.6推荐中标候选供应商。中标候选供应商应当排序。</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3.7出具评标报告。评标委员会推荐中标候选供应商后，应当向招标采购单位出具评标报告。评标报告应当包括下列内容：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（一）招标公告刊登的媒体名称、开标日期和地点；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（二）评标委员会成员名单；</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（三）评标方法和标准；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（四）开标记录和评标情况及说明，包括无效供应商名单及原因；</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（五）评标结果，确定的中标候选人名单或者经采购人委托直接确定的中标人；</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（六）其他需要说明的情况，包括评标过程中供应商根据评标委员会要求进行的澄清、说明或者补正，评标委员会成员的更换等。</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3.8评标争议处理规则。评标委员会在评审过程中，对于符合性审查、对供应商投标文件做无效投标处理及其他需要共同认定的事项存在争议的，应当以少数服从多数的原则做出结论，但不得违背法律法规和采购文件规定。有不同意见的评标委员会成员认为认定过程和结果不符合法律法规或者采购文件规定的，应当及时向招标采购单位书面反映。招标采购单位收到书面反映后，应当书面报告采购项目同级财政部门依法处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3.9供应商应当书面澄清、说明或者更正。</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供应商的澄清、说明或者补正不得超出投标文件的范围或者改变投标文件的实质性内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3.9.3评标委员会要求供应商澄清、说明或者更正，不得超出采购文件的范围，不得以此让供应商实质改变投标文件的内容，不得影响供应商公平竞争。本项目下列内容不得澄清：</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（一）按财政部规定应当在评标时不予承认的投标文件内容事项；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（二）投标文件中已经明确的内容事项；</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（三）投标文件未提供的材料。</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3.10评标委员会认为供应商的报价明显低于其他通过符合性审查供应商的报价，有可能影响产品质量或者不能诚信履约的，评标委员会组长在评标现场发起“在线询标”，必要时提交相关证明材料；供应商不能证明其报价合理性的，评标委员会应当将其作为无效投标处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3.11招标采购单位现场复核评标结果。</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3.11.1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tabs>
          <w:tab w:val="clear" w:pos="567"/>
        </w:tabs>
        <w:spacing w:before="0" w:line="360" w:lineRule="auto"/>
        <w:ind w:left="-181" w:leftChars="-86" w:firstLine="663" w:firstLineChars="275"/>
        <w:outlineLvl w:val="1"/>
        <w:rPr>
          <w:rFonts w:ascii="仿宋" w:hAnsi="仿宋" w:eastAsia="仿宋" w:cs="仿宋"/>
          <w:b/>
          <w:bCs/>
          <w:kern w:val="0"/>
        </w:rPr>
      </w:pPr>
      <w:bookmarkStart w:id="594" w:name="_Toc19753"/>
      <w:bookmarkStart w:id="595" w:name="_Toc14616"/>
      <w:bookmarkStart w:id="596" w:name="_Toc975"/>
      <w:r>
        <w:rPr>
          <w:rFonts w:hint="eastAsia" w:ascii="仿宋" w:hAnsi="仿宋" w:eastAsia="仿宋" w:cs="仿宋"/>
          <w:b/>
          <w:bCs/>
          <w:kern w:val="0"/>
        </w:rPr>
        <w:t>4.废标</w:t>
      </w:r>
      <w:bookmarkEnd w:id="594"/>
      <w:bookmarkEnd w:id="595"/>
      <w:bookmarkEnd w:id="596"/>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废标后，采购代理机构应在网上公告。供应商需要知晓导致废标情形的具体原因和理由的，可以通过书面形式询问招标采购单位。</w:t>
      </w:r>
    </w:p>
    <w:p>
      <w:pPr>
        <w:pStyle w:val="2"/>
        <w:tabs>
          <w:tab w:val="clear" w:pos="567"/>
        </w:tabs>
        <w:spacing w:before="0" w:line="360" w:lineRule="auto"/>
        <w:ind w:left="-181" w:leftChars="-86" w:firstLine="660" w:firstLineChars="275"/>
        <w:rPr>
          <w:rFonts w:ascii="仿宋" w:hAnsi="仿宋" w:eastAsia="仿宋" w:cs="仿宋"/>
          <w:b/>
          <w:bCs/>
          <w:kern w:val="0"/>
        </w:rPr>
      </w:pPr>
      <w:r>
        <w:rPr>
          <w:rFonts w:hint="eastAsia" w:ascii="仿宋" w:hAnsi="仿宋" w:eastAsia="仿宋" w:cs="仿宋"/>
          <w:kern w:val="0"/>
        </w:rPr>
        <w:t>对于评标过程中废标的采购项目，评标委员会应当对采购文件是否存在倾向性和歧视性、是否存在不合理条款进行论证，并出具书面论证意见。</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如发现下列情况之一的，其投标将被认定为投标无效：</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①未按采购文件规定的形式和金额提交投标保证金的；</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②未按照采购文件规定要求签署、盖章的；</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③未满足采购文件中技术条款的实质性要求；</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④与其他供应商串通投标，或者与招标人串通投标；</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⑤属于采购文件规定的其他投标无效情形；</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⑥评标委员会认为供应商的报价明显低于其他通过符合性检查供应商的报价，有可能影响履约的，且供应商未按照规定证明其报价合理性的；</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⑦投标文件含有采购人不能接受的附加条件的；</w:t>
      </w:r>
    </w:p>
    <w:p>
      <w:pPr>
        <w:pStyle w:val="2"/>
        <w:tabs>
          <w:tab w:val="clear" w:pos="567"/>
        </w:tabs>
        <w:spacing w:before="0" w:line="360" w:lineRule="auto"/>
        <w:ind w:left="-181" w:leftChars="-86" w:firstLine="663" w:firstLineChars="275"/>
        <w:rPr>
          <w:rFonts w:ascii="仿宋" w:hAnsi="仿宋" w:eastAsia="仿宋" w:cs="仿宋"/>
          <w:b/>
          <w:bCs/>
          <w:kern w:val="0"/>
        </w:rPr>
      </w:pPr>
      <w:r>
        <w:rPr>
          <w:rFonts w:hint="eastAsia" w:ascii="仿宋" w:hAnsi="仿宋" w:eastAsia="仿宋" w:cs="仿宋"/>
          <w:b/>
          <w:bCs/>
          <w:kern w:val="0"/>
        </w:rPr>
        <w:t>⑧不符合法规和采购文件中规定的其他实质性要求的。</w:t>
      </w:r>
    </w:p>
    <w:p>
      <w:pPr>
        <w:pStyle w:val="2"/>
        <w:tabs>
          <w:tab w:val="clear" w:pos="567"/>
        </w:tabs>
        <w:spacing w:before="0" w:line="360" w:lineRule="auto"/>
        <w:ind w:left="-181" w:leftChars="-86" w:firstLine="663" w:firstLineChars="275"/>
        <w:outlineLvl w:val="1"/>
        <w:rPr>
          <w:rFonts w:ascii="仿宋" w:hAnsi="仿宋" w:eastAsia="仿宋" w:cs="仿宋"/>
          <w:b/>
          <w:bCs/>
          <w:kern w:val="0"/>
        </w:rPr>
      </w:pPr>
      <w:bookmarkStart w:id="597" w:name="_Toc6214"/>
      <w:bookmarkStart w:id="598" w:name="_Toc16914"/>
      <w:bookmarkStart w:id="599" w:name="_Toc7412"/>
      <w:r>
        <w:rPr>
          <w:rFonts w:hint="eastAsia" w:ascii="仿宋" w:hAnsi="仿宋" w:eastAsia="仿宋" w:cs="仿宋"/>
          <w:b/>
          <w:bCs/>
          <w:kern w:val="0"/>
        </w:rPr>
        <w:t>5.定标</w:t>
      </w:r>
      <w:bookmarkEnd w:id="597"/>
      <w:bookmarkEnd w:id="598"/>
      <w:bookmarkEnd w:id="599"/>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5.1. 定标原则：由采购人根据评标委员会的推荐意见确定中标供应商。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 定标程序</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5.2.1 评标委员会将评标情况写出书面报告，推荐中标候选供应商。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5.2.2 采购代理机构在评标结束后2个工作日内将采购结果确认单和评标报告发至采购人处。</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5.2.3 采购人在收到后5个工作日内，按照评标报告中推荐的中标候选供应商顺序确定中标供应商。采用综合评分法的，评标结果按投标报价由低到高顺序排列；投标报价相同的并列，投标文件满足采购文件全部实质性要求且投标报价最低的供应商为中标候选供应商；报价相同且满足采购文件全部实质性要求的并列，由采购人自主采取公平、择优的方式选择中标供应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5.2.4 根据采购人确定的中标供应商，采购代理机构在新疆政府采购网上发布中标公告，并自采购人确定中标之日起3个工作日内向中标供应商发出中标通知书。</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5.2.5 招标采购单位不退回供应商投标文件和其他投标资料。</w:t>
      </w:r>
    </w:p>
    <w:p>
      <w:pPr>
        <w:pStyle w:val="2"/>
        <w:tabs>
          <w:tab w:val="clear" w:pos="567"/>
        </w:tabs>
        <w:spacing w:before="0" w:line="360" w:lineRule="auto"/>
        <w:ind w:left="-181" w:leftChars="-86" w:firstLine="663" w:firstLineChars="275"/>
        <w:outlineLvl w:val="1"/>
        <w:rPr>
          <w:rFonts w:ascii="仿宋" w:hAnsi="仿宋" w:eastAsia="仿宋" w:cs="仿宋"/>
          <w:kern w:val="0"/>
        </w:rPr>
      </w:pPr>
      <w:bookmarkStart w:id="600" w:name="_Toc1445"/>
      <w:bookmarkStart w:id="601" w:name="_Toc8056"/>
      <w:bookmarkStart w:id="602" w:name="_Toc28171"/>
      <w:r>
        <w:rPr>
          <w:rFonts w:hint="eastAsia" w:ascii="仿宋" w:hAnsi="仿宋" w:eastAsia="仿宋" w:cs="仿宋"/>
          <w:b/>
          <w:bCs/>
          <w:kern w:val="0"/>
        </w:rPr>
        <w:t>6.详细的评标标准：（具体内容详见综合评分表）</w:t>
      </w:r>
      <w:bookmarkEnd w:id="600"/>
      <w:bookmarkEnd w:id="601"/>
      <w:bookmarkEnd w:id="602"/>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各供应商的价格得分的计算公式：采用低价优先法计算，即满足采购文件要求且投标价格最低的投标报价为评标基准价，其价格分为满分。其他供应商的价格分统一按照下列公式计算：</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投标报价得分=(评标基准价／投标报价)×价格权值</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计算分数时四舍五入取小数点后两位,分数最高不超过10分。由监标人员负责核准每个合格供应商的价格得分。</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注：若为中小企业，其投标报价扣除10%后参与评审，提供相关证明资料，否则无效。</w:t>
      </w:r>
    </w:p>
    <w:p>
      <w:pPr>
        <w:pStyle w:val="2"/>
        <w:tabs>
          <w:tab w:val="clear" w:pos="567"/>
        </w:tabs>
        <w:spacing w:before="0" w:line="360" w:lineRule="auto"/>
        <w:ind w:left="-181" w:leftChars="-86" w:firstLine="660" w:firstLineChars="275"/>
        <w:rPr>
          <w:rFonts w:ascii="仿宋" w:hAnsi="仿宋" w:eastAsia="仿宋" w:cs="仿宋"/>
          <w:kern w:val="0"/>
        </w:rPr>
      </w:pPr>
      <w:r>
        <w:rPr>
          <w:rFonts w:hint="eastAsia" w:ascii="仿宋" w:hAnsi="仿宋" w:eastAsia="仿宋" w:cs="仿宋"/>
          <w:kern w:val="0"/>
        </w:rPr>
        <w:t>标项一</w:t>
      </w:r>
      <w:r>
        <w:rPr>
          <w:rFonts w:hint="eastAsia" w:ascii="仿宋" w:hAnsi="仿宋" w:eastAsia="仿宋" w:cs="仿宋"/>
          <w:kern w:val="0"/>
          <w:lang w:eastAsia="zh-CN"/>
        </w:rPr>
        <w:t>、</w:t>
      </w:r>
      <w:r>
        <w:rPr>
          <w:rFonts w:hint="eastAsia" w:ascii="仿宋" w:hAnsi="仿宋" w:eastAsia="仿宋" w:cs="仿宋"/>
          <w:kern w:val="0"/>
          <w:lang w:val="en-US" w:eastAsia="zh-CN"/>
        </w:rPr>
        <w:t>标项二、标项三、标项四</w:t>
      </w:r>
      <w:r>
        <w:rPr>
          <w:rFonts w:hint="eastAsia" w:ascii="仿宋" w:hAnsi="仿宋" w:eastAsia="仿宋" w:cs="仿宋"/>
          <w:kern w:val="0"/>
        </w:rPr>
        <w:t>技术占70%，商务20%；</w:t>
      </w:r>
    </w:p>
    <w:p>
      <w:pPr>
        <w:pStyle w:val="4"/>
        <w:ind w:firstLine="0" w:firstLineChars="0"/>
        <w:rPr>
          <w:rFonts w:ascii="仿宋" w:hAnsi="仿宋" w:eastAsia="仿宋" w:cs="仿宋"/>
          <w:b/>
          <w:bCs/>
          <w:kern w:val="0"/>
          <w:sz w:val="32"/>
          <w:szCs w:val="32"/>
        </w:rPr>
      </w:pPr>
      <w:bookmarkStart w:id="603" w:name="_Toc507399904"/>
      <w:r>
        <w:rPr>
          <w:rFonts w:hint="eastAsia" w:ascii="仿宋" w:hAnsi="仿宋" w:eastAsia="仿宋" w:cs="仿宋"/>
          <w:b/>
          <w:bCs/>
          <w:kern w:val="0"/>
          <w:sz w:val="32"/>
          <w:szCs w:val="32"/>
        </w:rPr>
        <w:br w:type="page"/>
      </w:r>
    </w:p>
    <w:p>
      <w:pPr>
        <w:jc w:val="center"/>
        <w:outlineLvl w:val="0"/>
      </w:pPr>
      <w:bookmarkStart w:id="604" w:name="_Toc16599"/>
      <w:bookmarkStart w:id="605" w:name="_Toc3511"/>
      <w:bookmarkStart w:id="606" w:name="_Toc4964"/>
      <w:r>
        <w:rPr>
          <w:rFonts w:hint="eastAsia" w:ascii="仿宋" w:hAnsi="仿宋" w:eastAsia="仿宋" w:cs="宋体"/>
          <w:b/>
          <w:bCs/>
          <w:kern w:val="0"/>
          <w:sz w:val="32"/>
          <w:szCs w:val="32"/>
        </w:rPr>
        <w:t>综合评分表</w:t>
      </w:r>
      <w:bookmarkEnd w:id="604"/>
      <w:bookmarkEnd w:id="605"/>
      <w:bookmarkEnd w:id="606"/>
    </w:p>
    <w:p>
      <w:pPr>
        <w:widowControl/>
        <w:jc w:val="center"/>
        <w:outlineLvl w:val="2"/>
        <w:rPr>
          <w:rFonts w:ascii="仿宋" w:hAnsi="仿宋" w:eastAsia="仿宋" w:cs="仿宋"/>
          <w:b/>
          <w:kern w:val="0"/>
          <w:sz w:val="28"/>
          <w:szCs w:val="28"/>
        </w:rPr>
      </w:pPr>
      <w:r>
        <w:rPr>
          <w:rFonts w:hint="eastAsia" w:ascii="仿宋" w:hAnsi="仿宋" w:eastAsia="仿宋" w:cs="仿宋"/>
          <w:b/>
          <w:bCs/>
          <w:kern w:val="0"/>
          <w:sz w:val="28"/>
          <w:szCs w:val="28"/>
        </w:rPr>
        <w:t>资格审查表</w:t>
      </w:r>
    </w:p>
    <w:tbl>
      <w:tblPr>
        <w:tblStyle w:val="36"/>
        <w:tblW w:w="8716" w:type="dxa"/>
        <w:tblInd w:w="113" w:type="dxa"/>
        <w:tblLayout w:type="fixed"/>
        <w:tblCellMar>
          <w:top w:w="0" w:type="dxa"/>
          <w:left w:w="108" w:type="dxa"/>
          <w:bottom w:w="0" w:type="dxa"/>
          <w:right w:w="108" w:type="dxa"/>
        </w:tblCellMar>
      </w:tblPr>
      <w:tblGrid>
        <w:gridCol w:w="740"/>
        <w:gridCol w:w="6114"/>
        <w:gridCol w:w="925"/>
        <w:gridCol w:w="937"/>
      </w:tblGrid>
      <w:tr>
        <w:tblPrEx>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供应商</w:t>
            </w:r>
          </w:p>
        </w:tc>
      </w:tr>
      <w:tr>
        <w:tblPrEx>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有效的营业执照正本或副本；</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2</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重大严重失信记录不得参加本项目</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r>
        <w:tblPrEx>
          <w:tblCellMar>
            <w:top w:w="0" w:type="dxa"/>
            <w:left w:w="108" w:type="dxa"/>
            <w:bottom w:w="0" w:type="dxa"/>
            <w:right w:w="108" w:type="dxa"/>
          </w:tblCellMar>
        </w:tblPrEx>
        <w:trPr>
          <w:trHeight w:val="668"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w:t>
            </w:r>
          </w:p>
        </w:tc>
        <w:tc>
          <w:tcPr>
            <w:tcW w:w="61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提供依法缴纳社会保障资金的良好记录；（需提供近期3个月社保部门出具的投标单位的缴纳社保证明)</w:t>
            </w:r>
          </w:p>
        </w:tc>
        <w:tc>
          <w:tcPr>
            <w:tcW w:w="92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668"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提供税务部门出具近3个月依法缴纳税收的完税证明（依法免缴的，应提供依法免缴的相关证明文件）</w:t>
            </w:r>
          </w:p>
        </w:tc>
        <w:tc>
          <w:tcPr>
            <w:tcW w:w="92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668"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5</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参加政府采购活动前三年内，在经营活动中没有重大违法记录承诺函；</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627"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6</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提供针对本次项目的反商业贿赂承诺书；</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7</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供应商投标标项一和二提供地质灾害</w:t>
            </w:r>
            <w:r>
              <w:rPr>
                <w:rFonts w:hint="eastAsia" w:ascii="仿宋" w:hAnsi="仿宋" w:eastAsia="仿宋" w:cs="仿宋"/>
                <w:color w:val="auto"/>
                <w:kern w:val="0"/>
                <w:sz w:val="22"/>
                <w:szCs w:val="22"/>
              </w:rPr>
              <w:t>治理工程勘查</w:t>
            </w:r>
            <w:r>
              <w:rPr>
                <w:rFonts w:hint="eastAsia" w:ascii="仿宋" w:hAnsi="仿宋" w:eastAsia="仿宋" w:cs="仿宋"/>
                <w:color w:val="auto"/>
                <w:kern w:val="0"/>
                <w:sz w:val="22"/>
                <w:szCs w:val="22"/>
                <w:lang w:val="en-US" w:eastAsia="zh-CN"/>
              </w:rPr>
              <w:t>乙级（含乙级）以上资质</w:t>
            </w:r>
            <w:r>
              <w:rPr>
                <w:rFonts w:hint="eastAsia" w:ascii="仿宋" w:hAnsi="仿宋" w:eastAsia="仿宋" w:cs="仿宋"/>
                <w:color w:val="000000"/>
                <w:kern w:val="0"/>
                <w:sz w:val="22"/>
                <w:szCs w:val="22"/>
              </w:rPr>
              <w:t>证书；标项三提供地质灾害治理工程设计</w:t>
            </w:r>
            <w:r>
              <w:rPr>
                <w:rFonts w:hint="eastAsia" w:ascii="仿宋" w:hAnsi="仿宋" w:eastAsia="仿宋" w:cs="仿宋"/>
                <w:color w:val="auto"/>
                <w:kern w:val="0"/>
                <w:sz w:val="22"/>
                <w:szCs w:val="22"/>
              </w:rPr>
              <w:t>和施工乙级（含乙级）以上资质证书；标项四提供地质灾害防治工程监理乙级（含乙</w:t>
            </w:r>
            <w:r>
              <w:rPr>
                <w:rFonts w:hint="eastAsia" w:ascii="仿宋" w:hAnsi="仿宋" w:eastAsia="仿宋" w:cs="仿宋"/>
                <w:color w:val="000000"/>
                <w:kern w:val="0"/>
                <w:sz w:val="22"/>
                <w:szCs w:val="22"/>
              </w:rPr>
              <w:t>级）以上资质；</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8</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有效的投标保证金缴纳凭证；</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9</w:t>
            </w:r>
          </w:p>
        </w:tc>
        <w:tc>
          <w:tcPr>
            <w:tcW w:w="6114" w:type="dxa"/>
            <w:tcBorders>
              <w:top w:val="nil"/>
              <w:left w:val="nil"/>
              <w:bottom w:val="single" w:color="auto" w:sz="4" w:space="0"/>
              <w:right w:val="single" w:color="auto" w:sz="4" w:space="0"/>
            </w:tcBorders>
            <w:vAlign w:val="center"/>
          </w:tcPr>
          <w:p>
            <w:pPr>
              <w:widowControl/>
              <w:jc w:val="left"/>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供应商为中小企业/小微企业声明函；</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如有）</w:t>
            </w:r>
          </w:p>
        </w:tc>
        <w:tc>
          <w:tcPr>
            <w:tcW w:w="92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联合体协议书（如有）。</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结论</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结论：是否通过评审（须填写通过或不通过）</w:t>
            </w:r>
          </w:p>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注：如有一项不合格，作废标处理。</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c>
          <w:tcPr>
            <w:tcW w:w="93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kern w:val="0"/>
                <w:sz w:val="22"/>
                <w:szCs w:val="22"/>
              </w:rPr>
            </w:pPr>
          </w:p>
        </w:tc>
      </w:tr>
    </w:tbl>
    <w:p>
      <w:pPr>
        <w:rPr>
          <w:rFonts w:ascii="仿宋" w:hAnsi="仿宋" w:eastAsia="仿宋" w:cs="仿宋"/>
        </w:rPr>
      </w:pPr>
    </w:p>
    <w:p>
      <w:r>
        <w:rPr>
          <w:rFonts w:hint="eastAsia"/>
        </w:rPr>
        <w:br w:type="page"/>
      </w:r>
    </w:p>
    <w:p>
      <w:pPr>
        <w:widowControl/>
        <w:jc w:val="center"/>
        <w:outlineLvl w:val="2"/>
        <w:rPr>
          <w:rFonts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836"/>
        <w:gridCol w:w="458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58" w:type="pc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3780" w:type="pct"/>
            <w:gridSpan w:val="2"/>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审核内容</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偏差标记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供应商名称</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与营业执照一致</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投标文件的格式</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投标文件按照采购文件格式完整提供</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3</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投标文件签署</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投标文件的签章符合采购文件规定</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4</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投标报价</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投标报价未超过项目预算</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合同条款</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对采购文件规定的服务条款作出响应</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6</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投标文件制作</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满足采购文件规定</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7</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投标有效期</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满足采购文件规定</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8</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其他</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投标文件未附有采购人不能接受的附加条件及法律、法规和采购文件规定的其他无效情形</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9</w:t>
            </w:r>
          </w:p>
        </w:tc>
        <w:tc>
          <w:tcPr>
            <w:tcW w:w="10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响应实质性条款</w:t>
            </w:r>
          </w:p>
        </w:tc>
        <w:tc>
          <w:tcPr>
            <w:tcW w:w="2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对采购文件实质性条款作出响应</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38"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检查结果</w:t>
            </w:r>
          </w:p>
        </w:tc>
        <w:tc>
          <w:tcPr>
            <w:tcW w:w="7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ascii="仿宋" w:hAnsi="仿宋" w:eastAsia="仿宋" w:cs="仿宋"/>
        </w:rPr>
      </w:pPr>
    </w:p>
    <w:p>
      <w:pPr>
        <w:rPr>
          <w:rFonts w:ascii="仿宋" w:hAnsi="仿宋" w:eastAsia="仿宋" w:cs="仿宋"/>
        </w:rPr>
      </w:pPr>
      <w:r>
        <w:rPr>
          <w:rFonts w:hint="eastAsia" w:ascii="仿宋" w:hAnsi="仿宋" w:eastAsia="仿宋" w:cs="仿宋"/>
        </w:rPr>
        <w:br w:type="page"/>
      </w:r>
    </w:p>
    <w:p>
      <w:pPr>
        <w:spacing w:line="240" w:lineRule="atLeast"/>
        <w:jc w:val="left"/>
        <w:outlineLvl w:val="1"/>
        <w:rPr>
          <w:rFonts w:ascii="楷体" w:hAnsi="楷体" w:eastAsia="楷体" w:cs="楷体"/>
          <w:b/>
          <w:color w:val="000000"/>
          <w:sz w:val="24"/>
        </w:rPr>
      </w:pPr>
      <w:bookmarkStart w:id="607" w:name="_Toc8534"/>
      <w:bookmarkStart w:id="608" w:name="_Toc30462"/>
      <w:bookmarkStart w:id="609" w:name="_Toc20204"/>
      <w:r>
        <w:rPr>
          <w:rFonts w:hint="eastAsia" w:ascii="楷体" w:hAnsi="楷体" w:eastAsia="楷体" w:cs="楷体"/>
          <w:b/>
          <w:color w:val="000000"/>
          <w:sz w:val="24"/>
        </w:rPr>
        <w:t>详细评审表</w:t>
      </w:r>
      <w:bookmarkEnd w:id="607"/>
      <w:bookmarkEnd w:id="608"/>
      <w:bookmarkEnd w:id="609"/>
    </w:p>
    <w:p>
      <w:pPr>
        <w:spacing w:line="360" w:lineRule="auto"/>
        <w:outlineLvl w:val="1"/>
        <w:rPr>
          <w:rFonts w:ascii="楷体" w:hAnsi="楷体" w:eastAsia="楷体" w:cs="楷体"/>
          <w:b/>
          <w:color w:val="000000"/>
          <w:sz w:val="24"/>
        </w:rPr>
      </w:pPr>
      <w:bookmarkStart w:id="610" w:name="_Toc2113"/>
      <w:bookmarkStart w:id="611" w:name="_Toc13903"/>
      <w:bookmarkStart w:id="612" w:name="_Toc31049"/>
      <w:r>
        <w:rPr>
          <w:rFonts w:hint="eastAsia" w:ascii="楷体" w:hAnsi="楷体" w:eastAsia="楷体" w:cs="楷体"/>
          <w:b/>
          <w:color w:val="000000"/>
          <w:sz w:val="24"/>
        </w:rPr>
        <w:t>标项一、二评分标准</w:t>
      </w:r>
      <w:bookmarkEnd w:id="610"/>
      <w:bookmarkEnd w:id="611"/>
      <w:bookmarkEnd w:id="612"/>
    </w:p>
    <w:p>
      <w:pPr>
        <w:tabs>
          <w:tab w:val="right" w:pos="9213"/>
        </w:tabs>
        <w:jc w:val="center"/>
        <w:rPr>
          <w:rFonts w:ascii="仿宋" w:hAnsi="仿宋" w:eastAsia="仿宋" w:cs="仿宋"/>
          <w:b/>
          <w:sz w:val="24"/>
          <w:szCs w:val="20"/>
        </w:rPr>
      </w:pPr>
      <w:bookmarkStart w:id="613" w:name="_Toc27405"/>
      <w:bookmarkStart w:id="614" w:name="_Toc17812"/>
      <w:bookmarkStart w:id="615" w:name="_Toc21584"/>
      <w:r>
        <w:rPr>
          <w:rFonts w:hint="eastAsia" w:ascii="仿宋" w:hAnsi="仿宋" w:eastAsia="仿宋" w:cs="仿宋"/>
          <w:b/>
          <w:sz w:val="24"/>
          <w:szCs w:val="20"/>
        </w:rPr>
        <w:t>商务评分表</w:t>
      </w:r>
      <w:bookmarkEnd w:id="613"/>
      <w:bookmarkEnd w:id="614"/>
      <w:bookmarkEnd w:id="615"/>
    </w:p>
    <w:tbl>
      <w:tblPr>
        <w:tblStyle w:val="36"/>
        <w:tblW w:w="9423" w:type="dxa"/>
        <w:tblInd w:w="0" w:type="dxa"/>
        <w:tblLayout w:type="fixed"/>
        <w:tblCellMar>
          <w:top w:w="0" w:type="dxa"/>
          <w:left w:w="108" w:type="dxa"/>
          <w:bottom w:w="0" w:type="dxa"/>
          <w:right w:w="108" w:type="dxa"/>
        </w:tblCellMar>
      </w:tblPr>
      <w:tblGrid>
        <w:gridCol w:w="457"/>
        <w:gridCol w:w="1340"/>
        <w:gridCol w:w="6745"/>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4"/>
              </w:rPr>
            </w:pPr>
          </w:p>
        </w:tc>
        <w:tc>
          <w:tcPr>
            <w:tcW w:w="6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20分</w:t>
            </w:r>
          </w:p>
        </w:tc>
      </w:tr>
      <w:tr>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送审材料</w:t>
            </w:r>
          </w:p>
        </w:tc>
        <w:tc>
          <w:tcPr>
            <w:tcW w:w="674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适用表式</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编制方法</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w:t>
            </w:r>
          </w:p>
        </w:tc>
      </w:tr>
      <w:tr>
        <w:tblPrEx>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预算标准</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预算内容</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4</w:t>
            </w:r>
          </w:p>
        </w:tc>
      </w:tr>
      <w:tr>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计算和勾稽关系</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1</w:t>
            </w:r>
          </w:p>
        </w:tc>
      </w:tr>
      <w:tr>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与技术方案工作量平衡</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w:t>
            </w:r>
          </w:p>
        </w:tc>
      </w:tr>
      <w:tr>
        <w:tblPrEx>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预算编制说明</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kern w:val="0"/>
                <w:sz w:val="20"/>
                <w:szCs w:val="20"/>
              </w:rPr>
              <w:t>项目投标报价及承诺、项目概况、项目设计预算编制依据、工程方案内容及工作量情况、采用的费用标准和计算方法、工程技术指标分析及需要说明的问题等方面完整4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主要工作业绩</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0"/>
                <w:szCs w:val="20"/>
              </w:rPr>
            </w:pPr>
            <w:r>
              <w:rPr>
                <w:rFonts w:hint="eastAsia" w:ascii="仿宋" w:hAnsi="仿宋" w:eastAsia="仿宋" w:cs="仿宋"/>
                <w:kern w:val="0"/>
                <w:sz w:val="20"/>
                <w:szCs w:val="20"/>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相关承诺</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0"/>
                <w:szCs w:val="20"/>
              </w:rPr>
            </w:pPr>
            <w:r>
              <w:rPr>
                <w:rFonts w:hint="eastAsia" w:ascii="仿宋" w:hAnsi="仿宋" w:eastAsia="仿宋" w:cs="仿宋"/>
                <w:kern w:val="0"/>
                <w:sz w:val="20"/>
                <w:szCs w:val="20"/>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000000"/>
                <w:sz w:val="24"/>
              </w:rPr>
            </w:pPr>
            <w:r>
              <w:rPr>
                <w:rFonts w:hint="eastAsia" w:ascii="仿宋" w:hAnsi="仿宋" w:eastAsia="仿宋" w:cs="仿宋"/>
                <w:b/>
                <w:bCs/>
                <w:color w:val="000000"/>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20</w:t>
            </w:r>
          </w:p>
        </w:tc>
      </w:tr>
    </w:tbl>
    <w:p>
      <w:pPr>
        <w:pStyle w:val="27"/>
      </w:pPr>
    </w:p>
    <w:p>
      <w:pPr>
        <w:spacing w:line="440" w:lineRule="exact"/>
        <w:jc w:val="center"/>
        <w:rPr>
          <w:rFonts w:ascii="仿宋" w:hAnsi="仿宋" w:eastAsia="仿宋" w:cs="仿宋"/>
          <w:sz w:val="24"/>
        </w:rPr>
      </w:pPr>
      <w:r>
        <w:rPr>
          <w:rFonts w:hint="eastAsia" w:ascii="仿宋" w:hAnsi="仿宋" w:eastAsia="仿宋" w:cs="仿宋"/>
          <w:sz w:val="24"/>
        </w:rPr>
        <w:br w:type="page"/>
      </w:r>
    </w:p>
    <w:p>
      <w:pPr>
        <w:tabs>
          <w:tab w:val="right" w:pos="9213"/>
        </w:tabs>
        <w:jc w:val="center"/>
        <w:rPr>
          <w:rFonts w:ascii="仿宋" w:hAnsi="仿宋" w:eastAsia="仿宋" w:cs="仿宋"/>
          <w:b/>
          <w:sz w:val="24"/>
          <w:szCs w:val="20"/>
        </w:rPr>
      </w:pPr>
      <w:bookmarkStart w:id="616" w:name="_Toc24632"/>
      <w:bookmarkStart w:id="617" w:name="_Toc22692"/>
      <w:bookmarkStart w:id="618" w:name="_Toc21762"/>
      <w:r>
        <w:rPr>
          <w:rFonts w:hint="eastAsia" w:ascii="仿宋" w:hAnsi="仿宋" w:eastAsia="仿宋" w:cs="仿宋"/>
          <w:b/>
          <w:sz w:val="24"/>
          <w:szCs w:val="20"/>
        </w:rPr>
        <w:t>技术评分表</w:t>
      </w:r>
      <w:bookmarkEnd w:id="616"/>
      <w:bookmarkEnd w:id="617"/>
      <w:bookmarkEnd w:id="618"/>
    </w:p>
    <w:tbl>
      <w:tblPr>
        <w:tblStyle w:val="36"/>
        <w:tblW w:w="9423" w:type="dxa"/>
        <w:tblInd w:w="0" w:type="dxa"/>
        <w:tblLayout w:type="fixed"/>
        <w:tblCellMar>
          <w:top w:w="0" w:type="dxa"/>
          <w:left w:w="108" w:type="dxa"/>
          <w:bottom w:w="0" w:type="dxa"/>
          <w:right w:w="108" w:type="dxa"/>
        </w:tblCellMar>
      </w:tblPr>
      <w:tblGrid>
        <w:gridCol w:w="457"/>
        <w:gridCol w:w="4895"/>
        <w:gridCol w:w="3190"/>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b/>
                <w:bCs/>
                <w:color w:val="000000"/>
                <w:sz w:val="24"/>
              </w:rPr>
            </w:pP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b/>
                <w:bCs/>
                <w:color w:val="000000"/>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70分</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1</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完全符合要求3.5分；基本符合要求1-2分；不符合0分。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3.5</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2</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资料收集完整、内容全面5-7分；资料收集基本完整、内容基本全面1-4分；无资料收集和阐述内容0分。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7</w:t>
            </w:r>
          </w:p>
        </w:tc>
      </w:tr>
      <w:tr>
        <w:tblPrEx>
          <w:tblCellMar>
            <w:top w:w="0" w:type="dxa"/>
            <w:left w:w="108" w:type="dxa"/>
            <w:bottom w:w="0" w:type="dxa"/>
            <w:right w:w="108" w:type="dxa"/>
          </w:tblCellMar>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3</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工作思路、工作部署、工作量布置、进度安排明确清晰。主要内容包括：</w:t>
            </w:r>
          </w:p>
          <w:p>
            <w:pPr>
              <w:widowControl/>
              <w:numPr>
                <w:ilvl w:val="0"/>
                <w:numId w:val="7"/>
              </w:numPr>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调查、评价和预测滑坡、崩塌、泥石流发展趋势，进行环境工程地质条件区划；</w:t>
            </w:r>
          </w:p>
          <w:p>
            <w:pPr>
              <w:widowControl/>
              <w:numPr>
                <w:ilvl w:val="0"/>
                <w:numId w:val="7"/>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调查潜在和已发生滑坡、崩塌、泥石流等地质灾害点并评估复活性、危险性、危害性，提出防治措施建议；</w:t>
            </w:r>
          </w:p>
          <w:p>
            <w:pPr>
              <w:widowControl/>
              <w:numPr>
                <w:ilvl w:val="0"/>
                <w:numId w:val="7"/>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部署重大单体地质灾害初步勘查，工作部署和量科学合理；</w:t>
            </w:r>
          </w:p>
          <w:p>
            <w:pPr>
              <w:widowControl/>
              <w:numPr>
                <w:ilvl w:val="0"/>
                <w:numId w:val="7"/>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开展地质灾害信息系统建设；</w:t>
            </w:r>
          </w:p>
          <w:p>
            <w:pPr>
              <w:widowControl/>
              <w:numPr>
                <w:ilvl w:val="0"/>
                <w:numId w:val="7"/>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内容全面、合理21分，每缺1项扣3.5分。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4</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工作方法具有针对性，符合技术规范要求，适宜明确10-14分；针对性较好、基本符合规范要5-9分；无针对性、不符合规范要求0分。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14</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5</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绩效目标明确合理。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预期成果与招标任务书要求完全一致5分，基本一致2-4分，完全不一致0分。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5</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6</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预期成果与招标任务书要求完全一致7分，基本一致3-6分，完全不一致0分。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7</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7</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lang w:val="zh-CN"/>
              </w:rPr>
              <w:t>组织管理机构</w:t>
            </w:r>
            <w:r>
              <w:rPr>
                <w:rFonts w:hint="eastAsia" w:ascii="仿宋" w:hAnsi="仿宋" w:eastAsia="仿宋" w:cs="仿宋"/>
                <w:color w:val="000000"/>
                <w:kern w:val="0"/>
                <w:sz w:val="20"/>
                <w:szCs w:val="20"/>
              </w:rPr>
              <w:t>和</w:t>
            </w:r>
            <w:r>
              <w:rPr>
                <w:rFonts w:hint="eastAsia" w:ascii="仿宋" w:hAnsi="仿宋" w:eastAsia="仿宋" w:cs="仿宋"/>
                <w:color w:val="000000"/>
                <w:kern w:val="0"/>
                <w:sz w:val="20"/>
                <w:szCs w:val="20"/>
                <w:lang w:val="zh-CN"/>
              </w:rPr>
              <w:t>主要技术人员配备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kern w:val="0"/>
                <w:sz w:val="20"/>
                <w:szCs w:val="20"/>
              </w:rPr>
              <w:t>管理机构健全明确、项目人员专业组成全面、分工合理4分，基本健全明确、基本全面、合理、基本满足1-3分，无内容0分.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4</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8</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主要设备配置应齐备。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符合项目技术要求、齐备3.5分，基本符合1-3分，不符合0分。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3.5</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9</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5</w:t>
            </w:r>
          </w:p>
        </w:tc>
      </w:tr>
      <w:tr>
        <w:tblPrEx>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b/>
                <w:bCs/>
                <w:color w:val="000000"/>
                <w:sz w:val="20"/>
                <w:szCs w:val="20"/>
              </w:rPr>
            </w:pPr>
            <w:r>
              <w:rPr>
                <w:rFonts w:hint="eastAsia" w:ascii="仿宋" w:hAnsi="仿宋" w:eastAsia="仿宋" w:cs="仿宋"/>
                <w:b/>
                <w:bCs/>
                <w:color w:val="000000"/>
                <w:kern w:val="0"/>
                <w:sz w:val="20"/>
                <w:szCs w:val="20"/>
              </w:rPr>
              <w:t>总得分V</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70</w:t>
            </w:r>
          </w:p>
        </w:tc>
      </w:tr>
    </w:tbl>
    <w:p>
      <w:pPr>
        <w:tabs>
          <w:tab w:val="right" w:pos="9213"/>
        </w:tabs>
        <w:jc w:val="center"/>
        <w:rPr>
          <w:rFonts w:ascii="仿宋" w:hAnsi="仿宋" w:eastAsia="仿宋" w:cs="仿宋"/>
          <w:b/>
          <w:sz w:val="24"/>
          <w:szCs w:val="20"/>
        </w:rPr>
      </w:pPr>
      <w:r>
        <w:rPr>
          <w:rFonts w:hint="eastAsia"/>
        </w:rPr>
        <w:br w:type="page"/>
      </w:r>
    </w:p>
    <w:p>
      <w:pPr>
        <w:tabs>
          <w:tab w:val="right" w:pos="9213"/>
        </w:tabs>
        <w:jc w:val="center"/>
        <w:rPr>
          <w:rFonts w:ascii="仿宋" w:hAnsi="仿宋" w:eastAsia="仿宋" w:cs="仿宋"/>
          <w:b/>
          <w:sz w:val="24"/>
          <w:szCs w:val="20"/>
        </w:rPr>
      </w:pPr>
      <w:bookmarkStart w:id="619" w:name="_Toc18406"/>
      <w:bookmarkStart w:id="620" w:name="_Toc1538"/>
      <w:bookmarkStart w:id="621" w:name="_Toc32388"/>
      <w:bookmarkStart w:id="622" w:name="_Toc32741"/>
      <w:bookmarkStart w:id="623" w:name="_Toc4943"/>
      <w:r>
        <w:rPr>
          <w:rFonts w:hint="eastAsia" w:ascii="仿宋" w:hAnsi="仿宋" w:eastAsia="仿宋" w:cs="仿宋"/>
          <w:b/>
          <w:sz w:val="24"/>
          <w:szCs w:val="20"/>
        </w:rPr>
        <w:t>报价评分表</w:t>
      </w:r>
      <w:bookmarkEnd w:id="619"/>
      <w:bookmarkEnd w:id="620"/>
      <w:bookmarkEnd w:id="621"/>
      <w:bookmarkEnd w:id="622"/>
      <w:bookmarkEnd w:id="623"/>
    </w:p>
    <w:p>
      <w:pPr>
        <w:pStyle w:val="26"/>
      </w:pPr>
    </w:p>
    <w:tbl>
      <w:tblPr>
        <w:tblStyle w:val="3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rPr>
            </w:pPr>
            <w:r>
              <w:rPr>
                <w:rFonts w:hint="eastAsia" w:ascii="仿宋" w:hAnsi="仿宋" w:eastAsia="仿宋" w:cs="仿宋"/>
              </w:rPr>
              <w:t>报价评审</w:t>
            </w:r>
          </w:p>
        </w:tc>
        <w:tc>
          <w:tcPr>
            <w:tcW w:w="681" w:type="dxa"/>
            <w:vAlign w:val="center"/>
          </w:tcPr>
          <w:p>
            <w:pPr>
              <w:jc w:val="center"/>
              <w:rPr>
                <w:rFonts w:ascii="仿宋" w:hAnsi="仿宋" w:eastAsia="仿宋" w:cs="仿宋"/>
              </w:rPr>
            </w:pPr>
            <w:r>
              <w:rPr>
                <w:rFonts w:hint="eastAsia" w:ascii="仿宋" w:hAnsi="仿宋" w:eastAsia="仿宋" w:cs="仿宋"/>
              </w:rPr>
              <w:t>10</w:t>
            </w:r>
          </w:p>
        </w:tc>
        <w:tc>
          <w:tcPr>
            <w:tcW w:w="6698" w:type="dxa"/>
            <w:vAlign w:val="center"/>
          </w:tcPr>
          <w:p>
            <w:pPr>
              <w:spacing w:line="440" w:lineRule="exact"/>
              <w:rPr>
                <w:rFonts w:ascii="仿宋" w:hAnsi="仿宋" w:eastAsia="仿宋" w:cs="仿宋"/>
              </w:rPr>
            </w:pPr>
            <w:r>
              <w:rPr>
                <w:rFonts w:hint="eastAsia" w:ascii="仿宋" w:hAnsi="仿宋" w:eastAsia="仿宋" w:cs="仿宋"/>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rPr>
            </w:pPr>
            <w:r>
              <w:rPr>
                <w:rFonts w:hint="eastAsia" w:ascii="仿宋" w:hAnsi="仿宋" w:eastAsia="仿宋" w:cs="仿宋"/>
              </w:rPr>
              <w:t>报价分合计</w:t>
            </w:r>
          </w:p>
        </w:tc>
        <w:tc>
          <w:tcPr>
            <w:tcW w:w="6698" w:type="dxa"/>
            <w:vAlign w:val="center"/>
          </w:tcPr>
          <w:p>
            <w:pPr>
              <w:jc w:val="center"/>
              <w:rPr>
                <w:rFonts w:ascii="仿宋" w:hAnsi="仿宋" w:eastAsia="仿宋" w:cs="仿宋"/>
              </w:rPr>
            </w:pPr>
            <w:r>
              <w:rPr>
                <w:rFonts w:hint="eastAsia" w:ascii="仿宋" w:hAnsi="仿宋" w:eastAsia="仿宋" w:cs="仿宋"/>
              </w:rPr>
              <w:t>10</w:t>
            </w:r>
          </w:p>
        </w:tc>
      </w:tr>
    </w:tbl>
    <w:p>
      <w:pPr>
        <w:spacing w:line="240" w:lineRule="atLeast"/>
        <w:jc w:val="left"/>
        <w:outlineLvl w:val="1"/>
        <w:rPr>
          <w:rFonts w:ascii="楷体" w:hAnsi="楷体" w:eastAsia="楷体" w:cs="楷体"/>
          <w:b/>
          <w:color w:val="000000"/>
          <w:sz w:val="24"/>
        </w:rPr>
      </w:pPr>
      <w:r>
        <w:rPr>
          <w:rFonts w:hint="eastAsia" w:ascii="楷体" w:hAnsi="楷体" w:eastAsia="楷体" w:cs="楷体"/>
          <w:b/>
          <w:color w:val="FF0000"/>
          <w:sz w:val="24"/>
        </w:rPr>
        <w:br w:type="page"/>
      </w:r>
      <w:bookmarkStart w:id="624" w:name="_Toc1810"/>
      <w:bookmarkStart w:id="625" w:name="_Toc14471"/>
      <w:bookmarkStart w:id="626" w:name="_Toc1094"/>
      <w:r>
        <w:rPr>
          <w:rFonts w:hint="eastAsia" w:ascii="楷体" w:hAnsi="楷体" w:eastAsia="楷体" w:cs="楷体"/>
          <w:b/>
          <w:color w:val="000000"/>
          <w:sz w:val="24"/>
        </w:rPr>
        <w:t>标项三评分标准</w:t>
      </w:r>
      <w:bookmarkEnd w:id="624"/>
      <w:bookmarkEnd w:id="625"/>
      <w:bookmarkEnd w:id="626"/>
    </w:p>
    <w:p>
      <w:pPr>
        <w:tabs>
          <w:tab w:val="right" w:pos="9213"/>
        </w:tabs>
        <w:jc w:val="center"/>
        <w:rPr>
          <w:rFonts w:ascii="仿宋" w:hAnsi="仿宋" w:eastAsia="仿宋" w:cs="仿宋"/>
          <w:b/>
          <w:sz w:val="24"/>
          <w:szCs w:val="20"/>
        </w:rPr>
      </w:pPr>
      <w:bookmarkStart w:id="627" w:name="_Toc26151"/>
      <w:bookmarkStart w:id="628" w:name="_Toc17358"/>
      <w:bookmarkStart w:id="629" w:name="_Toc1728"/>
      <w:r>
        <w:rPr>
          <w:rFonts w:hint="eastAsia" w:ascii="仿宋" w:hAnsi="仿宋" w:eastAsia="仿宋" w:cs="仿宋"/>
          <w:b/>
          <w:sz w:val="24"/>
          <w:szCs w:val="20"/>
        </w:rPr>
        <w:t>商务评分表</w:t>
      </w:r>
      <w:bookmarkEnd w:id="627"/>
      <w:bookmarkEnd w:id="628"/>
      <w:bookmarkEnd w:id="629"/>
    </w:p>
    <w:p>
      <w:pPr>
        <w:pStyle w:val="27"/>
      </w:pPr>
    </w:p>
    <w:tbl>
      <w:tblPr>
        <w:tblStyle w:val="36"/>
        <w:tblW w:w="9423" w:type="dxa"/>
        <w:tblInd w:w="0" w:type="dxa"/>
        <w:tblLayout w:type="fixed"/>
        <w:tblCellMar>
          <w:top w:w="0" w:type="dxa"/>
          <w:left w:w="108" w:type="dxa"/>
          <w:bottom w:w="0" w:type="dxa"/>
          <w:right w:w="108" w:type="dxa"/>
        </w:tblCellMar>
      </w:tblPr>
      <w:tblGrid>
        <w:gridCol w:w="457"/>
        <w:gridCol w:w="1340"/>
        <w:gridCol w:w="6745"/>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4"/>
              </w:rPr>
            </w:pPr>
          </w:p>
        </w:tc>
        <w:tc>
          <w:tcPr>
            <w:tcW w:w="6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20分</w:t>
            </w:r>
          </w:p>
        </w:tc>
      </w:tr>
      <w:tr>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送审材料</w:t>
            </w:r>
          </w:p>
        </w:tc>
        <w:tc>
          <w:tcPr>
            <w:tcW w:w="674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适用表式</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编制方法</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w:t>
            </w:r>
          </w:p>
        </w:tc>
      </w:tr>
      <w:tr>
        <w:tblPrEx>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预算标准</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预算内容</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4</w:t>
            </w:r>
          </w:p>
        </w:tc>
      </w:tr>
      <w:tr>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计算和勾稽关系</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1</w:t>
            </w:r>
          </w:p>
        </w:tc>
      </w:tr>
      <w:tr>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与技术方案工作量平衡</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w:t>
            </w:r>
          </w:p>
        </w:tc>
      </w:tr>
      <w:tr>
        <w:tblPrEx>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预算编制说明</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kern w:val="0"/>
                <w:sz w:val="20"/>
                <w:szCs w:val="20"/>
              </w:rPr>
              <w:t>项目投标报价及承诺、项目概况、项目设计预算编制依据、工程方案内容及工作量情况、采用的费用标准和计算方法、工程技术指标分析及需要说明的问题等方面完整4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主要工作业绩</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0"/>
                <w:szCs w:val="20"/>
              </w:rPr>
            </w:pPr>
            <w:r>
              <w:rPr>
                <w:rFonts w:hint="eastAsia" w:ascii="仿宋" w:hAnsi="仿宋" w:eastAsia="仿宋" w:cs="仿宋"/>
                <w:kern w:val="0"/>
                <w:sz w:val="20"/>
                <w:szCs w:val="20"/>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sz w:val="20"/>
                <w:szCs w:val="20"/>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相关承诺</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0"/>
                <w:szCs w:val="20"/>
              </w:rPr>
            </w:pPr>
            <w:r>
              <w:rPr>
                <w:rFonts w:hint="eastAsia" w:ascii="仿宋" w:hAnsi="仿宋" w:eastAsia="仿宋" w:cs="仿宋"/>
                <w:kern w:val="0"/>
                <w:sz w:val="20"/>
                <w:szCs w:val="20"/>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1</w:t>
            </w:r>
          </w:p>
        </w:tc>
      </w:tr>
      <w:tr>
        <w:tblPrEx>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000000"/>
                <w:sz w:val="24"/>
              </w:rPr>
            </w:pPr>
            <w:r>
              <w:rPr>
                <w:rFonts w:hint="eastAsia" w:ascii="仿宋" w:hAnsi="仿宋" w:eastAsia="仿宋" w:cs="仿宋"/>
                <w:b/>
                <w:bCs/>
                <w:color w:val="000000"/>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20</w:t>
            </w:r>
          </w:p>
        </w:tc>
      </w:tr>
    </w:tbl>
    <w:p>
      <w:pPr>
        <w:spacing w:line="440" w:lineRule="exact"/>
        <w:jc w:val="center"/>
        <w:rPr>
          <w:rFonts w:ascii="仿宋" w:hAnsi="仿宋" w:eastAsia="仿宋" w:cs="仿宋"/>
          <w:sz w:val="24"/>
        </w:rPr>
      </w:pPr>
      <w:r>
        <w:rPr>
          <w:rFonts w:hint="eastAsia" w:ascii="仿宋" w:hAnsi="仿宋" w:eastAsia="仿宋" w:cs="仿宋"/>
          <w:sz w:val="24"/>
        </w:rPr>
        <w:br w:type="page"/>
      </w:r>
    </w:p>
    <w:p>
      <w:pPr>
        <w:tabs>
          <w:tab w:val="right" w:pos="9213"/>
        </w:tabs>
        <w:jc w:val="center"/>
        <w:rPr>
          <w:rFonts w:ascii="仿宋" w:hAnsi="仿宋" w:eastAsia="仿宋" w:cs="仿宋"/>
          <w:b/>
          <w:sz w:val="24"/>
          <w:szCs w:val="20"/>
        </w:rPr>
      </w:pPr>
      <w:bookmarkStart w:id="630" w:name="_Toc8799"/>
      <w:bookmarkStart w:id="631" w:name="_Toc17451"/>
      <w:bookmarkStart w:id="632" w:name="_Toc19788"/>
      <w:r>
        <w:rPr>
          <w:rFonts w:hint="eastAsia" w:ascii="仿宋" w:hAnsi="仿宋" w:eastAsia="仿宋" w:cs="仿宋"/>
          <w:b/>
          <w:sz w:val="24"/>
          <w:szCs w:val="20"/>
        </w:rPr>
        <w:t>技术评分表</w:t>
      </w:r>
      <w:bookmarkEnd w:id="630"/>
      <w:bookmarkEnd w:id="631"/>
      <w:bookmarkEnd w:id="632"/>
    </w:p>
    <w:tbl>
      <w:tblPr>
        <w:tblStyle w:val="36"/>
        <w:tblW w:w="9237" w:type="dxa"/>
        <w:tblInd w:w="0" w:type="dxa"/>
        <w:tblLayout w:type="fixed"/>
        <w:tblCellMar>
          <w:top w:w="0" w:type="dxa"/>
          <w:left w:w="0" w:type="dxa"/>
          <w:bottom w:w="0" w:type="dxa"/>
          <w:right w:w="0" w:type="dxa"/>
        </w:tblCellMar>
      </w:tblPr>
      <w:tblGrid>
        <w:gridCol w:w="576"/>
        <w:gridCol w:w="3766"/>
        <w:gridCol w:w="3760"/>
        <w:gridCol w:w="1135"/>
      </w:tblGrid>
      <w:tr>
        <w:tblPrEx>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满分</w:t>
            </w:r>
          </w:p>
        </w:tc>
      </w:tr>
      <w:tr>
        <w:tblPrEx>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sz w:val="24"/>
              </w:rPr>
            </w:pPr>
          </w:p>
        </w:tc>
        <w:tc>
          <w:tcPr>
            <w:tcW w:w="37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70分</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1</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标书的完整性及与采购文件的响应性。</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完全响应和完整3.5分；部分未响应或不完整1.5-3分；未响应部分份额较大且不完整≤1分。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3.5</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2</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施工设计目标任务、工作内容、工程布置、施工方案、工程量、进度安排的明确清晰程度及合理性；工作方法的可行性、技术要求的明确程度。</w:t>
            </w:r>
          </w:p>
          <w:p>
            <w:pPr>
              <w:widowControl/>
              <w:textAlignment w:val="center"/>
              <w:rPr>
                <w:rFonts w:ascii="仿宋" w:hAnsi="仿宋" w:eastAsia="仿宋" w:cs="仿宋"/>
                <w:sz w:val="20"/>
                <w:szCs w:val="20"/>
              </w:rPr>
            </w:pPr>
            <w:r>
              <w:rPr>
                <w:rFonts w:hint="eastAsia" w:ascii="仿宋" w:hAnsi="仿宋" w:eastAsia="仿宋" w:cs="仿宋"/>
                <w:kern w:val="0"/>
                <w:sz w:val="20"/>
                <w:szCs w:val="20"/>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施工设计目标任务、工作内容、工程布置、施工方案、工程量、进度安排明确合理0—7分；施工图设计齐全0－3.5分；设计指标明确，技术要求全面、明确0—3.5分；设计工作量与采购文件响应0－3.5分；设计图规范、图面美观，设计参数标注齐全完整0－3.5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21</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3</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施工组织设计内容齐全完整0－3.5分；</w:t>
            </w:r>
          </w:p>
          <w:p>
            <w:pPr>
              <w:widowControl/>
              <w:textAlignment w:val="center"/>
              <w:rPr>
                <w:rFonts w:ascii="仿宋" w:hAnsi="仿宋" w:eastAsia="仿宋" w:cs="仿宋"/>
                <w:sz w:val="20"/>
                <w:szCs w:val="20"/>
              </w:rPr>
            </w:pPr>
            <w:r>
              <w:rPr>
                <w:rFonts w:hint="eastAsia" w:ascii="仿宋" w:hAnsi="仿宋" w:eastAsia="仿宋" w:cs="仿宋"/>
                <w:kern w:val="0"/>
                <w:sz w:val="20"/>
                <w:szCs w:val="20"/>
              </w:rPr>
              <w:t>工作方法可行、技术要求明确，工作方法与施工图设计衔接0－7分；技术要求符合项目治理方案和实际，满足相关标准、规范，施工组织严密，并附施工平面图0－7分，安全施工0-1.5分，环保施工0-2分。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21</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4</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预期成果的全面程度。</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预期成果包括治理效果和提交的成果资料全面3.5分；基本全面2-3分；不全面≤1分。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 xml:space="preserve"> 3.5</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5</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保障体系齐全、措施有效7分；保障体系基本齐全、措施基本有效3-6分；保障体系不健全≤2分。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r>
              <w:rPr>
                <w:rFonts w:hint="eastAsia" w:ascii="仿宋" w:hAnsi="仿宋" w:eastAsia="仿宋" w:cs="仿宋"/>
                <w:b/>
                <w:sz w:val="24"/>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6</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人员数量情况0—3分；工种搭配情况0—2分；专业结构情况0—2分。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r>
              <w:rPr>
                <w:rFonts w:hint="eastAsia" w:ascii="仿宋" w:hAnsi="仿宋" w:eastAsia="仿宋" w:cs="仿宋"/>
                <w:b/>
                <w:sz w:val="24"/>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7</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仪器、设备配置</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设备齐全且符合要求3.5分；设备较齐全2-3分；其他情况≤1分。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r>
              <w:rPr>
                <w:rFonts w:hint="eastAsia" w:ascii="仿宋" w:hAnsi="仿宋" w:eastAsia="仿宋" w:cs="仿宋"/>
                <w:b/>
                <w:sz w:val="24"/>
              </w:rPr>
              <w:t>3.5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sz w:val="20"/>
                <w:szCs w:val="20"/>
              </w:rPr>
            </w:pPr>
            <w:r>
              <w:rPr>
                <w:rFonts w:hint="eastAsia" w:ascii="仿宋" w:hAnsi="仿宋" w:eastAsia="仿宋" w:cs="仿宋"/>
                <w:b/>
                <w:kern w:val="0"/>
                <w:sz w:val="20"/>
                <w:szCs w:val="20"/>
              </w:rPr>
              <w:t>8</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sz w:val="20"/>
                <w:szCs w:val="20"/>
              </w:rPr>
            </w:pPr>
            <w:r>
              <w:rPr>
                <w:rFonts w:hint="eastAsia" w:ascii="仿宋" w:hAnsi="仿宋" w:eastAsia="仿宋" w:cs="仿宋"/>
                <w:kern w:val="0"/>
                <w:sz w:val="20"/>
                <w:szCs w:val="20"/>
              </w:rPr>
              <w:t>健全明确3.5分，基本健全明确1-3分，无内容0分。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r>
              <w:rPr>
                <w:rFonts w:hint="eastAsia" w:ascii="仿宋" w:hAnsi="仿宋" w:eastAsia="仿宋" w:cs="仿宋"/>
                <w:b/>
                <w:sz w:val="24"/>
              </w:rPr>
              <w:t>3.5</w:t>
            </w:r>
          </w:p>
        </w:tc>
      </w:tr>
      <w:tr>
        <w:tblPrEx>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b/>
                <w:bCs/>
                <w:color w:val="000000"/>
                <w:kern w:val="0"/>
                <w:sz w:val="24"/>
              </w:rPr>
              <w:t>总得分V</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sz w:val="24"/>
              </w:rPr>
            </w:pPr>
            <w:r>
              <w:rPr>
                <w:rFonts w:hint="eastAsia" w:ascii="仿宋" w:hAnsi="仿宋" w:eastAsia="仿宋" w:cs="仿宋"/>
                <w:b/>
                <w:sz w:val="24"/>
              </w:rPr>
              <w:t>70</w:t>
            </w:r>
          </w:p>
        </w:tc>
      </w:tr>
    </w:tbl>
    <w:p>
      <w:pPr>
        <w:pStyle w:val="26"/>
        <w:rPr>
          <w:rFonts w:ascii="仿宋" w:hAnsi="仿宋" w:eastAsia="仿宋" w:cs="仿宋"/>
        </w:rPr>
      </w:pPr>
    </w:p>
    <w:p/>
    <w:p/>
    <w:p>
      <w:pPr>
        <w:tabs>
          <w:tab w:val="right" w:pos="9213"/>
        </w:tabs>
        <w:jc w:val="center"/>
      </w:pPr>
      <w:r>
        <w:rPr>
          <w:rFonts w:hint="eastAsia"/>
        </w:rPr>
        <w:br w:type="page"/>
      </w:r>
    </w:p>
    <w:p>
      <w:pPr>
        <w:tabs>
          <w:tab w:val="right" w:pos="9213"/>
        </w:tabs>
        <w:jc w:val="center"/>
        <w:rPr>
          <w:rFonts w:ascii="仿宋" w:hAnsi="仿宋" w:eastAsia="仿宋" w:cs="仿宋"/>
          <w:b/>
          <w:sz w:val="24"/>
          <w:szCs w:val="20"/>
        </w:rPr>
      </w:pPr>
      <w:bookmarkStart w:id="633" w:name="_Toc20213"/>
      <w:r>
        <w:rPr>
          <w:rFonts w:hint="eastAsia" w:ascii="仿宋" w:hAnsi="仿宋" w:eastAsia="仿宋" w:cs="仿宋"/>
          <w:b/>
          <w:sz w:val="24"/>
          <w:szCs w:val="20"/>
        </w:rPr>
        <w:t>报价评分表</w:t>
      </w:r>
      <w:bookmarkEnd w:id="633"/>
    </w:p>
    <w:p>
      <w:pPr>
        <w:pStyle w:val="26"/>
      </w:pPr>
    </w:p>
    <w:tbl>
      <w:tblPr>
        <w:tblStyle w:val="3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rPr>
            </w:pPr>
            <w:r>
              <w:rPr>
                <w:rFonts w:hint="eastAsia" w:ascii="仿宋" w:hAnsi="仿宋" w:eastAsia="仿宋" w:cs="仿宋"/>
              </w:rPr>
              <w:t>报价评审</w:t>
            </w:r>
          </w:p>
        </w:tc>
        <w:tc>
          <w:tcPr>
            <w:tcW w:w="681" w:type="dxa"/>
            <w:vAlign w:val="center"/>
          </w:tcPr>
          <w:p>
            <w:pPr>
              <w:jc w:val="center"/>
              <w:rPr>
                <w:rFonts w:ascii="仿宋" w:hAnsi="仿宋" w:eastAsia="仿宋" w:cs="仿宋"/>
              </w:rPr>
            </w:pPr>
            <w:r>
              <w:rPr>
                <w:rFonts w:hint="eastAsia" w:ascii="仿宋" w:hAnsi="仿宋" w:eastAsia="仿宋" w:cs="仿宋"/>
              </w:rPr>
              <w:t>10</w:t>
            </w:r>
          </w:p>
        </w:tc>
        <w:tc>
          <w:tcPr>
            <w:tcW w:w="6698" w:type="dxa"/>
            <w:vAlign w:val="center"/>
          </w:tcPr>
          <w:p>
            <w:pPr>
              <w:spacing w:line="440" w:lineRule="exact"/>
              <w:rPr>
                <w:rFonts w:ascii="仿宋" w:hAnsi="仿宋" w:eastAsia="仿宋" w:cs="仿宋"/>
              </w:rPr>
            </w:pPr>
            <w:r>
              <w:rPr>
                <w:rFonts w:hint="eastAsia" w:ascii="仿宋" w:hAnsi="仿宋" w:eastAsia="仿宋" w:cs="仿宋"/>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rPr>
            </w:pPr>
            <w:r>
              <w:rPr>
                <w:rFonts w:hint="eastAsia" w:ascii="仿宋" w:hAnsi="仿宋" w:eastAsia="仿宋" w:cs="仿宋"/>
              </w:rPr>
              <w:t>报价分合计</w:t>
            </w:r>
          </w:p>
        </w:tc>
        <w:tc>
          <w:tcPr>
            <w:tcW w:w="6698" w:type="dxa"/>
            <w:vAlign w:val="center"/>
          </w:tcPr>
          <w:p>
            <w:pPr>
              <w:jc w:val="center"/>
              <w:rPr>
                <w:rFonts w:ascii="仿宋" w:hAnsi="仿宋" w:eastAsia="仿宋" w:cs="仿宋"/>
              </w:rPr>
            </w:pPr>
            <w:r>
              <w:rPr>
                <w:rFonts w:hint="eastAsia" w:ascii="仿宋" w:hAnsi="仿宋" w:eastAsia="仿宋" w:cs="仿宋"/>
              </w:rPr>
              <w:t>10</w:t>
            </w:r>
          </w:p>
        </w:tc>
      </w:tr>
    </w:tbl>
    <w:p>
      <w:pPr>
        <w:rPr>
          <w:rFonts w:ascii="楷体" w:hAnsi="楷体" w:eastAsia="楷体" w:cs="楷体"/>
          <w:b/>
          <w:color w:val="000000"/>
          <w:sz w:val="24"/>
        </w:rPr>
      </w:pPr>
    </w:p>
    <w:p>
      <w:r>
        <w:br w:type="page"/>
      </w:r>
    </w:p>
    <w:p>
      <w:pPr>
        <w:pStyle w:val="12"/>
      </w:pPr>
    </w:p>
    <w:p>
      <w:pPr>
        <w:spacing w:line="240" w:lineRule="atLeast"/>
        <w:jc w:val="left"/>
        <w:outlineLvl w:val="1"/>
        <w:rPr>
          <w:rFonts w:ascii="楷体" w:hAnsi="楷体" w:eastAsia="楷体" w:cs="楷体"/>
          <w:b/>
          <w:color w:val="000000"/>
          <w:sz w:val="24"/>
        </w:rPr>
      </w:pPr>
      <w:bookmarkStart w:id="634" w:name="_Toc15867"/>
      <w:bookmarkStart w:id="635" w:name="_Toc10288"/>
      <w:bookmarkStart w:id="636" w:name="_Toc8767"/>
      <w:r>
        <w:rPr>
          <w:rFonts w:hint="eastAsia" w:ascii="楷体" w:hAnsi="楷体" w:eastAsia="楷体" w:cs="楷体"/>
          <w:b/>
          <w:color w:val="000000"/>
          <w:sz w:val="24"/>
        </w:rPr>
        <w:t>标项四评分标准</w:t>
      </w:r>
      <w:bookmarkEnd w:id="634"/>
      <w:bookmarkEnd w:id="635"/>
      <w:bookmarkEnd w:id="636"/>
    </w:p>
    <w:p>
      <w:pPr>
        <w:spacing w:line="240" w:lineRule="atLeast"/>
        <w:jc w:val="center"/>
        <w:rPr>
          <w:rFonts w:ascii="仿宋" w:hAnsi="仿宋" w:eastAsia="仿宋" w:cs="仿宋"/>
          <w:b/>
          <w:sz w:val="24"/>
          <w:szCs w:val="20"/>
        </w:rPr>
      </w:pPr>
      <w:r>
        <w:rPr>
          <w:rFonts w:hint="eastAsia" w:ascii="仿宋" w:hAnsi="仿宋" w:eastAsia="仿宋" w:cs="仿宋"/>
          <w:b/>
          <w:sz w:val="24"/>
          <w:szCs w:val="20"/>
        </w:rPr>
        <w:t>商务评分表</w:t>
      </w:r>
    </w:p>
    <w:tbl>
      <w:tblPr>
        <w:tblStyle w:val="36"/>
        <w:tblpPr w:leftFromText="180" w:rightFromText="180" w:vertAnchor="text" w:horzAnchor="page" w:tblpXSpec="center" w:tblpY="191"/>
        <w:tblOverlap w:val="never"/>
        <w:tblW w:w="8498" w:type="dxa"/>
        <w:jc w:val="center"/>
        <w:tblLayout w:type="fixed"/>
        <w:tblCellMar>
          <w:top w:w="0" w:type="dxa"/>
          <w:left w:w="0" w:type="dxa"/>
          <w:bottom w:w="0" w:type="dxa"/>
          <w:right w:w="0" w:type="dxa"/>
        </w:tblCellMar>
      </w:tblPr>
      <w:tblGrid>
        <w:gridCol w:w="639"/>
        <w:gridCol w:w="3876"/>
        <w:gridCol w:w="3202"/>
        <w:gridCol w:w="781"/>
      </w:tblGrid>
      <w:tr>
        <w:tblPrEx>
          <w:tblCellMar>
            <w:top w:w="0" w:type="dxa"/>
            <w:left w:w="0" w:type="dxa"/>
            <w:bottom w:w="0" w:type="dxa"/>
            <w:right w:w="0" w:type="dxa"/>
          </w:tblCellMar>
        </w:tblPrEx>
        <w:trPr>
          <w:trHeight w:val="36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38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评分内容</w:t>
            </w:r>
          </w:p>
        </w:tc>
        <w:tc>
          <w:tcPr>
            <w:tcW w:w="32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评分标准</w:t>
            </w: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满分</w:t>
            </w:r>
          </w:p>
        </w:tc>
      </w:tr>
      <w:tr>
        <w:tblPrEx>
          <w:tblCellMar>
            <w:top w:w="0" w:type="dxa"/>
            <w:left w:w="0" w:type="dxa"/>
            <w:bottom w:w="0" w:type="dxa"/>
            <w:right w:w="0" w:type="dxa"/>
          </w:tblCellMar>
        </w:tblPrEx>
        <w:trPr>
          <w:trHeight w:val="3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38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32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val="en-US" w:eastAsia="zh-CN"/>
              </w:rPr>
              <w:t>20</w:t>
            </w:r>
            <w:r>
              <w:rPr>
                <w:rFonts w:hint="eastAsia" w:ascii="仿宋" w:hAnsi="仿宋" w:eastAsia="仿宋" w:cs="仿宋"/>
                <w:b/>
                <w:color w:val="000000"/>
                <w:kern w:val="0"/>
                <w:sz w:val="24"/>
              </w:rPr>
              <w:t>分</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abs>
                <w:tab w:val="left" w:pos="1381"/>
              </w:tabs>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对招标文件及合同条款的确认。</w:t>
            </w:r>
          </w:p>
        </w:tc>
        <w:tc>
          <w:tcPr>
            <w:tcW w:w="32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具有明确的确认说明2分，无说明不得分。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2</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2</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0"/>
                <w:szCs w:val="20"/>
              </w:rPr>
              <w:t>投入项目人员数量满足要求，工种齐全，人员专业结构配备合理。</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人员数量情况0-1分；工种搭配情况0-1分；专业结构情况0-1分。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114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3</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0"/>
                <w:szCs w:val="20"/>
              </w:rPr>
              <w:t>仪器、设备配置。</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设备齐全且满足需求2分；设备较齐全1分；其他情况≤0.9分。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2</w:t>
            </w:r>
          </w:p>
        </w:tc>
      </w:tr>
      <w:tr>
        <w:tblPrEx>
          <w:tblCellMar>
            <w:top w:w="0" w:type="dxa"/>
            <w:left w:w="0" w:type="dxa"/>
            <w:bottom w:w="0" w:type="dxa"/>
            <w:right w:w="0" w:type="dxa"/>
          </w:tblCellMar>
        </w:tblPrEx>
        <w:trPr>
          <w:trHeight w:val="645"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4</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近三年资产状况。</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2"/>
                <w:szCs w:val="22"/>
                <w:u w:val="none"/>
                <w:lang w:val="en-US" w:eastAsia="zh-CN" w:bidi="ar"/>
              </w:rPr>
              <w:t>资产状况良级及以上2分，良级以下不得分。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2</w:t>
            </w:r>
          </w:p>
        </w:tc>
      </w:tr>
      <w:tr>
        <w:tblPrEx>
          <w:tblCellMar>
            <w:top w:w="0" w:type="dxa"/>
            <w:left w:w="0" w:type="dxa"/>
            <w:bottom w:w="0" w:type="dxa"/>
            <w:right w:w="0" w:type="dxa"/>
          </w:tblCellMar>
        </w:tblPrEx>
        <w:trPr>
          <w:trHeight w:val="142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5</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0"/>
                <w:szCs w:val="20"/>
              </w:rPr>
              <w:t>组织管理、质量、进度、安全的保障体系及主要措施。</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color w:val="000000"/>
                <w:sz w:val="22"/>
                <w:szCs w:val="22"/>
                <w:lang w:val="en-US"/>
              </w:rPr>
            </w:pPr>
            <w:r>
              <w:rPr>
                <w:rFonts w:hint="eastAsia" w:ascii="仿宋" w:hAnsi="仿宋" w:eastAsia="仿宋" w:cs="仿宋"/>
                <w:i w:val="0"/>
                <w:iCs w:val="0"/>
                <w:color w:val="000000"/>
                <w:kern w:val="0"/>
                <w:sz w:val="20"/>
                <w:szCs w:val="20"/>
                <w:u w:val="none"/>
                <w:lang w:val="en-US" w:eastAsia="zh-CN" w:bidi="ar"/>
              </w:rPr>
              <w:t>保障体系齐全、措施有效3分；保障体系基本齐全、措施基本有效1-2分；保障体系不健全≤0.9分.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6</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0"/>
                <w:szCs w:val="20"/>
              </w:rPr>
              <w:t>组织管理机构应健全，应建立领导小组。</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健全明确2分，基本健全明确1分，无内容≤0.9分。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szCs w:val="21"/>
              </w:rPr>
            </w:pPr>
            <w:r>
              <w:rPr>
                <w:rFonts w:hint="eastAsia" w:ascii="仿宋" w:hAnsi="仿宋" w:eastAsia="仿宋" w:cs="仿宋"/>
                <w:b/>
                <w:bCs/>
                <w:i w:val="0"/>
                <w:iCs w:val="0"/>
                <w:color w:val="000000"/>
                <w:kern w:val="0"/>
                <w:sz w:val="21"/>
                <w:szCs w:val="21"/>
                <w:u w:val="none"/>
                <w:lang w:val="en-US" w:eastAsia="zh-CN" w:bidi="ar"/>
              </w:rPr>
              <w:t>2</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7</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拟派出的总监、总监代表人的职称。</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总监、总监代表人具有全国地质灾害治理工程培训证书2分，没有不得分。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kern w:val="0"/>
                <w:szCs w:val="21"/>
              </w:rPr>
            </w:pPr>
            <w:r>
              <w:rPr>
                <w:rFonts w:hint="eastAsia" w:ascii="仿宋" w:hAnsi="仿宋" w:eastAsia="仿宋" w:cs="仿宋"/>
                <w:b/>
                <w:bCs/>
                <w:i w:val="0"/>
                <w:iCs w:val="0"/>
                <w:color w:val="000000"/>
                <w:kern w:val="0"/>
                <w:sz w:val="21"/>
                <w:szCs w:val="21"/>
                <w:u w:val="none"/>
                <w:lang w:val="en-US" w:eastAsia="zh-CN" w:bidi="ar"/>
              </w:rPr>
              <w:t>2</w:t>
            </w:r>
          </w:p>
        </w:tc>
      </w:tr>
      <w:tr>
        <w:tblPrEx>
          <w:tblCellMar>
            <w:top w:w="0" w:type="dxa"/>
            <w:left w:w="0" w:type="dxa"/>
            <w:bottom w:w="0" w:type="dxa"/>
            <w:right w:w="0" w:type="dxa"/>
          </w:tblCellMar>
        </w:tblPrEx>
        <w:trPr>
          <w:trHeight w:val="863"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8</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主要业绩。</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每提供近三年一项类似业绩并提供证明材料得1分，未提供证明材料不得分，本项最高得3分。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kern w:val="0"/>
                <w:szCs w:val="21"/>
              </w:rPr>
            </w:pPr>
            <w:r>
              <w:rPr>
                <w:rFonts w:hint="eastAsia" w:ascii="仿宋" w:hAnsi="仿宋" w:eastAsia="仿宋" w:cs="仿宋"/>
                <w:b/>
                <w:bCs/>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9</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相关承诺。</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color w:val="000000"/>
                <w:sz w:val="22"/>
                <w:szCs w:val="22"/>
              </w:rPr>
            </w:pPr>
            <w:r>
              <w:rPr>
                <w:rFonts w:hint="eastAsia" w:ascii="仿宋" w:hAnsi="仿宋" w:eastAsia="仿宋" w:cs="仿宋"/>
                <w:i w:val="0"/>
                <w:iCs w:val="0"/>
                <w:color w:val="000000"/>
                <w:kern w:val="0"/>
                <w:sz w:val="20"/>
                <w:szCs w:val="20"/>
                <w:u w:val="none"/>
                <w:lang w:val="en-US" w:eastAsia="zh-CN" w:bidi="ar"/>
              </w:rPr>
              <w:t>承诺全面1分，基本全面0.5分，无承诺不得分。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color w:val="000000"/>
                <w:kern w:val="0"/>
                <w:szCs w:val="21"/>
              </w:rPr>
            </w:pPr>
            <w:r>
              <w:rPr>
                <w:rFonts w:hint="eastAsia" w:ascii="仿宋" w:hAnsi="仿宋" w:eastAsia="仿宋" w:cs="仿宋"/>
                <w:b/>
                <w:bCs/>
                <w:i w:val="0"/>
                <w:iCs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66" w:hRule="atLeast"/>
          <w:jc w:val="center"/>
        </w:trPr>
        <w:tc>
          <w:tcPr>
            <w:tcW w:w="771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总得分V</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仿宋" w:hAnsi="仿宋" w:eastAsia="仿宋" w:cs="仿宋"/>
                <w:b/>
                <w:color w:val="000000"/>
                <w:sz w:val="24"/>
                <w:lang w:val="en-US" w:eastAsia="zh-CN"/>
              </w:rPr>
            </w:pPr>
            <w:r>
              <w:rPr>
                <w:rFonts w:hint="eastAsia" w:ascii="仿宋" w:hAnsi="仿宋" w:eastAsia="仿宋" w:cs="仿宋"/>
                <w:b/>
                <w:color w:val="000000"/>
                <w:kern w:val="0"/>
                <w:sz w:val="24"/>
                <w:lang w:val="en-US" w:eastAsia="zh-CN"/>
              </w:rPr>
              <w:t>20</w:t>
            </w:r>
          </w:p>
        </w:tc>
      </w:tr>
    </w:tbl>
    <w:p>
      <w:pPr>
        <w:pStyle w:val="27"/>
      </w:pPr>
    </w:p>
    <w:p>
      <w:pPr>
        <w:tabs>
          <w:tab w:val="right" w:pos="9213"/>
        </w:tabs>
        <w:jc w:val="center"/>
        <w:rPr>
          <w:rFonts w:ascii="仿宋" w:hAnsi="仿宋" w:eastAsia="仿宋" w:cs="仿宋"/>
          <w:b/>
          <w:sz w:val="24"/>
          <w:szCs w:val="20"/>
        </w:rPr>
      </w:pPr>
      <w:r>
        <w:rPr>
          <w:rFonts w:hint="eastAsia" w:ascii="仿宋" w:hAnsi="仿宋" w:eastAsia="仿宋" w:cs="仿宋"/>
          <w:sz w:val="24"/>
        </w:rPr>
        <w:br w:type="page"/>
      </w:r>
    </w:p>
    <w:p>
      <w:pPr>
        <w:tabs>
          <w:tab w:val="right" w:pos="9213"/>
        </w:tabs>
        <w:jc w:val="center"/>
        <w:rPr>
          <w:rFonts w:ascii="仿宋" w:hAnsi="仿宋" w:eastAsia="仿宋" w:cs="仿宋"/>
          <w:b/>
          <w:sz w:val="24"/>
          <w:szCs w:val="20"/>
        </w:rPr>
      </w:pPr>
      <w:r>
        <w:rPr>
          <w:rFonts w:hint="eastAsia" w:ascii="仿宋" w:hAnsi="仿宋" w:eastAsia="仿宋" w:cs="仿宋"/>
          <w:b/>
          <w:sz w:val="24"/>
          <w:szCs w:val="20"/>
        </w:rPr>
        <w:t>技术评分表</w:t>
      </w:r>
    </w:p>
    <w:tbl>
      <w:tblPr>
        <w:tblStyle w:val="36"/>
        <w:tblpPr w:leftFromText="180" w:rightFromText="180" w:vertAnchor="text" w:horzAnchor="page" w:tblpX="1791" w:tblpY="307"/>
        <w:tblOverlap w:val="never"/>
        <w:tblW w:w="8278" w:type="dxa"/>
        <w:tblInd w:w="0" w:type="dxa"/>
        <w:tblLayout w:type="fixed"/>
        <w:tblCellMar>
          <w:top w:w="0" w:type="dxa"/>
          <w:left w:w="0" w:type="dxa"/>
          <w:bottom w:w="0" w:type="dxa"/>
          <w:right w:w="0" w:type="dxa"/>
        </w:tblCellMar>
      </w:tblPr>
      <w:tblGrid>
        <w:gridCol w:w="622"/>
        <w:gridCol w:w="3776"/>
        <w:gridCol w:w="3119"/>
        <w:gridCol w:w="761"/>
      </w:tblGrid>
      <w:tr>
        <w:tblPrEx>
          <w:tblCellMar>
            <w:top w:w="0" w:type="dxa"/>
            <w:left w:w="0" w:type="dxa"/>
            <w:bottom w:w="0" w:type="dxa"/>
            <w:right w:w="0" w:type="dxa"/>
          </w:tblCellMar>
        </w:tblPrEx>
        <w:trPr>
          <w:trHeight w:val="408" w:hRule="atLeast"/>
        </w:trPr>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37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评分内容</w:t>
            </w:r>
          </w:p>
        </w:tc>
        <w:tc>
          <w:tcPr>
            <w:tcW w:w="311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评分标准</w:t>
            </w: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满分</w:t>
            </w:r>
          </w:p>
        </w:tc>
      </w:tr>
      <w:tr>
        <w:tblPrEx>
          <w:tblCellMar>
            <w:top w:w="0" w:type="dxa"/>
            <w:left w:w="0" w:type="dxa"/>
            <w:bottom w:w="0" w:type="dxa"/>
            <w:right w:w="0" w:type="dxa"/>
          </w:tblCellMar>
        </w:tblPrEx>
        <w:trPr>
          <w:trHeight w:val="408" w:hRule="atLeast"/>
        </w:trPr>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37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311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000000"/>
                <w:sz w:val="24"/>
              </w:rPr>
            </w:pP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val="en-US" w:eastAsia="zh-CN"/>
              </w:rPr>
              <w:t>7</w:t>
            </w:r>
            <w:r>
              <w:rPr>
                <w:rFonts w:hint="eastAsia" w:ascii="仿宋" w:hAnsi="仿宋" w:eastAsia="仿宋" w:cs="仿宋"/>
                <w:b/>
                <w:color w:val="000000"/>
                <w:kern w:val="0"/>
                <w:sz w:val="24"/>
              </w:rPr>
              <w:t>0分</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标书与招标文件的响应性或完整性。</w:t>
            </w:r>
          </w:p>
        </w:tc>
        <w:tc>
          <w:tcPr>
            <w:tcW w:w="31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完全响应和完整7分；部分响应或部分完整3-6分；未响应部分分额较大且不完整≤2分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7</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2</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监理工作范围、内容、目标及依据，监理机构和组织形式健全。</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合理18-21分；较合理13-17分；其他情况≤12分（一项不合理扣2分）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21</w:t>
            </w:r>
          </w:p>
        </w:tc>
      </w:tr>
      <w:tr>
        <w:tblPrEx>
          <w:tblCellMar>
            <w:top w:w="0" w:type="dxa"/>
            <w:left w:w="0" w:type="dxa"/>
            <w:bottom w:w="0" w:type="dxa"/>
            <w:right w:w="0" w:type="dxa"/>
          </w:tblCellMar>
        </w:tblPrEx>
        <w:trPr>
          <w:trHeight w:val="1299"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3</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监理工作程序的合理性，技术要求的可行性。技术要求应符合相关地质灾害工程监理规范</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合理13-18分；较合理8-12分；其他情况≤7分（一项不合理扣2分）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18</w:t>
            </w:r>
          </w:p>
        </w:tc>
      </w:tr>
      <w:tr>
        <w:tblPrEx>
          <w:tblCellMar>
            <w:top w:w="0" w:type="dxa"/>
            <w:left w:w="0" w:type="dxa"/>
            <w:bottom w:w="0" w:type="dxa"/>
            <w:right w:w="0" w:type="dxa"/>
          </w:tblCellMar>
        </w:tblPrEx>
        <w:trPr>
          <w:trHeight w:val="731"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4</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监理工作方法、措施和制度，工程质量控制方法及措施全面合理。</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全面14分；较全面7-13分；其他情况≤6分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14</w:t>
            </w:r>
          </w:p>
        </w:tc>
      </w:tr>
      <w:tr>
        <w:tblPrEx>
          <w:tblCellMar>
            <w:top w:w="0" w:type="dxa"/>
            <w:left w:w="0" w:type="dxa"/>
            <w:bottom w:w="0" w:type="dxa"/>
            <w:right w:w="0" w:type="dxa"/>
          </w:tblCellMar>
        </w:tblPrEx>
        <w:trPr>
          <w:trHeight w:val="1617"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5</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预期成果应包括：监理规划、项目监理实施细则；监理工作总结、质量评估报告；监理工作照片集、监理日志、月报、通知单及相关记录，其他原始资料等</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齐全有效7分；基本齐全有效3-6分；其他情况≤2分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7</w:t>
            </w:r>
          </w:p>
        </w:tc>
      </w:tr>
      <w:tr>
        <w:tblPrEx>
          <w:tblCellMar>
            <w:top w:w="0" w:type="dxa"/>
            <w:left w:w="0" w:type="dxa"/>
            <w:bottom w:w="0" w:type="dxa"/>
            <w:right w:w="0" w:type="dxa"/>
          </w:tblCellMar>
        </w:tblPrEx>
        <w:trPr>
          <w:trHeight w:val="883"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6</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项目负责人及主要技术人员的配备应全面，人员结构应合理。</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人员配置合理3分，较合理≤2分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
                <w:color w:val="000000"/>
                <w:szCs w:val="21"/>
              </w:rPr>
            </w:pPr>
            <w:r>
              <w:rPr>
                <w:rFonts w:hint="eastAsia" w:ascii="仿宋" w:hAnsi="仿宋" w:eastAsia="仿宋" w:cs="仿宋"/>
                <w:b/>
                <w:bCs/>
                <w:color w:val="000000"/>
                <w:kern w:val="0"/>
                <w:sz w:val="21"/>
                <w:szCs w:val="21"/>
                <w:lang w:val="en-US" w:eastAsia="zh-CN" w:bidi="ar"/>
              </w:rPr>
              <w:t>3</w:t>
            </w:r>
          </w:p>
        </w:tc>
      </w:tr>
      <w:tr>
        <w:tblPrEx>
          <w:tblCellMar>
            <w:top w:w="0" w:type="dxa"/>
            <w:left w:w="0" w:type="dxa"/>
            <w:bottom w:w="0" w:type="dxa"/>
            <w:right w:w="0" w:type="dxa"/>
          </w:tblCellMar>
        </w:tblPrEx>
        <w:trPr>
          <w:trHeight w:val="528" w:hRule="atLeast"/>
        </w:trPr>
        <w:tc>
          <w:tcPr>
            <w:tcW w:w="751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总得分V</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val="en-US" w:eastAsia="zh-CN"/>
              </w:rPr>
              <w:t>7</w:t>
            </w:r>
            <w:r>
              <w:rPr>
                <w:rFonts w:hint="eastAsia" w:ascii="仿宋" w:hAnsi="仿宋" w:eastAsia="仿宋" w:cs="仿宋"/>
                <w:b/>
                <w:color w:val="000000"/>
                <w:kern w:val="0"/>
                <w:sz w:val="24"/>
              </w:rPr>
              <w:t>0</w:t>
            </w:r>
          </w:p>
        </w:tc>
      </w:tr>
    </w:tbl>
    <w:p>
      <w:pPr>
        <w:pStyle w:val="26"/>
        <w:rPr>
          <w:rFonts w:ascii="仿宋" w:hAnsi="仿宋" w:eastAsia="仿宋" w:cs="仿宋"/>
        </w:rPr>
      </w:pPr>
    </w:p>
    <w:p/>
    <w:p/>
    <w:p>
      <w:pPr>
        <w:tabs>
          <w:tab w:val="right" w:pos="9213"/>
        </w:tabs>
        <w:jc w:val="center"/>
      </w:pPr>
      <w:r>
        <w:rPr>
          <w:rFonts w:hint="eastAsia"/>
        </w:rPr>
        <w:br w:type="page"/>
      </w:r>
    </w:p>
    <w:p>
      <w:pPr>
        <w:tabs>
          <w:tab w:val="right" w:pos="9213"/>
        </w:tabs>
        <w:jc w:val="center"/>
      </w:pPr>
      <w:bookmarkStart w:id="637" w:name="_Toc24923"/>
      <w:r>
        <w:rPr>
          <w:rFonts w:hint="eastAsia" w:ascii="仿宋" w:hAnsi="仿宋" w:eastAsia="仿宋" w:cs="仿宋"/>
          <w:b/>
          <w:sz w:val="24"/>
          <w:szCs w:val="20"/>
        </w:rPr>
        <w:t>报价评分表</w:t>
      </w:r>
      <w:bookmarkEnd w:id="637"/>
    </w:p>
    <w:p>
      <w:pPr>
        <w:pStyle w:val="26"/>
      </w:pPr>
    </w:p>
    <w:tbl>
      <w:tblPr>
        <w:tblStyle w:val="3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rPr>
            </w:pPr>
            <w:r>
              <w:rPr>
                <w:rFonts w:hint="eastAsia" w:ascii="仿宋" w:hAnsi="仿宋" w:eastAsia="仿宋" w:cs="仿宋"/>
              </w:rPr>
              <w:t>报价评审</w:t>
            </w:r>
          </w:p>
        </w:tc>
        <w:tc>
          <w:tcPr>
            <w:tcW w:w="681" w:type="dxa"/>
            <w:vAlign w:val="center"/>
          </w:tcPr>
          <w:p>
            <w:pPr>
              <w:jc w:val="center"/>
              <w:rPr>
                <w:rFonts w:ascii="仿宋" w:hAnsi="仿宋" w:eastAsia="仿宋" w:cs="仿宋"/>
              </w:rPr>
            </w:pPr>
            <w:r>
              <w:rPr>
                <w:rFonts w:hint="eastAsia" w:ascii="仿宋" w:hAnsi="仿宋" w:eastAsia="仿宋" w:cs="仿宋"/>
              </w:rPr>
              <w:t>10</w:t>
            </w:r>
          </w:p>
        </w:tc>
        <w:tc>
          <w:tcPr>
            <w:tcW w:w="6698" w:type="dxa"/>
            <w:vAlign w:val="center"/>
          </w:tcPr>
          <w:p>
            <w:pPr>
              <w:spacing w:line="440" w:lineRule="exact"/>
              <w:rPr>
                <w:rFonts w:ascii="仿宋" w:hAnsi="仿宋" w:eastAsia="仿宋" w:cs="仿宋"/>
              </w:rPr>
            </w:pPr>
            <w:r>
              <w:rPr>
                <w:rFonts w:hint="eastAsia" w:ascii="仿宋" w:hAnsi="仿宋" w:eastAsia="仿宋" w:cs="仿宋"/>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rPr>
            </w:pPr>
            <w:r>
              <w:rPr>
                <w:rFonts w:hint="eastAsia" w:ascii="仿宋" w:hAnsi="仿宋" w:eastAsia="仿宋" w:cs="仿宋"/>
              </w:rPr>
              <w:t>报价分合计</w:t>
            </w:r>
          </w:p>
        </w:tc>
        <w:tc>
          <w:tcPr>
            <w:tcW w:w="6698" w:type="dxa"/>
            <w:vAlign w:val="center"/>
          </w:tcPr>
          <w:p>
            <w:pPr>
              <w:jc w:val="center"/>
              <w:rPr>
                <w:rFonts w:ascii="仿宋" w:hAnsi="仿宋" w:eastAsia="仿宋" w:cs="仿宋"/>
              </w:rPr>
            </w:pPr>
            <w:r>
              <w:rPr>
                <w:rFonts w:hint="eastAsia" w:ascii="仿宋" w:hAnsi="仿宋" w:eastAsia="仿宋" w:cs="仿宋"/>
              </w:rPr>
              <w:t>10</w:t>
            </w:r>
          </w:p>
        </w:tc>
      </w:tr>
    </w:tbl>
    <w:p>
      <w:pPr>
        <w:rPr>
          <w:rFonts w:ascii="楷体" w:hAnsi="楷体" w:eastAsia="楷体" w:cs="楷体"/>
          <w:b/>
          <w:color w:val="000000"/>
          <w:sz w:val="24"/>
        </w:rPr>
      </w:pPr>
    </w:p>
    <w:p>
      <w:r>
        <w:br w:type="page"/>
      </w:r>
    </w:p>
    <w:p>
      <w:pPr>
        <w:pStyle w:val="4"/>
      </w:pPr>
    </w:p>
    <w:p>
      <w:pPr>
        <w:pStyle w:val="4"/>
        <w:ind w:firstLine="480"/>
      </w:pPr>
    </w:p>
    <w:p>
      <w:pPr>
        <w:widowControl/>
        <w:jc w:val="center"/>
        <w:rPr>
          <w:rFonts w:ascii="仿宋" w:hAnsi="仿宋" w:eastAsia="仿宋" w:cs="仿宋"/>
          <w:b/>
          <w:sz w:val="48"/>
          <w:szCs w:val="48"/>
        </w:rPr>
      </w:pPr>
    </w:p>
    <w:p>
      <w:pPr>
        <w:widowControl/>
        <w:jc w:val="center"/>
        <w:rPr>
          <w:rFonts w:hint="eastAsia" w:ascii="仿宋" w:hAnsi="仿宋" w:eastAsia="仿宋" w:cs="仿宋"/>
          <w:b/>
          <w:sz w:val="48"/>
          <w:szCs w:val="48"/>
        </w:rPr>
      </w:pPr>
      <w:r>
        <w:rPr>
          <w:rFonts w:hint="eastAsia" w:ascii="仿宋" w:hAnsi="仿宋" w:eastAsia="仿宋" w:cs="仿宋"/>
          <w:b/>
          <w:sz w:val="48"/>
          <w:szCs w:val="48"/>
        </w:rPr>
        <w:t>吐鲁番市2023年中央自然灾害防治</w:t>
      </w:r>
    </w:p>
    <w:p>
      <w:pPr>
        <w:widowControl/>
        <w:jc w:val="center"/>
        <w:rPr>
          <w:rFonts w:ascii="仿宋" w:hAnsi="仿宋" w:eastAsia="仿宋" w:cs="仿宋"/>
          <w:b/>
          <w:sz w:val="48"/>
          <w:szCs w:val="48"/>
        </w:rPr>
      </w:pPr>
      <w:r>
        <w:rPr>
          <w:rFonts w:hint="eastAsia" w:ascii="仿宋" w:hAnsi="仿宋" w:eastAsia="仿宋" w:cs="仿宋"/>
          <w:b/>
          <w:sz w:val="48"/>
          <w:szCs w:val="48"/>
        </w:rPr>
        <w:t>体系建设项目</w:t>
      </w:r>
    </w:p>
    <w:p>
      <w:pPr>
        <w:pStyle w:val="26"/>
        <w:rPr>
          <w:rFonts w:ascii="仿宋" w:hAnsi="仿宋" w:eastAsia="仿宋" w:cs="仿宋"/>
          <w:b/>
          <w:sz w:val="48"/>
          <w:szCs w:val="48"/>
        </w:rPr>
      </w:pPr>
    </w:p>
    <w:p>
      <w:pPr>
        <w:widowControl/>
        <w:jc w:val="left"/>
        <w:rPr>
          <w:rFonts w:ascii="仿宋" w:hAnsi="仿宋" w:eastAsia="仿宋" w:cs="仿宋"/>
        </w:rPr>
      </w:pPr>
    </w:p>
    <w:p>
      <w:pPr>
        <w:pStyle w:val="4"/>
        <w:ind w:firstLine="480"/>
      </w:pPr>
    </w:p>
    <w:p>
      <w:pPr>
        <w:spacing w:line="240" w:lineRule="atLeast"/>
        <w:jc w:val="center"/>
        <w:rPr>
          <w:rFonts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采购文件</w:t>
      </w:r>
    </w:p>
    <w:p>
      <w:pPr>
        <w:spacing w:line="240" w:lineRule="atLeast"/>
        <w:ind w:left="1080" w:leftChars="257" w:hanging="540"/>
        <w:jc w:val="center"/>
        <w:rPr>
          <w:rFonts w:ascii="仿宋" w:hAnsi="仿宋" w:eastAsia="仿宋" w:cs="仿宋"/>
          <w:bCs/>
          <w:sz w:val="52"/>
          <w:szCs w:val="52"/>
        </w:rPr>
      </w:pPr>
    </w:p>
    <w:p>
      <w:pPr>
        <w:spacing w:line="240" w:lineRule="atLeast"/>
        <w:ind w:left="1080" w:leftChars="257" w:hanging="540"/>
        <w:jc w:val="center"/>
        <w:rPr>
          <w:rFonts w:ascii="仿宋" w:hAnsi="仿宋" w:eastAsia="仿宋" w:cs="仿宋"/>
          <w:bCs/>
          <w:sz w:val="32"/>
          <w:szCs w:val="32"/>
        </w:rPr>
      </w:pPr>
      <w:r>
        <w:rPr>
          <w:rFonts w:hint="eastAsia" w:ascii="仿宋" w:hAnsi="仿宋" w:eastAsia="仿宋" w:cs="仿宋"/>
          <w:bCs/>
          <w:sz w:val="32"/>
          <w:szCs w:val="32"/>
        </w:rPr>
        <w:t>（项目编号：GYZB-TLFDZFZ2023）</w:t>
      </w:r>
    </w:p>
    <w:p>
      <w:pPr>
        <w:pStyle w:val="11"/>
        <w:ind w:firstLine="0"/>
      </w:pPr>
    </w:p>
    <w:p>
      <w:pPr>
        <w:spacing w:line="240" w:lineRule="atLeast"/>
        <w:ind w:left="1080" w:leftChars="257" w:hanging="540"/>
        <w:jc w:val="center"/>
        <w:rPr>
          <w:rFonts w:ascii="仿宋" w:hAnsi="仿宋" w:eastAsia="仿宋" w:cs="仿宋"/>
          <w:b/>
          <w:sz w:val="52"/>
        </w:rPr>
      </w:pPr>
    </w:p>
    <w:p>
      <w:pPr>
        <w:spacing w:line="240" w:lineRule="atLeast"/>
        <w:ind w:left="1079" w:leftChars="257" w:hanging="539"/>
        <w:jc w:val="center"/>
        <w:outlineLvl w:val="0"/>
        <w:rPr>
          <w:rFonts w:ascii="仿宋" w:hAnsi="仿宋" w:eastAsia="仿宋" w:cs="仿宋"/>
          <w:b/>
          <w:sz w:val="36"/>
          <w:szCs w:val="36"/>
        </w:rPr>
      </w:pPr>
      <w:bookmarkStart w:id="638" w:name="_Toc8965"/>
      <w:bookmarkStart w:id="639" w:name="_Toc852"/>
      <w:bookmarkStart w:id="640" w:name="_Toc10067"/>
      <w:bookmarkStart w:id="641" w:name="_Toc13303"/>
      <w:r>
        <w:rPr>
          <w:rFonts w:hint="eastAsia" w:ascii="仿宋" w:hAnsi="仿宋" w:eastAsia="仿宋" w:cs="仿宋"/>
          <w:b/>
          <w:sz w:val="36"/>
          <w:szCs w:val="36"/>
        </w:rPr>
        <w:t>第三册</w:t>
      </w:r>
      <w:bookmarkEnd w:id="638"/>
      <w:bookmarkEnd w:id="639"/>
      <w:bookmarkEnd w:id="640"/>
      <w:bookmarkEnd w:id="641"/>
    </w:p>
    <w:p>
      <w:pPr>
        <w:pStyle w:val="3"/>
        <w:ind w:firstLine="1044"/>
        <w:rPr>
          <w:rFonts w:ascii="仿宋" w:hAnsi="仿宋" w:eastAsia="仿宋" w:cs="仿宋"/>
          <w:b/>
          <w:sz w:val="52"/>
        </w:rPr>
      </w:pPr>
    </w:p>
    <w:p>
      <w:pPr>
        <w:pStyle w:val="4"/>
        <w:ind w:firstLine="480"/>
      </w:pPr>
    </w:p>
    <w:p>
      <w:pPr>
        <w:spacing w:line="360" w:lineRule="auto"/>
        <w:ind w:firstLine="837" w:firstLineChars="299"/>
        <w:jc w:val="left"/>
        <w:rPr>
          <w:rFonts w:ascii="仿宋" w:hAnsi="仿宋" w:eastAsia="仿宋" w:cs="仿宋"/>
          <w:sz w:val="28"/>
          <w:szCs w:val="28"/>
          <w:u w:val="single"/>
        </w:rPr>
      </w:pPr>
      <w:r>
        <w:rPr>
          <w:rFonts w:hint="eastAsia" w:ascii="仿宋" w:hAnsi="仿宋" w:eastAsia="仿宋" w:cs="仿宋"/>
          <w:sz w:val="28"/>
          <w:szCs w:val="28"/>
        </w:rPr>
        <w:t>采 购 人：</w:t>
      </w:r>
      <w:r>
        <w:rPr>
          <w:rFonts w:hint="eastAsia" w:ascii="仿宋" w:hAnsi="仿宋" w:eastAsia="仿宋" w:cs="仿宋"/>
          <w:sz w:val="28"/>
          <w:szCs w:val="28"/>
          <w:u w:val="single"/>
        </w:rPr>
        <w:t>吐鲁番市自然资源局</w:t>
      </w:r>
    </w:p>
    <w:p>
      <w:pPr>
        <w:spacing w:line="600" w:lineRule="exact"/>
        <w:ind w:firstLine="837" w:firstLineChars="299"/>
        <w:rPr>
          <w:rFonts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新疆国源土地矿产资源交易中心（有限公司）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2023年2月</w:t>
      </w:r>
    </w:p>
    <w:p>
      <w:pPr>
        <w:pStyle w:val="4"/>
        <w:ind w:firstLine="560"/>
        <w:rPr>
          <w:rFonts w:ascii="仿宋" w:hAnsi="仿宋" w:eastAsia="仿宋" w:cs="仿宋"/>
          <w:sz w:val="28"/>
          <w:szCs w:val="28"/>
          <w:u w:val="single"/>
        </w:rPr>
      </w:pPr>
      <w:r>
        <w:rPr>
          <w:rFonts w:hint="eastAsia" w:ascii="仿宋" w:hAnsi="仿宋" w:eastAsia="仿宋" w:cs="仿宋"/>
          <w:sz w:val="28"/>
          <w:szCs w:val="28"/>
          <w:u w:val="single"/>
        </w:rPr>
        <w:br w:type="page"/>
      </w:r>
    </w:p>
    <w:p>
      <w:pPr>
        <w:pStyle w:val="7"/>
        <w:tabs>
          <w:tab w:val="left" w:pos="0"/>
        </w:tabs>
        <w:spacing w:before="0" w:after="0" w:line="240" w:lineRule="atLeast"/>
        <w:ind w:firstLine="2249" w:firstLineChars="700"/>
        <w:jc w:val="both"/>
        <w:rPr>
          <w:rFonts w:ascii="仿宋" w:hAnsi="仿宋" w:eastAsia="仿宋" w:cs="仿宋"/>
        </w:rPr>
      </w:pPr>
      <w:bookmarkStart w:id="642" w:name="_Toc518923128"/>
      <w:bookmarkStart w:id="643" w:name="_Toc31983"/>
      <w:bookmarkStart w:id="644" w:name="_Toc3170"/>
      <w:bookmarkStart w:id="645" w:name="_Toc23018"/>
      <w:bookmarkStart w:id="646" w:name="_Toc666"/>
      <w:r>
        <w:rPr>
          <w:rFonts w:hint="eastAsia" w:ascii="仿宋" w:hAnsi="仿宋" w:eastAsia="仿宋" w:cs="仿宋"/>
        </w:rPr>
        <w:t>第7章  政府采购合同</w:t>
      </w:r>
      <w:bookmarkEnd w:id="603"/>
      <w:bookmarkEnd w:id="642"/>
      <w:bookmarkEnd w:id="643"/>
      <w:bookmarkEnd w:id="644"/>
      <w:bookmarkEnd w:id="645"/>
      <w:bookmarkEnd w:id="646"/>
      <w:bookmarkStart w:id="647" w:name="_Hlt487972895"/>
      <w:bookmarkEnd w:id="647"/>
      <w:bookmarkStart w:id="648" w:name="_Toc216513788"/>
      <w:bookmarkStart w:id="649" w:name="_Toc487900382"/>
    </w:p>
    <w:bookmarkEnd w:id="648"/>
    <w:bookmarkEnd w:id="649"/>
    <w:p>
      <w:pPr>
        <w:pStyle w:val="11"/>
        <w:spacing w:line="240" w:lineRule="atLeast"/>
        <w:ind w:left="1080" w:leftChars="257" w:hanging="540"/>
        <w:rPr>
          <w:rFonts w:ascii="仿宋" w:hAnsi="仿宋" w:eastAsia="仿宋" w:cs="仿宋"/>
          <w:sz w:val="28"/>
        </w:rPr>
      </w:pPr>
    </w:p>
    <w:p>
      <w:pPr>
        <w:spacing w:line="240" w:lineRule="atLeast"/>
        <w:ind w:left="-567" w:leftChars="-270" w:firstLine="540"/>
        <w:jc w:val="center"/>
        <w:rPr>
          <w:rFonts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ascii="仿宋" w:hAnsi="仿宋" w:eastAsia="仿宋" w:cs="仿宋"/>
          <w:b/>
          <w:bCs/>
          <w:sz w:val="28"/>
          <w:szCs w:val="28"/>
        </w:rPr>
      </w:pPr>
    </w:p>
    <w:p>
      <w:pPr>
        <w:spacing w:line="480" w:lineRule="auto"/>
        <w:jc w:val="center"/>
        <w:outlineLvl w:val="1"/>
        <w:rPr>
          <w:rFonts w:ascii="仿宋" w:hAnsi="仿宋" w:eastAsia="仿宋" w:cs="仿宋"/>
          <w:b/>
          <w:bCs/>
          <w:sz w:val="28"/>
          <w:szCs w:val="28"/>
        </w:rPr>
      </w:pPr>
      <w:bookmarkStart w:id="650" w:name="_Toc7714"/>
      <w:bookmarkStart w:id="651" w:name="_Toc5621"/>
      <w:bookmarkStart w:id="652" w:name="_Toc24570"/>
      <w:bookmarkStart w:id="653" w:name="_Toc30529"/>
      <w:r>
        <w:rPr>
          <w:rFonts w:hint="eastAsia" w:ascii="仿宋" w:hAnsi="仿宋" w:eastAsia="仿宋" w:cs="仿宋"/>
          <w:b/>
          <w:bCs/>
          <w:sz w:val="28"/>
          <w:szCs w:val="28"/>
        </w:rPr>
        <w:t>吐鲁番市政府采购合同</w:t>
      </w:r>
      <w:bookmarkEnd w:id="650"/>
      <w:bookmarkEnd w:id="651"/>
      <w:bookmarkEnd w:id="652"/>
      <w:bookmarkEnd w:id="653"/>
    </w:p>
    <w:p>
      <w:pPr>
        <w:pStyle w:val="52"/>
        <w:ind w:firstLine="0"/>
        <w:rPr>
          <w:rFonts w:ascii="仿宋" w:hAnsi="仿宋" w:eastAsia="仿宋" w:cs="仿宋"/>
          <w:sz w:val="28"/>
          <w:szCs w:val="28"/>
        </w:rPr>
      </w:pPr>
    </w:p>
    <w:p>
      <w:pPr>
        <w:pStyle w:val="52"/>
        <w:ind w:firstLine="0"/>
        <w:rPr>
          <w:rFonts w:ascii="仿宋" w:hAnsi="仿宋" w:eastAsia="仿宋" w:cs="仿宋"/>
          <w:sz w:val="28"/>
          <w:szCs w:val="28"/>
        </w:rPr>
      </w:pPr>
    </w:p>
    <w:p>
      <w:pPr>
        <w:pStyle w:val="52"/>
        <w:ind w:firstLine="0"/>
        <w:jc w:val="center"/>
        <w:outlineLvl w:val="1"/>
        <w:rPr>
          <w:rFonts w:ascii="仿宋" w:hAnsi="仿宋" w:eastAsia="仿宋" w:cs="仿宋"/>
          <w:b/>
          <w:bCs/>
          <w:sz w:val="28"/>
          <w:szCs w:val="28"/>
        </w:rPr>
      </w:pPr>
      <w:bookmarkStart w:id="654" w:name="_Toc7770"/>
      <w:bookmarkStart w:id="655" w:name="_Toc1059"/>
      <w:bookmarkStart w:id="656" w:name="_Toc29640"/>
      <w:r>
        <w:rPr>
          <w:rFonts w:hint="eastAsia" w:ascii="仿宋" w:hAnsi="仿宋" w:eastAsia="仿宋" w:cs="仿宋"/>
          <w:b/>
          <w:bCs/>
          <w:sz w:val="28"/>
          <w:szCs w:val="28"/>
        </w:rPr>
        <w:t>第一部分 合同书</w:t>
      </w:r>
      <w:bookmarkEnd w:id="654"/>
      <w:bookmarkEnd w:id="655"/>
      <w:bookmarkEnd w:id="656"/>
    </w:p>
    <w:p>
      <w:pPr>
        <w:pStyle w:val="52"/>
        <w:ind w:firstLine="0"/>
        <w:rPr>
          <w:rFonts w:ascii="仿宋" w:hAnsi="仿宋" w:eastAsia="仿宋" w:cs="仿宋"/>
          <w:sz w:val="28"/>
          <w:szCs w:val="28"/>
        </w:rPr>
      </w:pPr>
    </w:p>
    <w:p>
      <w:pPr>
        <w:pStyle w:val="52"/>
        <w:ind w:firstLine="0"/>
        <w:rPr>
          <w:rFonts w:ascii="仿宋" w:hAnsi="仿宋" w:eastAsia="仿宋" w:cs="仿宋"/>
          <w:sz w:val="28"/>
          <w:szCs w:val="28"/>
        </w:rPr>
      </w:pPr>
    </w:p>
    <w:p>
      <w:pPr>
        <w:spacing w:before="120" w:line="22" w:lineRule="atLeast"/>
        <w:rPr>
          <w:rFonts w:ascii="仿宋" w:hAnsi="仿宋" w:eastAsia="仿宋" w:cs="仿宋"/>
          <w:sz w:val="28"/>
          <w:szCs w:val="28"/>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0"/>
        <w:spacing w:before="120" w:line="22" w:lineRule="atLeast"/>
        <w:rPr>
          <w:rFonts w:ascii="仿宋" w:hAnsi="仿宋" w:eastAsia="仿宋" w:cs="仿宋"/>
          <w:szCs w:val="24"/>
        </w:rPr>
      </w:pPr>
    </w:p>
    <w:p>
      <w:pPr>
        <w:pStyle w:val="50"/>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utoSpaceDE w:val="0"/>
        <w:autoSpaceDN w:val="0"/>
        <w:adjustRightInd w:val="0"/>
        <w:spacing w:line="600" w:lineRule="exact"/>
        <w:ind w:firstLine="640"/>
        <w:jc w:val="center"/>
        <w:rPr>
          <w:rFonts w:ascii="仿宋" w:hAnsi="仿宋" w:eastAsia="仿宋" w:cs="仿宋"/>
          <w:sz w:val="24"/>
        </w:rPr>
        <w:sectPr>
          <w:headerReference r:id="rId5" w:type="default"/>
          <w:footerReference r:id="rId6" w:type="default"/>
          <w:pgSz w:w="11907" w:h="16840"/>
          <w:pgMar w:top="1474" w:right="1814" w:bottom="1474" w:left="1814" w:header="851" w:footer="851" w:gutter="0"/>
          <w:pgNumType w:fmt="decimal"/>
          <w:cols w:space="720" w:num="1"/>
          <w:docGrid w:linePitch="462" w:charSpace="0"/>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吐鲁番市自然资源局  </w:t>
      </w:r>
      <w:r>
        <w:rPr>
          <w:rFonts w:hint="eastAsia" w:ascii="仿宋" w:hAnsi="仿宋" w:eastAsia="仿宋" w:cs="仿宋"/>
          <w:sz w:val="24"/>
        </w:rPr>
        <w:t>以</w:t>
      </w:r>
      <w:r>
        <w:rPr>
          <w:rFonts w:hint="eastAsia" w:ascii="仿宋" w:hAnsi="仿宋" w:eastAsia="仿宋" w:cs="仿宋"/>
          <w:sz w:val="24"/>
          <w:u w:val="single"/>
        </w:rPr>
        <w:t xml:space="preserve">公开招标方式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657" w:name="_Toc15367"/>
      <w:bookmarkStart w:id="658" w:name="_Toc9801"/>
      <w:bookmarkStart w:id="659" w:name="_Toc19273"/>
      <w:bookmarkStart w:id="660" w:name="_Toc26481"/>
      <w:bookmarkStart w:id="661" w:name="_Toc20421"/>
      <w:bookmarkStart w:id="662" w:name="_Toc11616"/>
      <w:bookmarkStart w:id="663" w:name="_Toc22967"/>
      <w:bookmarkStart w:id="664" w:name="_Toc28855"/>
      <w:bookmarkStart w:id="665" w:name="_Toc14893"/>
      <w:r>
        <w:rPr>
          <w:rFonts w:hint="eastAsia" w:ascii="仿宋" w:hAnsi="仿宋" w:eastAsia="仿宋" w:cs="仿宋"/>
          <w:b/>
          <w:bCs/>
          <w:sz w:val="24"/>
        </w:rPr>
        <w:t>1.1 合同组成部分</w:t>
      </w:r>
      <w:bookmarkEnd w:id="657"/>
      <w:bookmarkEnd w:id="658"/>
      <w:bookmarkEnd w:id="659"/>
      <w:bookmarkEnd w:id="660"/>
      <w:bookmarkEnd w:id="661"/>
      <w:bookmarkEnd w:id="662"/>
      <w:bookmarkEnd w:id="663"/>
      <w:bookmarkEnd w:id="664"/>
      <w:bookmarkEnd w:id="665"/>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bCs/>
          <w:sz w:val="24"/>
        </w:rPr>
      </w:pPr>
      <w:bookmarkStart w:id="666" w:name="_Toc28809"/>
      <w:bookmarkStart w:id="667" w:name="_Toc18585"/>
      <w:bookmarkStart w:id="668" w:name="_Toc11548"/>
      <w:bookmarkStart w:id="669" w:name="_Toc6773"/>
      <w:bookmarkStart w:id="670" w:name="_Toc6311"/>
      <w:bookmarkStart w:id="671" w:name="_Toc22185"/>
      <w:bookmarkStart w:id="672" w:name="_Toc2918"/>
      <w:bookmarkStart w:id="673" w:name="_Toc12407"/>
      <w:bookmarkStart w:id="674" w:name="_Toc4283"/>
      <w:r>
        <w:rPr>
          <w:rFonts w:hint="eastAsia" w:ascii="仿宋" w:hAnsi="仿宋" w:eastAsia="仿宋" w:cs="仿宋"/>
          <w:b/>
          <w:bCs/>
          <w:sz w:val="24"/>
        </w:rPr>
        <w:t>1.2 标的</w:t>
      </w:r>
      <w:bookmarkEnd w:id="666"/>
      <w:bookmarkEnd w:id="667"/>
      <w:bookmarkEnd w:id="668"/>
      <w:bookmarkEnd w:id="669"/>
      <w:bookmarkEnd w:id="670"/>
      <w:bookmarkEnd w:id="671"/>
      <w:bookmarkEnd w:id="672"/>
      <w:bookmarkEnd w:id="673"/>
      <w:bookmarkEnd w:id="674"/>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（详见清单）</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按采购文件要求（详见清单）</w:t>
      </w:r>
    </w:p>
    <w:p>
      <w:pPr>
        <w:spacing w:line="560" w:lineRule="exact"/>
        <w:ind w:firstLine="480" w:firstLineChars="200"/>
        <w:rPr>
          <w:rFonts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按采购文件要求和投标文件的实际填写。</w:t>
      </w:r>
    </w:p>
    <w:p>
      <w:pPr>
        <w:spacing w:line="560" w:lineRule="exact"/>
        <w:ind w:firstLine="482" w:firstLineChars="200"/>
        <w:outlineLvl w:val="0"/>
        <w:rPr>
          <w:rFonts w:ascii="仿宋" w:hAnsi="仿宋" w:eastAsia="仿宋" w:cs="仿宋"/>
          <w:b/>
          <w:bCs/>
          <w:sz w:val="24"/>
        </w:rPr>
      </w:pPr>
      <w:bookmarkStart w:id="675" w:name="_Toc13918"/>
      <w:bookmarkStart w:id="676" w:name="_Toc14367"/>
      <w:bookmarkStart w:id="677" w:name="_Toc21124"/>
      <w:bookmarkStart w:id="678" w:name="_Toc4929"/>
      <w:bookmarkStart w:id="679" w:name="_Toc1386"/>
      <w:bookmarkStart w:id="680" w:name="_Toc5560"/>
      <w:bookmarkStart w:id="681" w:name="_Toc5635"/>
      <w:bookmarkStart w:id="682" w:name="_Toc30528"/>
      <w:bookmarkStart w:id="683" w:name="_Toc14026"/>
      <w:r>
        <w:rPr>
          <w:rFonts w:hint="eastAsia" w:ascii="仿宋" w:hAnsi="仿宋" w:eastAsia="仿宋" w:cs="仿宋"/>
          <w:b/>
          <w:bCs/>
          <w:sz w:val="24"/>
        </w:rPr>
        <w:t>1.3 价款</w:t>
      </w:r>
      <w:bookmarkEnd w:id="675"/>
      <w:bookmarkEnd w:id="676"/>
      <w:bookmarkEnd w:id="677"/>
      <w:bookmarkEnd w:id="678"/>
      <w:bookmarkEnd w:id="679"/>
      <w:bookmarkEnd w:id="680"/>
      <w:bookmarkEnd w:id="681"/>
      <w:bookmarkEnd w:id="682"/>
      <w:bookmarkEnd w:id="683"/>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价格：</w:t>
      </w:r>
    </w:p>
    <w:tbl>
      <w:tblPr>
        <w:tblStyle w:val="3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1"/>
              <w:spacing w:line="560" w:lineRule="exact"/>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vAlign w:val="center"/>
          </w:tcPr>
          <w:p>
            <w:pPr>
              <w:pStyle w:val="51"/>
              <w:spacing w:line="560" w:lineRule="exact"/>
              <w:ind w:firstLine="20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产品名称</w:t>
            </w:r>
          </w:p>
        </w:tc>
        <w:tc>
          <w:tcPr>
            <w:tcW w:w="2552" w:type="dxa"/>
            <w:vAlign w:val="center"/>
          </w:tcPr>
          <w:p>
            <w:pPr>
              <w:pStyle w:val="51"/>
              <w:spacing w:line="560" w:lineRule="exact"/>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产品价格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1"/>
              <w:spacing w:line="560" w:lineRule="exact"/>
              <w:ind w:firstLine="200"/>
              <w:jc w:val="center"/>
              <w:rPr>
                <w:rFonts w:ascii="仿宋" w:hAnsi="仿宋" w:eastAsia="仿宋" w:cs="仿宋"/>
                <w:color w:val="000000"/>
                <w:kern w:val="2"/>
                <w:sz w:val="24"/>
                <w:szCs w:val="24"/>
              </w:rPr>
            </w:pPr>
          </w:p>
        </w:tc>
        <w:tc>
          <w:tcPr>
            <w:tcW w:w="3402" w:type="dxa"/>
            <w:vAlign w:val="center"/>
          </w:tcPr>
          <w:p>
            <w:pPr>
              <w:pStyle w:val="51"/>
              <w:spacing w:line="560" w:lineRule="exact"/>
              <w:ind w:firstLine="200"/>
              <w:jc w:val="center"/>
              <w:rPr>
                <w:rFonts w:ascii="仿宋" w:hAnsi="仿宋" w:eastAsia="仿宋" w:cs="仿宋"/>
                <w:color w:val="000000"/>
                <w:kern w:val="2"/>
                <w:sz w:val="24"/>
                <w:szCs w:val="24"/>
              </w:rPr>
            </w:pPr>
          </w:p>
        </w:tc>
        <w:tc>
          <w:tcPr>
            <w:tcW w:w="2552" w:type="dxa"/>
            <w:vAlign w:val="center"/>
          </w:tcPr>
          <w:p>
            <w:pPr>
              <w:pStyle w:val="51"/>
              <w:spacing w:line="560" w:lineRule="exact"/>
              <w:ind w:firstLine="20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1"/>
              <w:spacing w:line="560" w:lineRule="exact"/>
              <w:ind w:firstLine="200"/>
              <w:jc w:val="center"/>
              <w:rPr>
                <w:rFonts w:ascii="仿宋" w:hAnsi="仿宋" w:eastAsia="仿宋" w:cs="仿宋"/>
                <w:color w:val="000000"/>
                <w:kern w:val="2"/>
                <w:sz w:val="24"/>
                <w:szCs w:val="24"/>
              </w:rPr>
            </w:pPr>
          </w:p>
        </w:tc>
        <w:tc>
          <w:tcPr>
            <w:tcW w:w="3402" w:type="dxa"/>
            <w:vAlign w:val="center"/>
          </w:tcPr>
          <w:p>
            <w:pPr>
              <w:pStyle w:val="51"/>
              <w:spacing w:line="560" w:lineRule="exact"/>
              <w:ind w:firstLine="200"/>
              <w:jc w:val="center"/>
              <w:rPr>
                <w:rFonts w:ascii="仿宋" w:hAnsi="仿宋" w:eastAsia="仿宋" w:cs="仿宋"/>
                <w:color w:val="000000"/>
                <w:kern w:val="2"/>
                <w:sz w:val="24"/>
                <w:szCs w:val="24"/>
              </w:rPr>
            </w:pPr>
          </w:p>
        </w:tc>
        <w:tc>
          <w:tcPr>
            <w:tcW w:w="2552" w:type="dxa"/>
            <w:vAlign w:val="center"/>
          </w:tcPr>
          <w:p>
            <w:pPr>
              <w:pStyle w:val="51"/>
              <w:spacing w:line="560" w:lineRule="exact"/>
              <w:ind w:firstLine="20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1"/>
              <w:spacing w:line="560" w:lineRule="exact"/>
              <w:ind w:firstLine="200"/>
              <w:jc w:val="center"/>
              <w:rPr>
                <w:rFonts w:ascii="仿宋" w:hAnsi="仿宋" w:eastAsia="仿宋" w:cs="仿宋"/>
                <w:color w:val="000000"/>
                <w:kern w:val="2"/>
                <w:sz w:val="24"/>
                <w:szCs w:val="24"/>
              </w:rPr>
            </w:pPr>
          </w:p>
        </w:tc>
        <w:tc>
          <w:tcPr>
            <w:tcW w:w="3402" w:type="dxa"/>
            <w:vAlign w:val="center"/>
          </w:tcPr>
          <w:p>
            <w:pPr>
              <w:pStyle w:val="51"/>
              <w:spacing w:line="560" w:lineRule="exact"/>
              <w:ind w:firstLine="200"/>
              <w:jc w:val="center"/>
              <w:rPr>
                <w:rFonts w:ascii="仿宋" w:hAnsi="仿宋" w:eastAsia="仿宋" w:cs="仿宋"/>
                <w:color w:val="000000"/>
                <w:kern w:val="2"/>
                <w:sz w:val="24"/>
                <w:szCs w:val="24"/>
              </w:rPr>
            </w:pPr>
          </w:p>
        </w:tc>
        <w:tc>
          <w:tcPr>
            <w:tcW w:w="2552" w:type="dxa"/>
            <w:vAlign w:val="center"/>
          </w:tcPr>
          <w:p>
            <w:pPr>
              <w:pStyle w:val="51"/>
              <w:spacing w:line="560" w:lineRule="exact"/>
              <w:ind w:firstLine="20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1"/>
              <w:spacing w:line="560" w:lineRule="exact"/>
              <w:ind w:firstLine="200"/>
              <w:jc w:val="center"/>
              <w:rPr>
                <w:rFonts w:ascii="仿宋" w:hAnsi="仿宋" w:eastAsia="仿宋" w:cs="仿宋"/>
                <w:color w:val="000000"/>
                <w:kern w:val="2"/>
                <w:sz w:val="24"/>
                <w:szCs w:val="24"/>
              </w:rPr>
            </w:pPr>
          </w:p>
        </w:tc>
        <w:tc>
          <w:tcPr>
            <w:tcW w:w="3402" w:type="dxa"/>
            <w:vAlign w:val="center"/>
          </w:tcPr>
          <w:p>
            <w:pPr>
              <w:pStyle w:val="51"/>
              <w:spacing w:line="560" w:lineRule="exact"/>
              <w:ind w:firstLine="200"/>
              <w:jc w:val="center"/>
              <w:rPr>
                <w:rFonts w:ascii="仿宋" w:hAnsi="仿宋" w:eastAsia="仿宋" w:cs="仿宋"/>
                <w:color w:val="000000"/>
                <w:kern w:val="2"/>
                <w:sz w:val="24"/>
                <w:szCs w:val="24"/>
              </w:rPr>
            </w:pPr>
          </w:p>
        </w:tc>
        <w:tc>
          <w:tcPr>
            <w:tcW w:w="2552" w:type="dxa"/>
            <w:vAlign w:val="center"/>
          </w:tcPr>
          <w:p>
            <w:pPr>
              <w:pStyle w:val="51"/>
              <w:spacing w:line="560" w:lineRule="exact"/>
              <w:ind w:firstLine="20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51"/>
              <w:spacing w:line="560" w:lineRule="exact"/>
              <w:ind w:firstLine="20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vAlign w:val="center"/>
          </w:tcPr>
          <w:p>
            <w:pPr>
              <w:pStyle w:val="51"/>
              <w:spacing w:line="560" w:lineRule="exact"/>
              <w:ind w:firstLine="200"/>
              <w:jc w:val="center"/>
              <w:rPr>
                <w:rFonts w:ascii="仿宋" w:hAnsi="仿宋" w:eastAsia="仿宋" w:cs="仿宋"/>
                <w:color w:val="000000"/>
                <w:kern w:val="2"/>
                <w:sz w:val="24"/>
                <w:szCs w:val="24"/>
              </w:rPr>
            </w:pPr>
          </w:p>
        </w:tc>
      </w:tr>
    </w:tbl>
    <w:p>
      <w:pPr>
        <w:spacing w:line="560" w:lineRule="exact"/>
        <w:ind w:firstLine="482" w:firstLineChars="200"/>
        <w:outlineLvl w:val="0"/>
        <w:rPr>
          <w:rFonts w:ascii="仿宋" w:hAnsi="仿宋" w:eastAsia="仿宋" w:cs="仿宋"/>
          <w:b/>
          <w:bCs/>
          <w:sz w:val="24"/>
        </w:rPr>
      </w:pPr>
      <w:bookmarkStart w:id="684" w:name="_Toc30158"/>
      <w:bookmarkStart w:id="685" w:name="_Toc10744"/>
      <w:bookmarkStart w:id="686" w:name="_Toc3654"/>
      <w:bookmarkStart w:id="687" w:name="_Toc1291"/>
      <w:bookmarkStart w:id="688" w:name="_Toc30506"/>
      <w:bookmarkStart w:id="689" w:name="_Toc14993"/>
      <w:bookmarkStart w:id="690" w:name="_Toc26916"/>
      <w:bookmarkStart w:id="691" w:name="_Toc23913"/>
      <w:bookmarkStart w:id="692" w:name="_Toc4771"/>
      <w:r>
        <w:rPr>
          <w:rFonts w:hint="eastAsia" w:ascii="仿宋" w:hAnsi="仿宋" w:eastAsia="仿宋" w:cs="仿宋"/>
          <w:b/>
          <w:bCs/>
          <w:sz w:val="24"/>
        </w:rPr>
        <w:t>1.4 付款方式和发票开具方式</w:t>
      </w:r>
      <w:bookmarkEnd w:id="684"/>
      <w:bookmarkEnd w:id="685"/>
      <w:bookmarkEnd w:id="686"/>
      <w:bookmarkEnd w:id="687"/>
      <w:bookmarkEnd w:id="688"/>
      <w:bookmarkEnd w:id="689"/>
      <w:bookmarkEnd w:id="690"/>
      <w:bookmarkEnd w:id="691"/>
      <w:bookmarkEnd w:id="692"/>
    </w:p>
    <w:p>
      <w:pPr>
        <w:pStyle w:val="1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1.4.1付款方式：详见采购文件要求。</w:t>
      </w:r>
    </w:p>
    <w:p>
      <w:pPr>
        <w:spacing w:line="560" w:lineRule="exact"/>
        <w:ind w:firstLine="480" w:firstLineChars="200"/>
        <w:rPr>
          <w:rFonts w:ascii="仿宋" w:hAnsi="仿宋" w:eastAsia="仿宋" w:cs="仿宋"/>
          <w:sz w:val="24"/>
        </w:rPr>
      </w:pPr>
      <w:r>
        <w:rPr>
          <w:rFonts w:hint="eastAsia" w:ascii="仿宋" w:hAnsi="仿宋" w:eastAsia="仿宋" w:cs="仿宋"/>
          <w:sz w:val="24"/>
        </w:rPr>
        <w:t>1.4.2 发票开具方式：乙方提供发票</w:t>
      </w:r>
    </w:p>
    <w:p>
      <w:pPr>
        <w:spacing w:line="560" w:lineRule="exact"/>
        <w:ind w:firstLine="482" w:firstLineChars="200"/>
        <w:outlineLvl w:val="0"/>
        <w:rPr>
          <w:rFonts w:ascii="仿宋" w:hAnsi="仿宋" w:eastAsia="仿宋" w:cs="仿宋"/>
          <w:b/>
          <w:bCs/>
          <w:sz w:val="24"/>
        </w:rPr>
      </w:pPr>
      <w:bookmarkStart w:id="693" w:name="_Toc31421"/>
      <w:bookmarkStart w:id="694" w:name="_Toc4760"/>
      <w:bookmarkStart w:id="695" w:name="_Toc13989"/>
      <w:bookmarkStart w:id="696" w:name="_Toc12078"/>
      <w:bookmarkStart w:id="697" w:name="_Toc22230"/>
      <w:bookmarkStart w:id="698" w:name="_Toc11108"/>
      <w:bookmarkStart w:id="699" w:name="_Toc3625"/>
      <w:bookmarkStart w:id="700" w:name="_Toc8772"/>
      <w:bookmarkStart w:id="701" w:name="_Toc29562"/>
      <w:r>
        <w:rPr>
          <w:rFonts w:hint="eastAsia" w:ascii="仿宋" w:hAnsi="仿宋" w:eastAsia="仿宋" w:cs="仿宋"/>
          <w:b/>
          <w:bCs/>
          <w:sz w:val="24"/>
        </w:rPr>
        <w:t>1.5 履行期限、地点和方式</w:t>
      </w:r>
      <w:bookmarkEnd w:id="693"/>
      <w:bookmarkEnd w:id="694"/>
      <w:bookmarkEnd w:id="695"/>
      <w:bookmarkEnd w:id="696"/>
      <w:bookmarkEnd w:id="697"/>
      <w:bookmarkEnd w:id="698"/>
      <w:bookmarkEnd w:id="699"/>
      <w:bookmarkEnd w:id="700"/>
      <w:bookmarkEnd w:id="701"/>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按采购文件要求      </w:t>
      </w:r>
    </w:p>
    <w:p>
      <w:pPr>
        <w:spacing w:line="560" w:lineRule="exact"/>
        <w:ind w:firstLine="480" w:firstLineChars="200"/>
        <w:rPr>
          <w:rFonts w:ascii="仿宋" w:hAnsi="仿宋" w:eastAsia="仿宋" w:cs="仿宋"/>
          <w:b/>
          <w:bCs/>
          <w:sz w:val="24"/>
        </w:rPr>
      </w:pPr>
      <w:r>
        <w:rPr>
          <w:rFonts w:hint="eastAsia" w:ascii="仿宋" w:hAnsi="仿宋" w:eastAsia="仿宋" w:cs="仿宋"/>
          <w:sz w:val="24"/>
        </w:rPr>
        <w:t xml:space="preserve">1.5.2 </w:t>
      </w:r>
      <w:r>
        <w:rPr>
          <w:rFonts w:hint="eastAsia" w:ascii="仿宋" w:hAnsi="仿宋" w:eastAsia="仿宋" w:cs="仿宋"/>
          <w:b/>
          <w:bCs/>
          <w:sz w:val="24"/>
        </w:rPr>
        <w:t>履行地点：采购人指定地点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1.5.3 履行方式：现场验收。</w:t>
      </w:r>
    </w:p>
    <w:p>
      <w:pPr>
        <w:spacing w:line="560" w:lineRule="exact"/>
        <w:ind w:firstLine="482" w:firstLineChars="200"/>
        <w:outlineLvl w:val="0"/>
        <w:rPr>
          <w:rFonts w:ascii="仿宋" w:hAnsi="仿宋" w:eastAsia="仿宋" w:cs="仿宋"/>
          <w:sz w:val="24"/>
          <w:u w:val="single"/>
        </w:rPr>
      </w:pPr>
      <w:bookmarkStart w:id="702" w:name="_Toc2375"/>
      <w:bookmarkStart w:id="703" w:name="_Toc5623"/>
      <w:bookmarkStart w:id="704" w:name="_Toc5698"/>
      <w:bookmarkStart w:id="705" w:name="_Toc19013"/>
      <w:bookmarkStart w:id="706" w:name="_Toc24662"/>
      <w:bookmarkStart w:id="707" w:name="_Toc22489"/>
      <w:bookmarkStart w:id="708" w:name="_Toc8586"/>
      <w:bookmarkStart w:id="709" w:name="_Toc3079"/>
      <w:bookmarkStart w:id="710" w:name="_Toc6274"/>
      <w:r>
        <w:rPr>
          <w:rFonts w:hint="eastAsia" w:ascii="仿宋" w:hAnsi="仿宋" w:eastAsia="仿宋" w:cs="仿宋"/>
          <w:b/>
          <w:bCs/>
          <w:sz w:val="24"/>
        </w:rPr>
        <w:t>1.6 违约责任</w:t>
      </w:r>
      <w:bookmarkEnd w:id="702"/>
      <w:bookmarkEnd w:id="703"/>
      <w:bookmarkEnd w:id="704"/>
      <w:bookmarkEnd w:id="705"/>
      <w:bookmarkEnd w:id="706"/>
      <w:bookmarkEnd w:id="707"/>
      <w:bookmarkEnd w:id="708"/>
      <w:bookmarkEnd w:id="709"/>
      <w:bookmarkEnd w:id="710"/>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cs="仿宋"/>
          <w:b/>
          <w:bCs/>
          <w:sz w:val="24"/>
        </w:rPr>
      </w:pPr>
      <w:bookmarkStart w:id="711" w:name="_Toc31206"/>
      <w:bookmarkStart w:id="712" w:name="_Toc2030"/>
      <w:bookmarkStart w:id="713" w:name="_Toc799"/>
      <w:bookmarkStart w:id="714" w:name="_Toc26807"/>
      <w:bookmarkStart w:id="715" w:name="_Toc30329"/>
      <w:bookmarkStart w:id="716" w:name="_Toc32454"/>
      <w:bookmarkStart w:id="717" w:name="_Toc9497"/>
      <w:bookmarkStart w:id="718" w:name="_Toc18683"/>
      <w:bookmarkStart w:id="719" w:name="_Toc9399"/>
      <w:r>
        <w:rPr>
          <w:rFonts w:hint="eastAsia" w:ascii="仿宋" w:hAnsi="仿宋" w:eastAsia="仿宋" w:cs="仿宋"/>
          <w:b/>
          <w:bCs/>
          <w:sz w:val="24"/>
        </w:rPr>
        <w:t>1.7 合同争议的解决</w:t>
      </w:r>
      <w:bookmarkEnd w:id="711"/>
      <w:bookmarkEnd w:id="712"/>
      <w:bookmarkEnd w:id="713"/>
      <w:bookmarkEnd w:id="714"/>
      <w:bookmarkEnd w:id="715"/>
      <w:bookmarkEnd w:id="716"/>
      <w:bookmarkEnd w:id="717"/>
      <w:bookmarkEnd w:id="718"/>
      <w:bookmarkEnd w:id="719"/>
    </w:p>
    <w:p>
      <w:pPr>
        <w:spacing w:line="56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2 </w:t>
      </w:r>
      <w:r>
        <w:rPr>
          <w:rFonts w:hint="eastAsia" w:ascii="仿宋" w:hAnsi="仿宋" w:eastAsia="仿宋" w:cs="仿宋"/>
          <w:sz w:val="24"/>
        </w:rPr>
        <w:t>种方式解决：</w:t>
      </w:r>
    </w:p>
    <w:p>
      <w:pPr>
        <w:spacing w:line="560" w:lineRule="exact"/>
        <w:ind w:firstLine="480" w:firstLineChars="20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pPr>
        <w:spacing w:line="560" w:lineRule="exact"/>
        <w:ind w:firstLine="480" w:firstLineChars="20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吐鲁番市</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bCs/>
          <w:sz w:val="24"/>
        </w:rPr>
      </w:pPr>
      <w:bookmarkStart w:id="720" w:name="_Toc20437"/>
      <w:bookmarkStart w:id="721" w:name="_Toc16417"/>
      <w:bookmarkStart w:id="722" w:name="_Toc30135"/>
      <w:bookmarkStart w:id="723" w:name="_Toc23784"/>
      <w:bookmarkStart w:id="724" w:name="_Toc12464"/>
      <w:bookmarkStart w:id="725" w:name="_Toc12273"/>
      <w:bookmarkStart w:id="726" w:name="_Toc26227"/>
      <w:bookmarkStart w:id="727" w:name="_Toc15827"/>
      <w:bookmarkStart w:id="728" w:name="_Toc22625"/>
      <w:r>
        <w:rPr>
          <w:rFonts w:hint="eastAsia" w:ascii="仿宋" w:hAnsi="仿宋" w:eastAsia="仿宋" w:cs="仿宋"/>
          <w:b/>
          <w:bCs/>
          <w:sz w:val="24"/>
        </w:rPr>
        <w:t>1.8 合同生效</w:t>
      </w:r>
      <w:bookmarkEnd w:id="720"/>
      <w:bookmarkEnd w:id="721"/>
      <w:bookmarkEnd w:id="722"/>
      <w:bookmarkEnd w:id="723"/>
      <w:bookmarkEnd w:id="724"/>
      <w:bookmarkEnd w:id="725"/>
      <w:bookmarkEnd w:id="726"/>
      <w:bookmarkEnd w:id="727"/>
      <w:bookmarkEnd w:id="728"/>
    </w:p>
    <w:p>
      <w:pPr>
        <w:spacing w:line="560" w:lineRule="exact"/>
        <w:ind w:firstLine="480" w:firstLineChars="200"/>
        <w:rPr>
          <w:rFonts w:ascii="仿宋" w:hAnsi="仿宋" w:eastAsia="仿宋" w:cs="仿宋"/>
          <w:b/>
          <w:bCs/>
          <w:sz w:val="24"/>
        </w:rPr>
      </w:pPr>
      <w:r>
        <w:rPr>
          <w:rFonts w:hint="eastAsia" w:ascii="仿宋" w:hAnsi="仿宋" w:eastAsia="仿宋" w:cs="仿宋"/>
          <w:sz w:val="24"/>
        </w:rPr>
        <w:t>本合同自双方当事人盖章或者签字时生效。</w:t>
      </w:r>
    </w:p>
    <w:p>
      <w:pPr>
        <w:autoSpaceDE w:val="0"/>
        <w:autoSpaceDN w:val="0"/>
        <w:adjustRightInd w:val="0"/>
        <w:spacing w:line="560" w:lineRule="exact"/>
        <w:rPr>
          <w:rFonts w:ascii="仿宋" w:hAnsi="仿宋" w:eastAsia="仿宋" w:cs="仿宋"/>
          <w:sz w:val="24"/>
          <w:lang w:val="zh-CN"/>
        </w:rPr>
      </w:pP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b/>
          <w:bCs/>
          <w:sz w:val="24"/>
          <w:lang w:val="zh-CN"/>
        </w:rPr>
        <w:t>甲方</w:t>
      </w:r>
      <w:r>
        <w:rPr>
          <w:rFonts w:hint="eastAsia" w:ascii="仿宋" w:hAnsi="仿宋" w:eastAsia="仿宋" w:cs="仿宋"/>
          <w:sz w:val="24"/>
          <w:lang w:val="zh-CN"/>
        </w:rPr>
        <w:t xml:space="preserve">：                             </w:t>
      </w:r>
      <w:r>
        <w:rPr>
          <w:rFonts w:hint="eastAsia" w:ascii="仿宋" w:hAnsi="仿宋" w:eastAsia="仿宋" w:cs="仿宋"/>
          <w:b/>
          <w:bCs/>
          <w:sz w:val="24"/>
          <w:lang w:val="zh-CN"/>
        </w:rPr>
        <w:t xml:space="preserve">      乙方</w:t>
      </w:r>
      <w:r>
        <w:rPr>
          <w:rFonts w:hint="eastAsia" w:ascii="仿宋" w:hAnsi="仿宋" w:eastAsia="仿宋" w:cs="仿宋"/>
          <w:sz w:val="24"/>
          <w:lang w:val="zh-CN"/>
        </w:rPr>
        <w:t>：</w:t>
      </w:r>
    </w:p>
    <w:p>
      <w:pPr>
        <w:autoSpaceDE w:val="0"/>
        <w:autoSpaceDN w:val="0"/>
        <w:adjustRightInd w:val="0"/>
        <w:spacing w:line="560" w:lineRule="exact"/>
        <w:ind w:left="5040" w:hanging="5040" w:hangingChars="2100"/>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adjustRightInd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bCs/>
          <w:sz w:val="24"/>
        </w:rPr>
      </w:pPr>
    </w:p>
    <w:p>
      <w:pPr>
        <w:widowControl/>
        <w:spacing w:line="560" w:lineRule="exact"/>
        <w:jc w:val="left"/>
        <w:rPr>
          <w:rFonts w:ascii="仿宋" w:hAnsi="仿宋" w:eastAsia="仿宋" w:cs="仿宋"/>
          <w:b/>
          <w:bCs/>
          <w:kern w:val="0"/>
          <w:sz w:val="24"/>
        </w:rPr>
      </w:pPr>
    </w:p>
    <w:p>
      <w:pPr>
        <w:rPr>
          <w:rFonts w:hint="eastAsia" w:ascii="仿宋" w:hAnsi="仿宋" w:eastAsia="仿宋" w:cs="仿宋"/>
          <w:b/>
          <w:bCs/>
          <w:szCs w:val="24"/>
        </w:rPr>
      </w:pPr>
      <w:r>
        <w:rPr>
          <w:rFonts w:hint="eastAsia" w:ascii="仿宋" w:hAnsi="仿宋" w:eastAsia="仿宋" w:cs="仿宋"/>
          <w:b/>
          <w:bCs/>
          <w:szCs w:val="24"/>
        </w:rPr>
        <w:br w:type="page"/>
      </w:r>
    </w:p>
    <w:p>
      <w:pPr>
        <w:pStyle w:val="52"/>
        <w:spacing w:line="560" w:lineRule="exact"/>
        <w:ind w:firstLine="200"/>
        <w:jc w:val="center"/>
        <w:outlineLvl w:val="1"/>
        <w:rPr>
          <w:rFonts w:ascii="仿宋" w:hAnsi="仿宋" w:eastAsia="仿宋" w:cs="仿宋"/>
          <w:b/>
          <w:bCs/>
          <w:szCs w:val="24"/>
        </w:rPr>
      </w:pPr>
      <w:bookmarkStart w:id="729" w:name="_Toc11371"/>
      <w:bookmarkStart w:id="730" w:name="_Toc7537"/>
      <w:bookmarkStart w:id="731" w:name="_Toc5620"/>
      <w:r>
        <w:rPr>
          <w:rFonts w:hint="eastAsia" w:ascii="仿宋" w:hAnsi="仿宋" w:eastAsia="仿宋" w:cs="仿宋"/>
          <w:b/>
          <w:bCs/>
          <w:szCs w:val="24"/>
        </w:rPr>
        <w:t>第二部分 合同一般条款</w:t>
      </w:r>
      <w:bookmarkEnd w:id="729"/>
      <w:bookmarkEnd w:id="730"/>
      <w:bookmarkEnd w:id="731"/>
    </w:p>
    <w:p>
      <w:pPr>
        <w:spacing w:line="560" w:lineRule="exact"/>
        <w:ind w:firstLine="482" w:firstLineChars="200"/>
        <w:outlineLvl w:val="0"/>
        <w:rPr>
          <w:rFonts w:ascii="仿宋" w:hAnsi="仿宋" w:eastAsia="仿宋" w:cs="仿宋"/>
          <w:b/>
          <w:bCs/>
          <w:sz w:val="24"/>
        </w:rPr>
      </w:pPr>
      <w:bookmarkStart w:id="732" w:name="_Toc4090"/>
      <w:bookmarkStart w:id="733" w:name="_Toc14021"/>
      <w:bookmarkStart w:id="734" w:name="_Toc5363"/>
      <w:bookmarkStart w:id="735" w:name="_Toc5228"/>
      <w:bookmarkStart w:id="736" w:name="_Toc24240"/>
      <w:bookmarkStart w:id="737" w:name="_Toc25079"/>
      <w:bookmarkStart w:id="738" w:name="_Toc19680"/>
      <w:bookmarkStart w:id="739" w:name="_Toc31297"/>
      <w:bookmarkStart w:id="740" w:name="_Toc28466"/>
      <w:r>
        <w:rPr>
          <w:rFonts w:hint="eastAsia" w:ascii="仿宋" w:hAnsi="仿宋" w:eastAsia="仿宋" w:cs="仿宋"/>
          <w:b/>
          <w:bCs/>
          <w:sz w:val="24"/>
        </w:rPr>
        <w:t>2.1 定义</w:t>
      </w:r>
      <w:bookmarkEnd w:id="732"/>
      <w:bookmarkEnd w:id="733"/>
      <w:bookmarkEnd w:id="734"/>
      <w:bookmarkEnd w:id="735"/>
      <w:bookmarkEnd w:id="736"/>
      <w:bookmarkEnd w:id="737"/>
      <w:bookmarkEnd w:id="738"/>
      <w:bookmarkEnd w:id="739"/>
      <w:bookmarkEnd w:id="740"/>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bCs/>
          <w:sz w:val="24"/>
        </w:rPr>
      </w:pPr>
      <w:bookmarkStart w:id="741" w:name="_Toc23289"/>
      <w:bookmarkStart w:id="742" w:name="_Toc3769"/>
      <w:bookmarkStart w:id="743" w:name="_Toc16752"/>
      <w:bookmarkStart w:id="744" w:name="_Toc27234"/>
      <w:bookmarkStart w:id="745" w:name="_Toc20210"/>
      <w:bookmarkStart w:id="746" w:name="_Toc31402"/>
      <w:bookmarkStart w:id="747" w:name="_Toc3294"/>
      <w:bookmarkStart w:id="748" w:name="_Toc19539"/>
      <w:bookmarkStart w:id="749" w:name="_Toc6788"/>
      <w:r>
        <w:rPr>
          <w:rFonts w:hint="eastAsia" w:ascii="仿宋" w:hAnsi="仿宋" w:eastAsia="仿宋" w:cs="仿宋"/>
          <w:b/>
          <w:bCs/>
          <w:sz w:val="24"/>
        </w:rPr>
        <w:t>2.2 技术规范</w:t>
      </w:r>
      <w:bookmarkEnd w:id="741"/>
      <w:bookmarkEnd w:id="742"/>
      <w:bookmarkEnd w:id="743"/>
      <w:bookmarkEnd w:id="744"/>
      <w:bookmarkEnd w:id="745"/>
      <w:bookmarkEnd w:id="746"/>
      <w:bookmarkEnd w:id="747"/>
      <w:bookmarkEnd w:id="748"/>
      <w:bookmarkEnd w:id="749"/>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bCs/>
          <w:sz w:val="24"/>
        </w:rPr>
      </w:pPr>
      <w:bookmarkStart w:id="750" w:name="_Toc12412"/>
      <w:bookmarkStart w:id="751" w:name="_Toc9161"/>
      <w:bookmarkStart w:id="752" w:name="_Toc27945"/>
      <w:bookmarkStart w:id="753" w:name="_Toc13673"/>
      <w:bookmarkStart w:id="754" w:name="_Toc4133"/>
      <w:bookmarkStart w:id="755" w:name="_Toc28641"/>
      <w:bookmarkStart w:id="756" w:name="_Toc6921"/>
      <w:bookmarkStart w:id="757" w:name="_Toc15074"/>
      <w:bookmarkStart w:id="758" w:name="_Toc27802"/>
      <w:r>
        <w:rPr>
          <w:rFonts w:hint="eastAsia" w:ascii="仿宋" w:hAnsi="仿宋" w:eastAsia="仿宋" w:cs="仿宋"/>
          <w:b/>
          <w:bCs/>
          <w:sz w:val="24"/>
        </w:rPr>
        <w:t>2.3 知识产权</w:t>
      </w:r>
      <w:bookmarkEnd w:id="750"/>
      <w:bookmarkEnd w:id="751"/>
      <w:bookmarkEnd w:id="752"/>
      <w:bookmarkEnd w:id="753"/>
      <w:bookmarkEnd w:id="754"/>
      <w:bookmarkEnd w:id="755"/>
      <w:bookmarkEnd w:id="756"/>
      <w:bookmarkEnd w:id="757"/>
      <w:bookmarkEnd w:id="758"/>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2.4.1甲方有权在其认为必要时，对乙方是否能够按照合同约定提供服务进行履约检查，以确保乙方所提供的服务能够依约满足甲方之采购需求，但不得因履约检查妨碍乙方的正常工作，乙方应予积极配合；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bCs/>
          <w:sz w:val="24"/>
        </w:rPr>
      </w:pPr>
      <w:bookmarkStart w:id="759" w:name="_Toc5166"/>
      <w:bookmarkStart w:id="760" w:name="_Toc13154"/>
      <w:bookmarkStart w:id="761" w:name="_Toc13467"/>
      <w:bookmarkStart w:id="762" w:name="_Toc2867"/>
      <w:bookmarkStart w:id="763" w:name="_Toc6934"/>
      <w:bookmarkStart w:id="764" w:name="_Toc30507"/>
      <w:bookmarkStart w:id="765" w:name="_Toc18990"/>
      <w:bookmarkStart w:id="766" w:name="_Toc16163"/>
      <w:bookmarkStart w:id="767" w:name="_Toc20136"/>
      <w:r>
        <w:rPr>
          <w:rFonts w:hint="eastAsia" w:ascii="仿宋" w:hAnsi="仿宋" w:eastAsia="仿宋" w:cs="仿宋"/>
          <w:b/>
          <w:bCs/>
          <w:sz w:val="24"/>
        </w:rPr>
        <w:t>2.5 技术资料和保密义务</w:t>
      </w:r>
      <w:bookmarkEnd w:id="759"/>
      <w:bookmarkEnd w:id="760"/>
      <w:bookmarkEnd w:id="761"/>
      <w:bookmarkEnd w:id="762"/>
      <w:bookmarkEnd w:id="763"/>
      <w:bookmarkEnd w:id="764"/>
      <w:bookmarkEnd w:id="765"/>
      <w:bookmarkEnd w:id="766"/>
      <w:bookmarkEnd w:id="767"/>
    </w:p>
    <w:p>
      <w:pPr>
        <w:spacing w:line="560" w:lineRule="exact"/>
        <w:ind w:firstLine="480" w:firstLineChars="200"/>
        <w:rPr>
          <w:rFonts w:ascii="仿宋" w:hAnsi="仿宋" w:eastAsia="仿宋" w:cs="仿宋"/>
          <w:sz w:val="24"/>
        </w:rPr>
      </w:pPr>
      <w:r>
        <w:rPr>
          <w:rFonts w:hint="eastAsia" w:ascii="仿宋" w:hAnsi="仿宋" w:eastAsia="仿宋" w:cs="仿宋"/>
          <w:sz w:val="24"/>
        </w:rPr>
        <w:t>2.5.1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bCs/>
          <w:sz w:val="24"/>
        </w:rPr>
      </w:pPr>
      <w:bookmarkStart w:id="768" w:name="_Toc30735"/>
      <w:bookmarkStart w:id="769" w:name="_Toc32048"/>
      <w:bookmarkStart w:id="770" w:name="_Toc19069"/>
      <w:bookmarkStart w:id="771" w:name="_Toc15606"/>
      <w:bookmarkStart w:id="772" w:name="_Toc25146"/>
      <w:r>
        <w:rPr>
          <w:rFonts w:hint="eastAsia" w:ascii="仿宋" w:hAnsi="仿宋" w:eastAsia="仿宋" w:cs="仿宋"/>
          <w:b/>
          <w:bCs/>
          <w:sz w:val="24"/>
        </w:rPr>
        <w:t>2.6 质量保证</w:t>
      </w:r>
      <w:bookmarkEnd w:id="768"/>
      <w:bookmarkEnd w:id="769"/>
      <w:bookmarkEnd w:id="770"/>
      <w:bookmarkEnd w:id="771"/>
      <w:bookmarkEnd w:id="772"/>
    </w:p>
    <w:p>
      <w:pPr>
        <w:spacing w:line="560" w:lineRule="exact"/>
        <w:ind w:firstLine="480" w:firstLineChars="200"/>
        <w:rPr>
          <w:rFonts w:ascii="仿宋" w:hAnsi="仿宋" w:eastAsia="仿宋" w:cs="仿宋"/>
          <w:sz w:val="24"/>
        </w:rPr>
      </w:pPr>
      <w:r>
        <w:rPr>
          <w:rFonts w:hint="eastAsia" w:ascii="仿宋" w:hAnsi="仿宋" w:eastAsia="仿宋" w:cs="仿宋"/>
          <w:sz w:val="24"/>
        </w:rPr>
        <w:t>2.6.1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bCs/>
          <w:sz w:val="24"/>
        </w:rPr>
      </w:pPr>
      <w:bookmarkStart w:id="773" w:name="_Toc19025"/>
      <w:bookmarkStart w:id="774" w:name="_Toc22267"/>
      <w:bookmarkStart w:id="775" w:name="_Toc14811"/>
      <w:bookmarkStart w:id="776" w:name="_Toc2434"/>
      <w:bookmarkStart w:id="777" w:name="_Toc29245"/>
      <w:r>
        <w:rPr>
          <w:rFonts w:hint="eastAsia" w:ascii="仿宋" w:hAnsi="仿宋" w:eastAsia="仿宋" w:cs="仿宋"/>
          <w:b/>
          <w:bCs/>
          <w:sz w:val="24"/>
        </w:rPr>
        <w:t>2.7 延迟履行</w:t>
      </w:r>
      <w:bookmarkEnd w:id="773"/>
      <w:bookmarkEnd w:id="774"/>
      <w:bookmarkEnd w:id="775"/>
      <w:bookmarkEnd w:id="776"/>
      <w:bookmarkEnd w:id="777"/>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bCs/>
          <w:sz w:val="24"/>
        </w:rPr>
      </w:pPr>
      <w:bookmarkStart w:id="778" w:name="_Toc14532"/>
      <w:bookmarkStart w:id="779" w:name="_Toc10611"/>
      <w:bookmarkStart w:id="780" w:name="_Toc3810"/>
      <w:bookmarkStart w:id="781" w:name="_Toc31252"/>
      <w:bookmarkStart w:id="782" w:name="_Toc14908"/>
      <w:r>
        <w:rPr>
          <w:rFonts w:hint="eastAsia" w:ascii="仿宋" w:hAnsi="仿宋" w:eastAsia="仿宋" w:cs="仿宋"/>
          <w:b/>
          <w:bCs/>
          <w:sz w:val="24"/>
        </w:rPr>
        <w:t>2.8 合同变更</w:t>
      </w:r>
      <w:bookmarkEnd w:id="778"/>
      <w:bookmarkEnd w:id="779"/>
      <w:bookmarkEnd w:id="780"/>
      <w:bookmarkEnd w:id="781"/>
      <w:bookmarkEnd w:id="782"/>
    </w:p>
    <w:p>
      <w:pPr>
        <w:spacing w:line="560" w:lineRule="exact"/>
        <w:ind w:firstLine="480" w:firstLineChars="200"/>
        <w:rPr>
          <w:rFonts w:ascii="仿宋" w:hAnsi="仿宋" w:eastAsia="仿宋" w:cs="仿宋"/>
          <w:sz w:val="24"/>
        </w:rPr>
      </w:pPr>
      <w:r>
        <w:rPr>
          <w:rFonts w:hint="eastAsia" w:ascii="仿宋" w:hAnsi="仿宋" w:eastAsia="仿宋" w:cs="仿宋"/>
          <w:sz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仿宋" w:hAnsi="仿宋" w:eastAsia="仿宋" w:cs="仿宋"/>
          <w:sz w:val="24"/>
        </w:rPr>
      </w:pPr>
      <w:r>
        <w:rPr>
          <w:rFonts w:hint="eastAsia" w:ascii="仿宋" w:hAnsi="仿宋" w:eastAsia="仿宋" w:cs="仿宋"/>
          <w:sz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bCs/>
          <w:sz w:val="24"/>
        </w:rPr>
      </w:pPr>
      <w:bookmarkStart w:id="783" w:name="_Toc4358"/>
      <w:bookmarkStart w:id="784" w:name="_Toc26689"/>
      <w:bookmarkStart w:id="785" w:name="_Toc23368"/>
      <w:bookmarkStart w:id="786" w:name="_Toc42"/>
      <w:bookmarkStart w:id="787" w:name="_Toc22615"/>
      <w:bookmarkStart w:id="788" w:name="_Toc10663"/>
      <w:bookmarkStart w:id="789" w:name="_Toc21830"/>
      <w:bookmarkStart w:id="790" w:name="_Toc32030"/>
      <w:bookmarkStart w:id="791" w:name="_Toc12698"/>
      <w:r>
        <w:rPr>
          <w:rFonts w:hint="eastAsia" w:ascii="仿宋" w:hAnsi="仿宋" w:eastAsia="仿宋" w:cs="仿宋"/>
          <w:b/>
          <w:bCs/>
          <w:sz w:val="24"/>
        </w:rPr>
        <w:t>2.9 合同转让和分包</w:t>
      </w:r>
      <w:bookmarkEnd w:id="783"/>
      <w:bookmarkEnd w:id="784"/>
      <w:bookmarkEnd w:id="785"/>
      <w:bookmarkEnd w:id="786"/>
      <w:bookmarkEnd w:id="787"/>
      <w:bookmarkEnd w:id="788"/>
      <w:bookmarkEnd w:id="789"/>
      <w:bookmarkEnd w:id="790"/>
      <w:bookmarkEnd w:id="791"/>
    </w:p>
    <w:p>
      <w:pPr>
        <w:spacing w:line="560" w:lineRule="exact"/>
        <w:ind w:firstLine="480" w:firstLineChars="200"/>
        <w:rPr>
          <w:rFonts w:hint="eastAsia" w:ascii="仿宋" w:hAnsi="仿宋" w:eastAsia="仿宋" w:cs="仿宋"/>
          <w:sz w:val="24"/>
          <w:szCs w:val="24"/>
        </w:rPr>
      </w:pPr>
      <w:bookmarkStart w:id="792" w:name="_Toc25571"/>
      <w:bookmarkStart w:id="793" w:name="_Toc14371"/>
      <w:bookmarkStart w:id="794" w:name="_Toc26633"/>
      <w:bookmarkStart w:id="795" w:name="_Toc32494"/>
      <w:bookmarkStart w:id="796" w:name="_Toc4720"/>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bCs/>
          <w:sz w:val="24"/>
        </w:rPr>
      </w:pPr>
      <w:bookmarkStart w:id="797" w:name="_Toc24394"/>
      <w:bookmarkStart w:id="798" w:name="_Toc734"/>
      <w:bookmarkStart w:id="799" w:name="_Toc22129"/>
      <w:bookmarkStart w:id="800" w:name="_Toc30496"/>
      <w:r>
        <w:rPr>
          <w:rFonts w:hint="eastAsia" w:ascii="仿宋" w:hAnsi="仿宋" w:eastAsia="仿宋" w:cs="仿宋"/>
          <w:b/>
          <w:bCs/>
          <w:sz w:val="24"/>
        </w:rPr>
        <w:t>2.10 不可抗力</w:t>
      </w:r>
      <w:bookmarkEnd w:id="792"/>
      <w:bookmarkEnd w:id="793"/>
      <w:bookmarkEnd w:id="794"/>
      <w:bookmarkEnd w:id="795"/>
      <w:bookmarkEnd w:id="796"/>
      <w:bookmarkEnd w:id="797"/>
      <w:bookmarkEnd w:id="798"/>
      <w:bookmarkEnd w:id="799"/>
      <w:bookmarkEnd w:id="800"/>
    </w:p>
    <w:p>
      <w:pPr>
        <w:spacing w:line="560" w:lineRule="exact"/>
        <w:ind w:firstLine="480" w:firstLineChars="200"/>
        <w:rPr>
          <w:rFonts w:ascii="仿宋" w:hAnsi="仿宋" w:eastAsia="仿宋" w:cs="仿宋"/>
          <w:sz w:val="24"/>
        </w:rPr>
      </w:pPr>
      <w:r>
        <w:rPr>
          <w:rFonts w:hint="eastAsia" w:ascii="仿宋" w:hAnsi="仿宋" w:eastAsia="仿宋" w:cs="仿宋"/>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2.10.2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2.10.3 因不可抗力致使合同有变更必要的，双方当事人应在</w:t>
      </w:r>
      <w:r>
        <w:rPr>
          <w:rFonts w:hint="eastAsia" w:ascii="仿宋" w:hAnsi="仿宋" w:eastAsia="仿宋" w:cs="仿宋"/>
          <w:b/>
          <w:bCs/>
          <w:i/>
          <w:iCs/>
          <w:sz w:val="24"/>
          <w:u w:val="single"/>
        </w:rPr>
        <w:t>5个工作日</w:t>
      </w:r>
      <w:r>
        <w:rPr>
          <w:rFonts w:hint="eastAsia" w:ascii="仿宋" w:hAnsi="仿宋" w:eastAsia="仿宋" w:cs="仿宋"/>
          <w:sz w:val="24"/>
        </w:rPr>
        <w:t>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bCs/>
          <w:i/>
          <w:iCs/>
          <w:sz w:val="24"/>
          <w:u w:val="single"/>
        </w:rPr>
        <w:t>3个工作日</w:t>
      </w:r>
      <w:r>
        <w:rPr>
          <w:rFonts w:hint="eastAsia" w:ascii="仿宋" w:hAnsi="仿宋" w:eastAsia="仿宋" w:cs="仿宋"/>
          <w:sz w:val="24"/>
        </w:rPr>
        <w:t>内以书面形式通知对方当事人，并在</w:t>
      </w:r>
      <w:r>
        <w:rPr>
          <w:rFonts w:hint="eastAsia" w:ascii="仿宋" w:hAnsi="仿宋" w:eastAsia="仿宋" w:cs="仿宋"/>
          <w:b/>
          <w:bCs/>
          <w:i/>
          <w:iCs/>
          <w:sz w:val="24"/>
          <w:u w:val="single"/>
        </w:rPr>
        <w:t>5个工作日</w:t>
      </w:r>
      <w:r>
        <w:rPr>
          <w:rFonts w:hint="eastAsia" w:ascii="仿宋" w:hAnsi="仿宋" w:eastAsia="仿宋" w:cs="仿宋"/>
          <w:sz w:val="24"/>
        </w:rPr>
        <w:t>内，将有关部门出具的证明文件送达对方当事人。</w:t>
      </w:r>
    </w:p>
    <w:p>
      <w:pPr>
        <w:spacing w:line="560" w:lineRule="exact"/>
        <w:ind w:firstLine="482" w:firstLineChars="200"/>
        <w:outlineLvl w:val="0"/>
        <w:rPr>
          <w:rFonts w:ascii="仿宋" w:hAnsi="仿宋" w:eastAsia="仿宋" w:cs="仿宋"/>
          <w:b/>
          <w:bCs/>
          <w:sz w:val="24"/>
        </w:rPr>
      </w:pPr>
      <w:bookmarkStart w:id="801" w:name="_Toc3638"/>
      <w:bookmarkStart w:id="802" w:name="_Toc14115"/>
      <w:bookmarkStart w:id="803" w:name="_Toc23972"/>
      <w:bookmarkStart w:id="804" w:name="_Toc25783"/>
      <w:bookmarkStart w:id="805" w:name="_Toc24465"/>
      <w:bookmarkStart w:id="806" w:name="_Toc12445"/>
      <w:bookmarkStart w:id="807" w:name="_Toc10672"/>
      <w:bookmarkStart w:id="808" w:name="_Toc23854"/>
      <w:bookmarkStart w:id="809" w:name="_Toc5790"/>
      <w:r>
        <w:rPr>
          <w:rFonts w:hint="eastAsia" w:ascii="仿宋" w:hAnsi="仿宋" w:eastAsia="仿宋" w:cs="仿宋"/>
          <w:b/>
          <w:bCs/>
          <w:sz w:val="24"/>
        </w:rPr>
        <w:t>2.11 税费</w:t>
      </w:r>
      <w:bookmarkEnd w:id="801"/>
      <w:bookmarkEnd w:id="802"/>
      <w:bookmarkEnd w:id="803"/>
      <w:bookmarkEnd w:id="804"/>
      <w:bookmarkEnd w:id="805"/>
      <w:bookmarkEnd w:id="806"/>
      <w:bookmarkEnd w:id="807"/>
      <w:bookmarkEnd w:id="808"/>
      <w:bookmarkEnd w:id="809"/>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bCs/>
          <w:sz w:val="24"/>
        </w:rPr>
      </w:pPr>
      <w:bookmarkStart w:id="810" w:name="_Toc20786"/>
      <w:bookmarkStart w:id="811" w:name="_Toc7154"/>
      <w:bookmarkStart w:id="812" w:name="_Toc14814"/>
      <w:bookmarkStart w:id="813" w:name="_Toc1856"/>
      <w:bookmarkStart w:id="814" w:name="_Toc26883"/>
      <w:bookmarkStart w:id="815" w:name="_Toc25525"/>
      <w:bookmarkStart w:id="816" w:name="_Toc30105"/>
      <w:bookmarkStart w:id="817" w:name="_Toc7315"/>
      <w:bookmarkStart w:id="818" w:name="_Toc20258"/>
      <w:r>
        <w:rPr>
          <w:rFonts w:hint="eastAsia" w:ascii="仿宋" w:hAnsi="仿宋" w:eastAsia="仿宋" w:cs="仿宋"/>
          <w:b/>
          <w:bCs/>
          <w:sz w:val="24"/>
        </w:rPr>
        <w:t>2.12 乙方破产</w:t>
      </w:r>
      <w:bookmarkEnd w:id="810"/>
      <w:bookmarkEnd w:id="811"/>
      <w:bookmarkEnd w:id="812"/>
      <w:bookmarkEnd w:id="813"/>
      <w:bookmarkEnd w:id="814"/>
      <w:bookmarkEnd w:id="815"/>
      <w:bookmarkEnd w:id="816"/>
      <w:bookmarkEnd w:id="817"/>
      <w:bookmarkEnd w:id="818"/>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bCs/>
          <w:sz w:val="24"/>
        </w:rPr>
      </w:pPr>
      <w:bookmarkStart w:id="819" w:name="_Toc2016"/>
      <w:bookmarkStart w:id="820" w:name="_Toc23323"/>
      <w:bookmarkStart w:id="821" w:name="_Toc26264"/>
      <w:bookmarkStart w:id="822" w:name="_Toc1123"/>
      <w:bookmarkStart w:id="823" w:name="_Toc6462"/>
      <w:bookmarkStart w:id="824" w:name="_Toc32020"/>
      <w:bookmarkStart w:id="825" w:name="_Toc27399"/>
      <w:r>
        <w:rPr>
          <w:rFonts w:hint="eastAsia" w:ascii="仿宋" w:hAnsi="仿宋" w:eastAsia="仿宋" w:cs="仿宋"/>
          <w:b/>
          <w:bCs/>
          <w:sz w:val="24"/>
        </w:rPr>
        <w:t>2.13 合同中止、终止</w:t>
      </w:r>
      <w:bookmarkEnd w:id="819"/>
      <w:bookmarkEnd w:id="820"/>
      <w:bookmarkEnd w:id="821"/>
      <w:bookmarkEnd w:id="822"/>
      <w:bookmarkEnd w:id="823"/>
      <w:bookmarkEnd w:id="824"/>
      <w:bookmarkEnd w:id="825"/>
    </w:p>
    <w:p>
      <w:pPr>
        <w:spacing w:line="560" w:lineRule="exact"/>
        <w:ind w:firstLine="480" w:firstLineChars="200"/>
        <w:rPr>
          <w:rFonts w:ascii="仿宋" w:hAnsi="仿宋" w:eastAsia="仿宋" w:cs="仿宋"/>
          <w:sz w:val="24"/>
        </w:rPr>
      </w:pPr>
      <w:r>
        <w:rPr>
          <w:rFonts w:hint="eastAsia" w:ascii="仿宋" w:hAnsi="仿宋" w:eastAsia="仿宋" w:cs="仿宋"/>
          <w:sz w:val="24"/>
        </w:rPr>
        <w:t>2.13.1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bCs/>
          <w:sz w:val="24"/>
        </w:rPr>
      </w:pPr>
      <w:bookmarkStart w:id="826" w:name="_Toc19797"/>
      <w:bookmarkStart w:id="827" w:name="_Toc14525"/>
      <w:bookmarkStart w:id="828" w:name="_Toc11706"/>
      <w:bookmarkStart w:id="829" w:name="_Toc17363"/>
      <w:bookmarkStart w:id="830" w:name="_Toc1969"/>
      <w:bookmarkStart w:id="831" w:name="_Toc9916"/>
      <w:bookmarkStart w:id="832" w:name="_Toc26552"/>
      <w:r>
        <w:rPr>
          <w:rFonts w:hint="eastAsia" w:ascii="仿宋" w:hAnsi="仿宋" w:eastAsia="仿宋" w:cs="仿宋"/>
          <w:b/>
          <w:bCs/>
          <w:sz w:val="24"/>
        </w:rPr>
        <w:t>2.14 检验和验收</w:t>
      </w:r>
      <w:bookmarkEnd w:id="826"/>
      <w:bookmarkEnd w:id="827"/>
      <w:bookmarkEnd w:id="828"/>
      <w:bookmarkEnd w:id="829"/>
      <w:bookmarkEnd w:id="830"/>
      <w:bookmarkEnd w:id="831"/>
      <w:bookmarkEnd w:id="832"/>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2.14.2 检验和验收标准、程序等具体内容以及前述验收书的效力详见磋商文件及投标文件要求。</w:t>
      </w:r>
    </w:p>
    <w:p>
      <w:pPr>
        <w:spacing w:line="560" w:lineRule="exact"/>
        <w:ind w:firstLine="482" w:firstLineChars="200"/>
        <w:outlineLvl w:val="0"/>
        <w:rPr>
          <w:rFonts w:ascii="仿宋" w:hAnsi="仿宋" w:eastAsia="仿宋" w:cs="仿宋"/>
          <w:b/>
          <w:bCs/>
          <w:sz w:val="24"/>
        </w:rPr>
      </w:pPr>
      <w:bookmarkStart w:id="833" w:name="_Toc26392"/>
      <w:bookmarkStart w:id="834" w:name="_Toc2308"/>
      <w:bookmarkStart w:id="835" w:name="_Toc12666"/>
      <w:bookmarkStart w:id="836" w:name="_Toc31892"/>
      <w:bookmarkStart w:id="837" w:name="_Toc25198"/>
      <w:bookmarkStart w:id="838" w:name="_Toc9808"/>
      <w:bookmarkStart w:id="839" w:name="_Toc29691"/>
      <w:bookmarkStart w:id="840" w:name="_Toc29835"/>
      <w:bookmarkStart w:id="841" w:name="_Toc24186"/>
      <w:r>
        <w:rPr>
          <w:rFonts w:hint="eastAsia" w:ascii="仿宋" w:hAnsi="仿宋" w:eastAsia="仿宋" w:cs="仿宋"/>
          <w:b/>
          <w:bCs/>
          <w:sz w:val="24"/>
        </w:rPr>
        <w:t>2.15 通知和送达</w:t>
      </w:r>
      <w:bookmarkEnd w:id="833"/>
      <w:bookmarkEnd w:id="834"/>
      <w:bookmarkEnd w:id="835"/>
      <w:bookmarkEnd w:id="836"/>
      <w:bookmarkEnd w:id="837"/>
      <w:bookmarkEnd w:id="838"/>
      <w:bookmarkEnd w:id="839"/>
      <w:bookmarkEnd w:id="840"/>
      <w:bookmarkEnd w:id="841"/>
    </w:p>
    <w:p>
      <w:pPr>
        <w:spacing w:line="560" w:lineRule="exact"/>
        <w:ind w:firstLine="480" w:firstLineChars="200"/>
        <w:rPr>
          <w:rFonts w:ascii="仿宋" w:hAnsi="仿宋" w:eastAsia="仿宋" w:cs="仿宋"/>
          <w:sz w:val="24"/>
        </w:rPr>
      </w:pPr>
      <w:bookmarkStart w:id="842" w:name="_Toc7073"/>
      <w:bookmarkStart w:id="843" w:name="_Toc29220"/>
      <w:r>
        <w:rPr>
          <w:rFonts w:hint="eastAsia" w:ascii="仿宋" w:hAnsi="仿宋" w:eastAsia="仿宋" w:cs="仿宋"/>
          <w:sz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842"/>
      <w:bookmarkEnd w:id="843"/>
    </w:p>
    <w:p>
      <w:pPr>
        <w:spacing w:line="560" w:lineRule="exact"/>
        <w:ind w:firstLine="480" w:firstLineChars="200"/>
        <w:rPr>
          <w:rFonts w:ascii="仿宋" w:hAnsi="仿宋" w:eastAsia="仿宋" w:cs="仿宋"/>
          <w:sz w:val="24"/>
        </w:rPr>
      </w:pPr>
      <w:bookmarkStart w:id="844" w:name="_Toc27674"/>
      <w:bookmarkStart w:id="845" w:name="_Toc18401"/>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844"/>
      <w:bookmarkEnd w:id="845"/>
    </w:p>
    <w:p>
      <w:pPr>
        <w:spacing w:line="560" w:lineRule="exact"/>
        <w:ind w:firstLine="482" w:firstLineChars="200"/>
        <w:outlineLvl w:val="0"/>
        <w:rPr>
          <w:rFonts w:ascii="仿宋" w:hAnsi="仿宋" w:eastAsia="仿宋" w:cs="仿宋"/>
          <w:b/>
          <w:bCs/>
          <w:sz w:val="24"/>
        </w:rPr>
      </w:pPr>
      <w:bookmarkStart w:id="846" w:name="_Toc5063"/>
      <w:bookmarkStart w:id="847" w:name="_Toc27644"/>
      <w:bookmarkStart w:id="848" w:name="_Toc12254"/>
      <w:bookmarkStart w:id="849" w:name="_Toc15336"/>
      <w:bookmarkStart w:id="850" w:name="_Toc17088"/>
      <w:bookmarkStart w:id="851" w:name="_Toc20808"/>
      <w:bookmarkStart w:id="852" w:name="_Toc10923"/>
      <w:bookmarkStart w:id="853" w:name="_Toc28906"/>
      <w:bookmarkStart w:id="854" w:name="_Toc23017"/>
      <w:r>
        <w:rPr>
          <w:rFonts w:hint="eastAsia" w:ascii="仿宋" w:hAnsi="仿宋" w:eastAsia="仿宋" w:cs="仿宋"/>
          <w:b/>
          <w:bCs/>
          <w:sz w:val="24"/>
        </w:rPr>
        <w:t>2.16 合同使用的文字和适用的法律</w:t>
      </w:r>
      <w:bookmarkEnd w:id="846"/>
      <w:bookmarkEnd w:id="847"/>
      <w:bookmarkEnd w:id="848"/>
      <w:bookmarkEnd w:id="849"/>
      <w:bookmarkEnd w:id="850"/>
      <w:bookmarkEnd w:id="851"/>
      <w:bookmarkEnd w:id="852"/>
      <w:bookmarkEnd w:id="853"/>
      <w:bookmarkEnd w:id="854"/>
    </w:p>
    <w:p>
      <w:pPr>
        <w:spacing w:line="560" w:lineRule="exact"/>
        <w:ind w:firstLine="480" w:firstLineChars="200"/>
        <w:rPr>
          <w:rFonts w:ascii="仿宋" w:hAnsi="仿宋" w:eastAsia="仿宋" w:cs="仿宋"/>
          <w:sz w:val="24"/>
        </w:rPr>
      </w:pPr>
      <w:r>
        <w:rPr>
          <w:rFonts w:hint="eastAsia" w:ascii="仿宋" w:hAnsi="仿宋" w:eastAsia="仿宋" w:cs="仿宋"/>
          <w:sz w:val="24"/>
        </w:rPr>
        <w:t>2.16.1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2.16.2 合同适用中华人民共和国法律。</w:t>
      </w:r>
    </w:p>
    <w:p>
      <w:pPr>
        <w:spacing w:line="560" w:lineRule="exact"/>
        <w:ind w:firstLine="482" w:firstLineChars="200"/>
        <w:outlineLvl w:val="0"/>
        <w:rPr>
          <w:rFonts w:ascii="仿宋" w:hAnsi="仿宋" w:eastAsia="仿宋" w:cs="仿宋"/>
          <w:b/>
          <w:bCs/>
          <w:sz w:val="24"/>
        </w:rPr>
      </w:pPr>
      <w:bookmarkStart w:id="855" w:name="_Toc5375"/>
      <w:bookmarkStart w:id="856" w:name="_Toc27403"/>
      <w:bookmarkStart w:id="857" w:name="_Toc1492"/>
      <w:bookmarkStart w:id="858" w:name="_Toc30096"/>
      <w:bookmarkStart w:id="859" w:name="_Toc22661"/>
      <w:bookmarkStart w:id="860" w:name="_Toc27127"/>
      <w:bookmarkStart w:id="861" w:name="_Toc7021"/>
      <w:bookmarkStart w:id="862" w:name="_Toc22266"/>
      <w:bookmarkStart w:id="863" w:name="_Toc5613"/>
      <w:r>
        <w:rPr>
          <w:rFonts w:hint="eastAsia" w:ascii="仿宋" w:hAnsi="仿宋" w:eastAsia="仿宋" w:cs="仿宋"/>
          <w:b/>
          <w:bCs/>
          <w:sz w:val="24"/>
        </w:rPr>
        <w:t>2.17 履约保证金</w:t>
      </w:r>
      <w:bookmarkEnd w:id="855"/>
      <w:bookmarkEnd w:id="856"/>
      <w:bookmarkEnd w:id="857"/>
      <w:bookmarkEnd w:id="858"/>
      <w:bookmarkEnd w:id="859"/>
      <w:bookmarkEnd w:id="860"/>
      <w:bookmarkEnd w:id="861"/>
      <w:bookmarkEnd w:id="862"/>
      <w:bookmarkEnd w:id="863"/>
    </w:p>
    <w:p>
      <w:pPr>
        <w:spacing w:line="560" w:lineRule="exact"/>
        <w:ind w:firstLine="480" w:firstLineChars="200"/>
        <w:rPr>
          <w:rFonts w:ascii="仿宋" w:hAnsi="仿宋" w:eastAsia="仿宋" w:cs="仿宋"/>
          <w:color w:val="0000FF"/>
          <w:sz w:val="24"/>
        </w:rPr>
      </w:pPr>
      <w:r>
        <w:rPr>
          <w:rFonts w:hint="eastAsia" w:ascii="仿宋" w:hAnsi="仿宋" w:eastAsia="仿宋" w:cs="仿宋"/>
          <w:sz w:val="24"/>
        </w:rPr>
        <w:t>2.17.1 采购文件要求乙方提交履约保证金的，乙方应按合同金额的</w:t>
      </w:r>
      <w:r>
        <w:rPr>
          <w:rFonts w:hint="eastAsia" w:ascii="仿宋" w:hAnsi="仿宋" w:eastAsia="仿宋" w:cs="仿宋"/>
          <w:sz w:val="24"/>
          <w:u w:val="single"/>
        </w:rPr>
        <w:t xml:space="preserve">       </w:t>
      </w:r>
      <w:r>
        <w:rPr>
          <w:rFonts w:hint="eastAsia" w:ascii="仿宋" w:hAnsi="仿宋" w:eastAsia="仿宋" w:cs="仿宋"/>
          <w:sz w:val="24"/>
        </w:rPr>
        <w:t>计算向下取整至万元，以支票、汇票或者转账等非现金形式，在签订合同前5个日历日内向采购人交纳履约保证金；</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履约保证金在项</w:t>
      </w:r>
      <w:r>
        <w:rPr>
          <w:rFonts w:hint="eastAsia" w:ascii="仿宋" w:hAnsi="仿宋" w:eastAsia="仿宋" w:cs="仿宋"/>
          <w:color w:val="auto"/>
          <w:sz w:val="24"/>
        </w:rPr>
        <w:t>目竣工3</w:t>
      </w:r>
      <w:r>
        <w:rPr>
          <w:rFonts w:hint="eastAsia" w:ascii="仿宋" w:hAnsi="仿宋" w:eastAsia="仿宋" w:cs="仿宋"/>
          <w:sz w:val="24"/>
        </w:rPr>
        <w:t>个月验收合格后5个工作日内，将履约保证金退还乙方；</w:t>
      </w:r>
    </w:p>
    <w:p>
      <w:pPr>
        <w:spacing w:line="560" w:lineRule="exact"/>
        <w:ind w:firstLine="480" w:firstLineChars="200"/>
        <w:rPr>
          <w:rFonts w:ascii="仿宋" w:hAnsi="仿宋" w:eastAsia="仿宋" w:cs="仿宋"/>
          <w:sz w:val="24"/>
        </w:rPr>
      </w:pPr>
      <w:r>
        <w:rPr>
          <w:rFonts w:hint="eastAsia" w:ascii="仿宋" w:hAnsi="仿宋" w:eastAsia="仿宋" w:cs="仿宋"/>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2.18 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合同一式</w:t>
      </w:r>
      <w:r>
        <w:rPr>
          <w:rFonts w:hint="eastAsia" w:ascii="仿宋" w:hAnsi="仿宋" w:eastAsia="仿宋" w:cs="仿宋"/>
          <w:sz w:val="24"/>
          <w:lang w:val="en-US" w:eastAsia="zh-CN"/>
        </w:rPr>
        <w:t>陆</w:t>
      </w:r>
      <w:r>
        <w:rPr>
          <w:rFonts w:hint="eastAsia" w:ascii="仿宋" w:hAnsi="仿宋" w:eastAsia="仿宋" w:cs="仿宋"/>
          <w:sz w:val="24"/>
        </w:rPr>
        <w:t>份，甲乙双方各持</w:t>
      </w:r>
      <w:r>
        <w:rPr>
          <w:rFonts w:hint="eastAsia" w:ascii="仿宋" w:hAnsi="仿宋" w:eastAsia="仿宋" w:cs="仿宋"/>
          <w:sz w:val="24"/>
          <w:lang w:val="en-US" w:eastAsia="zh-CN"/>
        </w:rPr>
        <w:t>3</w:t>
      </w:r>
      <w:r>
        <w:rPr>
          <w:rFonts w:hint="eastAsia" w:ascii="仿宋" w:hAnsi="仿宋" w:eastAsia="仿宋" w:cs="仿宋"/>
          <w:sz w:val="24"/>
        </w:rPr>
        <w:t>份，每份均具有同等法律效力。</w:t>
      </w:r>
    </w:p>
    <w:p>
      <w:pPr>
        <w:pStyle w:val="11"/>
        <w:rPr>
          <w:rFonts w:ascii="仿宋" w:hAnsi="仿宋" w:eastAsia="仿宋" w:cs="仿宋"/>
          <w:sz w:val="28"/>
          <w:szCs w:val="21"/>
          <w:highlight w:val="red"/>
        </w:rPr>
      </w:pPr>
    </w:p>
    <w:p>
      <w:pPr>
        <w:pStyle w:val="11"/>
        <w:rPr>
          <w:rFonts w:ascii="仿宋" w:hAnsi="仿宋" w:eastAsia="仿宋" w:cs="仿宋"/>
          <w:kern w:val="44"/>
          <w:sz w:val="28"/>
          <w:szCs w:val="28"/>
        </w:rPr>
      </w:pPr>
      <w:r>
        <w:rPr>
          <w:rFonts w:hint="eastAsia" w:ascii="仿宋" w:hAnsi="仿宋" w:eastAsia="仿宋" w:cs="仿宋"/>
          <w:b/>
          <w:bCs/>
          <w:kern w:val="2"/>
          <w:sz w:val="32"/>
          <w:szCs w:val="32"/>
        </w:rPr>
        <w:t>（本合同仅供参考）</w:t>
      </w:r>
    </w:p>
    <w:p>
      <w:pPr>
        <w:pStyle w:val="4"/>
        <w:ind w:firstLine="560"/>
        <w:rPr>
          <w:rFonts w:ascii="仿宋" w:hAnsi="仿宋" w:eastAsia="仿宋" w:cs="仿宋"/>
          <w:kern w:val="44"/>
          <w:sz w:val="28"/>
          <w:szCs w:val="28"/>
        </w:rPr>
      </w:pPr>
    </w:p>
    <w:p>
      <w:pPr>
        <w:pStyle w:val="3"/>
        <w:ind w:firstLine="560"/>
        <w:rPr>
          <w:rFonts w:ascii="仿宋" w:hAnsi="仿宋" w:eastAsia="仿宋" w:cs="仿宋"/>
          <w:kern w:val="44"/>
          <w:sz w:val="28"/>
          <w:szCs w:val="28"/>
        </w:rPr>
      </w:pPr>
    </w:p>
    <w:p>
      <w:pPr>
        <w:pStyle w:val="4"/>
        <w:ind w:firstLine="560"/>
        <w:rPr>
          <w:rFonts w:ascii="仿宋" w:hAnsi="仿宋" w:eastAsia="仿宋" w:cs="仿宋"/>
          <w:kern w:val="44"/>
          <w:sz w:val="28"/>
          <w:szCs w:val="28"/>
        </w:rPr>
      </w:pPr>
    </w:p>
    <w:p>
      <w:pPr>
        <w:pStyle w:val="3"/>
        <w:ind w:firstLine="560"/>
        <w:rPr>
          <w:rFonts w:ascii="仿宋" w:hAnsi="仿宋" w:eastAsia="仿宋" w:cs="仿宋"/>
          <w:kern w:val="44"/>
          <w:sz w:val="28"/>
          <w:szCs w:val="28"/>
        </w:rPr>
      </w:pPr>
    </w:p>
    <w:p>
      <w:pPr>
        <w:pStyle w:val="4"/>
        <w:ind w:firstLine="560"/>
        <w:rPr>
          <w:rFonts w:ascii="仿宋" w:hAnsi="仿宋" w:eastAsia="仿宋" w:cs="仿宋"/>
          <w:kern w:val="44"/>
          <w:sz w:val="28"/>
          <w:szCs w:val="28"/>
        </w:rPr>
      </w:pPr>
    </w:p>
    <w:p>
      <w:pPr>
        <w:pStyle w:val="3"/>
        <w:ind w:firstLine="560"/>
        <w:rPr>
          <w:rFonts w:ascii="仿宋" w:hAnsi="仿宋" w:eastAsia="仿宋" w:cs="仿宋"/>
          <w:kern w:val="44"/>
          <w:sz w:val="28"/>
          <w:szCs w:val="28"/>
        </w:rPr>
      </w:pPr>
    </w:p>
    <w:p>
      <w:pPr>
        <w:pStyle w:val="8"/>
        <w:spacing w:before="0" w:line="240" w:lineRule="atLeast"/>
        <w:jc w:val="both"/>
        <w:outlineLvl w:val="9"/>
        <w:rPr>
          <w:rFonts w:ascii="仿宋" w:hAnsi="仿宋" w:eastAsia="仿宋" w:cs="仿宋"/>
          <w:sz w:val="24"/>
        </w:rPr>
      </w:pPr>
    </w:p>
    <w:sectPr>
      <w:headerReference r:id="rId7" w:type="default"/>
      <w:footerReference r:id="rId8"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8</w:t>
                    </w:r>
                    <w:r>
                      <w:fldChar w:fldCharType="end"/>
                    </w:r>
                  </w:p>
                </w:txbxContent>
              </v:textbox>
            </v:shape>
          </w:pict>
        </mc:Fallback>
      </mc:AlternateContent>
    </w:r>
  </w:p>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70</w:t>
                    </w:r>
                    <w:r>
                      <w:fldChar w:fldCharType="end"/>
                    </w:r>
                  </w:p>
                </w:txbxContent>
              </v:textbox>
            </v:shape>
          </w:pict>
        </mc:Fallback>
      </mc:AlternateContent>
    </w:r>
  </w:p>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3715F"/>
    <w:multiLevelType w:val="singleLevel"/>
    <w:tmpl w:val="E9C3715F"/>
    <w:lvl w:ilvl="0" w:tentative="0">
      <w:start w:val="1"/>
      <w:numFmt w:val="decimal"/>
      <w:lvlText w:val="%1."/>
      <w:lvlJc w:val="left"/>
      <w:pPr>
        <w:tabs>
          <w:tab w:val="left" w:pos="312"/>
        </w:tabs>
      </w:pPr>
    </w:lvl>
  </w:abstractNum>
  <w:abstractNum w:abstractNumId="1">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2A91BA1F"/>
    <w:multiLevelType w:val="singleLevel"/>
    <w:tmpl w:val="2A91BA1F"/>
    <w:lvl w:ilvl="0" w:tentative="0">
      <w:start w:val="3"/>
      <w:numFmt w:val="decimal"/>
      <w:suff w:val="space"/>
      <w:lvlText w:val="第%1章"/>
      <w:lvlJc w:val="left"/>
    </w:lvl>
  </w:abstractNum>
  <w:abstractNum w:abstractNumId="4">
    <w:nsid w:val="41DF016E"/>
    <w:multiLevelType w:val="singleLevel"/>
    <w:tmpl w:val="41DF016E"/>
    <w:lvl w:ilvl="0" w:tentative="0">
      <w:start w:val="2"/>
      <w:numFmt w:val="chineseCounting"/>
      <w:suff w:val="space"/>
      <w:lvlText w:val="第%1部分"/>
      <w:lvlJc w:val="left"/>
      <w:rPr>
        <w:rFonts w:hint="eastAsia"/>
      </w:rPr>
    </w:lvl>
  </w:abstractNum>
  <w:abstractNum w:abstractNumId="5">
    <w:nsid w:val="53F98F85"/>
    <w:multiLevelType w:val="singleLevel"/>
    <w:tmpl w:val="53F98F85"/>
    <w:lvl w:ilvl="0" w:tentative="0">
      <w:start w:val="2"/>
      <w:numFmt w:val="chineseCounting"/>
      <w:suff w:val="nothing"/>
      <w:lvlText w:val="（%1）"/>
      <w:lvlJc w:val="left"/>
    </w:lvl>
  </w:abstractNum>
  <w:abstractNum w:abstractNumId="6">
    <w:nsid w:val="6B02DAB2"/>
    <w:multiLevelType w:val="singleLevel"/>
    <w:tmpl w:val="6B02DAB2"/>
    <w:lvl w:ilvl="0" w:tentative="0">
      <w:start w:val="3"/>
      <w:numFmt w:val="chineseCounting"/>
      <w:pStyle w:val="49"/>
      <w:suff w:val="nothing"/>
      <w:lvlText w:val="%1、"/>
      <w:lvlJc w:val="left"/>
      <w:rPr>
        <w:rFonts w:hint="eastAsia"/>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jljNGJjYzI5MzE1MDlkODM5MGY5YzNkM2EzYjkzNjYifQ=="/>
    <w:docVar w:name="KSO_WPS_MARK_KEY" w:val="220804f1-8066-4e4c-b350-7948679ff49e"/>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4C17"/>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31D"/>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1550"/>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3BF"/>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088C"/>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4C5"/>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2C5761"/>
    <w:rsid w:val="017046B5"/>
    <w:rsid w:val="018F054B"/>
    <w:rsid w:val="024B26CE"/>
    <w:rsid w:val="02AB0B8E"/>
    <w:rsid w:val="03433819"/>
    <w:rsid w:val="03822C68"/>
    <w:rsid w:val="03CB50B5"/>
    <w:rsid w:val="041651F4"/>
    <w:rsid w:val="049F43DF"/>
    <w:rsid w:val="04B22E9E"/>
    <w:rsid w:val="051D1B41"/>
    <w:rsid w:val="054162A1"/>
    <w:rsid w:val="05540833"/>
    <w:rsid w:val="05DF46DF"/>
    <w:rsid w:val="06225B6E"/>
    <w:rsid w:val="06667684"/>
    <w:rsid w:val="07C1731B"/>
    <w:rsid w:val="085F7C0E"/>
    <w:rsid w:val="095D1A5F"/>
    <w:rsid w:val="09A37CB3"/>
    <w:rsid w:val="09BD6E8E"/>
    <w:rsid w:val="09D449C2"/>
    <w:rsid w:val="0A6D7B49"/>
    <w:rsid w:val="0A774A1C"/>
    <w:rsid w:val="0A9C1B06"/>
    <w:rsid w:val="0AA8018E"/>
    <w:rsid w:val="0B1873A5"/>
    <w:rsid w:val="0B450737"/>
    <w:rsid w:val="0B49704E"/>
    <w:rsid w:val="0BC03108"/>
    <w:rsid w:val="0BE47B36"/>
    <w:rsid w:val="0C054382"/>
    <w:rsid w:val="0C9475FE"/>
    <w:rsid w:val="0C9A104D"/>
    <w:rsid w:val="0CDC6CA4"/>
    <w:rsid w:val="0D874311"/>
    <w:rsid w:val="0DB74BA1"/>
    <w:rsid w:val="0DDD130C"/>
    <w:rsid w:val="0EB16EFF"/>
    <w:rsid w:val="0F0136F4"/>
    <w:rsid w:val="0F0A35A6"/>
    <w:rsid w:val="0F7A70CC"/>
    <w:rsid w:val="0FA1651E"/>
    <w:rsid w:val="0FC50D8F"/>
    <w:rsid w:val="10451C7D"/>
    <w:rsid w:val="10A3646A"/>
    <w:rsid w:val="118848CF"/>
    <w:rsid w:val="11CA69B5"/>
    <w:rsid w:val="124E25CC"/>
    <w:rsid w:val="12FB1FFC"/>
    <w:rsid w:val="13172843"/>
    <w:rsid w:val="132451DE"/>
    <w:rsid w:val="13472720"/>
    <w:rsid w:val="14377EC4"/>
    <w:rsid w:val="14675B7E"/>
    <w:rsid w:val="14CE2B49"/>
    <w:rsid w:val="155E4085"/>
    <w:rsid w:val="15B52295"/>
    <w:rsid w:val="15EC5AC1"/>
    <w:rsid w:val="168A6CDE"/>
    <w:rsid w:val="168E2D78"/>
    <w:rsid w:val="16A27AC5"/>
    <w:rsid w:val="16A64D6D"/>
    <w:rsid w:val="16C04C56"/>
    <w:rsid w:val="16EB2471"/>
    <w:rsid w:val="172E2B9C"/>
    <w:rsid w:val="18003993"/>
    <w:rsid w:val="18196A06"/>
    <w:rsid w:val="181E2472"/>
    <w:rsid w:val="182D3D5F"/>
    <w:rsid w:val="18434A76"/>
    <w:rsid w:val="18A272E6"/>
    <w:rsid w:val="18BA600F"/>
    <w:rsid w:val="1956552E"/>
    <w:rsid w:val="19CC4F40"/>
    <w:rsid w:val="1A3426E3"/>
    <w:rsid w:val="1A853F9F"/>
    <w:rsid w:val="1AEC041D"/>
    <w:rsid w:val="1AEC419B"/>
    <w:rsid w:val="1AF6583C"/>
    <w:rsid w:val="1C085136"/>
    <w:rsid w:val="1D242FC2"/>
    <w:rsid w:val="1DB769D1"/>
    <w:rsid w:val="1DC01C11"/>
    <w:rsid w:val="1DE87BD4"/>
    <w:rsid w:val="1E054C48"/>
    <w:rsid w:val="1E1B3173"/>
    <w:rsid w:val="1E211684"/>
    <w:rsid w:val="1E7A4E2D"/>
    <w:rsid w:val="1E847FB4"/>
    <w:rsid w:val="1F082D3D"/>
    <w:rsid w:val="1FCF77B6"/>
    <w:rsid w:val="204627AF"/>
    <w:rsid w:val="20572949"/>
    <w:rsid w:val="20C0563E"/>
    <w:rsid w:val="2133411B"/>
    <w:rsid w:val="214B4697"/>
    <w:rsid w:val="223A00A8"/>
    <w:rsid w:val="23447637"/>
    <w:rsid w:val="23F5768F"/>
    <w:rsid w:val="246529A6"/>
    <w:rsid w:val="24804E1B"/>
    <w:rsid w:val="25997426"/>
    <w:rsid w:val="25BF62B8"/>
    <w:rsid w:val="25CF59CB"/>
    <w:rsid w:val="260C39F2"/>
    <w:rsid w:val="261A0491"/>
    <w:rsid w:val="26C66E06"/>
    <w:rsid w:val="26D259BC"/>
    <w:rsid w:val="270246D4"/>
    <w:rsid w:val="271257BE"/>
    <w:rsid w:val="27645745"/>
    <w:rsid w:val="27C621B9"/>
    <w:rsid w:val="28855A7D"/>
    <w:rsid w:val="28E40298"/>
    <w:rsid w:val="299C178C"/>
    <w:rsid w:val="29A21E55"/>
    <w:rsid w:val="2A0A2D83"/>
    <w:rsid w:val="2A472991"/>
    <w:rsid w:val="2AAB0BA0"/>
    <w:rsid w:val="2AFB4D94"/>
    <w:rsid w:val="2B755F4B"/>
    <w:rsid w:val="2BA67271"/>
    <w:rsid w:val="2BC24BED"/>
    <w:rsid w:val="2BE0319D"/>
    <w:rsid w:val="2BE95450"/>
    <w:rsid w:val="2C6544D8"/>
    <w:rsid w:val="2C8C39F6"/>
    <w:rsid w:val="2CD52E61"/>
    <w:rsid w:val="2CF2533C"/>
    <w:rsid w:val="2D632394"/>
    <w:rsid w:val="2DE515E5"/>
    <w:rsid w:val="2EB22755"/>
    <w:rsid w:val="2EB65D97"/>
    <w:rsid w:val="2EC64046"/>
    <w:rsid w:val="2F434FDE"/>
    <w:rsid w:val="2F725AED"/>
    <w:rsid w:val="2F754C15"/>
    <w:rsid w:val="2FAC5CBE"/>
    <w:rsid w:val="2FF24A24"/>
    <w:rsid w:val="30561E3F"/>
    <w:rsid w:val="306150E4"/>
    <w:rsid w:val="30735F9F"/>
    <w:rsid w:val="30A06F64"/>
    <w:rsid w:val="30CC197B"/>
    <w:rsid w:val="31B91D72"/>
    <w:rsid w:val="31E22C88"/>
    <w:rsid w:val="322C3A43"/>
    <w:rsid w:val="328205D3"/>
    <w:rsid w:val="328F3A54"/>
    <w:rsid w:val="32C9667D"/>
    <w:rsid w:val="32E853BA"/>
    <w:rsid w:val="32F87C1B"/>
    <w:rsid w:val="33760457"/>
    <w:rsid w:val="33EB1895"/>
    <w:rsid w:val="34066E5C"/>
    <w:rsid w:val="350D4388"/>
    <w:rsid w:val="353A46B7"/>
    <w:rsid w:val="356F73C9"/>
    <w:rsid w:val="35A32A3D"/>
    <w:rsid w:val="35B1151A"/>
    <w:rsid w:val="35B6520A"/>
    <w:rsid w:val="35F745D6"/>
    <w:rsid w:val="36035BCB"/>
    <w:rsid w:val="36524D5F"/>
    <w:rsid w:val="36593EB8"/>
    <w:rsid w:val="365E0BEC"/>
    <w:rsid w:val="3680580C"/>
    <w:rsid w:val="369B0D16"/>
    <w:rsid w:val="36E575BE"/>
    <w:rsid w:val="3799633A"/>
    <w:rsid w:val="37C07E80"/>
    <w:rsid w:val="38520B8E"/>
    <w:rsid w:val="39070852"/>
    <w:rsid w:val="3929383F"/>
    <w:rsid w:val="394A4C3B"/>
    <w:rsid w:val="399B1DB8"/>
    <w:rsid w:val="3A12743D"/>
    <w:rsid w:val="3BC978A7"/>
    <w:rsid w:val="3BFC46F4"/>
    <w:rsid w:val="3C183F80"/>
    <w:rsid w:val="3C18466D"/>
    <w:rsid w:val="3C357C06"/>
    <w:rsid w:val="3C792FD5"/>
    <w:rsid w:val="3C8B3CCA"/>
    <w:rsid w:val="3CDB4807"/>
    <w:rsid w:val="3D2179C7"/>
    <w:rsid w:val="3D3E557C"/>
    <w:rsid w:val="3E727BBA"/>
    <w:rsid w:val="3F3A5152"/>
    <w:rsid w:val="3FC833AB"/>
    <w:rsid w:val="3FFC0940"/>
    <w:rsid w:val="40156849"/>
    <w:rsid w:val="40345B32"/>
    <w:rsid w:val="4049358C"/>
    <w:rsid w:val="40582115"/>
    <w:rsid w:val="40A904D7"/>
    <w:rsid w:val="40D85040"/>
    <w:rsid w:val="412214B2"/>
    <w:rsid w:val="4160274D"/>
    <w:rsid w:val="41BE6428"/>
    <w:rsid w:val="44086C32"/>
    <w:rsid w:val="44EF1B82"/>
    <w:rsid w:val="44F22B38"/>
    <w:rsid w:val="44FF5255"/>
    <w:rsid w:val="45644B25"/>
    <w:rsid w:val="45E77C31"/>
    <w:rsid w:val="45FD1FD2"/>
    <w:rsid w:val="45FF7BEE"/>
    <w:rsid w:val="461B2714"/>
    <w:rsid w:val="465855D4"/>
    <w:rsid w:val="46794BE0"/>
    <w:rsid w:val="469B2720"/>
    <w:rsid w:val="473D2DF8"/>
    <w:rsid w:val="48D32C81"/>
    <w:rsid w:val="48D923C7"/>
    <w:rsid w:val="491B7D4D"/>
    <w:rsid w:val="49221512"/>
    <w:rsid w:val="499B2B75"/>
    <w:rsid w:val="4A226C77"/>
    <w:rsid w:val="4A4C1516"/>
    <w:rsid w:val="4ADA6BB7"/>
    <w:rsid w:val="4AF01045"/>
    <w:rsid w:val="4B14032B"/>
    <w:rsid w:val="4B307AE9"/>
    <w:rsid w:val="4B717BA7"/>
    <w:rsid w:val="4B862CAD"/>
    <w:rsid w:val="4BDA5CFE"/>
    <w:rsid w:val="4CFA39CE"/>
    <w:rsid w:val="4D282CB4"/>
    <w:rsid w:val="4D3B1AB9"/>
    <w:rsid w:val="4D48236F"/>
    <w:rsid w:val="4DC1760D"/>
    <w:rsid w:val="4E6B322B"/>
    <w:rsid w:val="4EC56C2F"/>
    <w:rsid w:val="4EEE449A"/>
    <w:rsid w:val="4F231585"/>
    <w:rsid w:val="4F7E6A86"/>
    <w:rsid w:val="502D02BC"/>
    <w:rsid w:val="503700FB"/>
    <w:rsid w:val="50DE06E3"/>
    <w:rsid w:val="51423F3F"/>
    <w:rsid w:val="51526ABB"/>
    <w:rsid w:val="516914A3"/>
    <w:rsid w:val="5176537C"/>
    <w:rsid w:val="517944E3"/>
    <w:rsid w:val="51933661"/>
    <w:rsid w:val="51AC6956"/>
    <w:rsid w:val="51E5108B"/>
    <w:rsid w:val="52483304"/>
    <w:rsid w:val="52D24297"/>
    <w:rsid w:val="52D32AFD"/>
    <w:rsid w:val="52E16C74"/>
    <w:rsid w:val="53240C30"/>
    <w:rsid w:val="535D0F42"/>
    <w:rsid w:val="53B4319B"/>
    <w:rsid w:val="54E500CA"/>
    <w:rsid w:val="55314071"/>
    <w:rsid w:val="55544E7D"/>
    <w:rsid w:val="556E1D75"/>
    <w:rsid w:val="56D97FD1"/>
    <w:rsid w:val="570470BA"/>
    <w:rsid w:val="572A1B2D"/>
    <w:rsid w:val="578E58A0"/>
    <w:rsid w:val="57B53639"/>
    <w:rsid w:val="58881554"/>
    <w:rsid w:val="59E11BC5"/>
    <w:rsid w:val="59FE5684"/>
    <w:rsid w:val="5A294673"/>
    <w:rsid w:val="5A6F7A2D"/>
    <w:rsid w:val="5AF56077"/>
    <w:rsid w:val="5B001520"/>
    <w:rsid w:val="5B8B5925"/>
    <w:rsid w:val="5B9E0C30"/>
    <w:rsid w:val="5C223BC9"/>
    <w:rsid w:val="5C7C6396"/>
    <w:rsid w:val="5C9A03FD"/>
    <w:rsid w:val="5CDB24E5"/>
    <w:rsid w:val="5D8D419C"/>
    <w:rsid w:val="5DB82739"/>
    <w:rsid w:val="5DC155E2"/>
    <w:rsid w:val="5DD51960"/>
    <w:rsid w:val="5DED6DA2"/>
    <w:rsid w:val="5E3B443B"/>
    <w:rsid w:val="5EC42D73"/>
    <w:rsid w:val="5F197194"/>
    <w:rsid w:val="5F3D2878"/>
    <w:rsid w:val="5F44298B"/>
    <w:rsid w:val="5F55219B"/>
    <w:rsid w:val="5F944D2C"/>
    <w:rsid w:val="5FCB4D87"/>
    <w:rsid w:val="5FED68F6"/>
    <w:rsid w:val="5FF95CF0"/>
    <w:rsid w:val="60384F4A"/>
    <w:rsid w:val="603E49EB"/>
    <w:rsid w:val="60C648E5"/>
    <w:rsid w:val="60C66115"/>
    <w:rsid w:val="60CD4825"/>
    <w:rsid w:val="61800D2B"/>
    <w:rsid w:val="61BC2A15"/>
    <w:rsid w:val="61D86AC2"/>
    <w:rsid w:val="62337EF3"/>
    <w:rsid w:val="62716BBC"/>
    <w:rsid w:val="627E7A26"/>
    <w:rsid w:val="634E7828"/>
    <w:rsid w:val="639F78D1"/>
    <w:rsid w:val="63B63F59"/>
    <w:rsid w:val="642E21E2"/>
    <w:rsid w:val="65117867"/>
    <w:rsid w:val="654639B4"/>
    <w:rsid w:val="66094ED0"/>
    <w:rsid w:val="66700908"/>
    <w:rsid w:val="668D28D9"/>
    <w:rsid w:val="66A40EC3"/>
    <w:rsid w:val="67375276"/>
    <w:rsid w:val="67A535E2"/>
    <w:rsid w:val="67A80762"/>
    <w:rsid w:val="67C67312"/>
    <w:rsid w:val="688C19B0"/>
    <w:rsid w:val="689A7718"/>
    <w:rsid w:val="6917469A"/>
    <w:rsid w:val="697E2311"/>
    <w:rsid w:val="69B33D58"/>
    <w:rsid w:val="69F50936"/>
    <w:rsid w:val="6A0368D7"/>
    <w:rsid w:val="6A472730"/>
    <w:rsid w:val="6AA628DF"/>
    <w:rsid w:val="6B0A3E88"/>
    <w:rsid w:val="6B700603"/>
    <w:rsid w:val="6B94314E"/>
    <w:rsid w:val="6B974B12"/>
    <w:rsid w:val="6BAB7017"/>
    <w:rsid w:val="6BD4551A"/>
    <w:rsid w:val="6BDD4FB2"/>
    <w:rsid w:val="6BE50451"/>
    <w:rsid w:val="6BEF2BAB"/>
    <w:rsid w:val="6C283CF7"/>
    <w:rsid w:val="6CC0101E"/>
    <w:rsid w:val="6D8816C8"/>
    <w:rsid w:val="6E1355C9"/>
    <w:rsid w:val="6E3B4CCA"/>
    <w:rsid w:val="6E505373"/>
    <w:rsid w:val="6EA16987"/>
    <w:rsid w:val="6EA25DF9"/>
    <w:rsid w:val="6F8D1FC2"/>
    <w:rsid w:val="6F8D5C1A"/>
    <w:rsid w:val="6FD27139"/>
    <w:rsid w:val="7010208F"/>
    <w:rsid w:val="703B6854"/>
    <w:rsid w:val="704A44DC"/>
    <w:rsid w:val="706933FF"/>
    <w:rsid w:val="70BF1008"/>
    <w:rsid w:val="70E574F3"/>
    <w:rsid w:val="71326C39"/>
    <w:rsid w:val="716147BD"/>
    <w:rsid w:val="71883D59"/>
    <w:rsid w:val="724539F8"/>
    <w:rsid w:val="72611DE4"/>
    <w:rsid w:val="726E545D"/>
    <w:rsid w:val="72B73FF5"/>
    <w:rsid w:val="72FF44EF"/>
    <w:rsid w:val="74A165CC"/>
    <w:rsid w:val="74AE1D28"/>
    <w:rsid w:val="755B645C"/>
    <w:rsid w:val="75615E2A"/>
    <w:rsid w:val="75776E8F"/>
    <w:rsid w:val="75B60F89"/>
    <w:rsid w:val="761728C2"/>
    <w:rsid w:val="761E2EDE"/>
    <w:rsid w:val="76823514"/>
    <w:rsid w:val="76B07EDE"/>
    <w:rsid w:val="76DB2B7D"/>
    <w:rsid w:val="775D10FB"/>
    <w:rsid w:val="77695595"/>
    <w:rsid w:val="786257FC"/>
    <w:rsid w:val="791D4BEA"/>
    <w:rsid w:val="792F6D7C"/>
    <w:rsid w:val="7987697C"/>
    <w:rsid w:val="79D1422E"/>
    <w:rsid w:val="7A9F47F8"/>
    <w:rsid w:val="7B602F54"/>
    <w:rsid w:val="7C1C6325"/>
    <w:rsid w:val="7C520C2F"/>
    <w:rsid w:val="7CC067C4"/>
    <w:rsid w:val="7D3E444E"/>
    <w:rsid w:val="7D602FB4"/>
    <w:rsid w:val="7D622872"/>
    <w:rsid w:val="7DD74FBC"/>
    <w:rsid w:val="7E462371"/>
    <w:rsid w:val="7F083EE0"/>
    <w:rsid w:val="7F4B70A4"/>
    <w:rsid w:val="7F862913"/>
    <w:rsid w:val="7F99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link w:val="7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0"/>
    <w:pPr>
      <w:tabs>
        <w:tab w:val="left" w:pos="567"/>
      </w:tabs>
      <w:spacing w:before="120" w:line="22" w:lineRule="atLeast"/>
    </w:pPr>
    <w:rPr>
      <w:rFonts w:ascii="宋体" w:hAnsi="宋体"/>
      <w:sz w:val="24"/>
    </w:rPr>
  </w:style>
  <w:style w:type="paragraph" w:styleId="3">
    <w:name w:val="Body Text First Indent"/>
    <w:basedOn w:val="2"/>
    <w:next w:val="4"/>
    <w:qFormat/>
    <w:uiPriority w:val="0"/>
    <w:pPr>
      <w:autoSpaceDE w:val="0"/>
      <w:autoSpaceDN w:val="0"/>
      <w:adjustRightInd w:val="0"/>
      <w:spacing w:line="360" w:lineRule="auto"/>
      <w:ind w:firstLine="420" w:firstLineChars="200"/>
    </w:pPr>
    <w:rPr>
      <w:rFonts w:ascii="Arial" w:hAnsi="Arial"/>
      <w:szCs w:val="21"/>
    </w:rPr>
  </w:style>
  <w:style w:type="paragraph" w:styleId="4">
    <w:name w:val="Body Text First Indent 2"/>
    <w:basedOn w:val="5"/>
    <w:next w:val="3"/>
    <w:unhideWhenUsed/>
    <w:qFormat/>
    <w:uiPriority w:val="99"/>
    <w:pPr>
      <w:ind w:firstLine="420" w:firstLineChars="200"/>
    </w:pPr>
  </w:style>
  <w:style w:type="paragraph" w:styleId="5">
    <w:name w:val="Body Text Indent"/>
    <w:basedOn w:val="1"/>
    <w:next w:val="6"/>
    <w:qFormat/>
    <w:uiPriority w:val="0"/>
    <w:pPr>
      <w:spacing w:line="360" w:lineRule="auto"/>
      <w:ind w:firstLine="570"/>
    </w:pPr>
    <w:rPr>
      <w:sz w:val="24"/>
    </w:rPr>
  </w:style>
  <w:style w:type="paragraph" w:styleId="10">
    <w:name w:val="toc 7"/>
    <w:basedOn w:val="1"/>
    <w:next w:val="1"/>
    <w:qFormat/>
    <w:uiPriority w:val="39"/>
    <w:pPr>
      <w:ind w:left="2520" w:leftChars="1200"/>
    </w:pPr>
  </w:style>
  <w:style w:type="paragraph" w:styleId="11">
    <w:name w:val="Normal Indent"/>
    <w:basedOn w:val="1"/>
    <w:next w:val="12"/>
    <w:qFormat/>
    <w:uiPriority w:val="0"/>
    <w:pPr>
      <w:autoSpaceDE w:val="0"/>
      <w:autoSpaceDN w:val="0"/>
      <w:adjustRightInd w:val="0"/>
      <w:ind w:firstLine="420"/>
      <w:jc w:val="left"/>
    </w:pPr>
    <w:rPr>
      <w:rFonts w:ascii="宋体"/>
      <w:kern w:val="0"/>
      <w:sz w:val="24"/>
      <w:szCs w:val="20"/>
    </w:rPr>
  </w:style>
  <w:style w:type="paragraph" w:customStyle="1" w:styleId="12">
    <w:name w:val="样式 正文缩进 + 首行缩进:  2 字符"/>
    <w:basedOn w:val="11"/>
    <w:qFormat/>
    <w:uiPriority w:val="0"/>
    <w:pPr>
      <w:ind w:firstLine="560" w:firstLineChars="200"/>
    </w:pPr>
    <w:rPr>
      <w:rFonts w:cs="宋体"/>
    </w:rPr>
  </w:style>
  <w:style w:type="paragraph" w:styleId="13">
    <w:name w:val="annotation text"/>
    <w:basedOn w:val="1"/>
    <w:link w:val="58"/>
    <w:qFormat/>
    <w:uiPriority w:val="99"/>
    <w:pPr>
      <w:jc w:val="left"/>
    </w:p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62"/>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67"/>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60"/>
    <w:qFormat/>
    <w:uiPriority w:val="0"/>
    <w:rPr>
      <w:sz w:val="18"/>
      <w:szCs w:val="18"/>
    </w:rPr>
  </w:style>
  <w:style w:type="paragraph" w:styleId="21">
    <w:name w:val="footer"/>
    <w:basedOn w:val="1"/>
    <w:link w:val="5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envelope return"/>
    <w:basedOn w:val="1"/>
    <w:qFormat/>
    <w:uiPriority w:val="0"/>
    <w:pPr>
      <w:snapToGrid w:val="0"/>
    </w:pPr>
    <w:rPr>
      <w:rFonts w:ascii="Arial" w:hAnsi="Arial"/>
    </w:rPr>
  </w:style>
  <w:style w:type="paragraph" w:styleId="23">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List"/>
    <w:basedOn w:val="1"/>
    <w:qFormat/>
    <w:uiPriority w:val="0"/>
    <w:pPr>
      <w:ind w:left="420" w:hanging="420"/>
    </w:pPr>
    <w:rPr>
      <w:sz w:val="24"/>
      <w:szCs w:val="20"/>
    </w:rPr>
  </w:style>
  <w:style w:type="paragraph" w:styleId="27">
    <w:name w:val="footnote text"/>
    <w:basedOn w:val="1"/>
    <w:qFormat/>
    <w:uiPriority w:val="0"/>
    <w:pPr>
      <w:adjustRightInd w:val="0"/>
      <w:spacing w:line="315" w:lineRule="atLeast"/>
      <w:textAlignment w:val="baseline"/>
    </w:pPr>
    <w:rPr>
      <w:rFonts w:ascii="宋体" w:hAnsi="宋体"/>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spacing w:after="120" w:line="480" w:lineRule="auto"/>
    </w:pPr>
    <w:rPr>
      <w:rFonts w:ascii="Arial" w:hAnsi="Arial"/>
      <w:sz w:val="24"/>
    </w:rPr>
  </w:style>
  <w:style w:type="paragraph" w:styleId="33">
    <w:name w:val="Normal (Web)"/>
    <w:basedOn w:val="1"/>
    <w:qFormat/>
    <w:uiPriority w:val="0"/>
    <w:pPr>
      <w:widowControl/>
      <w:jc w:val="left"/>
    </w:pPr>
    <w:rPr>
      <w:rFonts w:ascii="宋体" w:hAnsi="宋体" w:cs="宋体"/>
      <w:kern w:val="0"/>
      <w:sz w:val="24"/>
    </w:rPr>
  </w:style>
  <w:style w:type="paragraph" w:styleId="34">
    <w:name w:val="index 1"/>
    <w:basedOn w:val="1"/>
    <w:next w:val="1"/>
    <w:semiHidden/>
    <w:qFormat/>
    <w:uiPriority w:val="0"/>
    <w:rPr>
      <w:szCs w:val="20"/>
    </w:rPr>
  </w:style>
  <w:style w:type="paragraph" w:styleId="35">
    <w:name w:val="annotation subject"/>
    <w:basedOn w:val="13"/>
    <w:next w:val="13"/>
    <w:link w:val="61"/>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rFonts w:ascii="Arial" w:hAnsi="Arial" w:eastAsia="Times New Roman" w:cs="Verdana"/>
      <w:b/>
      <w:bCs/>
      <w:kern w:val="0"/>
      <w:sz w:val="24"/>
      <w:lang w:eastAsia="en-US"/>
    </w:rPr>
  </w:style>
  <w:style w:type="character" w:styleId="40">
    <w:name w:val="page number"/>
    <w:qFormat/>
    <w:uiPriority w:val="0"/>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Default"/>
    <w:next w:val="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4">
    <w:name w:val="样式1"/>
    <w:basedOn w:val="1"/>
    <w:qFormat/>
    <w:uiPriority w:val="0"/>
    <w:pPr>
      <w:adjustRightInd w:val="0"/>
      <w:textAlignment w:val="baseline"/>
    </w:pPr>
    <w:rPr>
      <w:rFonts w:ascii="宋体" w:hAnsi="宋体"/>
      <w:kern w:val="0"/>
      <w:szCs w:val="21"/>
    </w:rPr>
  </w:style>
  <w:style w:type="paragraph" w:customStyle="1" w:styleId="45">
    <w:name w:val="列出段落1"/>
    <w:basedOn w:val="1"/>
    <w:qFormat/>
    <w:uiPriority w:val="99"/>
    <w:pPr>
      <w:ind w:firstLine="420" w:firstLineChars="200"/>
    </w:pPr>
  </w:style>
  <w:style w:type="paragraph" w:customStyle="1" w:styleId="46">
    <w:name w:val="正文1"/>
    <w:basedOn w:val="1"/>
    <w:qFormat/>
    <w:uiPriority w:val="0"/>
    <w:pPr>
      <w:ind w:firstLine="420" w:firstLineChars="200"/>
    </w:pPr>
    <w:rPr>
      <w:rFonts w:ascii="宋体" w:hAnsi="宋体"/>
    </w:rPr>
  </w:style>
  <w:style w:type="paragraph" w:styleId="47">
    <w:name w:val="List Paragraph"/>
    <w:basedOn w:val="1"/>
    <w:qFormat/>
    <w:uiPriority w:val="34"/>
    <w:pPr>
      <w:widowControl/>
      <w:ind w:firstLine="420" w:firstLineChars="200"/>
      <w:jc w:val="left"/>
    </w:pPr>
    <w:rPr>
      <w:kern w:val="0"/>
      <w:sz w:val="24"/>
    </w:rPr>
  </w:style>
  <w:style w:type="paragraph" w:customStyle="1" w:styleId="48">
    <w:name w:val="Char"/>
    <w:basedOn w:val="1"/>
    <w:qFormat/>
    <w:uiPriority w:val="0"/>
    <w:pPr>
      <w:tabs>
        <w:tab w:val="left" w:pos="360"/>
      </w:tabs>
    </w:pPr>
    <w:rPr>
      <w:sz w:val="24"/>
    </w:rPr>
  </w:style>
  <w:style w:type="paragraph" w:customStyle="1" w:styleId="49">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纯文本1"/>
    <w:basedOn w:val="1"/>
    <w:link w:val="56"/>
    <w:qFormat/>
    <w:uiPriority w:val="0"/>
    <w:rPr>
      <w:rFonts w:ascii="宋体" w:hAnsi="Courier New"/>
      <w:kern w:val="0"/>
      <w:sz w:val="20"/>
      <w:szCs w:val="20"/>
    </w:rPr>
  </w:style>
  <w:style w:type="paragraph" w:customStyle="1" w:styleId="52">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53">
    <w:name w:val="页眉 Char1"/>
    <w:semiHidden/>
    <w:qFormat/>
    <w:uiPriority w:val="99"/>
    <w:rPr>
      <w:kern w:val="2"/>
      <w:sz w:val="18"/>
      <w:szCs w:val="18"/>
    </w:rPr>
  </w:style>
  <w:style w:type="character" w:customStyle="1" w:styleId="54">
    <w:name w:val="标题 2 Char"/>
    <w:link w:val="8"/>
    <w:qFormat/>
    <w:uiPriority w:val="0"/>
    <w:rPr>
      <w:rFonts w:ascii="Arial" w:hAnsi="Arial" w:eastAsia="黑体"/>
      <w:b/>
      <w:sz w:val="30"/>
    </w:rPr>
  </w:style>
  <w:style w:type="character" w:customStyle="1" w:styleId="55">
    <w:name w:val="页脚 Char"/>
    <w:link w:val="21"/>
    <w:qFormat/>
    <w:uiPriority w:val="99"/>
    <w:rPr>
      <w:rFonts w:ascii="宋体"/>
      <w:sz w:val="18"/>
    </w:rPr>
  </w:style>
  <w:style w:type="character" w:customStyle="1" w:styleId="56">
    <w:name w:val="纯文本 Char1"/>
    <w:link w:val="51"/>
    <w:qFormat/>
    <w:uiPriority w:val="0"/>
    <w:rPr>
      <w:rFonts w:ascii="宋体" w:hAnsi="Courier New"/>
    </w:rPr>
  </w:style>
  <w:style w:type="character" w:customStyle="1" w:styleId="57">
    <w:name w:val="NormalCharacter"/>
    <w:qFormat/>
    <w:uiPriority w:val="0"/>
  </w:style>
  <w:style w:type="character" w:customStyle="1" w:styleId="58">
    <w:name w:val="批注文字 Char"/>
    <w:link w:val="13"/>
    <w:qFormat/>
    <w:uiPriority w:val="99"/>
    <w:rPr>
      <w:kern w:val="2"/>
      <w:sz w:val="21"/>
      <w:szCs w:val="24"/>
    </w:rPr>
  </w:style>
  <w:style w:type="character" w:customStyle="1" w:styleId="59">
    <w:name w:val="批注主题 Char1"/>
    <w:semiHidden/>
    <w:qFormat/>
    <w:uiPriority w:val="99"/>
    <w:rPr>
      <w:b/>
      <w:bCs/>
      <w:kern w:val="2"/>
      <w:sz w:val="21"/>
      <w:szCs w:val="24"/>
    </w:rPr>
  </w:style>
  <w:style w:type="character" w:customStyle="1" w:styleId="60">
    <w:name w:val="批注框文本 Char"/>
    <w:link w:val="20"/>
    <w:qFormat/>
    <w:uiPriority w:val="0"/>
    <w:rPr>
      <w:kern w:val="2"/>
      <w:sz w:val="18"/>
      <w:szCs w:val="18"/>
    </w:rPr>
  </w:style>
  <w:style w:type="character" w:customStyle="1" w:styleId="61">
    <w:name w:val="批注主题 Char"/>
    <w:link w:val="35"/>
    <w:qFormat/>
    <w:uiPriority w:val="0"/>
    <w:rPr>
      <w:b/>
      <w:bCs/>
      <w:kern w:val="2"/>
      <w:sz w:val="21"/>
      <w:szCs w:val="24"/>
    </w:rPr>
  </w:style>
  <w:style w:type="character" w:customStyle="1" w:styleId="62">
    <w:name w:val="纯文本 Char"/>
    <w:link w:val="16"/>
    <w:qFormat/>
    <w:uiPriority w:val="0"/>
    <w:rPr>
      <w:rFonts w:ascii="宋体" w:hAnsi="Courier New"/>
      <w:kern w:val="2"/>
      <w:sz w:val="21"/>
    </w:rPr>
  </w:style>
  <w:style w:type="character" w:customStyle="1" w:styleId="63">
    <w:name w:val="标题 3 Char"/>
    <w:link w:val="9"/>
    <w:qFormat/>
    <w:uiPriority w:val="0"/>
    <w:rPr>
      <w:rFonts w:ascii="宋体"/>
      <w:b/>
      <w:sz w:val="24"/>
      <w:u w:val="single"/>
    </w:rPr>
  </w:style>
  <w:style w:type="character" w:customStyle="1" w:styleId="64">
    <w:name w:val="正文文本 Char"/>
    <w:link w:val="2"/>
    <w:qFormat/>
    <w:uiPriority w:val="0"/>
    <w:rPr>
      <w:rFonts w:ascii="宋体" w:hAnsi="宋体"/>
      <w:kern w:val="2"/>
      <w:sz w:val="24"/>
      <w:szCs w:val="24"/>
    </w:rPr>
  </w:style>
  <w:style w:type="character" w:customStyle="1" w:styleId="65">
    <w:name w:val="批注框文本 Char1"/>
    <w:semiHidden/>
    <w:qFormat/>
    <w:uiPriority w:val="99"/>
    <w:rPr>
      <w:kern w:val="2"/>
      <w:sz w:val="18"/>
      <w:szCs w:val="18"/>
    </w:rPr>
  </w:style>
  <w:style w:type="character" w:customStyle="1" w:styleId="66">
    <w:name w:val="正文缩进 Char1"/>
    <w:link w:val="52"/>
    <w:qFormat/>
    <w:uiPriority w:val="0"/>
    <w:rPr>
      <w:rFonts w:ascii="宋体"/>
      <w:sz w:val="24"/>
    </w:rPr>
  </w:style>
  <w:style w:type="character" w:customStyle="1" w:styleId="67">
    <w:name w:val="日期 Char"/>
    <w:link w:val="18"/>
    <w:qFormat/>
    <w:uiPriority w:val="0"/>
    <w:rPr>
      <w:rFonts w:ascii="仿宋_GB2312" w:hAnsi="宋体" w:eastAsia="仿宋_GB2312"/>
      <w:color w:val="000000"/>
      <w:kern w:val="2"/>
      <w:sz w:val="24"/>
      <w:szCs w:val="24"/>
    </w:rPr>
  </w:style>
  <w:style w:type="character" w:customStyle="1" w:styleId="68">
    <w:name w:val="页眉 Char"/>
    <w:link w:val="23"/>
    <w:qFormat/>
    <w:uiPriority w:val="0"/>
    <w:rPr>
      <w:kern w:val="2"/>
      <w:sz w:val="18"/>
      <w:szCs w:val="18"/>
    </w:rPr>
  </w:style>
  <w:style w:type="character" w:customStyle="1" w:styleId="69">
    <w:name w:val="标题 1 Char"/>
    <w:link w:val="7"/>
    <w:qFormat/>
    <w:uiPriority w:val="0"/>
    <w:rPr>
      <w:rFonts w:ascii="宋体"/>
      <w:b/>
      <w:kern w:val="44"/>
      <w:sz w:val="32"/>
    </w:rPr>
  </w:style>
  <w:style w:type="character" w:customStyle="1" w:styleId="70">
    <w:name w:val="批注文字 Char1"/>
    <w:semiHidden/>
    <w:qFormat/>
    <w:uiPriority w:val="99"/>
    <w:rPr>
      <w:kern w:val="2"/>
      <w:sz w:val="21"/>
      <w:szCs w:val="24"/>
    </w:rPr>
  </w:style>
  <w:style w:type="table" w:customStyle="1" w:styleId="71">
    <w:name w:val="Table Normal"/>
    <w:qFormat/>
    <w:uiPriority w:val="0"/>
    <w:tblPr>
      <w:tblCellMar>
        <w:top w:w="0" w:type="dxa"/>
        <w:left w:w="0" w:type="dxa"/>
        <w:bottom w:w="0" w:type="dxa"/>
        <w:right w:w="0" w:type="dxa"/>
      </w:tblCellMar>
    </w:tblPr>
  </w:style>
  <w:style w:type="character" w:customStyle="1" w:styleId="72">
    <w:name w:val="fontstyle01"/>
    <w:basedOn w:val="38"/>
    <w:qFormat/>
    <w:uiPriority w:val="0"/>
    <w:rPr>
      <w:rFonts w:hint="eastAsia" w:ascii="仿宋_GB2312" w:eastAsia="仿宋_GB2312"/>
      <w:color w:val="000000"/>
      <w:sz w:val="28"/>
      <w:szCs w:val="28"/>
    </w:rPr>
  </w:style>
  <w:style w:type="paragraph" w:customStyle="1" w:styleId="73">
    <w:name w:val="Table Paragraph"/>
    <w:basedOn w:val="1"/>
    <w:qFormat/>
    <w:uiPriority w:val="1"/>
    <w:rPr>
      <w:rFonts w:ascii="宋体" w:hAnsi="宋体" w:cs="宋体"/>
      <w:lang w:val="zh-CN" w:bidi="zh-CN"/>
    </w:rPr>
  </w:style>
  <w:style w:type="character" w:customStyle="1" w:styleId="74">
    <w:name w:val="标题 2 Char1"/>
    <w:link w:val="8"/>
    <w:qFormat/>
    <w:uiPriority w:val="0"/>
    <w:rPr>
      <w:rFonts w:ascii="Arial" w:hAnsi="Arial" w:eastAsia="黑体" w:cs="Times New Roman"/>
      <w:b/>
      <w:bCs/>
      <w:sz w:val="32"/>
      <w:szCs w:val="32"/>
    </w:rPr>
  </w:style>
  <w:style w:type="character" w:customStyle="1" w:styleId="75">
    <w:name w:val="font31"/>
    <w:basedOn w:val="38"/>
    <w:qFormat/>
    <w:uiPriority w:val="0"/>
    <w:rPr>
      <w:rFonts w:hint="eastAsia" w:ascii="仿宋" w:hAnsi="仿宋" w:eastAsia="仿宋" w:cs="仿宋"/>
      <w:color w:val="000000"/>
      <w:sz w:val="20"/>
      <w:szCs w:val="20"/>
      <w:u w:val="none"/>
    </w:rPr>
  </w:style>
  <w:style w:type="character" w:customStyle="1" w:styleId="76">
    <w:name w:val="font21"/>
    <w:basedOn w:val="38"/>
    <w:qFormat/>
    <w:uiPriority w:val="0"/>
    <w:rPr>
      <w:rFonts w:hint="eastAsia" w:ascii="仿宋" w:hAnsi="仿宋" w:eastAsia="仿宋" w:cs="仿宋"/>
      <w:color w:val="000000"/>
      <w:sz w:val="20"/>
      <w:szCs w:val="20"/>
      <w:u w:val="none"/>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43569</Words>
  <Characters>46966</Characters>
  <Lines>375</Lines>
  <Paragraphs>105</Paragraphs>
  <TotalTime>3</TotalTime>
  <ScaleCrop>false</ScaleCrop>
  <LinksUpToDate>false</LinksUpToDate>
  <CharactersWithSpaces>49878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孙丽</cp:lastModifiedBy>
  <cp:lastPrinted>2023-02-20T11:14:00Z</cp:lastPrinted>
  <dcterms:modified xsi:type="dcterms:W3CDTF">2023-02-22T05:21:32Z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3F46D2B38A954B40BFCE19AB3E0B922D</vt:lpwstr>
  </property>
</Properties>
</file>